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31613" w14:textId="2FC3D449" w:rsidR="00EF2A83" w:rsidRPr="00F16021" w:rsidRDefault="00DA0E16" w:rsidP="00F16021">
      <w:pPr>
        <w:spacing w:before="9240" w:line="240" w:lineRule="atLeast"/>
        <w:jc w:val="both"/>
        <w:rPr>
          <w:sz w:val="52"/>
        </w:rPr>
      </w:pPr>
      <w:r w:rsidRPr="00F16021">
        <w:rPr>
          <w:noProof/>
          <w:sz w:val="52"/>
        </w:rPr>
        <w:drawing>
          <wp:anchor distT="0" distB="0" distL="114300" distR="114300" simplePos="0" relativeHeight="251658240" behindDoc="0" locked="0" layoutInCell="1" allowOverlap="1" wp14:anchorId="62E8D94E" wp14:editId="3DA721E3">
            <wp:simplePos x="0" y="0"/>
            <wp:positionH relativeFrom="margin">
              <wp:posOffset>-910286</wp:posOffset>
            </wp:positionH>
            <wp:positionV relativeFrom="paragraph">
              <wp:posOffset>-915173</wp:posOffset>
            </wp:positionV>
            <wp:extent cx="7646152" cy="6589486"/>
            <wp:effectExtent l="0" t="0" r="0" b="1905"/>
            <wp:wrapNone/>
            <wp:docPr id="1609974036" name="Picture 705666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74036" name="Picture 70566627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646152" cy="65894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2A83" w:rsidRPr="00F16021">
        <w:rPr>
          <w:sz w:val="52"/>
        </w:rPr>
        <w:t>Australia Awards and Alumni</w:t>
      </w:r>
    </w:p>
    <w:p w14:paraId="18E1E21D" w14:textId="2CAC385F" w:rsidR="00EF2A83" w:rsidRPr="00EF2A83" w:rsidRDefault="00EF2A83" w:rsidP="00EF2A83">
      <w:pPr>
        <w:rPr>
          <w:b/>
          <w:bCs/>
        </w:rPr>
      </w:pPr>
      <w:r w:rsidRPr="00226C43">
        <w:rPr>
          <w:sz w:val="52"/>
        </w:rPr>
        <w:t>Engagement Program – Philippines</w:t>
      </w:r>
    </w:p>
    <w:p w14:paraId="06D50D18" w14:textId="1E5A78B8" w:rsidR="00181670" w:rsidRPr="00226C43" w:rsidRDefault="00181670" w:rsidP="00181670">
      <w:pPr>
        <w:pStyle w:val="Title"/>
        <w:rPr>
          <w:rFonts w:asciiTheme="minorHAnsi" w:hAnsiTheme="minorHAnsi"/>
          <w:color w:val="auto"/>
          <w:sz w:val="52"/>
        </w:rPr>
      </w:pPr>
      <w:r w:rsidRPr="00226C43">
        <w:rPr>
          <w:rFonts w:asciiTheme="minorHAnsi" w:hAnsiTheme="minorHAnsi"/>
          <w:color w:val="auto"/>
          <w:sz w:val="52"/>
        </w:rPr>
        <w:t>Final Program Evaluation</w:t>
      </w:r>
    </w:p>
    <w:p w14:paraId="366416F4" w14:textId="42673F46" w:rsidR="00181670" w:rsidRPr="00226C43" w:rsidRDefault="00832AA4" w:rsidP="00181670">
      <w:pPr>
        <w:pStyle w:val="Subtitle"/>
        <w:rPr>
          <w:rFonts w:asciiTheme="minorHAnsi" w:hAnsiTheme="minorHAnsi"/>
          <w:b/>
          <w:bCs/>
          <w:color w:val="auto"/>
        </w:rPr>
      </w:pPr>
      <w:r w:rsidRPr="00226C43">
        <w:rPr>
          <w:rFonts w:asciiTheme="minorHAnsi" w:hAnsiTheme="minorHAnsi"/>
          <w:b/>
          <w:bCs/>
          <w:color w:val="auto"/>
        </w:rPr>
        <w:t xml:space="preserve">Final </w:t>
      </w:r>
      <w:r w:rsidR="00181670" w:rsidRPr="00226C43">
        <w:rPr>
          <w:rFonts w:asciiTheme="minorHAnsi" w:hAnsiTheme="minorHAnsi"/>
          <w:b/>
          <w:bCs/>
          <w:color w:val="auto"/>
        </w:rPr>
        <w:t>Report</w:t>
      </w:r>
    </w:p>
    <w:p w14:paraId="38D16230" w14:textId="4700DB63" w:rsidR="00181670" w:rsidRPr="00226C43" w:rsidRDefault="00D83217" w:rsidP="00181670">
      <w:pPr>
        <w:pStyle w:val="Subtitle"/>
        <w:rPr>
          <w:rFonts w:asciiTheme="minorHAnsi" w:hAnsiTheme="minorHAnsi"/>
          <w:color w:val="auto"/>
        </w:rPr>
      </w:pPr>
      <w:r w:rsidRPr="00226C43">
        <w:rPr>
          <w:rFonts w:asciiTheme="minorHAnsi" w:hAnsiTheme="minorHAnsi"/>
          <w:color w:val="auto"/>
        </w:rPr>
        <w:t xml:space="preserve">February </w:t>
      </w:r>
      <w:r w:rsidR="00181670" w:rsidRPr="00226C43">
        <w:rPr>
          <w:rFonts w:asciiTheme="minorHAnsi" w:hAnsiTheme="minorHAnsi"/>
          <w:color w:val="auto"/>
        </w:rPr>
        <w:t>202</w:t>
      </w:r>
      <w:r w:rsidRPr="00226C43">
        <w:rPr>
          <w:rFonts w:asciiTheme="minorHAnsi" w:hAnsiTheme="minorHAnsi"/>
          <w:color w:val="auto"/>
        </w:rPr>
        <w:t>5</w:t>
      </w:r>
    </w:p>
    <w:p w14:paraId="760B404E" w14:textId="618BBDF6" w:rsidR="00A51612" w:rsidRPr="00226C43" w:rsidRDefault="00A51612" w:rsidP="4807D39D">
      <w:r w:rsidRPr="00226C43">
        <w:rPr>
          <w:noProof/>
        </w:rPr>
        <w:drawing>
          <wp:inline distT="0" distB="0" distL="0" distR="0" wp14:anchorId="659F7A5F" wp14:editId="69312622">
            <wp:extent cx="2457450" cy="655955"/>
            <wp:effectExtent l="0" t="0" r="0" b="0"/>
            <wp:docPr id="1628118127" name="Picture 3" descr="sustin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18127" name="Picture 3" descr="sustineo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7450" cy="655955"/>
                    </a:xfrm>
                    <a:prstGeom prst="rect">
                      <a:avLst/>
                    </a:prstGeom>
                  </pic:spPr>
                </pic:pic>
              </a:graphicData>
            </a:graphic>
          </wp:inline>
        </w:drawing>
      </w:r>
      <w:r w:rsidRPr="00226C43">
        <w:br w:type="page"/>
      </w:r>
    </w:p>
    <w:p w14:paraId="2A1EAC7D" w14:textId="77777777" w:rsidR="00A51612" w:rsidRPr="00226C43" w:rsidRDefault="4DD21A85" w:rsidP="4DD21A85">
      <w:pPr>
        <w:pStyle w:val="TOCHeading"/>
        <w:rPr>
          <w:rFonts w:asciiTheme="minorHAnsi" w:hAnsiTheme="minorHAnsi"/>
          <w:color w:val="auto"/>
        </w:rPr>
      </w:pPr>
      <w:r w:rsidRPr="00226C43">
        <w:rPr>
          <w:rFonts w:asciiTheme="minorHAnsi" w:hAnsiTheme="minorHAnsi"/>
          <w:color w:val="auto"/>
        </w:rPr>
        <w:lastRenderedPageBreak/>
        <w:t>Contents</w:t>
      </w:r>
    </w:p>
    <w:p w14:paraId="721CAC1D" w14:textId="2F1C31F7" w:rsidR="005A698C" w:rsidRPr="00226C43" w:rsidRDefault="00DE2989" w:rsidP="005A698C">
      <w:pPr>
        <w:pStyle w:val="TOC1"/>
        <w:rPr>
          <w:rFonts w:eastAsiaTheme="minorEastAsia"/>
          <w:noProof/>
        </w:rPr>
      </w:pPr>
      <w:r w:rsidRPr="00226C43">
        <w:fldChar w:fldCharType="begin"/>
      </w:r>
      <w:r w:rsidRPr="00226C43">
        <w:instrText xml:space="preserve"> TOC \o "1-1" \h \z \t "Heading 2,2,Appendices,1" </w:instrText>
      </w:r>
      <w:r w:rsidRPr="00226C43">
        <w:fldChar w:fldCharType="separate"/>
      </w:r>
      <w:hyperlink w:anchor="_Toc190248313" w:history="1">
        <w:r w:rsidR="005A698C" w:rsidRPr="00226C43">
          <w:rPr>
            <w:rStyle w:val="Hyperlink"/>
            <w:noProof/>
            <w:color w:val="auto"/>
          </w:rPr>
          <w:t>Executive Summary</w:t>
        </w:r>
        <w:r w:rsidR="005A698C" w:rsidRPr="00226C43">
          <w:rPr>
            <w:noProof/>
            <w:webHidden/>
          </w:rPr>
          <w:tab/>
        </w:r>
        <w:r w:rsidR="005A698C" w:rsidRPr="00226C43">
          <w:rPr>
            <w:noProof/>
            <w:webHidden/>
          </w:rPr>
          <w:fldChar w:fldCharType="begin"/>
        </w:r>
        <w:r w:rsidR="005A698C" w:rsidRPr="00226C43">
          <w:rPr>
            <w:noProof/>
            <w:webHidden/>
          </w:rPr>
          <w:instrText xml:space="preserve"> PAGEREF _Toc190248313 \h </w:instrText>
        </w:r>
        <w:r w:rsidR="005A698C" w:rsidRPr="00226C43">
          <w:rPr>
            <w:noProof/>
            <w:webHidden/>
          </w:rPr>
        </w:r>
        <w:r w:rsidR="005A698C" w:rsidRPr="00226C43">
          <w:rPr>
            <w:noProof/>
            <w:webHidden/>
          </w:rPr>
          <w:fldChar w:fldCharType="separate"/>
        </w:r>
        <w:r w:rsidR="0050071D">
          <w:rPr>
            <w:noProof/>
            <w:webHidden/>
          </w:rPr>
          <w:t>6</w:t>
        </w:r>
        <w:r w:rsidR="005A698C" w:rsidRPr="00226C43">
          <w:rPr>
            <w:noProof/>
            <w:webHidden/>
          </w:rPr>
          <w:fldChar w:fldCharType="end"/>
        </w:r>
      </w:hyperlink>
    </w:p>
    <w:p w14:paraId="5103C347" w14:textId="67B5AA31" w:rsidR="005A698C" w:rsidRPr="00226C43" w:rsidRDefault="005A698C" w:rsidP="005A698C">
      <w:pPr>
        <w:pStyle w:val="TOC1"/>
        <w:rPr>
          <w:rFonts w:eastAsiaTheme="minorEastAsia"/>
          <w:noProof/>
        </w:rPr>
      </w:pPr>
      <w:hyperlink w:anchor="_Toc190248314" w:history="1">
        <w:r w:rsidRPr="00226C43">
          <w:rPr>
            <w:rStyle w:val="Hyperlink"/>
            <w:noProof/>
            <w:color w:val="auto"/>
          </w:rPr>
          <w:t>1</w:t>
        </w:r>
        <w:r w:rsidRPr="00226C43">
          <w:rPr>
            <w:rFonts w:eastAsiaTheme="minorEastAsia"/>
            <w:noProof/>
          </w:rPr>
          <w:tab/>
        </w:r>
        <w:r w:rsidRPr="00226C43">
          <w:rPr>
            <w:rStyle w:val="Hyperlink"/>
            <w:noProof/>
            <w:color w:val="auto"/>
          </w:rPr>
          <w:t>Key Findings</w:t>
        </w:r>
        <w:r w:rsidRPr="00226C43">
          <w:rPr>
            <w:noProof/>
            <w:webHidden/>
          </w:rPr>
          <w:tab/>
        </w:r>
        <w:r w:rsidRPr="00226C43">
          <w:rPr>
            <w:noProof/>
            <w:webHidden/>
          </w:rPr>
          <w:fldChar w:fldCharType="begin"/>
        </w:r>
        <w:r w:rsidRPr="00226C43">
          <w:rPr>
            <w:noProof/>
            <w:webHidden/>
          </w:rPr>
          <w:instrText xml:space="preserve"> PAGEREF _Toc190248314 \h </w:instrText>
        </w:r>
        <w:r w:rsidRPr="00226C43">
          <w:rPr>
            <w:noProof/>
            <w:webHidden/>
          </w:rPr>
        </w:r>
        <w:r w:rsidRPr="00226C43">
          <w:rPr>
            <w:noProof/>
            <w:webHidden/>
          </w:rPr>
          <w:fldChar w:fldCharType="separate"/>
        </w:r>
        <w:r w:rsidR="0050071D">
          <w:rPr>
            <w:noProof/>
            <w:webHidden/>
          </w:rPr>
          <w:t>11</w:t>
        </w:r>
        <w:r w:rsidRPr="00226C43">
          <w:rPr>
            <w:noProof/>
            <w:webHidden/>
          </w:rPr>
          <w:fldChar w:fldCharType="end"/>
        </w:r>
      </w:hyperlink>
    </w:p>
    <w:p w14:paraId="18676678" w14:textId="3F4F155C" w:rsidR="005A698C" w:rsidRPr="00226C43" w:rsidRDefault="005A698C">
      <w:pPr>
        <w:pStyle w:val="TOC2"/>
        <w:tabs>
          <w:tab w:val="left" w:pos="1200"/>
          <w:tab w:val="right" w:leader="dot" w:pos="9016"/>
        </w:tabs>
        <w:rPr>
          <w:rFonts w:eastAsiaTheme="minorEastAsia"/>
          <w:noProof/>
        </w:rPr>
      </w:pPr>
      <w:hyperlink w:anchor="_Toc190248315" w:history="1">
        <w:r w:rsidRPr="00226C43">
          <w:rPr>
            <w:rStyle w:val="Hyperlink"/>
            <w:noProof/>
            <w:color w:val="auto"/>
          </w:rPr>
          <w:t>1.1</w:t>
        </w:r>
        <w:r w:rsidRPr="00226C43">
          <w:rPr>
            <w:rFonts w:eastAsiaTheme="minorEastAsia"/>
            <w:noProof/>
          </w:rPr>
          <w:tab/>
        </w:r>
        <w:r w:rsidRPr="00226C43">
          <w:rPr>
            <w:rStyle w:val="Hyperlink"/>
            <w:noProof/>
            <w:color w:val="auto"/>
          </w:rPr>
          <w:t>Relevance</w:t>
        </w:r>
        <w:r w:rsidRPr="00226C43">
          <w:rPr>
            <w:noProof/>
            <w:webHidden/>
          </w:rPr>
          <w:tab/>
        </w:r>
        <w:r w:rsidRPr="00226C43">
          <w:rPr>
            <w:noProof/>
            <w:webHidden/>
          </w:rPr>
          <w:fldChar w:fldCharType="begin"/>
        </w:r>
        <w:r w:rsidRPr="00226C43">
          <w:rPr>
            <w:noProof/>
            <w:webHidden/>
          </w:rPr>
          <w:instrText xml:space="preserve"> PAGEREF _Toc190248315 \h </w:instrText>
        </w:r>
        <w:r w:rsidRPr="00226C43">
          <w:rPr>
            <w:noProof/>
            <w:webHidden/>
          </w:rPr>
        </w:r>
        <w:r w:rsidRPr="00226C43">
          <w:rPr>
            <w:noProof/>
            <w:webHidden/>
          </w:rPr>
          <w:fldChar w:fldCharType="separate"/>
        </w:r>
        <w:r w:rsidR="0050071D">
          <w:rPr>
            <w:noProof/>
            <w:webHidden/>
          </w:rPr>
          <w:t>11</w:t>
        </w:r>
        <w:r w:rsidRPr="00226C43">
          <w:rPr>
            <w:noProof/>
            <w:webHidden/>
          </w:rPr>
          <w:fldChar w:fldCharType="end"/>
        </w:r>
      </w:hyperlink>
    </w:p>
    <w:p w14:paraId="51D2BDBE" w14:textId="57F3320D" w:rsidR="005A698C" w:rsidRPr="00226C43" w:rsidRDefault="005A698C">
      <w:pPr>
        <w:pStyle w:val="TOC2"/>
        <w:tabs>
          <w:tab w:val="left" w:pos="1200"/>
          <w:tab w:val="right" w:leader="dot" w:pos="9016"/>
        </w:tabs>
        <w:rPr>
          <w:rFonts w:eastAsiaTheme="minorEastAsia"/>
          <w:noProof/>
        </w:rPr>
      </w:pPr>
      <w:hyperlink w:anchor="_Toc190248316" w:history="1">
        <w:r w:rsidRPr="00226C43">
          <w:rPr>
            <w:rStyle w:val="Hyperlink"/>
            <w:noProof/>
            <w:color w:val="auto"/>
          </w:rPr>
          <w:t>1.2</w:t>
        </w:r>
        <w:r w:rsidRPr="00226C43">
          <w:rPr>
            <w:rFonts w:eastAsiaTheme="minorEastAsia"/>
            <w:noProof/>
          </w:rPr>
          <w:tab/>
        </w:r>
        <w:r w:rsidRPr="00226C43">
          <w:rPr>
            <w:rStyle w:val="Hyperlink"/>
            <w:noProof/>
            <w:color w:val="auto"/>
          </w:rPr>
          <w:t>Effectiveness</w:t>
        </w:r>
        <w:r w:rsidRPr="00226C43">
          <w:rPr>
            <w:noProof/>
            <w:webHidden/>
          </w:rPr>
          <w:tab/>
        </w:r>
        <w:r w:rsidRPr="00226C43">
          <w:rPr>
            <w:noProof/>
            <w:webHidden/>
          </w:rPr>
          <w:fldChar w:fldCharType="begin"/>
        </w:r>
        <w:r w:rsidRPr="00226C43">
          <w:rPr>
            <w:noProof/>
            <w:webHidden/>
          </w:rPr>
          <w:instrText xml:space="preserve"> PAGEREF _Toc190248316 \h </w:instrText>
        </w:r>
        <w:r w:rsidRPr="00226C43">
          <w:rPr>
            <w:noProof/>
            <w:webHidden/>
          </w:rPr>
        </w:r>
        <w:r w:rsidRPr="00226C43">
          <w:rPr>
            <w:noProof/>
            <w:webHidden/>
          </w:rPr>
          <w:fldChar w:fldCharType="separate"/>
        </w:r>
        <w:r w:rsidR="0050071D">
          <w:rPr>
            <w:noProof/>
            <w:webHidden/>
          </w:rPr>
          <w:t>16</w:t>
        </w:r>
        <w:r w:rsidRPr="00226C43">
          <w:rPr>
            <w:noProof/>
            <w:webHidden/>
          </w:rPr>
          <w:fldChar w:fldCharType="end"/>
        </w:r>
      </w:hyperlink>
    </w:p>
    <w:p w14:paraId="1CC60C0D" w14:textId="27D40F71" w:rsidR="005A698C" w:rsidRPr="00226C43" w:rsidRDefault="005A698C">
      <w:pPr>
        <w:pStyle w:val="TOC2"/>
        <w:tabs>
          <w:tab w:val="left" w:pos="1200"/>
          <w:tab w:val="right" w:leader="dot" w:pos="9016"/>
        </w:tabs>
        <w:rPr>
          <w:rFonts w:eastAsiaTheme="minorEastAsia"/>
          <w:noProof/>
        </w:rPr>
      </w:pPr>
      <w:hyperlink w:anchor="_Toc190248317" w:history="1">
        <w:r w:rsidRPr="00226C43">
          <w:rPr>
            <w:rStyle w:val="Hyperlink"/>
            <w:noProof/>
            <w:color w:val="auto"/>
          </w:rPr>
          <w:t>1.3</w:t>
        </w:r>
        <w:r w:rsidRPr="00226C43">
          <w:rPr>
            <w:rFonts w:eastAsiaTheme="minorEastAsia"/>
            <w:noProof/>
          </w:rPr>
          <w:tab/>
        </w:r>
        <w:r w:rsidRPr="00226C43">
          <w:rPr>
            <w:rStyle w:val="Hyperlink"/>
            <w:noProof/>
            <w:color w:val="auto"/>
          </w:rPr>
          <w:t>Efficiency</w:t>
        </w:r>
        <w:r w:rsidRPr="00226C43">
          <w:rPr>
            <w:noProof/>
            <w:webHidden/>
          </w:rPr>
          <w:tab/>
        </w:r>
        <w:r w:rsidRPr="00226C43">
          <w:rPr>
            <w:noProof/>
            <w:webHidden/>
          </w:rPr>
          <w:fldChar w:fldCharType="begin"/>
        </w:r>
        <w:r w:rsidRPr="00226C43">
          <w:rPr>
            <w:noProof/>
            <w:webHidden/>
          </w:rPr>
          <w:instrText xml:space="preserve"> PAGEREF _Toc190248317 \h </w:instrText>
        </w:r>
        <w:r w:rsidRPr="00226C43">
          <w:rPr>
            <w:noProof/>
            <w:webHidden/>
          </w:rPr>
        </w:r>
        <w:r w:rsidRPr="00226C43">
          <w:rPr>
            <w:noProof/>
            <w:webHidden/>
          </w:rPr>
          <w:fldChar w:fldCharType="separate"/>
        </w:r>
        <w:r w:rsidR="0050071D">
          <w:rPr>
            <w:noProof/>
            <w:webHidden/>
          </w:rPr>
          <w:t>37</w:t>
        </w:r>
        <w:r w:rsidRPr="00226C43">
          <w:rPr>
            <w:noProof/>
            <w:webHidden/>
          </w:rPr>
          <w:fldChar w:fldCharType="end"/>
        </w:r>
      </w:hyperlink>
    </w:p>
    <w:p w14:paraId="74C90305" w14:textId="0D61190D" w:rsidR="005A698C" w:rsidRPr="00226C43" w:rsidRDefault="005A698C">
      <w:pPr>
        <w:pStyle w:val="TOC2"/>
        <w:tabs>
          <w:tab w:val="left" w:pos="1200"/>
          <w:tab w:val="right" w:leader="dot" w:pos="9016"/>
        </w:tabs>
        <w:rPr>
          <w:rFonts w:eastAsiaTheme="minorEastAsia"/>
          <w:noProof/>
        </w:rPr>
      </w:pPr>
      <w:hyperlink w:anchor="_Toc190248318" w:history="1">
        <w:r w:rsidRPr="00226C43">
          <w:rPr>
            <w:rStyle w:val="Hyperlink"/>
            <w:noProof/>
            <w:color w:val="auto"/>
          </w:rPr>
          <w:t>1.4</w:t>
        </w:r>
        <w:r w:rsidRPr="00226C43">
          <w:rPr>
            <w:rFonts w:eastAsiaTheme="minorEastAsia"/>
            <w:noProof/>
          </w:rPr>
          <w:tab/>
        </w:r>
        <w:r w:rsidRPr="00226C43">
          <w:rPr>
            <w:rStyle w:val="Hyperlink"/>
            <w:noProof/>
            <w:color w:val="auto"/>
          </w:rPr>
          <w:t>Sustainability</w:t>
        </w:r>
        <w:r w:rsidRPr="00226C43">
          <w:rPr>
            <w:noProof/>
            <w:webHidden/>
          </w:rPr>
          <w:tab/>
        </w:r>
        <w:r w:rsidRPr="00226C43">
          <w:rPr>
            <w:noProof/>
            <w:webHidden/>
          </w:rPr>
          <w:fldChar w:fldCharType="begin"/>
        </w:r>
        <w:r w:rsidRPr="00226C43">
          <w:rPr>
            <w:noProof/>
            <w:webHidden/>
          </w:rPr>
          <w:instrText xml:space="preserve"> PAGEREF _Toc190248318 \h </w:instrText>
        </w:r>
        <w:r w:rsidRPr="00226C43">
          <w:rPr>
            <w:noProof/>
            <w:webHidden/>
          </w:rPr>
        </w:r>
        <w:r w:rsidRPr="00226C43">
          <w:rPr>
            <w:noProof/>
            <w:webHidden/>
          </w:rPr>
          <w:fldChar w:fldCharType="separate"/>
        </w:r>
        <w:r w:rsidR="0050071D">
          <w:rPr>
            <w:noProof/>
            <w:webHidden/>
          </w:rPr>
          <w:t>43</w:t>
        </w:r>
        <w:r w:rsidRPr="00226C43">
          <w:rPr>
            <w:noProof/>
            <w:webHidden/>
          </w:rPr>
          <w:fldChar w:fldCharType="end"/>
        </w:r>
      </w:hyperlink>
    </w:p>
    <w:p w14:paraId="5E85CEC6" w14:textId="610AC7A3" w:rsidR="005A698C" w:rsidRPr="00226C43" w:rsidRDefault="005A698C">
      <w:pPr>
        <w:pStyle w:val="TOC2"/>
        <w:tabs>
          <w:tab w:val="left" w:pos="1200"/>
          <w:tab w:val="right" w:leader="dot" w:pos="9016"/>
        </w:tabs>
        <w:rPr>
          <w:rFonts w:eastAsiaTheme="minorEastAsia"/>
          <w:noProof/>
        </w:rPr>
      </w:pPr>
      <w:hyperlink w:anchor="_Toc190248319" w:history="1">
        <w:r w:rsidRPr="00226C43">
          <w:rPr>
            <w:rStyle w:val="Hyperlink"/>
            <w:noProof/>
            <w:color w:val="auto"/>
          </w:rPr>
          <w:t>1.5</w:t>
        </w:r>
        <w:r w:rsidRPr="00226C43">
          <w:rPr>
            <w:rFonts w:eastAsiaTheme="minorEastAsia"/>
            <w:noProof/>
          </w:rPr>
          <w:tab/>
        </w:r>
        <w:r w:rsidRPr="00226C43">
          <w:rPr>
            <w:rStyle w:val="Hyperlink"/>
            <w:noProof/>
            <w:color w:val="auto"/>
          </w:rPr>
          <w:t>GEDSI Findings</w:t>
        </w:r>
        <w:r w:rsidRPr="00226C43">
          <w:rPr>
            <w:noProof/>
            <w:webHidden/>
          </w:rPr>
          <w:tab/>
        </w:r>
        <w:r w:rsidRPr="00226C43">
          <w:rPr>
            <w:noProof/>
            <w:webHidden/>
          </w:rPr>
          <w:fldChar w:fldCharType="begin"/>
        </w:r>
        <w:r w:rsidRPr="00226C43">
          <w:rPr>
            <w:noProof/>
            <w:webHidden/>
          </w:rPr>
          <w:instrText xml:space="preserve"> PAGEREF _Toc190248319 \h </w:instrText>
        </w:r>
        <w:r w:rsidRPr="00226C43">
          <w:rPr>
            <w:noProof/>
            <w:webHidden/>
          </w:rPr>
        </w:r>
        <w:r w:rsidRPr="00226C43">
          <w:rPr>
            <w:noProof/>
            <w:webHidden/>
          </w:rPr>
          <w:fldChar w:fldCharType="separate"/>
        </w:r>
        <w:r w:rsidR="0050071D">
          <w:rPr>
            <w:noProof/>
            <w:webHidden/>
          </w:rPr>
          <w:t>45</w:t>
        </w:r>
        <w:r w:rsidRPr="00226C43">
          <w:rPr>
            <w:noProof/>
            <w:webHidden/>
          </w:rPr>
          <w:fldChar w:fldCharType="end"/>
        </w:r>
      </w:hyperlink>
    </w:p>
    <w:p w14:paraId="4E5A7ACA" w14:textId="75998FBA" w:rsidR="005A698C" w:rsidRPr="00226C43" w:rsidRDefault="005A698C" w:rsidP="005A698C">
      <w:pPr>
        <w:pStyle w:val="TOC1"/>
        <w:rPr>
          <w:rFonts w:eastAsiaTheme="minorEastAsia"/>
          <w:noProof/>
        </w:rPr>
      </w:pPr>
      <w:hyperlink w:anchor="_Toc190248320" w:history="1">
        <w:r w:rsidRPr="00226C43">
          <w:rPr>
            <w:rStyle w:val="Hyperlink"/>
            <w:noProof/>
            <w:color w:val="auto"/>
          </w:rPr>
          <w:t>2</w:t>
        </w:r>
        <w:r w:rsidRPr="00226C43">
          <w:rPr>
            <w:rFonts w:eastAsiaTheme="minorEastAsia"/>
            <w:noProof/>
          </w:rPr>
          <w:tab/>
        </w:r>
        <w:r w:rsidRPr="00226C43">
          <w:rPr>
            <w:rStyle w:val="Hyperlink"/>
            <w:noProof/>
            <w:color w:val="auto"/>
          </w:rPr>
          <w:t>Lessons Learned</w:t>
        </w:r>
        <w:r w:rsidRPr="00226C43">
          <w:rPr>
            <w:noProof/>
            <w:webHidden/>
          </w:rPr>
          <w:tab/>
        </w:r>
        <w:r w:rsidRPr="00226C43">
          <w:rPr>
            <w:noProof/>
            <w:webHidden/>
          </w:rPr>
          <w:fldChar w:fldCharType="begin"/>
        </w:r>
        <w:r w:rsidRPr="00226C43">
          <w:rPr>
            <w:noProof/>
            <w:webHidden/>
          </w:rPr>
          <w:instrText xml:space="preserve"> PAGEREF _Toc190248320 \h </w:instrText>
        </w:r>
        <w:r w:rsidRPr="00226C43">
          <w:rPr>
            <w:noProof/>
            <w:webHidden/>
          </w:rPr>
        </w:r>
        <w:r w:rsidRPr="00226C43">
          <w:rPr>
            <w:noProof/>
            <w:webHidden/>
          </w:rPr>
          <w:fldChar w:fldCharType="separate"/>
        </w:r>
        <w:r w:rsidR="0050071D">
          <w:rPr>
            <w:noProof/>
            <w:webHidden/>
          </w:rPr>
          <w:t>48</w:t>
        </w:r>
        <w:r w:rsidRPr="00226C43">
          <w:rPr>
            <w:noProof/>
            <w:webHidden/>
          </w:rPr>
          <w:fldChar w:fldCharType="end"/>
        </w:r>
      </w:hyperlink>
    </w:p>
    <w:p w14:paraId="002570B4" w14:textId="1F2BD8C5" w:rsidR="005A698C" w:rsidRPr="00226C43" w:rsidRDefault="005A698C" w:rsidP="005A698C">
      <w:pPr>
        <w:pStyle w:val="TOC1"/>
        <w:rPr>
          <w:rFonts w:eastAsiaTheme="minorEastAsia"/>
          <w:noProof/>
        </w:rPr>
      </w:pPr>
      <w:hyperlink w:anchor="_Toc190248321" w:history="1">
        <w:r w:rsidRPr="00226C43">
          <w:rPr>
            <w:rStyle w:val="Hyperlink"/>
            <w:noProof/>
            <w:color w:val="auto"/>
          </w:rPr>
          <w:t>3</w:t>
        </w:r>
        <w:r w:rsidRPr="00226C43">
          <w:rPr>
            <w:rFonts w:eastAsiaTheme="minorEastAsia"/>
            <w:noProof/>
          </w:rPr>
          <w:tab/>
        </w:r>
        <w:r w:rsidRPr="00226C43">
          <w:rPr>
            <w:rStyle w:val="Hyperlink"/>
            <w:noProof/>
            <w:color w:val="auto"/>
          </w:rPr>
          <w:t>Conclusions</w:t>
        </w:r>
        <w:r w:rsidRPr="00226C43">
          <w:rPr>
            <w:noProof/>
            <w:webHidden/>
          </w:rPr>
          <w:tab/>
        </w:r>
        <w:r w:rsidRPr="00226C43">
          <w:rPr>
            <w:noProof/>
            <w:webHidden/>
          </w:rPr>
          <w:fldChar w:fldCharType="begin"/>
        </w:r>
        <w:r w:rsidRPr="00226C43">
          <w:rPr>
            <w:noProof/>
            <w:webHidden/>
          </w:rPr>
          <w:instrText xml:space="preserve"> PAGEREF _Toc190248321 \h </w:instrText>
        </w:r>
        <w:r w:rsidRPr="00226C43">
          <w:rPr>
            <w:noProof/>
            <w:webHidden/>
          </w:rPr>
        </w:r>
        <w:r w:rsidRPr="00226C43">
          <w:rPr>
            <w:noProof/>
            <w:webHidden/>
          </w:rPr>
          <w:fldChar w:fldCharType="separate"/>
        </w:r>
        <w:r w:rsidR="0050071D">
          <w:rPr>
            <w:noProof/>
            <w:webHidden/>
          </w:rPr>
          <w:t>50</w:t>
        </w:r>
        <w:r w:rsidRPr="00226C43">
          <w:rPr>
            <w:noProof/>
            <w:webHidden/>
          </w:rPr>
          <w:fldChar w:fldCharType="end"/>
        </w:r>
      </w:hyperlink>
    </w:p>
    <w:p w14:paraId="37614A49" w14:textId="7027BD54" w:rsidR="005A698C" w:rsidRPr="00226C43" w:rsidRDefault="005A698C" w:rsidP="005A698C">
      <w:pPr>
        <w:pStyle w:val="TOC1"/>
        <w:rPr>
          <w:rFonts w:eastAsiaTheme="minorEastAsia"/>
          <w:noProof/>
        </w:rPr>
      </w:pPr>
      <w:hyperlink w:anchor="_Toc190248322" w:history="1">
        <w:r w:rsidRPr="00226C43">
          <w:rPr>
            <w:rStyle w:val="Hyperlink"/>
            <w:noProof/>
            <w:color w:val="auto"/>
          </w:rPr>
          <w:t>4</w:t>
        </w:r>
        <w:r w:rsidRPr="00226C43">
          <w:rPr>
            <w:rFonts w:eastAsiaTheme="minorEastAsia"/>
            <w:noProof/>
          </w:rPr>
          <w:tab/>
        </w:r>
        <w:r w:rsidRPr="00226C43">
          <w:rPr>
            <w:rStyle w:val="Hyperlink"/>
            <w:noProof/>
            <w:color w:val="auto"/>
          </w:rPr>
          <w:t>Recommendations</w:t>
        </w:r>
        <w:r w:rsidRPr="00226C43">
          <w:rPr>
            <w:noProof/>
            <w:webHidden/>
          </w:rPr>
          <w:tab/>
        </w:r>
        <w:r w:rsidRPr="00226C43">
          <w:rPr>
            <w:noProof/>
            <w:webHidden/>
          </w:rPr>
          <w:fldChar w:fldCharType="begin"/>
        </w:r>
        <w:r w:rsidRPr="00226C43">
          <w:rPr>
            <w:noProof/>
            <w:webHidden/>
          </w:rPr>
          <w:instrText xml:space="preserve"> PAGEREF _Toc190248322 \h </w:instrText>
        </w:r>
        <w:r w:rsidRPr="00226C43">
          <w:rPr>
            <w:noProof/>
            <w:webHidden/>
          </w:rPr>
        </w:r>
        <w:r w:rsidRPr="00226C43">
          <w:rPr>
            <w:noProof/>
            <w:webHidden/>
          </w:rPr>
          <w:fldChar w:fldCharType="separate"/>
        </w:r>
        <w:r w:rsidR="0050071D">
          <w:rPr>
            <w:noProof/>
            <w:webHidden/>
          </w:rPr>
          <w:t>53</w:t>
        </w:r>
        <w:r w:rsidRPr="00226C43">
          <w:rPr>
            <w:noProof/>
            <w:webHidden/>
          </w:rPr>
          <w:fldChar w:fldCharType="end"/>
        </w:r>
      </w:hyperlink>
    </w:p>
    <w:p w14:paraId="2A6BA265" w14:textId="3F972F75" w:rsidR="005A698C" w:rsidRPr="00226C43" w:rsidRDefault="005A698C" w:rsidP="006A63B2">
      <w:pPr>
        <w:pStyle w:val="TOC1"/>
        <w:tabs>
          <w:tab w:val="left" w:pos="1560"/>
        </w:tabs>
        <w:rPr>
          <w:rFonts w:eastAsiaTheme="minorEastAsia"/>
          <w:noProof/>
        </w:rPr>
      </w:pPr>
      <w:hyperlink w:anchor="_Toc190248323" w:history="1">
        <w:r w:rsidRPr="00226C43">
          <w:rPr>
            <w:rStyle w:val="Hyperlink"/>
            <w:noProof/>
            <w:color w:val="auto"/>
          </w:rPr>
          <w:t>Appendix A</w:t>
        </w:r>
        <w:r w:rsidR="006A63B2" w:rsidRPr="00226C43">
          <w:rPr>
            <w:rFonts w:eastAsiaTheme="minorEastAsia"/>
            <w:noProof/>
          </w:rPr>
          <w:tab/>
        </w:r>
        <w:r w:rsidRPr="00226C43">
          <w:rPr>
            <w:rStyle w:val="Hyperlink"/>
            <w:noProof/>
            <w:color w:val="auto"/>
          </w:rPr>
          <w:t>Background, purpose and approach</w:t>
        </w:r>
        <w:r w:rsidRPr="00226C43">
          <w:rPr>
            <w:noProof/>
            <w:webHidden/>
          </w:rPr>
          <w:tab/>
        </w:r>
        <w:r w:rsidRPr="00226C43">
          <w:rPr>
            <w:noProof/>
            <w:webHidden/>
          </w:rPr>
          <w:fldChar w:fldCharType="begin"/>
        </w:r>
        <w:r w:rsidRPr="00226C43">
          <w:rPr>
            <w:noProof/>
            <w:webHidden/>
          </w:rPr>
          <w:instrText xml:space="preserve"> PAGEREF _Toc190248323 \h </w:instrText>
        </w:r>
        <w:r w:rsidRPr="00226C43">
          <w:rPr>
            <w:noProof/>
            <w:webHidden/>
          </w:rPr>
        </w:r>
        <w:r w:rsidRPr="00226C43">
          <w:rPr>
            <w:noProof/>
            <w:webHidden/>
          </w:rPr>
          <w:fldChar w:fldCharType="separate"/>
        </w:r>
        <w:r w:rsidR="0050071D">
          <w:rPr>
            <w:noProof/>
            <w:webHidden/>
          </w:rPr>
          <w:t>57</w:t>
        </w:r>
        <w:r w:rsidRPr="00226C43">
          <w:rPr>
            <w:noProof/>
            <w:webHidden/>
          </w:rPr>
          <w:fldChar w:fldCharType="end"/>
        </w:r>
      </w:hyperlink>
    </w:p>
    <w:p w14:paraId="7E41D6AD" w14:textId="260483BB" w:rsidR="005A698C" w:rsidRPr="00226C43" w:rsidRDefault="005A698C" w:rsidP="006A63B2">
      <w:pPr>
        <w:pStyle w:val="TOC1"/>
        <w:tabs>
          <w:tab w:val="left" w:pos="1560"/>
        </w:tabs>
        <w:rPr>
          <w:rFonts w:eastAsiaTheme="minorEastAsia"/>
          <w:noProof/>
        </w:rPr>
      </w:pPr>
      <w:hyperlink w:anchor="_Toc190248324" w:history="1">
        <w:r w:rsidRPr="00226C43">
          <w:rPr>
            <w:rStyle w:val="Hyperlink"/>
            <w:noProof/>
            <w:color w:val="auto"/>
          </w:rPr>
          <w:t>Appendix B</w:t>
        </w:r>
        <w:r w:rsidR="006A63B2" w:rsidRPr="00226C43">
          <w:rPr>
            <w:rFonts w:eastAsiaTheme="minorEastAsia"/>
            <w:noProof/>
          </w:rPr>
          <w:tab/>
        </w:r>
        <w:r w:rsidRPr="00226C43">
          <w:rPr>
            <w:rStyle w:val="Hyperlink"/>
            <w:noProof/>
            <w:color w:val="auto"/>
          </w:rPr>
          <w:t>AAAEP–P Program Logic</w:t>
        </w:r>
        <w:r w:rsidRPr="00226C43">
          <w:rPr>
            <w:noProof/>
            <w:webHidden/>
          </w:rPr>
          <w:tab/>
        </w:r>
        <w:r w:rsidRPr="00226C43">
          <w:rPr>
            <w:noProof/>
            <w:webHidden/>
          </w:rPr>
          <w:fldChar w:fldCharType="begin"/>
        </w:r>
        <w:r w:rsidRPr="00226C43">
          <w:rPr>
            <w:noProof/>
            <w:webHidden/>
          </w:rPr>
          <w:instrText xml:space="preserve"> PAGEREF _Toc190248324 \h </w:instrText>
        </w:r>
        <w:r w:rsidRPr="00226C43">
          <w:rPr>
            <w:noProof/>
            <w:webHidden/>
          </w:rPr>
        </w:r>
        <w:r w:rsidRPr="00226C43">
          <w:rPr>
            <w:noProof/>
            <w:webHidden/>
          </w:rPr>
          <w:fldChar w:fldCharType="separate"/>
        </w:r>
        <w:r w:rsidR="0050071D">
          <w:rPr>
            <w:noProof/>
            <w:webHidden/>
          </w:rPr>
          <w:t>63</w:t>
        </w:r>
        <w:r w:rsidRPr="00226C43">
          <w:rPr>
            <w:noProof/>
            <w:webHidden/>
          </w:rPr>
          <w:fldChar w:fldCharType="end"/>
        </w:r>
      </w:hyperlink>
    </w:p>
    <w:p w14:paraId="3ED5B0D2" w14:textId="163E69D0" w:rsidR="005A698C" w:rsidRPr="00226C43" w:rsidRDefault="005A698C" w:rsidP="006A63B2">
      <w:pPr>
        <w:pStyle w:val="TOC1"/>
        <w:tabs>
          <w:tab w:val="left" w:pos="1560"/>
        </w:tabs>
        <w:rPr>
          <w:rFonts w:eastAsiaTheme="minorEastAsia"/>
          <w:noProof/>
        </w:rPr>
      </w:pPr>
      <w:hyperlink w:anchor="_Toc190248325" w:history="1">
        <w:r w:rsidRPr="00226C43">
          <w:rPr>
            <w:rStyle w:val="Hyperlink"/>
            <w:noProof/>
            <w:color w:val="auto"/>
          </w:rPr>
          <w:t>Appendix C</w:t>
        </w:r>
        <w:r w:rsidRPr="00226C43">
          <w:rPr>
            <w:rFonts w:eastAsiaTheme="minorEastAsia"/>
            <w:noProof/>
          </w:rPr>
          <w:tab/>
        </w:r>
        <w:r w:rsidRPr="00226C43">
          <w:rPr>
            <w:rStyle w:val="Hyperlink"/>
            <w:noProof/>
            <w:color w:val="auto"/>
          </w:rPr>
          <w:t>Summary Chronology of AAAEP–P</w:t>
        </w:r>
        <w:r w:rsidRPr="00226C43">
          <w:rPr>
            <w:noProof/>
            <w:webHidden/>
          </w:rPr>
          <w:tab/>
        </w:r>
        <w:r w:rsidRPr="00226C43">
          <w:rPr>
            <w:noProof/>
            <w:webHidden/>
          </w:rPr>
          <w:fldChar w:fldCharType="begin"/>
        </w:r>
        <w:r w:rsidRPr="00226C43">
          <w:rPr>
            <w:noProof/>
            <w:webHidden/>
          </w:rPr>
          <w:instrText xml:space="preserve"> PAGEREF _Toc190248325 \h </w:instrText>
        </w:r>
        <w:r w:rsidRPr="00226C43">
          <w:rPr>
            <w:noProof/>
            <w:webHidden/>
          </w:rPr>
        </w:r>
        <w:r w:rsidRPr="00226C43">
          <w:rPr>
            <w:noProof/>
            <w:webHidden/>
          </w:rPr>
          <w:fldChar w:fldCharType="separate"/>
        </w:r>
        <w:r w:rsidR="0050071D">
          <w:rPr>
            <w:noProof/>
            <w:webHidden/>
          </w:rPr>
          <w:t>64</w:t>
        </w:r>
        <w:r w:rsidRPr="00226C43">
          <w:rPr>
            <w:noProof/>
            <w:webHidden/>
          </w:rPr>
          <w:fldChar w:fldCharType="end"/>
        </w:r>
      </w:hyperlink>
    </w:p>
    <w:p w14:paraId="26ED3970" w14:textId="736E11F9" w:rsidR="005A698C" w:rsidRPr="00226C43" w:rsidRDefault="005A698C" w:rsidP="006A63B2">
      <w:pPr>
        <w:pStyle w:val="TOC1"/>
        <w:tabs>
          <w:tab w:val="left" w:pos="1560"/>
        </w:tabs>
        <w:rPr>
          <w:rFonts w:eastAsiaTheme="minorEastAsia"/>
          <w:noProof/>
        </w:rPr>
      </w:pPr>
      <w:hyperlink w:anchor="_Toc190248326" w:history="1">
        <w:r w:rsidRPr="00226C43">
          <w:rPr>
            <w:rStyle w:val="Hyperlink"/>
            <w:noProof/>
            <w:color w:val="auto"/>
          </w:rPr>
          <w:t>Appendix D</w:t>
        </w:r>
        <w:r w:rsidRPr="00226C43">
          <w:rPr>
            <w:rFonts w:eastAsiaTheme="minorEastAsia"/>
            <w:noProof/>
          </w:rPr>
          <w:tab/>
        </w:r>
        <w:r w:rsidRPr="00226C43">
          <w:rPr>
            <w:rStyle w:val="Hyperlink"/>
            <w:noProof/>
            <w:color w:val="auto"/>
          </w:rPr>
          <w:t>Key Evaluation Questions</w:t>
        </w:r>
        <w:r w:rsidRPr="00226C43">
          <w:rPr>
            <w:noProof/>
            <w:webHidden/>
          </w:rPr>
          <w:tab/>
        </w:r>
        <w:r w:rsidRPr="00226C43">
          <w:rPr>
            <w:noProof/>
            <w:webHidden/>
          </w:rPr>
          <w:fldChar w:fldCharType="begin"/>
        </w:r>
        <w:r w:rsidRPr="00226C43">
          <w:rPr>
            <w:noProof/>
            <w:webHidden/>
          </w:rPr>
          <w:instrText xml:space="preserve"> PAGEREF _Toc190248326 \h </w:instrText>
        </w:r>
        <w:r w:rsidRPr="00226C43">
          <w:rPr>
            <w:noProof/>
            <w:webHidden/>
          </w:rPr>
        </w:r>
        <w:r w:rsidRPr="00226C43">
          <w:rPr>
            <w:noProof/>
            <w:webHidden/>
          </w:rPr>
          <w:fldChar w:fldCharType="separate"/>
        </w:r>
        <w:r w:rsidR="0050071D">
          <w:rPr>
            <w:noProof/>
            <w:webHidden/>
          </w:rPr>
          <w:t>65</w:t>
        </w:r>
        <w:r w:rsidRPr="00226C43">
          <w:rPr>
            <w:noProof/>
            <w:webHidden/>
          </w:rPr>
          <w:fldChar w:fldCharType="end"/>
        </w:r>
      </w:hyperlink>
    </w:p>
    <w:p w14:paraId="75C14CA9" w14:textId="60B46D40" w:rsidR="005A698C" w:rsidRPr="00226C43" w:rsidRDefault="005A698C" w:rsidP="006A63B2">
      <w:pPr>
        <w:pStyle w:val="TOC1"/>
        <w:tabs>
          <w:tab w:val="left" w:pos="1560"/>
          <w:tab w:val="left" w:pos="1701"/>
        </w:tabs>
        <w:rPr>
          <w:rFonts w:eastAsiaTheme="minorEastAsia"/>
          <w:noProof/>
        </w:rPr>
      </w:pPr>
      <w:hyperlink w:anchor="_Toc190248327" w:history="1">
        <w:r w:rsidRPr="00226C43">
          <w:rPr>
            <w:rStyle w:val="Hyperlink"/>
            <w:noProof/>
            <w:color w:val="auto"/>
          </w:rPr>
          <w:t>Appendix E</w:t>
        </w:r>
        <w:r w:rsidRPr="00226C43">
          <w:rPr>
            <w:rFonts w:eastAsiaTheme="minorEastAsia"/>
            <w:noProof/>
          </w:rPr>
          <w:tab/>
        </w:r>
        <w:r w:rsidRPr="00226C43">
          <w:rPr>
            <w:rStyle w:val="Hyperlink"/>
            <w:noProof/>
            <w:color w:val="auto"/>
          </w:rPr>
          <w:t>Data Collection Guide</w:t>
        </w:r>
        <w:r w:rsidRPr="00226C43">
          <w:rPr>
            <w:noProof/>
            <w:webHidden/>
          </w:rPr>
          <w:tab/>
        </w:r>
        <w:r w:rsidRPr="00226C43">
          <w:rPr>
            <w:noProof/>
            <w:webHidden/>
          </w:rPr>
          <w:fldChar w:fldCharType="begin"/>
        </w:r>
        <w:r w:rsidRPr="00226C43">
          <w:rPr>
            <w:noProof/>
            <w:webHidden/>
          </w:rPr>
          <w:instrText xml:space="preserve"> PAGEREF _Toc190248327 \h </w:instrText>
        </w:r>
        <w:r w:rsidRPr="00226C43">
          <w:rPr>
            <w:noProof/>
            <w:webHidden/>
          </w:rPr>
        </w:r>
        <w:r w:rsidRPr="00226C43">
          <w:rPr>
            <w:noProof/>
            <w:webHidden/>
          </w:rPr>
          <w:fldChar w:fldCharType="separate"/>
        </w:r>
        <w:r w:rsidR="0050071D">
          <w:rPr>
            <w:noProof/>
            <w:webHidden/>
          </w:rPr>
          <w:t>67</w:t>
        </w:r>
        <w:r w:rsidRPr="00226C43">
          <w:rPr>
            <w:noProof/>
            <w:webHidden/>
          </w:rPr>
          <w:fldChar w:fldCharType="end"/>
        </w:r>
      </w:hyperlink>
    </w:p>
    <w:p w14:paraId="13A6DA78" w14:textId="04D00A65" w:rsidR="005A698C" w:rsidRPr="00226C43" w:rsidRDefault="005A698C" w:rsidP="006A63B2">
      <w:pPr>
        <w:pStyle w:val="TOC1"/>
        <w:tabs>
          <w:tab w:val="left" w:pos="1560"/>
        </w:tabs>
        <w:rPr>
          <w:rFonts w:eastAsiaTheme="minorEastAsia"/>
          <w:noProof/>
        </w:rPr>
      </w:pPr>
      <w:hyperlink w:anchor="_Toc190248328" w:history="1">
        <w:r w:rsidRPr="00226C43">
          <w:rPr>
            <w:rStyle w:val="Hyperlink"/>
            <w:noProof/>
            <w:color w:val="auto"/>
          </w:rPr>
          <w:t>Appendix F</w:t>
        </w:r>
        <w:r w:rsidRPr="00226C43">
          <w:rPr>
            <w:rFonts w:eastAsiaTheme="minorEastAsia"/>
            <w:noProof/>
          </w:rPr>
          <w:tab/>
        </w:r>
        <w:r w:rsidRPr="00226C43">
          <w:rPr>
            <w:rStyle w:val="Hyperlink"/>
            <w:noProof/>
            <w:color w:val="auto"/>
          </w:rPr>
          <w:t>Consultations with Stakeholders</w:t>
        </w:r>
        <w:r w:rsidRPr="00226C43">
          <w:rPr>
            <w:noProof/>
            <w:webHidden/>
          </w:rPr>
          <w:tab/>
        </w:r>
        <w:r w:rsidRPr="00226C43">
          <w:rPr>
            <w:noProof/>
            <w:webHidden/>
          </w:rPr>
          <w:fldChar w:fldCharType="begin"/>
        </w:r>
        <w:r w:rsidRPr="00226C43">
          <w:rPr>
            <w:noProof/>
            <w:webHidden/>
          </w:rPr>
          <w:instrText xml:space="preserve"> PAGEREF _Toc190248328 \h </w:instrText>
        </w:r>
        <w:r w:rsidRPr="00226C43">
          <w:rPr>
            <w:noProof/>
            <w:webHidden/>
          </w:rPr>
        </w:r>
        <w:r w:rsidRPr="00226C43">
          <w:rPr>
            <w:noProof/>
            <w:webHidden/>
          </w:rPr>
          <w:fldChar w:fldCharType="separate"/>
        </w:r>
        <w:r w:rsidR="0050071D">
          <w:rPr>
            <w:noProof/>
            <w:webHidden/>
          </w:rPr>
          <w:t>69</w:t>
        </w:r>
        <w:r w:rsidRPr="00226C43">
          <w:rPr>
            <w:noProof/>
            <w:webHidden/>
          </w:rPr>
          <w:fldChar w:fldCharType="end"/>
        </w:r>
      </w:hyperlink>
    </w:p>
    <w:p w14:paraId="0317F6CE" w14:textId="3C2B6583" w:rsidR="005A698C" w:rsidRPr="00226C43" w:rsidRDefault="005A698C" w:rsidP="006A63B2">
      <w:pPr>
        <w:pStyle w:val="TOC1"/>
        <w:tabs>
          <w:tab w:val="left" w:pos="1560"/>
        </w:tabs>
        <w:rPr>
          <w:rFonts w:eastAsiaTheme="minorEastAsia"/>
          <w:noProof/>
        </w:rPr>
      </w:pPr>
      <w:hyperlink w:anchor="_Toc190248329" w:history="1">
        <w:r w:rsidRPr="00226C43">
          <w:rPr>
            <w:rStyle w:val="Hyperlink"/>
            <w:noProof/>
            <w:color w:val="auto"/>
          </w:rPr>
          <w:t>Appendix G</w:t>
        </w:r>
        <w:r w:rsidRPr="00226C43">
          <w:rPr>
            <w:rFonts w:eastAsiaTheme="minorEastAsia"/>
            <w:noProof/>
          </w:rPr>
          <w:tab/>
        </w:r>
        <w:r w:rsidRPr="00226C43">
          <w:rPr>
            <w:rStyle w:val="Hyperlink"/>
            <w:noProof/>
            <w:color w:val="auto"/>
          </w:rPr>
          <w:t>Key Informants’ responses grouped by evaluation criteria</w:t>
        </w:r>
        <w:r w:rsidRPr="00226C43">
          <w:rPr>
            <w:noProof/>
            <w:webHidden/>
          </w:rPr>
          <w:tab/>
        </w:r>
        <w:r w:rsidRPr="00226C43">
          <w:rPr>
            <w:noProof/>
            <w:webHidden/>
          </w:rPr>
          <w:fldChar w:fldCharType="begin"/>
        </w:r>
        <w:r w:rsidRPr="00226C43">
          <w:rPr>
            <w:noProof/>
            <w:webHidden/>
          </w:rPr>
          <w:instrText xml:space="preserve"> PAGEREF _Toc190248329 \h </w:instrText>
        </w:r>
        <w:r w:rsidRPr="00226C43">
          <w:rPr>
            <w:noProof/>
            <w:webHidden/>
          </w:rPr>
        </w:r>
        <w:r w:rsidRPr="00226C43">
          <w:rPr>
            <w:noProof/>
            <w:webHidden/>
          </w:rPr>
          <w:fldChar w:fldCharType="separate"/>
        </w:r>
        <w:r w:rsidR="0050071D">
          <w:rPr>
            <w:noProof/>
            <w:webHidden/>
          </w:rPr>
          <w:t>72</w:t>
        </w:r>
        <w:r w:rsidRPr="00226C43">
          <w:rPr>
            <w:noProof/>
            <w:webHidden/>
          </w:rPr>
          <w:fldChar w:fldCharType="end"/>
        </w:r>
      </w:hyperlink>
    </w:p>
    <w:p w14:paraId="4963DBB5" w14:textId="67E21B7E" w:rsidR="005A698C" w:rsidRPr="00226C43" w:rsidRDefault="005A698C" w:rsidP="006A63B2">
      <w:pPr>
        <w:pStyle w:val="TOC1"/>
        <w:tabs>
          <w:tab w:val="left" w:pos="1560"/>
        </w:tabs>
        <w:rPr>
          <w:rFonts w:eastAsiaTheme="minorEastAsia"/>
          <w:noProof/>
        </w:rPr>
      </w:pPr>
      <w:hyperlink w:anchor="_Toc190248330" w:history="1">
        <w:r w:rsidRPr="00226C43">
          <w:rPr>
            <w:rStyle w:val="Hyperlink"/>
            <w:noProof/>
            <w:color w:val="auto"/>
          </w:rPr>
          <w:t>Appendix H</w:t>
        </w:r>
        <w:r w:rsidRPr="00226C43">
          <w:rPr>
            <w:rFonts w:eastAsiaTheme="minorEastAsia"/>
            <w:noProof/>
          </w:rPr>
          <w:tab/>
        </w:r>
        <w:r w:rsidRPr="00226C43">
          <w:rPr>
            <w:rStyle w:val="Hyperlink"/>
            <w:noProof/>
            <w:color w:val="auto"/>
          </w:rPr>
          <w:t>Survey Questionnaire</w:t>
        </w:r>
        <w:r w:rsidRPr="00226C43">
          <w:rPr>
            <w:noProof/>
            <w:webHidden/>
          </w:rPr>
          <w:tab/>
        </w:r>
        <w:r w:rsidRPr="00226C43">
          <w:rPr>
            <w:noProof/>
            <w:webHidden/>
          </w:rPr>
          <w:fldChar w:fldCharType="begin"/>
        </w:r>
        <w:r w:rsidRPr="00226C43">
          <w:rPr>
            <w:noProof/>
            <w:webHidden/>
          </w:rPr>
          <w:instrText xml:space="preserve"> PAGEREF _Toc190248330 \h </w:instrText>
        </w:r>
        <w:r w:rsidRPr="00226C43">
          <w:rPr>
            <w:noProof/>
            <w:webHidden/>
          </w:rPr>
        </w:r>
        <w:r w:rsidRPr="00226C43">
          <w:rPr>
            <w:noProof/>
            <w:webHidden/>
          </w:rPr>
          <w:fldChar w:fldCharType="separate"/>
        </w:r>
        <w:r w:rsidR="0050071D">
          <w:rPr>
            <w:noProof/>
            <w:webHidden/>
          </w:rPr>
          <w:t>76</w:t>
        </w:r>
        <w:r w:rsidRPr="00226C43">
          <w:rPr>
            <w:noProof/>
            <w:webHidden/>
          </w:rPr>
          <w:fldChar w:fldCharType="end"/>
        </w:r>
      </w:hyperlink>
    </w:p>
    <w:p w14:paraId="16F0824E" w14:textId="6845A6DC" w:rsidR="005A698C" w:rsidRPr="00226C43" w:rsidRDefault="005A698C" w:rsidP="006A63B2">
      <w:pPr>
        <w:pStyle w:val="TOC1"/>
        <w:tabs>
          <w:tab w:val="left" w:pos="1560"/>
        </w:tabs>
        <w:rPr>
          <w:rFonts w:eastAsiaTheme="minorEastAsia"/>
          <w:noProof/>
        </w:rPr>
      </w:pPr>
      <w:hyperlink w:anchor="_Toc190248331" w:history="1">
        <w:r w:rsidRPr="00226C43">
          <w:rPr>
            <w:rStyle w:val="Hyperlink"/>
            <w:noProof/>
            <w:color w:val="auto"/>
          </w:rPr>
          <w:t>Appendix I</w:t>
        </w:r>
        <w:r w:rsidRPr="00226C43">
          <w:rPr>
            <w:rFonts w:eastAsiaTheme="minorEastAsia"/>
            <w:noProof/>
          </w:rPr>
          <w:tab/>
        </w:r>
        <w:r w:rsidRPr="00226C43">
          <w:rPr>
            <w:rStyle w:val="Hyperlink"/>
            <w:noProof/>
            <w:color w:val="auto"/>
          </w:rPr>
          <w:t>Alumni Survey Responses Mapped to Evaluation questions</w:t>
        </w:r>
        <w:r w:rsidRPr="00226C43">
          <w:rPr>
            <w:noProof/>
            <w:webHidden/>
          </w:rPr>
          <w:tab/>
        </w:r>
        <w:r w:rsidRPr="00226C43">
          <w:rPr>
            <w:noProof/>
            <w:webHidden/>
          </w:rPr>
          <w:fldChar w:fldCharType="begin"/>
        </w:r>
        <w:r w:rsidRPr="00226C43">
          <w:rPr>
            <w:noProof/>
            <w:webHidden/>
          </w:rPr>
          <w:instrText xml:space="preserve"> PAGEREF _Toc190248331 \h </w:instrText>
        </w:r>
        <w:r w:rsidRPr="00226C43">
          <w:rPr>
            <w:noProof/>
            <w:webHidden/>
          </w:rPr>
        </w:r>
        <w:r w:rsidRPr="00226C43">
          <w:rPr>
            <w:noProof/>
            <w:webHidden/>
          </w:rPr>
          <w:fldChar w:fldCharType="separate"/>
        </w:r>
        <w:r w:rsidR="0050071D">
          <w:rPr>
            <w:noProof/>
            <w:webHidden/>
          </w:rPr>
          <w:t>82</w:t>
        </w:r>
        <w:r w:rsidRPr="00226C43">
          <w:rPr>
            <w:noProof/>
            <w:webHidden/>
          </w:rPr>
          <w:fldChar w:fldCharType="end"/>
        </w:r>
      </w:hyperlink>
    </w:p>
    <w:p w14:paraId="23C3A2C2" w14:textId="531F29F3" w:rsidR="005A698C" w:rsidRPr="00226C43" w:rsidRDefault="005A698C" w:rsidP="006A63B2">
      <w:pPr>
        <w:pStyle w:val="TOC1"/>
        <w:tabs>
          <w:tab w:val="left" w:pos="1560"/>
        </w:tabs>
        <w:rPr>
          <w:rFonts w:eastAsiaTheme="minorEastAsia"/>
          <w:noProof/>
        </w:rPr>
      </w:pPr>
      <w:hyperlink w:anchor="_Toc190248332" w:history="1">
        <w:r w:rsidRPr="00226C43">
          <w:rPr>
            <w:rStyle w:val="Hyperlink"/>
            <w:noProof/>
            <w:color w:val="auto"/>
          </w:rPr>
          <w:t>Appendix J</w:t>
        </w:r>
        <w:r w:rsidRPr="00226C43">
          <w:rPr>
            <w:rFonts w:eastAsiaTheme="minorEastAsia"/>
            <w:noProof/>
          </w:rPr>
          <w:tab/>
        </w:r>
        <w:r w:rsidRPr="00226C43">
          <w:rPr>
            <w:rStyle w:val="Hyperlink"/>
            <w:noProof/>
            <w:color w:val="auto"/>
          </w:rPr>
          <w:t>Emerging Priority requests</w:t>
        </w:r>
        <w:r w:rsidRPr="00226C43">
          <w:rPr>
            <w:noProof/>
            <w:webHidden/>
          </w:rPr>
          <w:tab/>
        </w:r>
        <w:r w:rsidRPr="00226C43">
          <w:rPr>
            <w:noProof/>
            <w:webHidden/>
          </w:rPr>
          <w:fldChar w:fldCharType="begin"/>
        </w:r>
        <w:r w:rsidRPr="00226C43">
          <w:rPr>
            <w:noProof/>
            <w:webHidden/>
          </w:rPr>
          <w:instrText xml:space="preserve"> PAGEREF _Toc190248332 \h </w:instrText>
        </w:r>
        <w:r w:rsidRPr="00226C43">
          <w:rPr>
            <w:noProof/>
            <w:webHidden/>
          </w:rPr>
        </w:r>
        <w:r w:rsidRPr="00226C43">
          <w:rPr>
            <w:noProof/>
            <w:webHidden/>
          </w:rPr>
          <w:fldChar w:fldCharType="separate"/>
        </w:r>
        <w:r w:rsidR="0050071D">
          <w:rPr>
            <w:noProof/>
            <w:webHidden/>
          </w:rPr>
          <w:t>86</w:t>
        </w:r>
        <w:r w:rsidRPr="00226C43">
          <w:rPr>
            <w:noProof/>
            <w:webHidden/>
          </w:rPr>
          <w:fldChar w:fldCharType="end"/>
        </w:r>
      </w:hyperlink>
    </w:p>
    <w:p w14:paraId="2347BDB3" w14:textId="6D993BEC" w:rsidR="005A698C" w:rsidRPr="00226C43" w:rsidRDefault="005A698C" w:rsidP="006A63B2">
      <w:pPr>
        <w:pStyle w:val="TOC1"/>
        <w:tabs>
          <w:tab w:val="left" w:pos="1560"/>
        </w:tabs>
        <w:rPr>
          <w:rFonts w:eastAsiaTheme="minorEastAsia"/>
          <w:noProof/>
        </w:rPr>
      </w:pPr>
      <w:hyperlink w:anchor="_Toc190248333" w:history="1">
        <w:r w:rsidRPr="00226C43">
          <w:rPr>
            <w:rStyle w:val="Hyperlink"/>
            <w:noProof/>
            <w:color w:val="auto"/>
          </w:rPr>
          <w:t>Appendix K</w:t>
        </w:r>
        <w:r w:rsidRPr="00226C43">
          <w:rPr>
            <w:rFonts w:eastAsiaTheme="minorEastAsia"/>
            <w:noProof/>
          </w:rPr>
          <w:tab/>
        </w:r>
        <w:r w:rsidRPr="00226C43">
          <w:rPr>
            <w:rStyle w:val="Hyperlink"/>
            <w:noProof/>
            <w:color w:val="auto"/>
          </w:rPr>
          <w:t>Summary of AQRs/IMRs – Key comments and scores</w:t>
        </w:r>
        <w:r w:rsidRPr="00226C43">
          <w:rPr>
            <w:noProof/>
            <w:webHidden/>
          </w:rPr>
          <w:tab/>
        </w:r>
        <w:r w:rsidRPr="00226C43">
          <w:rPr>
            <w:noProof/>
            <w:webHidden/>
          </w:rPr>
          <w:fldChar w:fldCharType="begin"/>
        </w:r>
        <w:r w:rsidRPr="00226C43">
          <w:rPr>
            <w:noProof/>
            <w:webHidden/>
          </w:rPr>
          <w:instrText xml:space="preserve"> PAGEREF _Toc190248333 \h </w:instrText>
        </w:r>
        <w:r w:rsidRPr="00226C43">
          <w:rPr>
            <w:noProof/>
            <w:webHidden/>
          </w:rPr>
        </w:r>
        <w:r w:rsidRPr="00226C43">
          <w:rPr>
            <w:noProof/>
            <w:webHidden/>
          </w:rPr>
          <w:fldChar w:fldCharType="separate"/>
        </w:r>
        <w:r w:rsidR="0050071D">
          <w:rPr>
            <w:noProof/>
            <w:webHidden/>
          </w:rPr>
          <w:t>91</w:t>
        </w:r>
        <w:r w:rsidRPr="00226C43">
          <w:rPr>
            <w:noProof/>
            <w:webHidden/>
          </w:rPr>
          <w:fldChar w:fldCharType="end"/>
        </w:r>
      </w:hyperlink>
    </w:p>
    <w:p w14:paraId="124551F9" w14:textId="2A9CB51C" w:rsidR="005A698C" w:rsidRPr="00226C43" w:rsidRDefault="005A698C" w:rsidP="006A63B2">
      <w:pPr>
        <w:pStyle w:val="TOC1"/>
        <w:tabs>
          <w:tab w:val="left" w:pos="1560"/>
        </w:tabs>
        <w:rPr>
          <w:rFonts w:eastAsiaTheme="minorEastAsia"/>
          <w:noProof/>
        </w:rPr>
      </w:pPr>
      <w:hyperlink w:anchor="_Toc190248334" w:history="1">
        <w:r w:rsidRPr="00226C43">
          <w:rPr>
            <w:rStyle w:val="Hyperlink"/>
            <w:noProof/>
            <w:color w:val="auto"/>
          </w:rPr>
          <w:t>Appendix L</w:t>
        </w:r>
        <w:r w:rsidRPr="00226C43">
          <w:rPr>
            <w:rFonts w:eastAsiaTheme="minorEastAsia"/>
            <w:noProof/>
          </w:rPr>
          <w:tab/>
        </w:r>
        <w:r w:rsidRPr="00226C43">
          <w:rPr>
            <w:rStyle w:val="Hyperlink"/>
            <w:noProof/>
            <w:color w:val="auto"/>
          </w:rPr>
          <w:t>Current Board and PCC Members</w:t>
        </w:r>
        <w:r w:rsidRPr="00226C43">
          <w:rPr>
            <w:noProof/>
            <w:webHidden/>
          </w:rPr>
          <w:tab/>
        </w:r>
        <w:r w:rsidRPr="00226C43">
          <w:rPr>
            <w:noProof/>
            <w:webHidden/>
          </w:rPr>
          <w:fldChar w:fldCharType="begin"/>
        </w:r>
        <w:r w:rsidRPr="00226C43">
          <w:rPr>
            <w:noProof/>
            <w:webHidden/>
          </w:rPr>
          <w:instrText xml:space="preserve"> PAGEREF _Toc190248334 \h </w:instrText>
        </w:r>
        <w:r w:rsidRPr="00226C43">
          <w:rPr>
            <w:noProof/>
            <w:webHidden/>
          </w:rPr>
        </w:r>
        <w:r w:rsidRPr="00226C43">
          <w:rPr>
            <w:noProof/>
            <w:webHidden/>
          </w:rPr>
          <w:fldChar w:fldCharType="separate"/>
        </w:r>
        <w:r w:rsidR="0050071D">
          <w:rPr>
            <w:noProof/>
            <w:webHidden/>
          </w:rPr>
          <w:t>95</w:t>
        </w:r>
        <w:r w:rsidRPr="00226C43">
          <w:rPr>
            <w:noProof/>
            <w:webHidden/>
          </w:rPr>
          <w:fldChar w:fldCharType="end"/>
        </w:r>
      </w:hyperlink>
    </w:p>
    <w:p w14:paraId="15C5C487" w14:textId="08667E0D" w:rsidR="00D91A50" w:rsidRPr="00226C43" w:rsidRDefault="00DE2989" w:rsidP="005A698C">
      <w:pPr>
        <w:pStyle w:val="TOC1"/>
        <w:rPr>
          <w:noProof/>
        </w:rPr>
      </w:pPr>
      <w:r w:rsidRPr="00226C43">
        <w:fldChar w:fldCharType="end"/>
      </w:r>
      <w:r w:rsidRPr="00226C43">
        <w:fldChar w:fldCharType="begin"/>
      </w:r>
      <w:r w:rsidRPr="00226C43">
        <w:instrText xml:space="preserve"> TOC \o "1-1" \h \z \t "Heading 2,2,Appendices,1" </w:instrText>
      </w:r>
      <w:r w:rsidRPr="00226C43">
        <w:fldChar w:fldCharType="separate"/>
      </w:r>
    </w:p>
    <w:p w14:paraId="7843997E" w14:textId="381854E1" w:rsidR="00B912E9" w:rsidRPr="00226C43" w:rsidRDefault="00DE2989" w:rsidP="4DD21A85">
      <w:r w:rsidRPr="00226C43">
        <w:fldChar w:fldCharType="end"/>
      </w:r>
      <w:r w:rsidRPr="00226C43">
        <w:br w:type="page"/>
      </w:r>
    </w:p>
    <w:p w14:paraId="39B27635" w14:textId="7497A28B" w:rsidR="00A51612" w:rsidRPr="00226C43" w:rsidRDefault="4DD21A85" w:rsidP="4DD21A85">
      <w:pPr>
        <w:pStyle w:val="TOCHeading"/>
        <w:rPr>
          <w:rFonts w:asciiTheme="minorHAnsi" w:hAnsiTheme="minorHAnsi"/>
          <w:color w:val="auto"/>
        </w:rPr>
      </w:pPr>
      <w:r w:rsidRPr="00226C43">
        <w:rPr>
          <w:rFonts w:asciiTheme="minorHAnsi" w:hAnsiTheme="minorHAnsi"/>
          <w:color w:val="auto"/>
        </w:rPr>
        <w:lastRenderedPageBreak/>
        <w:t>List of tables</w:t>
      </w:r>
    </w:p>
    <w:p w14:paraId="1949B35E" w14:textId="5E4CF77F" w:rsidR="00834BD1" w:rsidRPr="00226C43" w:rsidRDefault="007E20F8">
      <w:pPr>
        <w:pStyle w:val="TableofFigures"/>
        <w:tabs>
          <w:tab w:val="right" w:leader="dot" w:pos="9016"/>
        </w:tabs>
        <w:rPr>
          <w:rFonts w:eastAsiaTheme="minorEastAsia"/>
          <w:noProof/>
        </w:rPr>
      </w:pPr>
      <w:r w:rsidRPr="00226C43">
        <w:fldChar w:fldCharType="begin"/>
      </w:r>
      <w:r w:rsidRPr="00226C43">
        <w:instrText xml:space="preserve"> TOC \h \z \c "Table" </w:instrText>
      </w:r>
      <w:r w:rsidRPr="00226C43">
        <w:fldChar w:fldCharType="separate"/>
      </w:r>
      <w:hyperlink w:anchor="_Toc190939899" w:history="1">
        <w:r w:rsidR="00834BD1" w:rsidRPr="00226C43">
          <w:rPr>
            <w:rStyle w:val="Hyperlink"/>
            <w:noProof/>
            <w:color w:val="auto"/>
          </w:rPr>
          <w:t>Table 1: AAAEP–P Data</w:t>
        </w:r>
        <w:r w:rsidR="00834BD1" w:rsidRPr="00226C43">
          <w:rPr>
            <w:noProof/>
            <w:webHidden/>
          </w:rPr>
          <w:tab/>
        </w:r>
        <w:r w:rsidR="00834BD1" w:rsidRPr="00226C43">
          <w:rPr>
            <w:noProof/>
            <w:webHidden/>
          </w:rPr>
          <w:fldChar w:fldCharType="begin"/>
        </w:r>
        <w:r w:rsidR="00834BD1" w:rsidRPr="00226C43">
          <w:rPr>
            <w:noProof/>
            <w:webHidden/>
          </w:rPr>
          <w:instrText xml:space="preserve"> PAGEREF _Toc190939899 \h </w:instrText>
        </w:r>
        <w:r w:rsidR="00834BD1" w:rsidRPr="00226C43">
          <w:rPr>
            <w:noProof/>
            <w:webHidden/>
          </w:rPr>
        </w:r>
        <w:r w:rsidR="00834BD1" w:rsidRPr="00226C43">
          <w:rPr>
            <w:noProof/>
            <w:webHidden/>
          </w:rPr>
          <w:fldChar w:fldCharType="separate"/>
        </w:r>
        <w:r w:rsidR="0050071D">
          <w:rPr>
            <w:noProof/>
            <w:webHidden/>
          </w:rPr>
          <w:t>5</w:t>
        </w:r>
        <w:r w:rsidR="00834BD1" w:rsidRPr="00226C43">
          <w:rPr>
            <w:noProof/>
            <w:webHidden/>
          </w:rPr>
          <w:fldChar w:fldCharType="end"/>
        </w:r>
      </w:hyperlink>
    </w:p>
    <w:p w14:paraId="3B72CA2E" w14:textId="49BFAA50" w:rsidR="00834BD1" w:rsidRPr="00226C43" w:rsidRDefault="00834BD1">
      <w:pPr>
        <w:pStyle w:val="TableofFigures"/>
        <w:tabs>
          <w:tab w:val="right" w:leader="dot" w:pos="9016"/>
        </w:tabs>
        <w:rPr>
          <w:rFonts w:eastAsiaTheme="minorEastAsia"/>
          <w:noProof/>
        </w:rPr>
      </w:pPr>
      <w:hyperlink w:anchor="_Toc190939900" w:history="1">
        <w:r w:rsidRPr="00226C43">
          <w:rPr>
            <w:rStyle w:val="Hyperlink"/>
            <w:noProof/>
            <w:color w:val="auto"/>
          </w:rPr>
          <w:t>Table 2: Key differences between open and targeted scholarship categories</w:t>
        </w:r>
        <w:r w:rsidRPr="00226C43">
          <w:rPr>
            <w:noProof/>
            <w:webHidden/>
          </w:rPr>
          <w:tab/>
        </w:r>
        <w:r w:rsidRPr="00226C43">
          <w:rPr>
            <w:noProof/>
            <w:webHidden/>
          </w:rPr>
          <w:fldChar w:fldCharType="begin"/>
        </w:r>
        <w:r w:rsidRPr="00226C43">
          <w:rPr>
            <w:noProof/>
            <w:webHidden/>
          </w:rPr>
          <w:instrText xml:space="preserve"> PAGEREF _Toc190939900 \h </w:instrText>
        </w:r>
        <w:r w:rsidRPr="00226C43">
          <w:rPr>
            <w:noProof/>
            <w:webHidden/>
          </w:rPr>
        </w:r>
        <w:r w:rsidRPr="00226C43">
          <w:rPr>
            <w:noProof/>
            <w:webHidden/>
          </w:rPr>
          <w:fldChar w:fldCharType="separate"/>
        </w:r>
        <w:r w:rsidR="0050071D">
          <w:rPr>
            <w:noProof/>
            <w:webHidden/>
          </w:rPr>
          <w:t>12</w:t>
        </w:r>
        <w:r w:rsidRPr="00226C43">
          <w:rPr>
            <w:noProof/>
            <w:webHidden/>
          </w:rPr>
          <w:fldChar w:fldCharType="end"/>
        </w:r>
      </w:hyperlink>
    </w:p>
    <w:p w14:paraId="3DC326EB" w14:textId="58F59D79" w:rsidR="00834BD1" w:rsidRPr="00226C43" w:rsidRDefault="00834BD1">
      <w:pPr>
        <w:pStyle w:val="TableofFigures"/>
        <w:tabs>
          <w:tab w:val="right" w:leader="dot" w:pos="9016"/>
        </w:tabs>
        <w:rPr>
          <w:rFonts w:eastAsiaTheme="minorEastAsia"/>
          <w:noProof/>
        </w:rPr>
      </w:pPr>
      <w:hyperlink w:anchor="_Toc190939901" w:history="1">
        <w:r w:rsidRPr="00226C43">
          <w:rPr>
            <w:rStyle w:val="Hyperlink"/>
            <w:noProof/>
            <w:color w:val="auto"/>
          </w:rPr>
          <w:t>Table 3: Focus Areas and Partner Organisations (GPH Agencies) – 2019</w:t>
        </w:r>
        <w:r w:rsidRPr="00226C43">
          <w:rPr>
            <w:noProof/>
            <w:webHidden/>
          </w:rPr>
          <w:tab/>
        </w:r>
        <w:r w:rsidRPr="00226C43">
          <w:rPr>
            <w:noProof/>
            <w:webHidden/>
          </w:rPr>
          <w:fldChar w:fldCharType="begin"/>
        </w:r>
        <w:r w:rsidRPr="00226C43">
          <w:rPr>
            <w:noProof/>
            <w:webHidden/>
          </w:rPr>
          <w:instrText xml:space="preserve"> PAGEREF _Toc190939901 \h </w:instrText>
        </w:r>
        <w:r w:rsidRPr="00226C43">
          <w:rPr>
            <w:noProof/>
            <w:webHidden/>
          </w:rPr>
        </w:r>
        <w:r w:rsidRPr="00226C43">
          <w:rPr>
            <w:noProof/>
            <w:webHidden/>
          </w:rPr>
          <w:fldChar w:fldCharType="separate"/>
        </w:r>
        <w:r w:rsidR="0050071D">
          <w:rPr>
            <w:noProof/>
            <w:webHidden/>
          </w:rPr>
          <w:t>13</w:t>
        </w:r>
        <w:r w:rsidRPr="00226C43">
          <w:rPr>
            <w:noProof/>
            <w:webHidden/>
          </w:rPr>
          <w:fldChar w:fldCharType="end"/>
        </w:r>
      </w:hyperlink>
    </w:p>
    <w:p w14:paraId="02B8E7E8" w14:textId="61A6FFB3" w:rsidR="00834BD1" w:rsidRPr="00226C43" w:rsidRDefault="00834BD1">
      <w:pPr>
        <w:pStyle w:val="TableofFigures"/>
        <w:tabs>
          <w:tab w:val="right" w:leader="dot" w:pos="9016"/>
        </w:tabs>
        <w:rPr>
          <w:rFonts w:eastAsiaTheme="minorEastAsia"/>
          <w:noProof/>
        </w:rPr>
      </w:pPr>
      <w:hyperlink w:anchor="_Toc190939902" w:history="1">
        <w:r w:rsidRPr="00226C43">
          <w:rPr>
            <w:rStyle w:val="Hyperlink"/>
            <w:noProof/>
            <w:color w:val="auto"/>
          </w:rPr>
          <w:t>Table 4: AAAEP–P Performance Highlights</w:t>
        </w:r>
        <w:r w:rsidRPr="00226C43">
          <w:rPr>
            <w:noProof/>
            <w:webHidden/>
          </w:rPr>
          <w:tab/>
        </w:r>
        <w:r w:rsidRPr="00226C43">
          <w:rPr>
            <w:noProof/>
            <w:webHidden/>
          </w:rPr>
          <w:fldChar w:fldCharType="begin"/>
        </w:r>
        <w:r w:rsidRPr="00226C43">
          <w:rPr>
            <w:noProof/>
            <w:webHidden/>
          </w:rPr>
          <w:instrText xml:space="preserve"> PAGEREF _Toc190939902 \h </w:instrText>
        </w:r>
        <w:r w:rsidRPr="00226C43">
          <w:rPr>
            <w:noProof/>
            <w:webHidden/>
          </w:rPr>
        </w:r>
        <w:r w:rsidRPr="00226C43">
          <w:rPr>
            <w:noProof/>
            <w:webHidden/>
          </w:rPr>
          <w:fldChar w:fldCharType="separate"/>
        </w:r>
        <w:r w:rsidR="0050071D">
          <w:rPr>
            <w:noProof/>
            <w:webHidden/>
          </w:rPr>
          <w:t>17</w:t>
        </w:r>
        <w:r w:rsidRPr="00226C43">
          <w:rPr>
            <w:noProof/>
            <w:webHidden/>
          </w:rPr>
          <w:fldChar w:fldCharType="end"/>
        </w:r>
      </w:hyperlink>
    </w:p>
    <w:p w14:paraId="0AA55D4A" w14:textId="5EAC6093" w:rsidR="00834BD1" w:rsidRPr="00226C43" w:rsidRDefault="00834BD1">
      <w:pPr>
        <w:pStyle w:val="TableofFigures"/>
        <w:tabs>
          <w:tab w:val="right" w:leader="dot" w:pos="9016"/>
        </w:tabs>
        <w:rPr>
          <w:rFonts w:eastAsiaTheme="minorEastAsia"/>
          <w:noProof/>
        </w:rPr>
      </w:pPr>
      <w:hyperlink w:anchor="_Toc190939903" w:history="1">
        <w:r w:rsidRPr="00226C43">
          <w:rPr>
            <w:rStyle w:val="Hyperlink"/>
            <w:noProof/>
            <w:color w:val="auto"/>
          </w:rPr>
          <w:t>Table 5: Australia Awards – In Australia Scholarships Data</w:t>
        </w:r>
        <w:r w:rsidRPr="00226C43">
          <w:rPr>
            <w:noProof/>
            <w:webHidden/>
          </w:rPr>
          <w:tab/>
        </w:r>
        <w:r w:rsidRPr="00226C43">
          <w:rPr>
            <w:noProof/>
            <w:webHidden/>
          </w:rPr>
          <w:fldChar w:fldCharType="begin"/>
        </w:r>
        <w:r w:rsidRPr="00226C43">
          <w:rPr>
            <w:noProof/>
            <w:webHidden/>
          </w:rPr>
          <w:instrText xml:space="preserve"> PAGEREF _Toc190939903 \h </w:instrText>
        </w:r>
        <w:r w:rsidRPr="00226C43">
          <w:rPr>
            <w:noProof/>
            <w:webHidden/>
          </w:rPr>
        </w:r>
        <w:r w:rsidRPr="00226C43">
          <w:rPr>
            <w:noProof/>
            <w:webHidden/>
          </w:rPr>
          <w:fldChar w:fldCharType="separate"/>
        </w:r>
        <w:r w:rsidR="0050071D">
          <w:rPr>
            <w:noProof/>
            <w:webHidden/>
          </w:rPr>
          <w:t>18</w:t>
        </w:r>
        <w:r w:rsidRPr="00226C43">
          <w:rPr>
            <w:noProof/>
            <w:webHidden/>
          </w:rPr>
          <w:fldChar w:fldCharType="end"/>
        </w:r>
      </w:hyperlink>
    </w:p>
    <w:p w14:paraId="04F8A798" w14:textId="1601CC7C" w:rsidR="00834BD1" w:rsidRPr="00226C43" w:rsidRDefault="00834BD1">
      <w:pPr>
        <w:pStyle w:val="TableofFigures"/>
        <w:tabs>
          <w:tab w:val="right" w:leader="dot" w:pos="9016"/>
        </w:tabs>
        <w:rPr>
          <w:rFonts w:eastAsiaTheme="minorEastAsia"/>
          <w:noProof/>
        </w:rPr>
      </w:pPr>
      <w:hyperlink w:anchor="_Toc190939904" w:history="1">
        <w:r w:rsidRPr="00226C43">
          <w:rPr>
            <w:rStyle w:val="Hyperlink"/>
            <w:noProof/>
            <w:color w:val="auto"/>
          </w:rPr>
          <w:t>Table 6: Australia Awards Scholars – Level of Study and Intake year</w:t>
        </w:r>
        <w:r w:rsidRPr="00226C43">
          <w:rPr>
            <w:noProof/>
            <w:webHidden/>
          </w:rPr>
          <w:tab/>
        </w:r>
        <w:r w:rsidRPr="00226C43">
          <w:rPr>
            <w:noProof/>
            <w:webHidden/>
          </w:rPr>
          <w:fldChar w:fldCharType="begin"/>
        </w:r>
        <w:r w:rsidRPr="00226C43">
          <w:rPr>
            <w:noProof/>
            <w:webHidden/>
          </w:rPr>
          <w:instrText xml:space="preserve"> PAGEREF _Toc190939904 \h </w:instrText>
        </w:r>
        <w:r w:rsidRPr="00226C43">
          <w:rPr>
            <w:noProof/>
            <w:webHidden/>
          </w:rPr>
        </w:r>
        <w:r w:rsidRPr="00226C43">
          <w:rPr>
            <w:noProof/>
            <w:webHidden/>
          </w:rPr>
          <w:fldChar w:fldCharType="separate"/>
        </w:r>
        <w:r w:rsidR="0050071D">
          <w:rPr>
            <w:noProof/>
            <w:webHidden/>
          </w:rPr>
          <w:t>19</w:t>
        </w:r>
        <w:r w:rsidRPr="00226C43">
          <w:rPr>
            <w:noProof/>
            <w:webHidden/>
          </w:rPr>
          <w:fldChar w:fldCharType="end"/>
        </w:r>
      </w:hyperlink>
    </w:p>
    <w:p w14:paraId="5242362B" w14:textId="5E0E65CB" w:rsidR="00834BD1" w:rsidRPr="00226C43" w:rsidRDefault="00834BD1">
      <w:pPr>
        <w:pStyle w:val="TableofFigures"/>
        <w:tabs>
          <w:tab w:val="right" w:leader="dot" w:pos="9016"/>
        </w:tabs>
        <w:rPr>
          <w:rFonts w:eastAsiaTheme="minorEastAsia"/>
          <w:noProof/>
        </w:rPr>
      </w:pPr>
      <w:hyperlink w:anchor="_Toc190939905" w:history="1">
        <w:r w:rsidRPr="00226C43">
          <w:rPr>
            <w:rStyle w:val="Hyperlink"/>
            <w:noProof/>
            <w:color w:val="auto"/>
          </w:rPr>
          <w:t>Table 7: Short Course Participants per GPH Agency</w:t>
        </w:r>
        <w:r w:rsidRPr="00226C43">
          <w:rPr>
            <w:noProof/>
            <w:webHidden/>
          </w:rPr>
          <w:tab/>
        </w:r>
        <w:r w:rsidRPr="00226C43">
          <w:rPr>
            <w:noProof/>
            <w:webHidden/>
          </w:rPr>
          <w:fldChar w:fldCharType="begin"/>
        </w:r>
        <w:r w:rsidRPr="00226C43">
          <w:rPr>
            <w:noProof/>
            <w:webHidden/>
          </w:rPr>
          <w:instrText xml:space="preserve"> PAGEREF _Toc190939905 \h </w:instrText>
        </w:r>
        <w:r w:rsidRPr="00226C43">
          <w:rPr>
            <w:noProof/>
            <w:webHidden/>
          </w:rPr>
        </w:r>
        <w:r w:rsidRPr="00226C43">
          <w:rPr>
            <w:noProof/>
            <w:webHidden/>
          </w:rPr>
          <w:fldChar w:fldCharType="separate"/>
        </w:r>
        <w:r w:rsidR="0050071D">
          <w:rPr>
            <w:noProof/>
            <w:webHidden/>
          </w:rPr>
          <w:t>19</w:t>
        </w:r>
        <w:r w:rsidRPr="00226C43">
          <w:rPr>
            <w:noProof/>
            <w:webHidden/>
          </w:rPr>
          <w:fldChar w:fldCharType="end"/>
        </w:r>
      </w:hyperlink>
    </w:p>
    <w:p w14:paraId="5124F6E6" w14:textId="69641827" w:rsidR="00834BD1" w:rsidRPr="00226C43" w:rsidRDefault="00834BD1">
      <w:pPr>
        <w:pStyle w:val="TableofFigures"/>
        <w:tabs>
          <w:tab w:val="right" w:leader="dot" w:pos="9016"/>
        </w:tabs>
        <w:rPr>
          <w:rFonts w:eastAsiaTheme="minorEastAsia"/>
          <w:noProof/>
        </w:rPr>
      </w:pPr>
      <w:hyperlink w:anchor="_Toc190939906" w:history="1">
        <w:r w:rsidRPr="00226C43">
          <w:rPr>
            <w:rStyle w:val="Hyperlink"/>
            <w:noProof/>
            <w:color w:val="auto"/>
          </w:rPr>
          <w:t>Table 8: ICSP Results</w:t>
        </w:r>
        <w:r w:rsidRPr="00226C43">
          <w:rPr>
            <w:noProof/>
            <w:webHidden/>
          </w:rPr>
          <w:tab/>
        </w:r>
        <w:r w:rsidRPr="00226C43">
          <w:rPr>
            <w:noProof/>
            <w:webHidden/>
          </w:rPr>
          <w:fldChar w:fldCharType="begin"/>
        </w:r>
        <w:r w:rsidRPr="00226C43">
          <w:rPr>
            <w:noProof/>
            <w:webHidden/>
          </w:rPr>
          <w:instrText xml:space="preserve"> PAGEREF _Toc190939906 \h </w:instrText>
        </w:r>
        <w:r w:rsidRPr="00226C43">
          <w:rPr>
            <w:noProof/>
            <w:webHidden/>
          </w:rPr>
        </w:r>
        <w:r w:rsidRPr="00226C43">
          <w:rPr>
            <w:noProof/>
            <w:webHidden/>
          </w:rPr>
          <w:fldChar w:fldCharType="separate"/>
        </w:r>
        <w:r w:rsidR="0050071D">
          <w:rPr>
            <w:noProof/>
            <w:webHidden/>
          </w:rPr>
          <w:t>21</w:t>
        </w:r>
        <w:r w:rsidRPr="00226C43">
          <w:rPr>
            <w:noProof/>
            <w:webHidden/>
          </w:rPr>
          <w:fldChar w:fldCharType="end"/>
        </w:r>
      </w:hyperlink>
    </w:p>
    <w:p w14:paraId="1220C25B" w14:textId="3FFF703A" w:rsidR="00834BD1" w:rsidRPr="00226C43" w:rsidRDefault="00834BD1">
      <w:pPr>
        <w:pStyle w:val="TableofFigures"/>
        <w:tabs>
          <w:tab w:val="right" w:leader="dot" w:pos="9016"/>
        </w:tabs>
        <w:rPr>
          <w:rFonts w:eastAsiaTheme="minorEastAsia"/>
          <w:noProof/>
        </w:rPr>
      </w:pPr>
      <w:hyperlink w:anchor="_Toc190939907" w:history="1">
        <w:r w:rsidRPr="00226C43">
          <w:rPr>
            <w:rStyle w:val="Hyperlink"/>
            <w:noProof/>
            <w:color w:val="auto"/>
          </w:rPr>
          <w:t>Table 9: Alumni Engagement Results</w:t>
        </w:r>
        <w:r w:rsidRPr="00226C43">
          <w:rPr>
            <w:noProof/>
            <w:webHidden/>
          </w:rPr>
          <w:tab/>
        </w:r>
        <w:r w:rsidRPr="00226C43">
          <w:rPr>
            <w:noProof/>
            <w:webHidden/>
          </w:rPr>
          <w:fldChar w:fldCharType="begin"/>
        </w:r>
        <w:r w:rsidRPr="00226C43">
          <w:rPr>
            <w:noProof/>
            <w:webHidden/>
          </w:rPr>
          <w:instrText xml:space="preserve"> PAGEREF _Toc190939907 \h </w:instrText>
        </w:r>
        <w:r w:rsidRPr="00226C43">
          <w:rPr>
            <w:noProof/>
            <w:webHidden/>
          </w:rPr>
        </w:r>
        <w:r w:rsidRPr="00226C43">
          <w:rPr>
            <w:noProof/>
            <w:webHidden/>
          </w:rPr>
          <w:fldChar w:fldCharType="separate"/>
        </w:r>
        <w:r w:rsidR="0050071D">
          <w:rPr>
            <w:noProof/>
            <w:webHidden/>
          </w:rPr>
          <w:t>22</w:t>
        </w:r>
        <w:r w:rsidRPr="00226C43">
          <w:rPr>
            <w:noProof/>
            <w:webHidden/>
          </w:rPr>
          <w:fldChar w:fldCharType="end"/>
        </w:r>
      </w:hyperlink>
    </w:p>
    <w:p w14:paraId="0DCCC6A6" w14:textId="458135AA" w:rsidR="00834BD1" w:rsidRPr="00226C43" w:rsidRDefault="00834BD1">
      <w:pPr>
        <w:pStyle w:val="TableofFigures"/>
        <w:tabs>
          <w:tab w:val="right" w:leader="dot" w:pos="9016"/>
        </w:tabs>
        <w:rPr>
          <w:rFonts w:eastAsiaTheme="minorEastAsia"/>
          <w:noProof/>
        </w:rPr>
      </w:pPr>
      <w:hyperlink w:anchor="_Toc190939908" w:history="1">
        <w:r w:rsidRPr="00226C43">
          <w:rPr>
            <w:rStyle w:val="Hyperlink"/>
            <w:noProof/>
            <w:color w:val="auto"/>
          </w:rPr>
          <w:t>Table 10: Australia’s Alumni Engagement Strategy and Reach</w:t>
        </w:r>
        <w:r w:rsidRPr="00226C43">
          <w:rPr>
            <w:noProof/>
            <w:webHidden/>
          </w:rPr>
          <w:tab/>
        </w:r>
        <w:r w:rsidRPr="00226C43">
          <w:rPr>
            <w:noProof/>
            <w:webHidden/>
          </w:rPr>
          <w:fldChar w:fldCharType="begin"/>
        </w:r>
        <w:r w:rsidRPr="00226C43">
          <w:rPr>
            <w:noProof/>
            <w:webHidden/>
          </w:rPr>
          <w:instrText xml:space="preserve"> PAGEREF _Toc190939908 \h </w:instrText>
        </w:r>
        <w:r w:rsidRPr="00226C43">
          <w:rPr>
            <w:noProof/>
            <w:webHidden/>
          </w:rPr>
        </w:r>
        <w:r w:rsidRPr="00226C43">
          <w:rPr>
            <w:noProof/>
            <w:webHidden/>
          </w:rPr>
          <w:fldChar w:fldCharType="separate"/>
        </w:r>
        <w:r w:rsidR="0050071D">
          <w:rPr>
            <w:noProof/>
            <w:webHidden/>
          </w:rPr>
          <w:t>23</w:t>
        </w:r>
        <w:r w:rsidRPr="00226C43">
          <w:rPr>
            <w:noProof/>
            <w:webHidden/>
          </w:rPr>
          <w:fldChar w:fldCharType="end"/>
        </w:r>
      </w:hyperlink>
    </w:p>
    <w:p w14:paraId="03ED7A84" w14:textId="08F4975F" w:rsidR="00834BD1" w:rsidRPr="00226C43" w:rsidRDefault="00834BD1">
      <w:pPr>
        <w:pStyle w:val="TableofFigures"/>
        <w:tabs>
          <w:tab w:val="right" w:leader="dot" w:pos="9016"/>
        </w:tabs>
        <w:rPr>
          <w:rFonts w:eastAsiaTheme="minorEastAsia"/>
          <w:noProof/>
        </w:rPr>
      </w:pPr>
      <w:hyperlink w:anchor="_Toc190939909" w:history="1">
        <w:r w:rsidRPr="00226C43">
          <w:rPr>
            <w:rStyle w:val="Hyperlink"/>
            <w:noProof/>
            <w:color w:val="auto"/>
          </w:rPr>
          <w:t>Table 11: Number of Alumni (August 2023)</w:t>
        </w:r>
        <w:r w:rsidRPr="00226C43">
          <w:rPr>
            <w:noProof/>
            <w:webHidden/>
          </w:rPr>
          <w:tab/>
        </w:r>
        <w:r w:rsidRPr="00226C43">
          <w:rPr>
            <w:noProof/>
            <w:webHidden/>
          </w:rPr>
          <w:fldChar w:fldCharType="begin"/>
        </w:r>
        <w:r w:rsidRPr="00226C43">
          <w:rPr>
            <w:noProof/>
            <w:webHidden/>
          </w:rPr>
          <w:instrText xml:space="preserve"> PAGEREF _Toc190939909 \h </w:instrText>
        </w:r>
        <w:r w:rsidRPr="00226C43">
          <w:rPr>
            <w:noProof/>
            <w:webHidden/>
          </w:rPr>
        </w:r>
        <w:r w:rsidRPr="00226C43">
          <w:rPr>
            <w:noProof/>
            <w:webHidden/>
          </w:rPr>
          <w:fldChar w:fldCharType="separate"/>
        </w:r>
        <w:r w:rsidR="0050071D">
          <w:rPr>
            <w:noProof/>
            <w:webHidden/>
          </w:rPr>
          <w:t>23</w:t>
        </w:r>
        <w:r w:rsidRPr="00226C43">
          <w:rPr>
            <w:noProof/>
            <w:webHidden/>
          </w:rPr>
          <w:fldChar w:fldCharType="end"/>
        </w:r>
      </w:hyperlink>
    </w:p>
    <w:p w14:paraId="4881D3DF" w14:textId="2A5FDE78" w:rsidR="00834BD1" w:rsidRPr="00226C43" w:rsidRDefault="00834BD1">
      <w:pPr>
        <w:pStyle w:val="TableofFigures"/>
        <w:tabs>
          <w:tab w:val="right" w:leader="dot" w:pos="9016"/>
        </w:tabs>
        <w:rPr>
          <w:rFonts w:eastAsiaTheme="minorEastAsia"/>
          <w:noProof/>
        </w:rPr>
      </w:pPr>
      <w:hyperlink w:anchor="_Toc190939910" w:history="1">
        <w:r w:rsidRPr="00226C43">
          <w:rPr>
            <w:rStyle w:val="Hyperlink"/>
            <w:noProof/>
            <w:color w:val="auto"/>
          </w:rPr>
          <w:t>Table 12: Tracer Study Findings on REAPs</w:t>
        </w:r>
        <w:r w:rsidRPr="00226C43">
          <w:rPr>
            <w:noProof/>
            <w:webHidden/>
          </w:rPr>
          <w:tab/>
        </w:r>
        <w:r w:rsidRPr="00226C43">
          <w:rPr>
            <w:noProof/>
            <w:webHidden/>
          </w:rPr>
          <w:fldChar w:fldCharType="begin"/>
        </w:r>
        <w:r w:rsidRPr="00226C43">
          <w:rPr>
            <w:noProof/>
            <w:webHidden/>
          </w:rPr>
          <w:instrText xml:space="preserve"> PAGEREF _Toc190939910 \h </w:instrText>
        </w:r>
        <w:r w:rsidRPr="00226C43">
          <w:rPr>
            <w:noProof/>
            <w:webHidden/>
          </w:rPr>
        </w:r>
        <w:r w:rsidRPr="00226C43">
          <w:rPr>
            <w:noProof/>
            <w:webHidden/>
          </w:rPr>
          <w:fldChar w:fldCharType="separate"/>
        </w:r>
        <w:r w:rsidR="0050071D">
          <w:rPr>
            <w:noProof/>
            <w:webHidden/>
          </w:rPr>
          <w:t>25</w:t>
        </w:r>
        <w:r w:rsidRPr="00226C43">
          <w:rPr>
            <w:noProof/>
            <w:webHidden/>
          </w:rPr>
          <w:fldChar w:fldCharType="end"/>
        </w:r>
      </w:hyperlink>
    </w:p>
    <w:p w14:paraId="37A9FB83" w14:textId="3AE67BF5" w:rsidR="00834BD1" w:rsidRPr="00226C43" w:rsidRDefault="00834BD1">
      <w:pPr>
        <w:pStyle w:val="TableofFigures"/>
        <w:tabs>
          <w:tab w:val="right" w:leader="dot" w:pos="9016"/>
        </w:tabs>
        <w:rPr>
          <w:rFonts w:eastAsiaTheme="minorEastAsia"/>
          <w:noProof/>
        </w:rPr>
      </w:pPr>
      <w:hyperlink w:anchor="_Toc190939911" w:history="1">
        <w:r w:rsidRPr="00226C43">
          <w:rPr>
            <w:rStyle w:val="Hyperlink"/>
            <w:noProof/>
            <w:color w:val="auto"/>
          </w:rPr>
          <w:t>Table 13: Short Courses Implemented in 2020-2021 (during Pandemic) and participant numbers</w:t>
        </w:r>
        <w:r w:rsidRPr="00226C43">
          <w:rPr>
            <w:noProof/>
            <w:webHidden/>
          </w:rPr>
          <w:tab/>
        </w:r>
        <w:r w:rsidRPr="00226C43">
          <w:rPr>
            <w:noProof/>
            <w:webHidden/>
          </w:rPr>
          <w:fldChar w:fldCharType="begin"/>
        </w:r>
        <w:r w:rsidRPr="00226C43">
          <w:rPr>
            <w:noProof/>
            <w:webHidden/>
          </w:rPr>
          <w:instrText xml:space="preserve"> PAGEREF _Toc190939911 \h </w:instrText>
        </w:r>
        <w:r w:rsidRPr="00226C43">
          <w:rPr>
            <w:noProof/>
            <w:webHidden/>
          </w:rPr>
        </w:r>
        <w:r w:rsidRPr="00226C43">
          <w:rPr>
            <w:noProof/>
            <w:webHidden/>
          </w:rPr>
          <w:fldChar w:fldCharType="separate"/>
        </w:r>
        <w:r w:rsidR="0050071D">
          <w:rPr>
            <w:noProof/>
            <w:webHidden/>
          </w:rPr>
          <w:t>37</w:t>
        </w:r>
        <w:r w:rsidRPr="00226C43">
          <w:rPr>
            <w:noProof/>
            <w:webHidden/>
          </w:rPr>
          <w:fldChar w:fldCharType="end"/>
        </w:r>
      </w:hyperlink>
    </w:p>
    <w:p w14:paraId="0F22A0D7" w14:textId="372E4217" w:rsidR="00834BD1" w:rsidRPr="00226C43" w:rsidRDefault="00834BD1">
      <w:pPr>
        <w:pStyle w:val="TableofFigures"/>
        <w:tabs>
          <w:tab w:val="right" w:leader="dot" w:pos="9016"/>
        </w:tabs>
        <w:rPr>
          <w:rFonts w:eastAsiaTheme="minorEastAsia"/>
          <w:noProof/>
        </w:rPr>
      </w:pPr>
      <w:hyperlink w:anchor="_Toc190939912" w:history="1">
        <w:r w:rsidRPr="00226C43">
          <w:rPr>
            <w:rStyle w:val="Hyperlink"/>
            <w:noProof/>
            <w:color w:val="auto"/>
          </w:rPr>
          <w:t>Table 13: Number of Program Participants by Sex from the Start of the Program</w:t>
        </w:r>
        <w:r w:rsidRPr="00226C43">
          <w:rPr>
            <w:noProof/>
            <w:webHidden/>
          </w:rPr>
          <w:tab/>
        </w:r>
        <w:r w:rsidRPr="00226C43">
          <w:rPr>
            <w:noProof/>
            <w:webHidden/>
          </w:rPr>
          <w:fldChar w:fldCharType="begin"/>
        </w:r>
        <w:r w:rsidRPr="00226C43">
          <w:rPr>
            <w:noProof/>
            <w:webHidden/>
          </w:rPr>
          <w:instrText xml:space="preserve"> PAGEREF _Toc190939912 \h </w:instrText>
        </w:r>
        <w:r w:rsidRPr="00226C43">
          <w:rPr>
            <w:noProof/>
            <w:webHidden/>
          </w:rPr>
        </w:r>
        <w:r w:rsidRPr="00226C43">
          <w:rPr>
            <w:noProof/>
            <w:webHidden/>
          </w:rPr>
          <w:fldChar w:fldCharType="separate"/>
        </w:r>
        <w:r w:rsidR="0050071D">
          <w:rPr>
            <w:noProof/>
            <w:webHidden/>
          </w:rPr>
          <w:t>39</w:t>
        </w:r>
        <w:r w:rsidRPr="00226C43">
          <w:rPr>
            <w:noProof/>
            <w:webHidden/>
          </w:rPr>
          <w:fldChar w:fldCharType="end"/>
        </w:r>
      </w:hyperlink>
    </w:p>
    <w:p w14:paraId="3E812030" w14:textId="04AA4F44" w:rsidR="00834BD1" w:rsidRPr="00226C43" w:rsidRDefault="00834BD1">
      <w:pPr>
        <w:pStyle w:val="TableofFigures"/>
        <w:tabs>
          <w:tab w:val="right" w:leader="dot" w:pos="9016"/>
        </w:tabs>
        <w:rPr>
          <w:rFonts w:eastAsiaTheme="minorEastAsia"/>
          <w:noProof/>
        </w:rPr>
      </w:pPr>
      <w:hyperlink w:anchor="_Toc190939913" w:history="1">
        <w:r w:rsidRPr="00226C43">
          <w:rPr>
            <w:rStyle w:val="Hyperlink"/>
            <w:noProof/>
            <w:color w:val="auto"/>
          </w:rPr>
          <w:t>Table 14: AAAEP–P staff resources compared to other scholarship programs</w:t>
        </w:r>
        <w:r w:rsidRPr="00226C43">
          <w:rPr>
            <w:noProof/>
            <w:webHidden/>
          </w:rPr>
          <w:tab/>
        </w:r>
        <w:r w:rsidRPr="00226C43">
          <w:rPr>
            <w:noProof/>
            <w:webHidden/>
          </w:rPr>
          <w:fldChar w:fldCharType="begin"/>
        </w:r>
        <w:r w:rsidRPr="00226C43">
          <w:rPr>
            <w:noProof/>
            <w:webHidden/>
          </w:rPr>
          <w:instrText xml:space="preserve"> PAGEREF _Toc190939913 \h </w:instrText>
        </w:r>
        <w:r w:rsidRPr="00226C43">
          <w:rPr>
            <w:noProof/>
            <w:webHidden/>
          </w:rPr>
        </w:r>
        <w:r w:rsidRPr="00226C43">
          <w:rPr>
            <w:noProof/>
            <w:webHidden/>
          </w:rPr>
          <w:fldChar w:fldCharType="separate"/>
        </w:r>
        <w:r w:rsidR="0050071D">
          <w:rPr>
            <w:noProof/>
            <w:webHidden/>
          </w:rPr>
          <w:t>42</w:t>
        </w:r>
        <w:r w:rsidRPr="00226C43">
          <w:rPr>
            <w:noProof/>
            <w:webHidden/>
          </w:rPr>
          <w:fldChar w:fldCharType="end"/>
        </w:r>
      </w:hyperlink>
    </w:p>
    <w:p w14:paraId="7ABCA13C" w14:textId="14AF8E31" w:rsidR="00834BD1" w:rsidRPr="00226C43" w:rsidRDefault="00834BD1">
      <w:pPr>
        <w:pStyle w:val="TableofFigures"/>
        <w:tabs>
          <w:tab w:val="right" w:leader="dot" w:pos="9016"/>
        </w:tabs>
        <w:rPr>
          <w:rFonts w:eastAsiaTheme="minorEastAsia"/>
          <w:noProof/>
        </w:rPr>
      </w:pPr>
      <w:hyperlink w:anchor="_Toc190939914" w:history="1">
        <w:r w:rsidRPr="00226C43">
          <w:rPr>
            <w:rStyle w:val="Hyperlink"/>
            <w:noProof/>
            <w:color w:val="auto"/>
          </w:rPr>
          <w:t>Table 15: List of Stakeholders Consulted per scholar category</w:t>
        </w:r>
        <w:r w:rsidRPr="00226C43">
          <w:rPr>
            <w:noProof/>
            <w:webHidden/>
          </w:rPr>
          <w:tab/>
        </w:r>
        <w:r w:rsidRPr="00226C43">
          <w:rPr>
            <w:noProof/>
            <w:webHidden/>
          </w:rPr>
          <w:fldChar w:fldCharType="begin"/>
        </w:r>
        <w:r w:rsidRPr="00226C43">
          <w:rPr>
            <w:noProof/>
            <w:webHidden/>
          </w:rPr>
          <w:instrText xml:space="preserve"> PAGEREF _Toc190939914 \h </w:instrText>
        </w:r>
        <w:r w:rsidRPr="00226C43">
          <w:rPr>
            <w:noProof/>
            <w:webHidden/>
          </w:rPr>
        </w:r>
        <w:r w:rsidRPr="00226C43">
          <w:rPr>
            <w:noProof/>
            <w:webHidden/>
          </w:rPr>
          <w:fldChar w:fldCharType="separate"/>
        </w:r>
        <w:r w:rsidR="0050071D">
          <w:rPr>
            <w:noProof/>
            <w:webHidden/>
          </w:rPr>
          <w:t>58</w:t>
        </w:r>
        <w:r w:rsidRPr="00226C43">
          <w:rPr>
            <w:noProof/>
            <w:webHidden/>
          </w:rPr>
          <w:fldChar w:fldCharType="end"/>
        </w:r>
      </w:hyperlink>
    </w:p>
    <w:p w14:paraId="318265CC" w14:textId="2DEEA0E7" w:rsidR="00834BD1" w:rsidRPr="00226C43" w:rsidRDefault="00834BD1">
      <w:pPr>
        <w:pStyle w:val="TableofFigures"/>
        <w:tabs>
          <w:tab w:val="right" w:leader="dot" w:pos="9016"/>
        </w:tabs>
        <w:rPr>
          <w:rFonts w:eastAsiaTheme="minorEastAsia"/>
          <w:noProof/>
        </w:rPr>
      </w:pPr>
      <w:hyperlink w:anchor="_Toc190939915" w:history="1">
        <w:r w:rsidRPr="00226C43">
          <w:rPr>
            <w:rStyle w:val="Hyperlink"/>
            <w:noProof/>
            <w:color w:val="auto"/>
          </w:rPr>
          <w:t>Table 16: List of Stakeholders consulted during the evaluation</w:t>
        </w:r>
        <w:r w:rsidRPr="00226C43">
          <w:rPr>
            <w:noProof/>
            <w:webHidden/>
          </w:rPr>
          <w:tab/>
        </w:r>
        <w:r w:rsidRPr="00226C43">
          <w:rPr>
            <w:noProof/>
            <w:webHidden/>
          </w:rPr>
          <w:fldChar w:fldCharType="begin"/>
        </w:r>
        <w:r w:rsidRPr="00226C43">
          <w:rPr>
            <w:noProof/>
            <w:webHidden/>
          </w:rPr>
          <w:instrText xml:space="preserve"> PAGEREF _Toc190939915 \h </w:instrText>
        </w:r>
        <w:r w:rsidRPr="00226C43">
          <w:rPr>
            <w:noProof/>
            <w:webHidden/>
          </w:rPr>
        </w:r>
        <w:r w:rsidRPr="00226C43">
          <w:rPr>
            <w:noProof/>
            <w:webHidden/>
          </w:rPr>
          <w:fldChar w:fldCharType="separate"/>
        </w:r>
        <w:r w:rsidR="0050071D">
          <w:rPr>
            <w:noProof/>
            <w:webHidden/>
          </w:rPr>
          <w:t>69</w:t>
        </w:r>
        <w:r w:rsidRPr="00226C43">
          <w:rPr>
            <w:noProof/>
            <w:webHidden/>
          </w:rPr>
          <w:fldChar w:fldCharType="end"/>
        </w:r>
      </w:hyperlink>
    </w:p>
    <w:p w14:paraId="72880545" w14:textId="369F931D" w:rsidR="00834BD1" w:rsidRPr="00226C43" w:rsidRDefault="00834BD1">
      <w:pPr>
        <w:pStyle w:val="TableofFigures"/>
        <w:tabs>
          <w:tab w:val="right" w:leader="dot" w:pos="9016"/>
        </w:tabs>
        <w:rPr>
          <w:rFonts w:eastAsiaTheme="minorEastAsia"/>
          <w:noProof/>
        </w:rPr>
      </w:pPr>
      <w:hyperlink w:anchor="_Toc190939916" w:history="1">
        <w:r w:rsidRPr="00226C43">
          <w:rPr>
            <w:rStyle w:val="Hyperlink"/>
            <w:noProof/>
            <w:color w:val="auto"/>
          </w:rPr>
          <w:t>Table 17: Gender profile of respondents</w:t>
        </w:r>
        <w:r w:rsidRPr="00226C43">
          <w:rPr>
            <w:noProof/>
            <w:webHidden/>
          </w:rPr>
          <w:tab/>
        </w:r>
        <w:r w:rsidRPr="00226C43">
          <w:rPr>
            <w:noProof/>
            <w:webHidden/>
          </w:rPr>
          <w:fldChar w:fldCharType="begin"/>
        </w:r>
        <w:r w:rsidRPr="00226C43">
          <w:rPr>
            <w:noProof/>
            <w:webHidden/>
          </w:rPr>
          <w:instrText xml:space="preserve"> PAGEREF _Toc190939916 \h </w:instrText>
        </w:r>
        <w:r w:rsidRPr="00226C43">
          <w:rPr>
            <w:noProof/>
            <w:webHidden/>
          </w:rPr>
        </w:r>
        <w:r w:rsidRPr="00226C43">
          <w:rPr>
            <w:noProof/>
            <w:webHidden/>
          </w:rPr>
          <w:fldChar w:fldCharType="separate"/>
        </w:r>
        <w:r w:rsidR="0050071D">
          <w:rPr>
            <w:noProof/>
            <w:webHidden/>
          </w:rPr>
          <w:t>82</w:t>
        </w:r>
        <w:r w:rsidRPr="00226C43">
          <w:rPr>
            <w:noProof/>
            <w:webHidden/>
          </w:rPr>
          <w:fldChar w:fldCharType="end"/>
        </w:r>
      </w:hyperlink>
    </w:p>
    <w:p w14:paraId="673F10D0" w14:textId="22DB872B" w:rsidR="00834BD1" w:rsidRPr="00226C43" w:rsidRDefault="00834BD1">
      <w:pPr>
        <w:pStyle w:val="TableofFigures"/>
        <w:tabs>
          <w:tab w:val="right" w:leader="dot" w:pos="9016"/>
        </w:tabs>
        <w:rPr>
          <w:rFonts w:eastAsiaTheme="minorEastAsia"/>
          <w:noProof/>
        </w:rPr>
      </w:pPr>
      <w:hyperlink w:anchor="_Toc190939917" w:history="1">
        <w:r w:rsidRPr="00226C43">
          <w:rPr>
            <w:rStyle w:val="Hyperlink"/>
            <w:noProof/>
            <w:color w:val="auto"/>
          </w:rPr>
          <w:t>Table 18: Participation profile of respondents</w:t>
        </w:r>
        <w:r w:rsidRPr="00226C43">
          <w:rPr>
            <w:noProof/>
            <w:webHidden/>
          </w:rPr>
          <w:tab/>
        </w:r>
        <w:r w:rsidRPr="00226C43">
          <w:rPr>
            <w:noProof/>
            <w:webHidden/>
          </w:rPr>
          <w:fldChar w:fldCharType="begin"/>
        </w:r>
        <w:r w:rsidRPr="00226C43">
          <w:rPr>
            <w:noProof/>
            <w:webHidden/>
          </w:rPr>
          <w:instrText xml:space="preserve"> PAGEREF _Toc190939917 \h </w:instrText>
        </w:r>
        <w:r w:rsidRPr="00226C43">
          <w:rPr>
            <w:noProof/>
            <w:webHidden/>
          </w:rPr>
        </w:r>
        <w:r w:rsidRPr="00226C43">
          <w:rPr>
            <w:noProof/>
            <w:webHidden/>
          </w:rPr>
          <w:fldChar w:fldCharType="separate"/>
        </w:r>
        <w:r w:rsidR="0050071D">
          <w:rPr>
            <w:noProof/>
            <w:webHidden/>
          </w:rPr>
          <w:t>82</w:t>
        </w:r>
        <w:r w:rsidRPr="00226C43">
          <w:rPr>
            <w:noProof/>
            <w:webHidden/>
          </w:rPr>
          <w:fldChar w:fldCharType="end"/>
        </w:r>
      </w:hyperlink>
    </w:p>
    <w:p w14:paraId="7974F937" w14:textId="5ADD48F9" w:rsidR="00834BD1" w:rsidRPr="00226C43" w:rsidRDefault="00834BD1">
      <w:pPr>
        <w:pStyle w:val="TableofFigures"/>
        <w:tabs>
          <w:tab w:val="right" w:leader="dot" w:pos="9016"/>
        </w:tabs>
        <w:rPr>
          <w:rFonts w:eastAsiaTheme="minorEastAsia"/>
          <w:noProof/>
        </w:rPr>
      </w:pPr>
      <w:hyperlink w:anchor="_Toc190939918" w:history="1">
        <w:r w:rsidRPr="00226C43">
          <w:rPr>
            <w:rStyle w:val="Hyperlink"/>
            <w:noProof/>
            <w:color w:val="auto"/>
          </w:rPr>
          <w:t>Table 19: Respondents’ view on the relevance and effectiveness of AAAEP–P courses by gender</w:t>
        </w:r>
        <w:r w:rsidRPr="00226C43">
          <w:rPr>
            <w:noProof/>
            <w:webHidden/>
          </w:rPr>
          <w:tab/>
        </w:r>
        <w:r w:rsidRPr="00226C43">
          <w:rPr>
            <w:noProof/>
            <w:webHidden/>
          </w:rPr>
          <w:fldChar w:fldCharType="begin"/>
        </w:r>
        <w:r w:rsidRPr="00226C43">
          <w:rPr>
            <w:noProof/>
            <w:webHidden/>
          </w:rPr>
          <w:instrText xml:space="preserve"> PAGEREF _Toc190939918 \h </w:instrText>
        </w:r>
        <w:r w:rsidRPr="00226C43">
          <w:rPr>
            <w:noProof/>
            <w:webHidden/>
          </w:rPr>
        </w:r>
        <w:r w:rsidRPr="00226C43">
          <w:rPr>
            <w:noProof/>
            <w:webHidden/>
          </w:rPr>
          <w:fldChar w:fldCharType="separate"/>
        </w:r>
        <w:r w:rsidR="0050071D">
          <w:rPr>
            <w:noProof/>
            <w:webHidden/>
          </w:rPr>
          <w:t>82</w:t>
        </w:r>
        <w:r w:rsidRPr="00226C43">
          <w:rPr>
            <w:noProof/>
            <w:webHidden/>
          </w:rPr>
          <w:fldChar w:fldCharType="end"/>
        </w:r>
      </w:hyperlink>
    </w:p>
    <w:p w14:paraId="1789A446" w14:textId="764555D1" w:rsidR="00834BD1" w:rsidRPr="00226C43" w:rsidRDefault="00834BD1">
      <w:pPr>
        <w:pStyle w:val="TableofFigures"/>
        <w:tabs>
          <w:tab w:val="right" w:leader="dot" w:pos="9016"/>
        </w:tabs>
        <w:rPr>
          <w:rFonts w:eastAsiaTheme="minorEastAsia"/>
          <w:noProof/>
        </w:rPr>
      </w:pPr>
      <w:hyperlink w:anchor="_Toc190939919" w:history="1">
        <w:r w:rsidRPr="00226C43">
          <w:rPr>
            <w:rStyle w:val="Hyperlink"/>
            <w:noProof/>
            <w:color w:val="auto"/>
          </w:rPr>
          <w:t>Table 20: Respondents' satisfaction with elements of the Australian Awards</w:t>
        </w:r>
        <w:r w:rsidRPr="00226C43">
          <w:rPr>
            <w:noProof/>
            <w:webHidden/>
          </w:rPr>
          <w:tab/>
        </w:r>
        <w:r w:rsidRPr="00226C43">
          <w:rPr>
            <w:noProof/>
            <w:webHidden/>
          </w:rPr>
          <w:fldChar w:fldCharType="begin"/>
        </w:r>
        <w:r w:rsidRPr="00226C43">
          <w:rPr>
            <w:noProof/>
            <w:webHidden/>
          </w:rPr>
          <w:instrText xml:space="preserve"> PAGEREF _Toc190939919 \h </w:instrText>
        </w:r>
        <w:r w:rsidRPr="00226C43">
          <w:rPr>
            <w:noProof/>
            <w:webHidden/>
          </w:rPr>
        </w:r>
        <w:r w:rsidRPr="00226C43">
          <w:rPr>
            <w:noProof/>
            <w:webHidden/>
          </w:rPr>
          <w:fldChar w:fldCharType="separate"/>
        </w:r>
        <w:r w:rsidR="0050071D">
          <w:rPr>
            <w:noProof/>
            <w:webHidden/>
          </w:rPr>
          <w:t>83</w:t>
        </w:r>
        <w:r w:rsidRPr="00226C43">
          <w:rPr>
            <w:noProof/>
            <w:webHidden/>
          </w:rPr>
          <w:fldChar w:fldCharType="end"/>
        </w:r>
      </w:hyperlink>
    </w:p>
    <w:p w14:paraId="166FDD7C" w14:textId="5CFA1934" w:rsidR="00834BD1" w:rsidRPr="00226C43" w:rsidRDefault="00834BD1">
      <w:pPr>
        <w:pStyle w:val="TableofFigures"/>
        <w:tabs>
          <w:tab w:val="right" w:leader="dot" w:pos="9016"/>
        </w:tabs>
        <w:rPr>
          <w:rFonts w:eastAsiaTheme="minorEastAsia"/>
          <w:noProof/>
        </w:rPr>
      </w:pPr>
      <w:hyperlink w:anchor="_Toc190939920" w:history="1">
        <w:r w:rsidRPr="00226C43">
          <w:rPr>
            <w:rStyle w:val="Hyperlink"/>
            <w:noProof/>
            <w:color w:val="auto"/>
          </w:rPr>
          <w:t>Table 21: Respondents' satisfaction with elements of short courses</w:t>
        </w:r>
        <w:r w:rsidRPr="00226C43">
          <w:rPr>
            <w:noProof/>
            <w:webHidden/>
          </w:rPr>
          <w:tab/>
        </w:r>
        <w:r w:rsidRPr="00226C43">
          <w:rPr>
            <w:noProof/>
            <w:webHidden/>
          </w:rPr>
          <w:fldChar w:fldCharType="begin"/>
        </w:r>
        <w:r w:rsidRPr="00226C43">
          <w:rPr>
            <w:noProof/>
            <w:webHidden/>
          </w:rPr>
          <w:instrText xml:space="preserve"> PAGEREF _Toc190939920 \h </w:instrText>
        </w:r>
        <w:r w:rsidRPr="00226C43">
          <w:rPr>
            <w:noProof/>
            <w:webHidden/>
          </w:rPr>
        </w:r>
        <w:r w:rsidRPr="00226C43">
          <w:rPr>
            <w:noProof/>
            <w:webHidden/>
          </w:rPr>
          <w:fldChar w:fldCharType="separate"/>
        </w:r>
        <w:r w:rsidR="0050071D">
          <w:rPr>
            <w:noProof/>
            <w:webHidden/>
          </w:rPr>
          <w:t>84</w:t>
        </w:r>
        <w:r w:rsidRPr="00226C43">
          <w:rPr>
            <w:noProof/>
            <w:webHidden/>
          </w:rPr>
          <w:fldChar w:fldCharType="end"/>
        </w:r>
      </w:hyperlink>
    </w:p>
    <w:p w14:paraId="5C909F88" w14:textId="01A5B77C" w:rsidR="00834BD1" w:rsidRPr="00226C43" w:rsidRDefault="00834BD1">
      <w:pPr>
        <w:pStyle w:val="TableofFigures"/>
        <w:tabs>
          <w:tab w:val="right" w:leader="dot" w:pos="9016"/>
        </w:tabs>
        <w:rPr>
          <w:rFonts w:eastAsiaTheme="minorEastAsia"/>
          <w:noProof/>
        </w:rPr>
      </w:pPr>
      <w:hyperlink w:anchor="_Toc190939921" w:history="1">
        <w:r w:rsidRPr="00226C43">
          <w:rPr>
            <w:rStyle w:val="Hyperlink"/>
            <w:noProof/>
            <w:color w:val="auto"/>
          </w:rPr>
          <w:t>Table 22: Respondents' satisfaction with elements of the In-Country Scholarship Program</w:t>
        </w:r>
        <w:r w:rsidRPr="00226C43">
          <w:rPr>
            <w:noProof/>
            <w:webHidden/>
          </w:rPr>
          <w:tab/>
        </w:r>
        <w:r w:rsidRPr="00226C43">
          <w:rPr>
            <w:noProof/>
            <w:webHidden/>
          </w:rPr>
          <w:fldChar w:fldCharType="begin"/>
        </w:r>
        <w:r w:rsidRPr="00226C43">
          <w:rPr>
            <w:noProof/>
            <w:webHidden/>
          </w:rPr>
          <w:instrText xml:space="preserve"> PAGEREF _Toc190939921 \h </w:instrText>
        </w:r>
        <w:r w:rsidRPr="00226C43">
          <w:rPr>
            <w:noProof/>
            <w:webHidden/>
          </w:rPr>
        </w:r>
        <w:r w:rsidRPr="00226C43">
          <w:rPr>
            <w:noProof/>
            <w:webHidden/>
          </w:rPr>
          <w:fldChar w:fldCharType="separate"/>
        </w:r>
        <w:r w:rsidR="0050071D">
          <w:rPr>
            <w:noProof/>
            <w:webHidden/>
          </w:rPr>
          <w:t>84</w:t>
        </w:r>
        <w:r w:rsidRPr="00226C43">
          <w:rPr>
            <w:noProof/>
            <w:webHidden/>
          </w:rPr>
          <w:fldChar w:fldCharType="end"/>
        </w:r>
      </w:hyperlink>
    </w:p>
    <w:p w14:paraId="33451B2B" w14:textId="4D7CD07C" w:rsidR="00834BD1" w:rsidRPr="00226C43" w:rsidRDefault="00834BD1">
      <w:pPr>
        <w:pStyle w:val="TableofFigures"/>
        <w:tabs>
          <w:tab w:val="right" w:leader="dot" w:pos="9016"/>
        </w:tabs>
        <w:rPr>
          <w:rFonts w:eastAsiaTheme="minorEastAsia"/>
          <w:noProof/>
        </w:rPr>
      </w:pPr>
      <w:hyperlink w:anchor="_Toc190939922" w:history="1">
        <w:r w:rsidRPr="00226C43">
          <w:rPr>
            <w:rStyle w:val="Hyperlink"/>
            <w:noProof/>
            <w:color w:val="auto"/>
          </w:rPr>
          <w:t>Table 23: Satisfaction with elements of alumni engagement</w:t>
        </w:r>
        <w:r w:rsidRPr="00226C43">
          <w:rPr>
            <w:noProof/>
            <w:webHidden/>
          </w:rPr>
          <w:tab/>
        </w:r>
        <w:r w:rsidRPr="00226C43">
          <w:rPr>
            <w:noProof/>
            <w:webHidden/>
          </w:rPr>
          <w:fldChar w:fldCharType="begin"/>
        </w:r>
        <w:r w:rsidRPr="00226C43">
          <w:rPr>
            <w:noProof/>
            <w:webHidden/>
          </w:rPr>
          <w:instrText xml:space="preserve"> PAGEREF _Toc190939922 \h </w:instrText>
        </w:r>
        <w:r w:rsidRPr="00226C43">
          <w:rPr>
            <w:noProof/>
            <w:webHidden/>
          </w:rPr>
        </w:r>
        <w:r w:rsidRPr="00226C43">
          <w:rPr>
            <w:noProof/>
            <w:webHidden/>
          </w:rPr>
          <w:fldChar w:fldCharType="separate"/>
        </w:r>
        <w:r w:rsidR="0050071D">
          <w:rPr>
            <w:noProof/>
            <w:webHidden/>
          </w:rPr>
          <w:t>85</w:t>
        </w:r>
        <w:r w:rsidRPr="00226C43">
          <w:rPr>
            <w:noProof/>
            <w:webHidden/>
          </w:rPr>
          <w:fldChar w:fldCharType="end"/>
        </w:r>
      </w:hyperlink>
    </w:p>
    <w:p w14:paraId="7D3016A3" w14:textId="485706FB" w:rsidR="00834BD1" w:rsidRPr="00226C43" w:rsidRDefault="00834BD1">
      <w:pPr>
        <w:pStyle w:val="TableofFigures"/>
        <w:tabs>
          <w:tab w:val="right" w:leader="dot" w:pos="9016"/>
        </w:tabs>
        <w:rPr>
          <w:rFonts w:eastAsiaTheme="minorEastAsia"/>
          <w:noProof/>
        </w:rPr>
      </w:pPr>
      <w:hyperlink w:anchor="_Toc190939923" w:history="1">
        <w:r w:rsidRPr="00226C43">
          <w:rPr>
            <w:rStyle w:val="Hyperlink"/>
            <w:noProof/>
            <w:color w:val="auto"/>
          </w:rPr>
          <w:t>Table 24: Ad hoc / Emerging Priorities requests from the Embassy</w:t>
        </w:r>
        <w:r w:rsidRPr="00226C43">
          <w:rPr>
            <w:noProof/>
            <w:webHidden/>
          </w:rPr>
          <w:tab/>
        </w:r>
        <w:r w:rsidRPr="00226C43">
          <w:rPr>
            <w:noProof/>
            <w:webHidden/>
          </w:rPr>
          <w:fldChar w:fldCharType="begin"/>
        </w:r>
        <w:r w:rsidRPr="00226C43">
          <w:rPr>
            <w:noProof/>
            <w:webHidden/>
          </w:rPr>
          <w:instrText xml:space="preserve"> PAGEREF _Toc190939923 \h </w:instrText>
        </w:r>
        <w:r w:rsidRPr="00226C43">
          <w:rPr>
            <w:noProof/>
            <w:webHidden/>
          </w:rPr>
        </w:r>
        <w:r w:rsidRPr="00226C43">
          <w:rPr>
            <w:noProof/>
            <w:webHidden/>
          </w:rPr>
          <w:fldChar w:fldCharType="separate"/>
        </w:r>
        <w:r w:rsidR="0050071D">
          <w:rPr>
            <w:noProof/>
            <w:webHidden/>
          </w:rPr>
          <w:t>86</w:t>
        </w:r>
        <w:r w:rsidRPr="00226C43">
          <w:rPr>
            <w:noProof/>
            <w:webHidden/>
          </w:rPr>
          <w:fldChar w:fldCharType="end"/>
        </w:r>
      </w:hyperlink>
    </w:p>
    <w:p w14:paraId="38E15923" w14:textId="4DB399A2" w:rsidR="00834BD1" w:rsidRPr="00226C43" w:rsidRDefault="00834BD1">
      <w:pPr>
        <w:pStyle w:val="TableofFigures"/>
        <w:tabs>
          <w:tab w:val="right" w:leader="dot" w:pos="9016"/>
        </w:tabs>
        <w:rPr>
          <w:rFonts w:eastAsiaTheme="minorEastAsia"/>
          <w:noProof/>
        </w:rPr>
      </w:pPr>
      <w:hyperlink w:anchor="_Toc190939924" w:history="1">
        <w:r w:rsidRPr="00226C43">
          <w:rPr>
            <w:rStyle w:val="Hyperlink"/>
            <w:noProof/>
            <w:color w:val="auto"/>
          </w:rPr>
          <w:t>Table 25: Average AQR/IMR Scores over the period 2018–2024</w:t>
        </w:r>
        <w:r w:rsidRPr="00226C43">
          <w:rPr>
            <w:noProof/>
            <w:webHidden/>
          </w:rPr>
          <w:tab/>
        </w:r>
        <w:r w:rsidRPr="00226C43">
          <w:rPr>
            <w:noProof/>
            <w:webHidden/>
          </w:rPr>
          <w:fldChar w:fldCharType="begin"/>
        </w:r>
        <w:r w:rsidRPr="00226C43">
          <w:rPr>
            <w:noProof/>
            <w:webHidden/>
          </w:rPr>
          <w:instrText xml:space="preserve"> PAGEREF _Toc190939924 \h </w:instrText>
        </w:r>
        <w:r w:rsidRPr="00226C43">
          <w:rPr>
            <w:noProof/>
            <w:webHidden/>
          </w:rPr>
        </w:r>
        <w:r w:rsidRPr="00226C43">
          <w:rPr>
            <w:noProof/>
            <w:webHidden/>
          </w:rPr>
          <w:fldChar w:fldCharType="separate"/>
        </w:r>
        <w:r w:rsidR="0050071D">
          <w:rPr>
            <w:noProof/>
            <w:webHidden/>
          </w:rPr>
          <w:t>91</w:t>
        </w:r>
        <w:r w:rsidRPr="00226C43">
          <w:rPr>
            <w:noProof/>
            <w:webHidden/>
          </w:rPr>
          <w:fldChar w:fldCharType="end"/>
        </w:r>
      </w:hyperlink>
    </w:p>
    <w:p w14:paraId="3825592D" w14:textId="7E19BC81" w:rsidR="00834BD1" w:rsidRPr="00226C43" w:rsidRDefault="00834BD1">
      <w:pPr>
        <w:pStyle w:val="TableofFigures"/>
        <w:tabs>
          <w:tab w:val="right" w:leader="dot" w:pos="9016"/>
        </w:tabs>
        <w:rPr>
          <w:rFonts w:eastAsiaTheme="minorEastAsia"/>
          <w:noProof/>
        </w:rPr>
      </w:pPr>
      <w:hyperlink w:anchor="_Toc190939925" w:history="1">
        <w:r w:rsidRPr="00226C43">
          <w:rPr>
            <w:rStyle w:val="Hyperlink"/>
            <w:noProof/>
            <w:color w:val="auto"/>
          </w:rPr>
          <w:t>Table 26: Comments and scores over the period 2018–2024</w:t>
        </w:r>
        <w:r w:rsidRPr="00226C43">
          <w:rPr>
            <w:noProof/>
            <w:webHidden/>
          </w:rPr>
          <w:tab/>
        </w:r>
        <w:r w:rsidRPr="00226C43">
          <w:rPr>
            <w:noProof/>
            <w:webHidden/>
          </w:rPr>
          <w:fldChar w:fldCharType="begin"/>
        </w:r>
        <w:r w:rsidRPr="00226C43">
          <w:rPr>
            <w:noProof/>
            <w:webHidden/>
          </w:rPr>
          <w:instrText xml:space="preserve"> PAGEREF _Toc190939925 \h </w:instrText>
        </w:r>
        <w:r w:rsidRPr="00226C43">
          <w:rPr>
            <w:noProof/>
            <w:webHidden/>
          </w:rPr>
        </w:r>
        <w:r w:rsidRPr="00226C43">
          <w:rPr>
            <w:noProof/>
            <w:webHidden/>
          </w:rPr>
          <w:fldChar w:fldCharType="separate"/>
        </w:r>
        <w:r w:rsidR="0050071D">
          <w:rPr>
            <w:noProof/>
            <w:webHidden/>
          </w:rPr>
          <w:t>91</w:t>
        </w:r>
        <w:r w:rsidRPr="00226C43">
          <w:rPr>
            <w:noProof/>
            <w:webHidden/>
          </w:rPr>
          <w:fldChar w:fldCharType="end"/>
        </w:r>
      </w:hyperlink>
    </w:p>
    <w:p w14:paraId="0E6D9038" w14:textId="0BDAD570" w:rsidR="00A51612" w:rsidRPr="00226C43" w:rsidRDefault="007E20F8" w:rsidP="4DD21A85">
      <w:pPr>
        <w:pStyle w:val="TableofFigures"/>
      </w:pPr>
      <w:r w:rsidRPr="00226C43">
        <w:fldChar w:fldCharType="end"/>
      </w:r>
    </w:p>
    <w:p w14:paraId="3BC4F6EE" w14:textId="77777777" w:rsidR="009E6D5A" w:rsidRPr="00226C43" w:rsidRDefault="00F863D2" w:rsidP="4DD21A85">
      <w:pPr>
        <w:pStyle w:val="TOCHeading"/>
        <w:rPr>
          <w:rFonts w:asciiTheme="minorHAnsi" w:hAnsiTheme="minorHAnsi"/>
          <w:color w:val="auto"/>
        </w:rPr>
      </w:pPr>
      <w:bookmarkStart w:id="0" w:name="_Toc170122219"/>
      <w:bookmarkStart w:id="1" w:name="_Toc170122296"/>
      <w:r w:rsidRPr="00226C43">
        <w:rPr>
          <w:rFonts w:asciiTheme="minorHAnsi" w:hAnsiTheme="minorHAnsi"/>
          <w:color w:val="auto"/>
        </w:rPr>
        <w:br w:type="page"/>
      </w:r>
      <w:r w:rsidR="4DD21A85" w:rsidRPr="00226C43">
        <w:rPr>
          <w:rFonts w:asciiTheme="minorHAnsi" w:hAnsiTheme="minorHAnsi"/>
          <w:color w:val="auto"/>
        </w:rPr>
        <w:lastRenderedPageBreak/>
        <w:t>List of acronyms and abbreviations</w:t>
      </w:r>
    </w:p>
    <w:tbl>
      <w:tblPr>
        <w:tblStyle w:val="TableGrid"/>
        <w:tblW w:w="0" w:type="auto"/>
        <w:tblLook w:val="06A0" w:firstRow="1" w:lastRow="0" w:firstColumn="1" w:lastColumn="0" w:noHBand="1" w:noVBand="1"/>
      </w:tblPr>
      <w:tblGrid>
        <w:gridCol w:w="1417"/>
        <w:gridCol w:w="7599"/>
      </w:tblGrid>
      <w:tr w:rsidR="00226C43" w:rsidRPr="00577BAD" w14:paraId="3B061F4F" w14:textId="77777777" w:rsidTr="00117212">
        <w:trPr>
          <w:trHeight w:val="20"/>
          <w:tblHeader/>
        </w:trPr>
        <w:tc>
          <w:tcPr>
            <w:tcW w:w="1418" w:type="dxa"/>
            <w:shd w:val="clear" w:color="auto" w:fill="E3DED1" w:themeFill="background2"/>
          </w:tcPr>
          <w:p w14:paraId="10965585" w14:textId="77777777" w:rsidR="009E6D5A" w:rsidRPr="00577BAD" w:rsidRDefault="4DD21A85" w:rsidP="00CA2071">
            <w:pPr>
              <w:pStyle w:val="Tabletext"/>
              <w:spacing w:before="0" w:after="0"/>
              <w:rPr>
                <w:b/>
                <w:bCs/>
                <w:sz w:val="20"/>
                <w:szCs w:val="20"/>
              </w:rPr>
            </w:pPr>
            <w:r w:rsidRPr="00577BAD">
              <w:rPr>
                <w:b/>
                <w:bCs/>
                <w:sz w:val="20"/>
                <w:szCs w:val="20"/>
              </w:rPr>
              <w:t>Acronym</w:t>
            </w:r>
          </w:p>
        </w:tc>
        <w:tc>
          <w:tcPr>
            <w:tcW w:w="7608" w:type="dxa"/>
            <w:shd w:val="clear" w:color="auto" w:fill="E3DED1" w:themeFill="background2"/>
          </w:tcPr>
          <w:p w14:paraId="725B7E38" w14:textId="77777777" w:rsidR="009E6D5A" w:rsidRPr="00577BAD" w:rsidRDefault="4DD21A85" w:rsidP="00CA2071">
            <w:pPr>
              <w:pStyle w:val="Tabletext"/>
              <w:spacing w:before="0" w:after="0"/>
              <w:rPr>
                <w:b/>
                <w:bCs/>
                <w:sz w:val="20"/>
                <w:szCs w:val="20"/>
              </w:rPr>
            </w:pPr>
            <w:r w:rsidRPr="00577BAD">
              <w:rPr>
                <w:b/>
                <w:bCs/>
                <w:sz w:val="20"/>
                <w:szCs w:val="20"/>
              </w:rPr>
              <w:t>Description</w:t>
            </w:r>
          </w:p>
        </w:tc>
      </w:tr>
      <w:tr w:rsidR="00226C43" w:rsidRPr="00577BAD" w14:paraId="46FE5B66" w14:textId="77777777" w:rsidTr="00610A3E">
        <w:trPr>
          <w:trHeight w:val="20"/>
        </w:trPr>
        <w:tc>
          <w:tcPr>
            <w:tcW w:w="1418" w:type="dxa"/>
          </w:tcPr>
          <w:p w14:paraId="24097DDA" w14:textId="4CDE46EE" w:rsidR="009E6D5A" w:rsidRPr="00577BAD" w:rsidRDefault="4DD21A85" w:rsidP="00CA2071">
            <w:pPr>
              <w:pStyle w:val="Tabletext"/>
              <w:spacing w:before="0" w:after="0"/>
              <w:rPr>
                <w:sz w:val="20"/>
                <w:szCs w:val="20"/>
              </w:rPr>
            </w:pPr>
            <w:r w:rsidRPr="00577BAD">
              <w:rPr>
                <w:sz w:val="20"/>
                <w:szCs w:val="20"/>
              </w:rPr>
              <w:t>AA</w:t>
            </w:r>
          </w:p>
        </w:tc>
        <w:tc>
          <w:tcPr>
            <w:tcW w:w="7608" w:type="dxa"/>
          </w:tcPr>
          <w:p w14:paraId="1B2DCC2B" w14:textId="1192B3D1" w:rsidR="009E6D5A" w:rsidRPr="00577BAD" w:rsidRDefault="4DD21A85" w:rsidP="00CA2071">
            <w:pPr>
              <w:pStyle w:val="Tabletext"/>
              <w:spacing w:before="0" w:after="0"/>
              <w:rPr>
                <w:rFonts w:eastAsiaTheme="minorEastAsia"/>
                <w:sz w:val="20"/>
                <w:szCs w:val="20"/>
              </w:rPr>
            </w:pPr>
            <w:r w:rsidRPr="00577BAD">
              <w:rPr>
                <w:rFonts w:eastAsiaTheme="minorEastAsia"/>
                <w:sz w:val="20"/>
                <w:szCs w:val="20"/>
              </w:rPr>
              <w:t>Australia Awards</w:t>
            </w:r>
          </w:p>
        </w:tc>
      </w:tr>
      <w:tr w:rsidR="00226C43" w:rsidRPr="00577BAD" w14:paraId="353D0043" w14:textId="77777777" w:rsidTr="00610A3E">
        <w:trPr>
          <w:trHeight w:val="20"/>
        </w:trPr>
        <w:tc>
          <w:tcPr>
            <w:tcW w:w="1418" w:type="dxa"/>
          </w:tcPr>
          <w:p w14:paraId="2705205D" w14:textId="7DC52365" w:rsidR="009E6D5A" w:rsidRPr="00577BAD" w:rsidRDefault="4DD21A85" w:rsidP="00CA2071">
            <w:pPr>
              <w:pStyle w:val="Tabletext"/>
              <w:spacing w:before="0" w:after="0"/>
              <w:rPr>
                <w:sz w:val="20"/>
                <w:szCs w:val="20"/>
              </w:rPr>
            </w:pPr>
            <w:r w:rsidRPr="00577BAD">
              <w:rPr>
                <w:sz w:val="20"/>
                <w:szCs w:val="20"/>
              </w:rPr>
              <w:t>AAAEP–P</w:t>
            </w:r>
          </w:p>
        </w:tc>
        <w:tc>
          <w:tcPr>
            <w:tcW w:w="7608" w:type="dxa"/>
          </w:tcPr>
          <w:p w14:paraId="0AB74E21" w14:textId="163020DC" w:rsidR="009E6D5A" w:rsidRPr="00577BAD" w:rsidRDefault="4DD21A85" w:rsidP="00CA2071">
            <w:pPr>
              <w:pStyle w:val="Tabletext"/>
              <w:spacing w:before="0" w:after="0"/>
              <w:rPr>
                <w:rFonts w:eastAsiaTheme="minorEastAsia"/>
                <w:sz w:val="20"/>
                <w:szCs w:val="20"/>
              </w:rPr>
            </w:pPr>
            <w:r w:rsidRPr="00577BAD">
              <w:rPr>
                <w:rFonts w:eastAsiaTheme="minorEastAsia"/>
                <w:sz w:val="20"/>
                <w:szCs w:val="20"/>
              </w:rPr>
              <w:t>Australia Awards and Alumni Engagement Program – Philippines</w:t>
            </w:r>
          </w:p>
        </w:tc>
      </w:tr>
      <w:tr w:rsidR="00226C43" w:rsidRPr="00577BAD" w14:paraId="6BF6E973" w14:textId="77777777" w:rsidTr="00610A3E">
        <w:trPr>
          <w:trHeight w:val="20"/>
        </w:trPr>
        <w:tc>
          <w:tcPr>
            <w:tcW w:w="1418" w:type="dxa"/>
          </w:tcPr>
          <w:p w14:paraId="78345F2F" w14:textId="6CF2BB40" w:rsidR="12F0C9DC" w:rsidRPr="00577BAD" w:rsidRDefault="0A9296A1" w:rsidP="00CA2071">
            <w:pPr>
              <w:pStyle w:val="Tabletext"/>
              <w:spacing w:before="0" w:after="0"/>
              <w:rPr>
                <w:sz w:val="20"/>
                <w:szCs w:val="20"/>
              </w:rPr>
            </w:pPr>
            <w:r w:rsidRPr="00577BAD">
              <w:rPr>
                <w:sz w:val="20"/>
                <w:szCs w:val="20"/>
              </w:rPr>
              <w:t>AAS</w:t>
            </w:r>
          </w:p>
        </w:tc>
        <w:tc>
          <w:tcPr>
            <w:tcW w:w="7608" w:type="dxa"/>
          </w:tcPr>
          <w:p w14:paraId="2314F86F" w14:textId="6EF667D5" w:rsidR="12F0C9DC" w:rsidRPr="00577BAD" w:rsidRDefault="0A9296A1" w:rsidP="00CA2071">
            <w:pPr>
              <w:pStyle w:val="Tabletext"/>
              <w:spacing w:before="0" w:after="0"/>
              <w:rPr>
                <w:rFonts w:eastAsiaTheme="minorEastAsia"/>
                <w:sz w:val="20"/>
                <w:szCs w:val="20"/>
              </w:rPr>
            </w:pPr>
            <w:r w:rsidRPr="00577BAD">
              <w:rPr>
                <w:rFonts w:eastAsiaTheme="minorEastAsia"/>
                <w:sz w:val="20"/>
                <w:szCs w:val="20"/>
              </w:rPr>
              <w:t>Australia Awards Scholarships</w:t>
            </w:r>
          </w:p>
        </w:tc>
      </w:tr>
      <w:tr w:rsidR="00226C43" w:rsidRPr="00577BAD" w14:paraId="535D12C3" w14:textId="77777777" w:rsidTr="00610A3E">
        <w:trPr>
          <w:trHeight w:val="20"/>
        </w:trPr>
        <w:tc>
          <w:tcPr>
            <w:tcW w:w="1418" w:type="dxa"/>
          </w:tcPr>
          <w:p w14:paraId="3FF34FE7" w14:textId="357BA955" w:rsidR="1997EF31" w:rsidRPr="00577BAD" w:rsidRDefault="1997EF31" w:rsidP="00CA2071">
            <w:pPr>
              <w:pStyle w:val="Tabletext"/>
              <w:spacing w:before="0" w:after="0"/>
              <w:rPr>
                <w:sz w:val="20"/>
                <w:szCs w:val="20"/>
              </w:rPr>
            </w:pPr>
            <w:r w:rsidRPr="00577BAD">
              <w:rPr>
                <w:sz w:val="20"/>
                <w:szCs w:val="20"/>
              </w:rPr>
              <w:t>AMR</w:t>
            </w:r>
          </w:p>
        </w:tc>
        <w:tc>
          <w:tcPr>
            <w:tcW w:w="7608" w:type="dxa"/>
          </w:tcPr>
          <w:p w14:paraId="2FB19112" w14:textId="7E8A6AB7" w:rsidR="1997EF31" w:rsidRPr="00577BAD" w:rsidRDefault="51F8BBA7" w:rsidP="00CA2071">
            <w:pPr>
              <w:pStyle w:val="Tabletext"/>
              <w:spacing w:before="0" w:after="0"/>
              <w:rPr>
                <w:rFonts w:eastAsiaTheme="minorEastAsia"/>
                <w:sz w:val="20"/>
                <w:szCs w:val="20"/>
              </w:rPr>
            </w:pPr>
            <w:r w:rsidRPr="00577BAD">
              <w:rPr>
                <w:rFonts w:eastAsiaTheme="minorEastAsia"/>
                <w:sz w:val="20"/>
                <w:szCs w:val="20"/>
              </w:rPr>
              <w:t>Annual Monitoring Report</w:t>
            </w:r>
          </w:p>
        </w:tc>
      </w:tr>
      <w:tr w:rsidR="00226C43" w:rsidRPr="00577BAD" w14:paraId="12FDC1E8" w14:textId="77777777" w:rsidTr="00610A3E">
        <w:trPr>
          <w:trHeight w:val="20"/>
        </w:trPr>
        <w:tc>
          <w:tcPr>
            <w:tcW w:w="1418" w:type="dxa"/>
          </w:tcPr>
          <w:p w14:paraId="2A667EEB" w14:textId="50CE08A6" w:rsidR="00A067C9" w:rsidRPr="00577BAD" w:rsidRDefault="00A067C9" w:rsidP="00CA2071">
            <w:pPr>
              <w:pStyle w:val="Tabletext"/>
              <w:spacing w:before="0" w:after="0"/>
              <w:rPr>
                <w:sz w:val="20"/>
                <w:szCs w:val="20"/>
              </w:rPr>
            </w:pPr>
            <w:r w:rsidRPr="00577BAD">
              <w:rPr>
                <w:sz w:val="20"/>
                <w:szCs w:val="20"/>
              </w:rPr>
              <w:t>AQR</w:t>
            </w:r>
          </w:p>
        </w:tc>
        <w:tc>
          <w:tcPr>
            <w:tcW w:w="7608" w:type="dxa"/>
          </w:tcPr>
          <w:p w14:paraId="391FC60D" w14:textId="627A8DD1" w:rsidR="00A067C9" w:rsidRPr="00577BAD" w:rsidRDefault="00A067C9" w:rsidP="00CA2071">
            <w:pPr>
              <w:pStyle w:val="Tabletext"/>
              <w:spacing w:before="0" w:after="0"/>
              <w:rPr>
                <w:rFonts w:eastAsiaTheme="minorEastAsia"/>
                <w:sz w:val="20"/>
                <w:szCs w:val="20"/>
              </w:rPr>
            </w:pPr>
            <w:r w:rsidRPr="00577BAD">
              <w:rPr>
                <w:rFonts w:eastAsiaTheme="minorEastAsia"/>
                <w:sz w:val="20"/>
                <w:szCs w:val="20"/>
              </w:rPr>
              <w:t xml:space="preserve">Aid Quality </w:t>
            </w:r>
            <w:r w:rsidR="00FA502C" w:rsidRPr="00577BAD">
              <w:rPr>
                <w:rFonts w:eastAsiaTheme="minorEastAsia"/>
                <w:sz w:val="20"/>
                <w:szCs w:val="20"/>
              </w:rPr>
              <w:t>Report</w:t>
            </w:r>
          </w:p>
        </w:tc>
      </w:tr>
      <w:tr w:rsidR="00226C43" w:rsidRPr="00577BAD" w14:paraId="09BE1AA7" w14:textId="77777777" w:rsidTr="00610A3E">
        <w:trPr>
          <w:trHeight w:val="20"/>
        </w:trPr>
        <w:tc>
          <w:tcPr>
            <w:tcW w:w="1418" w:type="dxa"/>
          </w:tcPr>
          <w:p w14:paraId="3557C43F" w14:textId="7A4156FF" w:rsidR="4DD21A85" w:rsidRPr="00577BAD" w:rsidRDefault="4DD21A85" w:rsidP="00CA2071">
            <w:pPr>
              <w:pStyle w:val="Tabletext"/>
              <w:spacing w:before="0" w:after="0"/>
              <w:rPr>
                <w:sz w:val="20"/>
                <w:szCs w:val="20"/>
              </w:rPr>
            </w:pPr>
            <w:r w:rsidRPr="00577BAD">
              <w:rPr>
                <w:sz w:val="20"/>
                <w:szCs w:val="20"/>
              </w:rPr>
              <w:t>BARMM</w:t>
            </w:r>
          </w:p>
        </w:tc>
        <w:tc>
          <w:tcPr>
            <w:tcW w:w="7608" w:type="dxa"/>
          </w:tcPr>
          <w:p w14:paraId="2927A2B2" w14:textId="59B0EC3A" w:rsidR="4DD21A85" w:rsidRPr="00577BAD" w:rsidRDefault="4DD21A85" w:rsidP="00CA2071">
            <w:pPr>
              <w:pStyle w:val="Tabletext"/>
              <w:spacing w:before="0" w:after="0"/>
              <w:rPr>
                <w:rFonts w:eastAsiaTheme="minorEastAsia"/>
                <w:sz w:val="20"/>
                <w:szCs w:val="20"/>
              </w:rPr>
            </w:pPr>
            <w:r w:rsidRPr="00577BAD">
              <w:rPr>
                <w:rFonts w:eastAsiaTheme="minorEastAsia"/>
                <w:sz w:val="20"/>
                <w:szCs w:val="20"/>
              </w:rPr>
              <w:t>Bangsamoro Autonomous Region of Muslim Mindanao</w:t>
            </w:r>
          </w:p>
        </w:tc>
      </w:tr>
      <w:tr w:rsidR="00226C43" w:rsidRPr="00577BAD" w14:paraId="2B389C3A" w14:textId="77777777" w:rsidTr="00610A3E">
        <w:trPr>
          <w:trHeight w:val="20"/>
        </w:trPr>
        <w:tc>
          <w:tcPr>
            <w:tcW w:w="1418" w:type="dxa"/>
          </w:tcPr>
          <w:p w14:paraId="7B546B96" w14:textId="0AB64C62" w:rsidR="4DD21A85" w:rsidRPr="00577BAD" w:rsidRDefault="4DD21A85" w:rsidP="00CA2071">
            <w:pPr>
              <w:pStyle w:val="Tabletext"/>
              <w:spacing w:before="0" w:after="0"/>
              <w:rPr>
                <w:sz w:val="20"/>
                <w:szCs w:val="20"/>
              </w:rPr>
            </w:pPr>
            <w:r w:rsidRPr="00577BAD">
              <w:rPr>
                <w:sz w:val="20"/>
                <w:szCs w:val="20"/>
              </w:rPr>
              <w:t>CoP</w:t>
            </w:r>
          </w:p>
        </w:tc>
        <w:tc>
          <w:tcPr>
            <w:tcW w:w="7608" w:type="dxa"/>
          </w:tcPr>
          <w:p w14:paraId="57D4345A" w14:textId="134F4B74" w:rsidR="4DD21A85" w:rsidRPr="00577BAD" w:rsidRDefault="4DD21A85" w:rsidP="00CA2071">
            <w:pPr>
              <w:pStyle w:val="Tabletext"/>
              <w:spacing w:before="0" w:after="0"/>
              <w:rPr>
                <w:rFonts w:eastAsiaTheme="minorEastAsia"/>
                <w:sz w:val="20"/>
                <w:szCs w:val="20"/>
              </w:rPr>
            </w:pPr>
            <w:r w:rsidRPr="00577BAD">
              <w:rPr>
                <w:rFonts w:eastAsiaTheme="minorEastAsia"/>
                <w:sz w:val="20"/>
                <w:szCs w:val="20"/>
              </w:rPr>
              <w:t>Community of Practice</w:t>
            </w:r>
          </w:p>
        </w:tc>
      </w:tr>
      <w:tr w:rsidR="00226C43" w:rsidRPr="00577BAD" w14:paraId="5DEABBC2" w14:textId="77777777" w:rsidTr="00610A3E">
        <w:trPr>
          <w:trHeight w:val="20"/>
        </w:trPr>
        <w:tc>
          <w:tcPr>
            <w:tcW w:w="1418" w:type="dxa"/>
          </w:tcPr>
          <w:p w14:paraId="1AE061DB" w14:textId="73D905FE" w:rsidR="009E6D5A" w:rsidRPr="00577BAD" w:rsidRDefault="4DD21A85" w:rsidP="00CA2071">
            <w:pPr>
              <w:pStyle w:val="Tabletext"/>
              <w:spacing w:before="0" w:after="0"/>
              <w:rPr>
                <w:sz w:val="20"/>
                <w:szCs w:val="20"/>
              </w:rPr>
            </w:pPr>
            <w:r w:rsidRPr="00577BAD">
              <w:rPr>
                <w:sz w:val="20"/>
                <w:szCs w:val="20"/>
              </w:rPr>
              <w:t>DFAT</w:t>
            </w:r>
          </w:p>
        </w:tc>
        <w:tc>
          <w:tcPr>
            <w:tcW w:w="7608" w:type="dxa"/>
          </w:tcPr>
          <w:p w14:paraId="2D16C75B" w14:textId="749E82F2" w:rsidR="009E6D5A" w:rsidRPr="00577BAD" w:rsidRDefault="4DD21A85" w:rsidP="00CA2071">
            <w:pPr>
              <w:pStyle w:val="Tabletext"/>
              <w:spacing w:before="0" w:after="0"/>
              <w:rPr>
                <w:rFonts w:eastAsiaTheme="minorEastAsia"/>
                <w:sz w:val="20"/>
                <w:szCs w:val="20"/>
              </w:rPr>
            </w:pPr>
            <w:r w:rsidRPr="00577BAD">
              <w:rPr>
                <w:rFonts w:eastAsiaTheme="minorEastAsia"/>
                <w:sz w:val="20"/>
                <w:szCs w:val="20"/>
              </w:rPr>
              <w:t>Department of Foreign Affairs and Trade</w:t>
            </w:r>
          </w:p>
        </w:tc>
      </w:tr>
      <w:tr w:rsidR="00226C43" w:rsidRPr="00577BAD" w14:paraId="32E6E8BA" w14:textId="77777777" w:rsidTr="00610A3E">
        <w:trPr>
          <w:trHeight w:val="20"/>
        </w:trPr>
        <w:tc>
          <w:tcPr>
            <w:tcW w:w="1418" w:type="dxa"/>
          </w:tcPr>
          <w:p w14:paraId="52CFB0BE" w14:textId="4AE5F1E3" w:rsidR="24F04A3E" w:rsidRPr="00577BAD" w:rsidRDefault="24F04A3E" w:rsidP="00CA2071">
            <w:pPr>
              <w:pStyle w:val="Tabletext"/>
              <w:spacing w:before="0" w:after="0"/>
              <w:rPr>
                <w:sz w:val="20"/>
                <w:szCs w:val="20"/>
              </w:rPr>
            </w:pPr>
            <w:r w:rsidRPr="00577BAD">
              <w:rPr>
                <w:sz w:val="20"/>
                <w:szCs w:val="20"/>
              </w:rPr>
              <w:t>DPP</w:t>
            </w:r>
          </w:p>
        </w:tc>
        <w:tc>
          <w:tcPr>
            <w:tcW w:w="7608" w:type="dxa"/>
          </w:tcPr>
          <w:p w14:paraId="213D33E6" w14:textId="31B223ED" w:rsidR="24F04A3E" w:rsidRPr="00577BAD" w:rsidRDefault="24F04A3E" w:rsidP="00CA2071">
            <w:pPr>
              <w:pStyle w:val="Tabletext"/>
              <w:spacing w:before="0" w:after="0"/>
              <w:rPr>
                <w:rFonts w:eastAsiaTheme="minorEastAsia"/>
                <w:sz w:val="20"/>
                <w:szCs w:val="20"/>
              </w:rPr>
            </w:pPr>
            <w:r w:rsidRPr="00577BAD">
              <w:rPr>
                <w:rFonts w:eastAsiaTheme="minorEastAsia"/>
                <w:sz w:val="20"/>
                <w:szCs w:val="20"/>
              </w:rPr>
              <w:t>Development Partnership Plan</w:t>
            </w:r>
          </w:p>
        </w:tc>
      </w:tr>
      <w:tr w:rsidR="00226C43" w:rsidRPr="00577BAD" w14:paraId="5BCC6D26" w14:textId="77777777" w:rsidTr="00610A3E">
        <w:trPr>
          <w:trHeight w:val="20"/>
        </w:trPr>
        <w:tc>
          <w:tcPr>
            <w:tcW w:w="1418" w:type="dxa"/>
          </w:tcPr>
          <w:p w14:paraId="6B94C058" w14:textId="4ABDCF21" w:rsidR="00A067C9" w:rsidRPr="00577BAD" w:rsidRDefault="00A067C9" w:rsidP="00CA2071">
            <w:pPr>
              <w:pStyle w:val="Tabletext"/>
              <w:spacing w:before="0" w:after="0"/>
              <w:rPr>
                <w:sz w:val="20"/>
                <w:szCs w:val="20"/>
              </w:rPr>
            </w:pPr>
            <w:r w:rsidRPr="00577BAD">
              <w:rPr>
                <w:sz w:val="20"/>
                <w:szCs w:val="20"/>
              </w:rPr>
              <w:t>DRRM</w:t>
            </w:r>
          </w:p>
        </w:tc>
        <w:tc>
          <w:tcPr>
            <w:tcW w:w="7608" w:type="dxa"/>
          </w:tcPr>
          <w:p w14:paraId="44A3D26D" w14:textId="1C6353FF" w:rsidR="00A067C9" w:rsidRPr="00577BAD" w:rsidRDefault="00A067C9" w:rsidP="00CA2071">
            <w:pPr>
              <w:pStyle w:val="Tabletext"/>
              <w:spacing w:before="0" w:after="0"/>
              <w:rPr>
                <w:rFonts w:eastAsiaTheme="minorEastAsia"/>
                <w:sz w:val="20"/>
                <w:szCs w:val="20"/>
              </w:rPr>
            </w:pPr>
            <w:r w:rsidRPr="00577BAD">
              <w:rPr>
                <w:rFonts w:eastAsiaTheme="minorEastAsia"/>
                <w:sz w:val="20"/>
                <w:szCs w:val="20"/>
              </w:rPr>
              <w:t>Disaster Risk and Resilience Management</w:t>
            </w:r>
          </w:p>
        </w:tc>
      </w:tr>
      <w:tr w:rsidR="00226C43" w:rsidRPr="00577BAD" w14:paraId="0C36123F" w14:textId="77777777" w:rsidTr="00610A3E">
        <w:trPr>
          <w:trHeight w:val="20"/>
        </w:trPr>
        <w:tc>
          <w:tcPr>
            <w:tcW w:w="1418" w:type="dxa"/>
          </w:tcPr>
          <w:p w14:paraId="1131E92E" w14:textId="664BDDC8" w:rsidR="009E6D5A" w:rsidRPr="00577BAD" w:rsidRDefault="4DD21A85" w:rsidP="00CA2071">
            <w:pPr>
              <w:pStyle w:val="Tabletext"/>
              <w:spacing w:before="0" w:after="0"/>
              <w:rPr>
                <w:rFonts w:eastAsia="Aptos"/>
                <w:sz w:val="20"/>
                <w:szCs w:val="20"/>
              </w:rPr>
            </w:pPr>
            <w:r w:rsidRPr="00577BAD">
              <w:rPr>
                <w:rFonts w:eastAsia="Aptos"/>
                <w:sz w:val="20"/>
                <w:szCs w:val="20"/>
              </w:rPr>
              <w:t>EOPO</w:t>
            </w:r>
          </w:p>
        </w:tc>
        <w:tc>
          <w:tcPr>
            <w:tcW w:w="7608" w:type="dxa"/>
          </w:tcPr>
          <w:p w14:paraId="42CB4C2C" w14:textId="7681A2B4" w:rsidR="009E6D5A" w:rsidRPr="00577BAD" w:rsidRDefault="4DD21A85" w:rsidP="00CA2071">
            <w:pPr>
              <w:pStyle w:val="Tabletext"/>
              <w:spacing w:before="0" w:after="0"/>
              <w:rPr>
                <w:rFonts w:eastAsiaTheme="minorEastAsia"/>
                <w:sz w:val="20"/>
                <w:szCs w:val="20"/>
              </w:rPr>
            </w:pPr>
            <w:r w:rsidRPr="00577BAD">
              <w:rPr>
                <w:rFonts w:eastAsiaTheme="minorEastAsia"/>
                <w:sz w:val="20"/>
                <w:szCs w:val="20"/>
              </w:rPr>
              <w:t>End of Program Outcome</w:t>
            </w:r>
          </w:p>
        </w:tc>
      </w:tr>
      <w:tr w:rsidR="00226C43" w:rsidRPr="00577BAD" w14:paraId="143AE790" w14:textId="77777777" w:rsidTr="00610A3E">
        <w:trPr>
          <w:trHeight w:val="20"/>
        </w:trPr>
        <w:tc>
          <w:tcPr>
            <w:tcW w:w="1418" w:type="dxa"/>
          </w:tcPr>
          <w:p w14:paraId="509BB188" w14:textId="4905E081" w:rsidR="1ED2FB7F" w:rsidRPr="00577BAD" w:rsidRDefault="1ED2FB7F" w:rsidP="00CA2071">
            <w:pPr>
              <w:pStyle w:val="Tabletext"/>
              <w:spacing w:before="0" w:after="0"/>
              <w:rPr>
                <w:rFonts w:eastAsia="Aptos"/>
                <w:sz w:val="20"/>
                <w:szCs w:val="20"/>
              </w:rPr>
            </w:pPr>
            <w:r w:rsidRPr="00577BAD">
              <w:rPr>
                <w:rFonts w:eastAsia="Aptos"/>
                <w:sz w:val="20"/>
                <w:szCs w:val="20"/>
              </w:rPr>
              <w:t>FGD</w:t>
            </w:r>
          </w:p>
        </w:tc>
        <w:tc>
          <w:tcPr>
            <w:tcW w:w="7608" w:type="dxa"/>
          </w:tcPr>
          <w:p w14:paraId="73952CB6" w14:textId="4BF15FE2" w:rsidR="1ED2FB7F" w:rsidRPr="00577BAD" w:rsidRDefault="1ED2FB7F" w:rsidP="00CA2071">
            <w:pPr>
              <w:pStyle w:val="Tabletext"/>
              <w:spacing w:before="0" w:after="0"/>
              <w:rPr>
                <w:rFonts w:eastAsiaTheme="minorEastAsia"/>
                <w:sz w:val="20"/>
                <w:szCs w:val="20"/>
              </w:rPr>
            </w:pPr>
            <w:r w:rsidRPr="00577BAD">
              <w:rPr>
                <w:rFonts w:eastAsiaTheme="minorEastAsia"/>
                <w:sz w:val="20"/>
                <w:szCs w:val="20"/>
              </w:rPr>
              <w:t xml:space="preserve">Focus Group </w:t>
            </w:r>
            <w:r w:rsidR="45090C61" w:rsidRPr="00577BAD">
              <w:rPr>
                <w:rFonts w:eastAsiaTheme="minorEastAsia"/>
                <w:sz w:val="20"/>
                <w:szCs w:val="20"/>
              </w:rPr>
              <w:t>Discussions</w:t>
            </w:r>
          </w:p>
        </w:tc>
      </w:tr>
      <w:tr w:rsidR="00226C43" w:rsidRPr="00577BAD" w14:paraId="6B95EA0C" w14:textId="77777777" w:rsidTr="00610A3E">
        <w:trPr>
          <w:trHeight w:val="20"/>
        </w:trPr>
        <w:tc>
          <w:tcPr>
            <w:tcW w:w="1418" w:type="dxa"/>
          </w:tcPr>
          <w:p w14:paraId="1A20E665" w14:textId="2641ED81" w:rsidR="4DD21A85" w:rsidRPr="00577BAD" w:rsidRDefault="4DD21A85" w:rsidP="00CA2071">
            <w:pPr>
              <w:pStyle w:val="Tabletext"/>
              <w:spacing w:before="0" w:after="0"/>
              <w:rPr>
                <w:rFonts w:eastAsia="Aptos"/>
                <w:sz w:val="20"/>
                <w:szCs w:val="20"/>
              </w:rPr>
            </w:pPr>
            <w:proofErr w:type="spellStart"/>
            <w:r w:rsidRPr="00577BAD">
              <w:rPr>
                <w:rFonts w:eastAsia="Aptos"/>
                <w:sz w:val="20"/>
                <w:szCs w:val="20"/>
              </w:rPr>
              <w:t>GaD</w:t>
            </w:r>
            <w:proofErr w:type="spellEnd"/>
          </w:p>
        </w:tc>
        <w:tc>
          <w:tcPr>
            <w:tcW w:w="7608" w:type="dxa"/>
          </w:tcPr>
          <w:p w14:paraId="77631E3B" w14:textId="42D7DB8F" w:rsidR="4DD21A85" w:rsidRPr="00577BAD" w:rsidRDefault="4DD21A85" w:rsidP="00CA2071">
            <w:pPr>
              <w:pStyle w:val="Tabletext"/>
              <w:spacing w:before="0" w:after="0"/>
              <w:rPr>
                <w:rFonts w:eastAsiaTheme="minorEastAsia"/>
                <w:sz w:val="20"/>
                <w:szCs w:val="20"/>
              </w:rPr>
            </w:pPr>
            <w:r w:rsidRPr="00577BAD">
              <w:rPr>
                <w:rFonts w:eastAsiaTheme="minorEastAsia"/>
                <w:sz w:val="20"/>
                <w:szCs w:val="20"/>
              </w:rPr>
              <w:t xml:space="preserve">Gender and </w:t>
            </w:r>
            <w:r w:rsidR="26ED6AE9" w:rsidRPr="00577BAD">
              <w:rPr>
                <w:rFonts w:eastAsiaTheme="minorEastAsia"/>
                <w:sz w:val="20"/>
                <w:szCs w:val="20"/>
              </w:rPr>
              <w:t>Development</w:t>
            </w:r>
          </w:p>
        </w:tc>
      </w:tr>
      <w:tr w:rsidR="00226C43" w:rsidRPr="00577BAD" w14:paraId="11A417EC" w14:textId="77777777" w:rsidTr="00610A3E">
        <w:trPr>
          <w:trHeight w:val="20"/>
        </w:trPr>
        <w:tc>
          <w:tcPr>
            <w:tcW w:w="1418" w:type="dxa"/>
          </w:tcPr>
          <w:p w14:paraId="090117FF" w14:textId="4645B5CA" w:rsidR="00011526" w:rsidRPr="00577BAD" w:rsidRDefault="4DD21A85" w:rsidP="00CA2071">
            <w:pPr>
              <w:pStyle w:val="Tabletext"/>
              <w:spacing w:before="0" w:after="0"/>
              <w:rPr>
                <w:rFonts w:eastAsia="Aptos"/>
                <w:sz w:val="20"/>
                <w:szCs w:val="20"/>
              </w:rPr>
            </w:pPr>
            <w:r w:rsidRPr="00577BAD">
              <w:rPr>
                <w:rFonts w:eastAsia="Aptos"/>
                <w:sz w:val="20"/>
                <w:szCs w:val="20"/>
              </w:rPr>
              <w:t>GEDSI</w:t>
            </w:r>
          </w:p>
        </w:tc>
        <w:tc>
          <w:tcPr>
            <w:tcW w:w="7608" w:type="dxa"/>
          </w:tcPr>
          <w:p w14:paraId="0A02347B" w14:textId="4BB71C1E" w:rsidR="00011526" w:rsidRPr="00577BAD" w:rsidRDefault="4DD21A85" w:rsidP="00CA2071">
            <w:pPr>
              <w:pStyle w:val="Tabletext"/>
              <w:spacing w:before="0" w:after="0"/>
              <w:rPr>
                <w:rFonts w:eastAsiaTheme="minorEastAsia"/>
                <w:sz w:val="20"/>
                <w:szCs w:val="20"/>
              </w:rPr>
            </w:pPr>
            <w:r w:rsidRPr="00577BAD">
              <w:rPr>
                <w:rFonts w:eastAsiaTheme="minorEastAsia"/>
                <w:sz w:val="20"/>
                <w:szCs w:val="20"/>
              </w:rPr>
              <w:t>Gender equality, disability, and social inclusion</w:t>
            </w:r>
          </w:p>
        </w:tc>
      </w:tr>
      <w:tr w:rsidR="00226C43" w:rsidRPr="00577BAD" w14:paraId="04F63585" w14:textId="77777777" w:rsidTr="00610A3E">
        <w:trPr>
          <w:trHeight w:val="20"/>
        </w:trPr>
        <w:tc>
          <w:tcPr>
            <w:tcW w:w="1418" w:type="dxa"/>
          </w:tcPr>
          <w:p w14:paraId="151658F4" w14:textId="18C286C7" w:rsidR="00985487" w:rsidRPr="00577BAD" w:rsidRDefault="4DD21A85" w:rsidP="00CA2071">
            <w:pPr>
              <w:pStyle w:val="Tabletext"/>
              <w:spacing w:before="0" w:after="0"/>
              <w:rPr>
                <w:rFonts w:eastAsia="Aptos"/>
                <w:sz w:val="20"/>
                <w:szCs w:val="20"/>
              </w:rPr>
            </w:pPr>
            <w:proofErr w:type="spellStart"/>
            <w:r w:rsidRPr="00577BAD">
              <w:rPr>
                <w:rFonts w:eastAsia="Aptos"/>
                <w:sz w:val="20"/>
                <w:szCs w:val="20"/>
              </w:rPr>
              <w:t>GoA</w:t>
            </w:r>
            <w:proofErr w:type="spellEnd"/>
          </w:p>
        </w:tc>
        <w:tc>
          <w:tcPr>
            <w:tcW w:w="7608" w:type="dxa"/>
          </w:tcPr>
          <w:p w14:paraId="155F52BF" w14:textId="7E8AF295" w:rsidR="00985487" w:rsidRPr="00577BAD" w:rsidRDefault="4DD21A85" w:rsidP="00CA2071">
            <w:pPr>
              <w:pStyle w:val="Tabletext"/>
              <w:spacing w:before="0" w:after="0"/>
              <w:rPr>
                <w:rFonts w:eastAsiaTheme="minorEastAsia"/>
                <w:sz w:val="20"/>
                <w:szCs w:val="20"/>
              </w:rPr>
            </w:pPr>
            <w:r w:rsidRPr="00577BAD">
              <w:rPr>
                <w:rFonts w:eastAsiaTheme="minorEastAsia"/>
                <w:sz w:val="20"/>
                <w:szCs w:val="20"/>
              </w:rPr>
              <w:t>Government of Australia</w:t>
            </w:r>
          </w:p>
        </w:tc>
      </w:tr>
      <w:tr w:rsidR="00226C43" w:rsidRPr="00577BAD" w14:paraId="48DB658C" w14:textId="77777777" w:rsidTr="00610A3E">
        <w:trPr>
          <w:trHeight w:val="20"/>
        </w:trPr>
        <w:tc>
          <w:tcPr>
            <w:tcW w:w="1418" w:type="dxa"/>
          </w:tcPr>
          <w:p w14:paraId="2E79940E" w14:textId="57A4A45C" w:rsidR="4DD21A85" w:rsidRPr="00577BAD" w:rsidRDefault="4DD21A85" w:rsidP="00CA2071">
            <w:pPr>
              <w:pStyle w:val="Tabletext"/>
              <w:spacing w:before="0" w:after="0"/>
              <w:rPr>
                <w:rFonts w:eastAsia="Aptos"/>
                <w:sz w:val="20"/>
                <w:szCs w:val="20"/>
              </w:rPr>
            </w:pPr>
            <w:r w:rsidRPr="00577BAD">
              <w:rPr>
                <w:rFonts w:eastAsia="Aptos"/>
                <w:sz w:val="20"/>
                <w:szCs w:val="20"/>
              </w:rPr>
              <w:t>HRD</w:t>
            </w:r>
          </w:p>
        </w:tc>
        <w:tc>
          <w:tcPr>
            <w:tcW w:w="7608" w:type="dxa"/>
          </w:tcPr>
          <w:p w14:paraId="66FD3F68" w14:textId="073E693F" w:rsidR="4DD21A85" w:rsidRPr="00577BAD" w:rsidRDefault="4DD21A85" w:rsidP="00CA2071">
            <w:pPr>
              <w:pStyle w:val="Tabletext"/>
              <w:spacing w:before="0" w:after="0"/>
              <w:rPr>
                <w:rFonts w:eastAsiaTheme="minorEastAsia"/>
                <w:sz w:val="20"/>
                <w:szCs w:val="20"/>
              </w:rPr>
            </w:pPr>
            <w:r w:rsidRPr="00577BAD">
              <w:rPr>
                <w:rFonts w:eastAsiaTheme="minorEastAsia"/>
                <w:sz w:val="20"/>
                <w:szCs w:val="20"/>
              </w:rPr>
              <w:t>Human Resource Development</w:t>
            </w:r>
          </w:p>
        </w:tc>
      </w:tr>
      <w:tr w:rsidR="00226C43" w:rsidRPr="00577BAD" w14:paraId="5987D4AF" w14:textId="77777777" w:rsidTr="00610A3E">
        <w:trPr>
          <w:trHeight w:val="20"/>
        </w:trPr>
        <w:tc>
          <w:tcPr>
            <w:tcW w:w="1418" w:type="dxa"/>
          </w:tcPr>
          <w:p w14:paraId="1166C1B2" w14:textId="6F50ABF2" w:rsidR="009E6D5A" w:rsidRPr="00577BAD" w:rsidRDefault="4DD21A85" w:rsidP="00CA2071">
            <w:pPr>
              <w:pStyle w:val="Tabletext"/>
              <w:spacing w:before="0" w:after="0"/>
              <w:rPr>
                <w:sz w:val="20"/>
                <w:szCs w:val="20"/>
              </w:rPr>
            </w:pPr>
            <w:r w:rsidRPr="00577BAD">
              <w:rPr>
                <w:sz w:val="20"/>
                <w:szCs w:val="20"/>
              </w:rPr>
              <w:t>GPH</w:t>
            </w:r>
          </w:p>
        </w:tc>
        <w:tc>
          <w:tcPr>
            <w:tcW w:w="7608" w:type="dxa"/>
          </w:tcPr>
          <w:p w14:paraId="2E219618" w14:textId="0EAAA8E4" w:rsidR="009E6D5A" w:rsidRPr="00577BAD" w:rsidRDefault="4DD21A85" w:rsidP="00CA2071">
            <w:pPr>
              <w:pStyle w:val="Tabletext"/>
              <w:spacing w:before="0" w:after="0"/>
              <w:rPr>
                <w:rFonts w:eastAsiaTheme="minorEastAsia"/>
                <w:sz w:val="20"/>
                <w:szCs w:val="20"/>
              </w:rPr>
            </w:pPr>
            <w:r w:rsidRPr="00577BAD">
              <w:rPr>
                <w:rFonts w:eastAsiaTheme="minorEastAsia"/>
                <w:sz w:val="20"/>
                <w:szCs w:val="20"/>
              </w:rPr>
              <w:t>Philippine Government</w:t>
            </w:r>
          </w:p>
        </w:tc>
      </w:tr>
      <w:tr w:rsidR="00226C43" w:rsidRPr="00577BAD" w14:paraId="78BD1AF6" w14:textId="77777777" w:rsidTr="00610A3E">
        <w:trPr>
          <w:trHeight w:val="20"/>
        </w:trPr>
        <w:tc>
          <w:tcPr>
            <w:tcW w:w="1418" w:type="dxa"/>
          </w:tcPr>
          <w:p w14:paraId="4AF71FBB" w14:textId="46C3EFEB" w:rsidR="009E6D5A" w:rsidRPr="00577BAD" w:rsidRDefault="4DD21A85" w:rsidP="00CA2071">
            <w:pPr>
              <w:pStyle w:val="Tabletext"/>
              <w:spacing w:before="0" w:after="0"/>
              <w:rPr>
                <w:sz w:val="20"/>
                <w:szCs w:val="20"/>
              </w:rPr>
            </w:pPr>
            <w:r w:rsidRPr="00577BAD">
              <w:rPr>
                <w:sz w:val="20"/>
                <w:szCs w:val="20"/>
              </w:rPr>
              <w:t>ICSP</w:t>
            </w:r>
          </w:p>
        </w:tc>
        <w:tc>
          <w:tcPr>
            <w:tcW w:w="7608" w:type="dxa"/>
          </w:tcPr>
          <w:p w14:paraId="058920D4" w14:textId="14C6C0A1" w:rsidR="009E6D5A" w:rsidRPr="00577BAD" w:rsidRDefault="4DD21A85" w:rsidP="00CA2071">
            <w:pPr>
              <w:pStyle w:val="Tabletext"/>
              <w:spacing w:before="0" w:after="0"/>
              <w:rPr>
                <w:rFonts w:eastAsiaTheme="minorEastAsia"/>
                <w:sz w:val="20"/>
                <w:szCs w:val="20"/>
              </w:rPr>
            </w:pPr>
            <w:r w:rsidRPr="00577BAD">
              <w:rPr>
                <w:rFonts w:eastAsiaTheme="minorEastAsia"/>
                <w:sz w:val="20"/>
                <w:szCs w:val="20"/>
              </w:rPr>
              <w:t>In-Country Scholarship Program</w:t>
            </w:r>
          </w:p>
        </w:tc>
      </w:tr>
      <w:tr w:rsidR="00226C43" w:rsidRPr="00577BAD" w14:paraId="6F044B88" w14:textId="77777777" w:rsidTr="00610A3E">
        <w:trPr>
          <w:trHeight w:val="20"/>
        </w:trPr>
        <w:tc>
          <w:tcPr>
            <w:tcW w:w="1418" w:type="dxa"/>
          </w:tcPr>
          <w:p w14:paraId="4C825141" w14:textId="63B92F0A" w:rsidR="55A1AAA8" w:rsidRPr="00577BAD" w:rsidRDefault="55A1AAA8" w:rsidP="00CA2071">
            <w:pPr>
              <w:pStyle w:val="Tabletext"/>
              <w:spacing w:before="0" w:after="0"/>
              <w:rPr>
                <w:sz w:val="20"/>
                <w:szCs w:val="20"/>
              </w:rPr>
            </w:pPr>
            <w:r w:rsidRPr="00577BAD">
              <w:rPr>
                <w:sz w:val="20"/>
                <w:szCs w:val="20"/>
              </w:rPr>
              <w:t>IDD</w:t>
            </w:r>
          </w:p>
        </w:tc>
        <w:tc>
          <w:tcPr>
            <w:tcW w:w="7608" w:type="dxa"/>
          </w:tcPr>
          <w:p w14:paraId="366506A8" w14:textId="46DE9212" w:rsidR="55A1AAA8" w:rsidRPr="00577BAD" w:rsidRDefault="55A1AAA8" w:rsidP="00CA2071">
            <w:pPr>
              <w:pStyle w:val="Tabletext"/>
              <w:spacing w:before="0" w:after="0"/>
              <w:rPr>
                <w:rFonts w:eastAsiaTheme="minorEastAsia"/>
                <w:sz w:val="20"/>
                <w:szCs w:val="20"/>
              </w:rPr>
            </w:pPr>
            <w:r w:rsidRPr="00577BAD">
              <w:rPr>
                <w:rFonts w:eastAsiaTheme="minorEastAsia"/>
                <w:sz w:val="20"/>
                <w:szCs w:val="20"/>
              </w:rPr>
              <w:t>Investment Design Document</w:t>
            </w:r>
          </w:p>
        </w:tc>
      </w:tr>
      <w:tr w:rsidR="00226C43" w:rsidRPr="00577BAD" w14:paraId="61C46EC3" w14:textId="77777777" w:rsidTr="00610A3E">
        <w:trPr>
          <w:trHeight w:val="20"/>
        </w:trPr>
        <w:tc>
          <w:tcPr>
            <w:tcW w:w="1418" w:type="dxa"/>
          </w:tcPr>
          <w:p w14:paraId="6E6622CC" w14:textId="7D213C03" w:rsidR="00FA502C" w:rsidRPr="00577BAD" w:rsidRDefault="00FA502C" w:rsidP="00CA2071">
            <w:pPr>
              <w:pStyle w:val="Tabletext"/>
              <w:spacing w:before="0" w:after="0"/>
              <w:rPr>
                <w:sz w:val="20"/>
                <w:szCs w:val="20"/>
              </w:rPr>
            </w:pPr>
            <w:r w:rsidRPr="00577BAD">
              <w:rPr>
                <w:sz w:val="20"/>
                <w:szCs w:val="20"/>
              </w:rPr>
              <w:t>IMR</w:t>
            </w:r>
          </w:p>
        </w:tc>
        <w:tc>
          <w:tcPr>
            <w:tcW w:w="7608" w:type="dxa"/>
          </w:tcPr>
          <w:p w14:paraId="5F51D77B" w14:textId="5ECCC2DE" w:rsidR="00FA502C" w:rsidRPr="00577BAD" w:rsidRDefault="00FA502C" w:rsidP="00CA2071">
            <w:pPr>
              <w:pStyle w:val="Tabletext"/>
              <w:spacing w:before="0" w:after="0"/>
              <w:rPr>
                <w:rFonts w:eastAsiaTheme="minorEastAsia"/>
                <w:sz w:val="20"/>
                <w:szCs w:val="20"/>
              </w:rPr>
            </w:pPr>
            <w:r w:rsidRPr="00577BAD">
              <w:rPr>
                <w:rFonts w:eastAsiaTheme="minorEastAsia"/>
                <w:sz w:val="20"/>
                <w:szCs w:val="20"/>
              </w:rPr>
              <w:t>Investment Monitoring Report</w:t>
            </w:r>
          </w:p>
        </w:tc>
      </w:tr>
      <w:tr w:rsidR="00226C43" w:rsidRPr="00577BAD" w14:paraId="71B45C9F" w14:textId="77777777" w:rsidTr="00610A3E">
        <w:trPr>
          <w:trHeight w:val="20"/>
        </w:trPr>
        <w:tc>
          <w:tcPr>
            <w:tcW w:w="1418" w:type="dxa"/>
          </w:tcPr>
          <w:p w14:paraId="09C0472E" w14:textId="0E680839" w:rsidR="009E6D5A" w:rsidRPr="00577BAD" w:rsidRDefault="4DD21A85" w:rsidP="00CA2071">
            <w:pPr>
              <w:pStyle w:val="Tabletext"/>
              <w:spacing w:before="0" w:after="0"/>
              <w:rPr>
                <w:sz w:val="20"/>
                <w:szCs w:val="20"/>
              </w:rPr>
            </w:pPr>
            <w:r w:rsidRPr="00577BAD">
              <w:rPr>
                <w:sz w:val="20"/>
                <w:szCs w:val="20"/>
              </w:rPr>
              <w:t>IO</w:t>
            </w:r>
          </w:p>
        </w:tc>
        <w:tc>
          <w:tcPr>
            <w:tcW w:w="7608" w:type="dxa"/>
          </w:tcPr>
          <w:p w14:paraId="30777446" w14:textId="78230F97" w:rsidR="009E6D5A" w:rsidRPr="00577BAD" w:rsidRDefault="4DD21A85" w:rsidP="00CA2071">
            <w:pPr>
              <w:pStyle w:val="Tabletext"/>
              <w:spacing w:before="0" w:after="0"/>
              <w:rPr>
                <w:rFonts w:eastAsiaTheme="minorEastAsia"/>
                <w:sz w:val="20"/>
                <w:szCs w:val="20"/>
              </w:rPr>
            </w:pPr>
            <w:r w:rsidRPr="00577BAD">
              <w:rPr>
                <w:rFonts w:eastAsiaTheme="minorEastAsia"/>
                <w:sz w:val="20"/>
                <w:szCs w:val="20"/>
              </w:rPr>
              <w:t>Intermediate Outcome</w:t>
            </w:r>
          </w:p>
        </w:tc>
      </w:tr>
      <w:tr w:rsidR="00226C43" w:rsidRPr="00577BAD" w14:paraId="60F71E19" w14:textId="77777777" w:rsidTr="00610A3E">
        <w:trPr>
          <w:trHeight w:val="20"/>
        </w:trPr>
        <w:tc>
          <w:tcPr>
            <w:tcW w:w="1418" w:type="dxa"/>
          </w:tcPr>
          <w:p w14:paraId="018E8ACF" w14:textId="40643C49" w:rsidR="00A067C9" w:rsidRPr="00577BAD" w:rsidRDefault="00A067C9" w:rsidP="00CA2071">
            <w:pPr>
              <w:pStyle w:val="Tabletext"/>
              <w:spacing w:before="0" w:after="0"/>
              <w:rPr>
                <w:sz w:val="20"/>
                <w:szCs w:val="20"/>
              </w:rPr>
            </w:pPr>
            <w:r w:rsidRPr="00577BAD">
              <w:rPr>
                <w:sz w:val="20"/>
                <w:szCs w:val="20"/>
              </w:rPr>
              <w:t>IP</w:t>
            </w:r>
          </w:p>
        </w:tc>
        <w:tc>
          <w:tcPr>
            <w:tcW w:w="7608" w:type="dxa"/>
          </w:tcPr>
          <w:p w14:paraId="546FD2CE" w14:textId="2B579132" w:rsidR="00A067C9" w:rsidRPr="00577BAD" w:rsidRDefault="00A067C9" w:rsidP="00CA2071">
            <w:pPr>
              <w:pStyle w:val="Tabletext"/>
              <w:spacing w:before="0" w:after="0"/>
              <w:rPr>
                <w:rFonts w:eastAsiaTheme="minorEastAsia"/>
                <w:sz w:val="20"/>
                <w:szCs w:val="20"/>
              </w:rPr>
            </w:pPr>
            <w:r w:rsidRPr="00577BAD">
              <w:rPr>
                <w:rFonts w:eastAsiaTheme="minorEastAsia"/>
                <w:sz w:val="20"/>
                <w:szCs w:val="20"/>
              </w:rPr>
              <w:t>Indigenous Person</w:t>
            </w:r>
          </w:p>
        </w:tc>
      </w:tr>
      <w:tr w:rsidR="00226C43" w:rsidRPr="00577BAD" w14:paraId="701011DB" w14:textId="77777777" w:rsidTr="00610A3E">
        <w:trPr>
          <w:trHeight w:val="20"/>
        </w:trPr>
        <w:tc>
          <w:tcPr>
            <w:tcW w:w="1418" w:type="dxa"/>
          </w:tcPr>
          <w:p w14:paraId="75D28998" w14:textId="7D2010CD" w:rsidR="00985487" w:rsidRPr="00577BAD" w:rsidRDefault="4DD21A85" w:rsidP="00CA2071">
            <w:pPr>
              <w:pStyle w:val="Tabletext"/>
              <w:spacing w:before="0" w:after="0"/>
              <w:rPr>
                <w:sz w:val="20"/>
                <w:szCs w:val="20"/>
              </w:rPr>
            </w:pPr>
            <w:r w:rsidRPr="00577BAD">
              <w:rPr>
                <w:sz w:val="20"/>
                <w:szCs w:val="20"/>
              </w:rPr>
              <w:t>KEQ</w:t>
            </w:r>
          </w:p>
        </w:tc>
        <w:tc>
          <w:tcPr>
            <w:tcW w:w="7608" w:type="dxa"/>
          </w:tcPr>
          <w:p w14:paraId="28F592DE" w14:textId="0E550829" w:rsidR="00985487" w:rsidRPr="00577BAD" w:rsidRDefault="4DD21A85" w:rsidP="00CA2071">
            <w:pPr>
              <w:pStyle w:val="Tabletext"/>
              <w:spacing w:before="0" w:after="0"/>
              <w:rPr>
                <w:rFonts w:eastAsiaTheme="minorEastAsia"/>
                <w:sz w:val="20"/>
                <w:szCs w:val="20"/>
              </w:rPr>
            </w:pPr>
            <w:r w:rsidRPr="00577BAD">
              <w:rPr>
                <w:rFonts w:eastAsiaTheme="minorEastAsia"/>
                <w:sz w:val="20"/>
                <w:szCs w:val="20"/>
              </w:rPr>
              <w:t>Key Evaluation Question</w:t>
            </w:r>
          </w:p>
        </w:tc>
      </w:tr>
      <w:tr w:rsidR="00226C43" w:rsidRPr="00577BAD" w14:paraId="1FF748E4" w14:textId="77777777" w:rsidTr="00610A3E">
        <w:trPr>
          <w:trHeight w:val="20"/>
        </w:trPr>
        <w:tc>
          <w:tcPr>
            <w:tcW w:w="1418" w:type="dxa"/>
          </w:tcPr>
          <w:p w14:paraId="2F522CA2" w14:textId="4FD4CC5C" w:rsidR="009E6D5A" w:rsidRPr="00577BAD" w:rsidRDefault="4DD21A85" w:rsidP="00CA2071">
            <w:pPr>
              <w:pStyle w:val="Tabletext"/>
              <w:spacing w:before="0" w:after="0"/>
              <w:rPr>
                <w:sz w:val="20"/>
                <w:szCs w:val="20"/>
              </w:rPr>
            </w:pPr>
            <w:r w:rsidRPr="00577BAD">
              <w:rPr>
                <w:sz w:val="20"/>
                <w:szCs w:val="20"/>
              </w:rPr>
              <w:t>KIIs</w:t>
            </w:r>
          </w:p>
        </w:tc>
        <w:tc>
          <w:tcPr>
            <w:tcW w:w="7608" w:type="dxa"/>
          </w:tcPr>
          <w:p w14:paraId="7E8719D7" w14:textId="1125627D" w:rsidR="009E6D5A" w:rsidRPr="00577BAD" w:rsidRDefault="4DD21A85" w:rsidP="00CA2071">
            <w:pPr>
              <w:pStyle w:val="Tabletext"/>
              <w:spacing w:before="0" w:after="0"/>
              <w:rPr>
                <w:rFonts w:eastAsiaTheme="minorEastAsia"/>
                <w:sz w:val="20"/>
                <w:szCs w:val="20"/>
              </w:rPr>
            </w:pPr>
            <w:r w:rsidRPr="00577BAD">
              <w:rPr>
                <w:rFonts w:eastAsiaTheme="minorEastAsia"/>
                <w:sz w:val="20"/>
                <w:szCs w:val="20"/>
              </w:rPr>
              <w:t>Key Informant Interviews</w:t>
            </w:r>
          </w:p>
        </w:tc>
      </w:tr>
      <w:tr w:rsidR="00226C43" w:rsidRPr="00577BAD" w14:paraId="554C8F17" w14:textId="77777777" w:rsidTr="00610A3E">
        <w:trPr>
          <w:trHeight w:val="20"/>
        </w:trPr>
        <w:tc>
          <w:tcPr>
            <w:tcW w:w="1418" w:type="dxa"/>
          </w:tcPr>
          <w:p w14:paraId="6920A42C" w14:textId="65F40306" w:rsidR="00E26513" w:rsidRPr="00577BAD" w:rsidRDefault="4DD21A85" w:rsidP="00CA2071">
            <w:pPr>
              <w:pStyle w:val="Tabletext"/>
              <w:spacing w:before="0" w:after="0"/>
              <w:rPr>
                <w:sz w:val="20"/>
                <w:szCs w:val="20"/>
              </w:rPr>
            </w:pPr>
            <w:r w:rsidRPr="00577BAD">
              <w:rPr>
                <w:sz w:val="20"/>
                <w:szCs w:val="20"/>
              </w:rPr>
              <w:t>LGBTQI</w:t>
            </w:r>
            <w:r w:rsidR="00181670" w:rsidRPr="00577BAD">
              <w:rPr>
                <w:sz w:val="20"/>
                <w:szCs w:val="20"/>
              </w:rPr>
              <w:t>A</w:t>
            </w:r>
            <w:r w:rsidRPr="00577BAD">
              <w:rPr>
                <w:sz w:val="20"/>
                <w:szCs w:val="20"/>
              </w:rPr>
              <w:t>+</w:t>
            </w:r>
          </w:p>
        </w:tc>
        <w:tc>
          <w:tcPr>
            <w:tcW w:w="7608" w:type="dxa"/>
          </w:tcPr>
          <w:p w14:paraId="24471064" w14:textId="73D18B8C" w:rsidR="00E26513" w:rsidRPr="00577BAD" w:rsidRDefault="4DD21A85" w:rsidP="00CA2071">
            <w:pPr>
              <w:pStyle w:val="Tabletext"/>
              <w:spacing w:before="0" w:after="0"/>
              <w:rPr>
                <w:rFonts w:eastAsiaTheme="minorEastAsia"/>
                <w:sz w:val="20"/>
                <w:szCs w:val="20"/>
              </w:rPr>
            </w:pPr>
            <w:r w:rsidRPr="00577BAD">
              <w:rPr>
                <w:rFonts w:eastAsiaTheme="minorEastAsia"/>
                <w:sz w:val="20"/>
                <w:szCs w:val="20"/>
              </w:rPr>
              <w:t xml:space="preserve">Lesbian, Gay, Bisexual, Transgender, Queer/Questioning, Intersex, </w:t>
            </w:r>
            <w:r w:rsidR="00181670" w:rsidRPr="00577BAD">
              <w:rPr>
                <w:rFonts w:eastAsiaTheme="minorEastAsia"/>
                <w:sz w:val="20"/>
                <w:szCs w:val="20"/>
              </w:rPr>
              <w:t>Asexual</w:t>
            </w:r>
            <w:r w:rsidR="00234EE1" w:rsidRPr="00577BAD">
              <w:rPr>
                <w:rFonts w:eastAsiaTheme="minorEastAsia"/>
                <w:sz w:val="20"/>
                <w:szCs w:val="20"/>
              </w:rPr>
              <w:t>,</w:t>
            </w:r>
            <w:r w:rsidR="00181670" w:rsidRPr="00577BAD">
              <w:rPr>
                <w:rFonts w:eastAsiaTheme="minorEastAsia"/>
                <w:sz w:val="20"/>
                <w:szCs w:val="20"/>
              </w:rPr>
              <w:t xml:space="preserve"> </w:t>
            </w:r>
            <w:r w:rsidRPr="00577BAD">
              <w:rPr>
                <w:rFonts w:eastAsiaTheme="minorEastAsia"/>
                <w:sz w:val="20"/>
                <w:szCs w:val="20"/>
              </w:rPr>
              <w:t>and more</w:t>
            </w:r>
          </w:p>
        </w:tc>
      </w:tr>
      <w:tr w:rsidR="00226C43" w:rsidRPr="00577BAD" w14:paraId="3A7DAC19" w14:textId="77777777" w:rsidTr="00610A3E">
        <w:trPr>
          <w:trHeight w:val="20"/>
        </w:trPr>
        <w:tc>
          <w:tcPr>
            <w:tcW w:w="1418" w:type="dxa"/>
          </w:tcPr>
          <w:p w14:paraId="04F39CEB" w14:textId="481ADF9D" w:rsidR="008150F3" w:rsidRPr="00577BAD" w:rsidRDefault="4DD21A85" w:rsidP="00CA2071">
            <w:pPr>
              <w:pStyle w:val="Tabletext"/>
              <w:spacing w:before="0" w:after="0"/>
              <w:rPr>
                <w:sz w:val="20"/>
                <w:szCs w:val="20"/>
              </w:rPr>
            </w:pPr>
            <w:r w:rsidRPr="00577BAD">
              <w:rPr>
                <w:sz w:val="20"/>
                <w:szCs w:val="20"/>
              </w:rPr>
              <w:t>MEL</w:t>
            </w:r>
          </w:p>
        </w:tc>
        <w:tc>
          <w:tcPr>
            <w:tcW w:w="7608" w:type="dxa"/>
          </w:tcPr>
          <w:p w14:paraId="10D79BB8" w14:textId="6CECBE3F" w:rsidR="008150F3" w:rsidRPr="00577BAD" w:rsidRDefault="4DD21A85" w:rsidP="00CA2071">
            <w:pPr>
              <w:pStyle w:val="Tabletext"/>
              <w:spacing w:before="0" w:after="0"/>
              <w:rPr>
                <w:rFonts w:eastAsiaTheme="minorEastAsia"/>
                <w:sz w:val="20"/>
                <w:szCs w:val="20"/>
              </w:rPr>
            </w:pPr>
            <w:r w:rsidRPr="00577BAD">
              <w:rPr>
                <w:rFonts w:eastAsiaTheme="minorEastAsia"/>
                <w:sz w:val="20"/>
                <w:szCs w:val="20"/>
              </w:rPr>
              <w:t>Monitoring, Evaluation and Learning</w:t>
            </w:r>
          </w:p>
        </w:tc>
      </w:tr>
      <w:tr w:rsidR="00226C43" w:rsidRPr="00577BAD" w14:paraId="16720BDC" w14:textId="77777777" w:rsidTr="00610A3E">
        <w:trPr>
          <w:trHeight w:val="20"/>
        </w:trPr>
        <w:tc>
          <w:tcPr>
            <w:tcW w:w="1418" w:type="dxa"/>
          </w:tcPr>
          <w:p w14:paraId="218BDEE0" w14:textId="68495E0C" w:rsidR="006B5AEA" w:rsidRPr="00577BAD" w:rsidRDefault="006B5AEA" w:rsidP="00CA2071">
            <w:pPr>
              <w:pStyle w:val="Tabletext"/>
              <w:spacing w:before="0" w:after="0"/>
              <w:rPr>
                <w:sz w:val="20"/>
                <w:szCs w:val="20"/>
              </w:rPr>
            </w:pPr>
            <w:r w:rsidRPr="00577BAD">
              <w:rPr>
                <w:sz w:val="20"/>
                <w:szCs w:val="20"/>
              </w:rPr>
              <w:t>MES</w:t>
            </w:r>
          </w:p>
        </w:tc>
        <w:tc>
          <w:tcPr>
            <w:tcW w:w="7608" w:type="dxa"/>
          </w:tcPr>
          <w:p w14:paraId="0DF1F5DE" w14:textId="2E29AF97" w:rsidR="006B5AEA" w:rsidRPr="00577BAD" w:rsidRDefault="006B5AEA" w:rsidP="00CA2071">
            <w:pPr>
              <w:pStyle w:val="Tabletext"/>
              <w:spacing w:before="0" w:after="0"/>
              <w:rPr>
                <w:rFonts w:eastAsiaTheme="minorEastAsia"/>
                <w:sz w:val="20"/>
                <w:szCs w:val="20"/>
              </w:rPr>
            </w:pPr>
            <w:r w:rsidRPr="00577BAD">
              <w:rPr>
                <w:rFonts w:eastAsiaTheme="minorEastAsia"/>
                <w:sz w:val="20"/>
                <w:szCs w:val="20"/>
              </w:rPr>
              <w:t>Monitoring and Evaluation System</w:t>
            </w:r>
          </w:p>
        </w:tc>
      </w:tr>
      <w:tr w:rsidR="00226C43" w:rsidRPr="00577BAD" w14:paraId="00A51C55" w14:textId="77777777" w:rsidTr="00610A3E">
        <w:trPr>
          <w:trHeight w:val="20"/>
        </w:trPr>
        <w:tc>
          <w:tcPr>
            <w:tcW w:w="1418" w:type="dxa"/>
          </w:tcPr>
          <w:p w14:paraId="6BA9522A" w14:textId="02BE8751" w:rsidR="009E6D5A" w:rsidRPr="00577BAD" w:rsidRDefault="4DD21A85" w:rsidP="00CA2071">
            <w:pPr>
              <w:pStyle w:val="Tabletext"/>
              <w:spacing w:before="0" w:after="0"/>
              <w:rPr>
                <w:sz w:val="20"/>
                <w:szCs w:val="20"/>
              </w:rPr>
            </w:pPr>
            <w:r w:rsidRPr="00577BAD">
              <w:rPr>
                <w:sz w:val="20"/>
                <w:szCs w:val="20"/>
              </w:rPr>
              <w:t>ODA</w:t>
            </w:r>
          </w:p>
        </w:tc>
        <w:tc>
          <w:tcPr>
            <w:tcW w:w="7608" w:type="dxa"/>
          </w:tcPr>
          <w:p w14:paraId="59C1F371" w14:textId="7C8AE5E8" w:rsidR="009E6D5A" w:rsidRPr="00577BAD" w:rsidRDefault="4DD21A85" w:rsidP="00CA2071">
            <w:pPr>
              <w:pStyle w:val="Tabletext"/>
              <w:spacing w:before="0" w:after="0"/>
              <w:rPr>
                <w:rFonts w:eastAsiaTheme="minorEastAsia"/>
                <w:sz w:val="20"/>
                <w:szCs w:val="20"/>
              </w:rPr>
            </w:pPr>
            <w:r w:rsidRPr="00577BAD">
              <w:rPr>
                <w:rFonts w:eastAsiaTheme="minorEastAsia"/>
                <w:sz w:val="20"/>
                <w:szCs w:val="20"/>
              </w:rPr>
              <w:t>Official Development Assistance</w:t>
            </w:r>
          </w:p>
        </w:tc>
      </w:tr>
      <w:tr w:rsidR="00226C43" w:rsidRPr="00577BAD" w14:paraId="69CE517E" w14:textId="77777777" w:rsidTr="00610A3E">
        <w:trPr>
          <w:trHeight w:val="20"/>
        </w:trPr>
        <w:tc>
          <w:tcPr>
            <w:tcW w:w="1418" w:type="dxa"/>
          </w:tcPr>
          <w:p w14:paraId="42AFF37A" w14:textId="6B81B196" w:rsidR="17A46A13" w:rsidRPr="00577BAD" w:rsidRDefault="3DB3B460" w:rsidP="00CA2071">
            <w:pPr>
              <w:pStyle w:val="Tabletext"/>
              <w:spacing w:before="0" w:after="0"/>
              <w:rPr>
                <w:sz w:val="20"/>
                <w:szCs w:val="20"/>
              </w:rPr>
            </w:pPr>
            <w:r w:rsidRPr="00577BAD">
              <w:rPr>
                <w:sz w:val="20"/>
                <w:szCs w:val="20"/>
              </w:rPr>
              <w:t>ONA</w:t>
            </w:r>
          </w:p>
        </w:tc>
        <w:tc>
          <w:tcPr>
            <w:tcW w:w="7608" w:type="dxa"/>
          </w:tcPr>
          <w:p w14:paraId="2928CF00" w14:textId="03845007" w:rsidR="17A46A13" w:rsidRPr="00577BAD" w:rsidRDefault="3DB3B460" w:rsidP="00CA2071">
            <w:pPr>
              <w:pStyle w:val="Tabletext"/>
              <w:spacing w:before="0" w:after="0"/>
              <w:rPr>
                <w:rFonts w:eastAsiaTheme="minorEastAsia"/>
                <w:sz w:val="20"/>
                <w:szCs w:val="20"/>
              </w:rPr>
            </w:pPr>
            <w:r w:rsidRPr="00577BAD">
              <w:rPr>
                <w:rFonts w:eastAsiaTheme="minorEastAsia"/>
                <w:sz w:val="20"/>
                <w:szCs w:val="20"/>
              </w:rPr>
              <w:t>Organisational Needs Assessment</w:t>
            </w:r>
          </w:p>
        </w:tc>
      </w:tr>
      <w:tr w:rsidR="00226C43" w:rsidRPr="00577BAD" w14:paraId="7DAD5472" w14:textId="77777777" w:rsidTr="00610A3E">
        <w:trPr>
          <w:trHeight w:val="20"/>
        </w:trPr>
        <w:tc>
          <w:tcPr>
            <w:tcW w:w="1418" w:type="dxa"/>
          </w:tcPr>
          <w:p w14:paraId="0BA75A0E" w14:textId="279DBB0D" w:rsidR="00C36378" w:rsidRPr="00577BAD" w:rsidRDefault="4DD21A85" w:rsidP="00CA2071">
            <w:pPr>
              <w:pStyle w:val="Tabletext"/>
              <w:spacing w:before="0" w:after="0"/>
              <w:rPr>
                <w:sz w:val="20"/>
                <w:szCs w:val="20"/>
              </w:rPr>
            </w:pPr>
            <w:r w:rsidRPr="00577BAD">
              <w:rPr>
                <w:sz w:val="20"/>
                <w:szCs w:val="20"/>
              </w:rPr>
              <w:t>OTNA</w:t>
            </w:r>
          </w:p>
        </w:tc>
        <w:tc>
          <w:tcPr>
            <w:tcW w:w="7608" w:type="dxa"/>
          </w:tcPr>
          <w:p w14:paraId="2E368C33" w14:textId="5C3A514B" w:rsidR="00C36378" w:rsidRPr="00577BAD" w:rsidRDefault="4DD21A85" w:rsidP="00CA2071">
            <w:pPr>
              <w:pStyle w:val="Tabletext"/>
              <w:spacing w:before="0" w:after="0"/>
              <w:rPr>
                <w:rFonts w:eastAsiaTheme="minorEastAsia"/>
                <w:sz w:val="20"/>
                <w:szCs w:val="20"/>
              </w:rPr>
            </w:pPr>
            <w:r w:rsidRPr="00577BAD">
              <w:rPr>
                <w:rFonts w:eastAsiaTheme="minorEastAsia"/>
                <w:sz w:val="20"/>
                <w:szCs w:val="20"/>
              </w:rPr>
              <w:t>Organisational Training and Needs Assessment</w:t>
            </w:r>
          </w:p>
        </w:tc>
      </w:tr>
      <w:tr w:rsidR="00226C43" w:rsidRPr="00577BAD" w14:paraId="3A38B82D" w14:textId="77777777" w:rsidTr="00610A3E">
        <w:trPr>
          <w:trHeight w:val="20"/>
        </w:trPr>
        <w:tc>
          <w:tcPr>
            <w:tcW w:w="1418" w:type="dxa"/>
          </w:tcPr>
          <w:p w14:paraId="593C9A08" w14:textId="03D00734" w:rsidR="009E6D5A" w:rsidRPr="00577BAD" w:rsidRDefault="4DD21A85" w:rsidP="00CA2071">
            <w:pPr>
              <w:pStyle w:val="Tabletext"/>
              <w:spacing w:before="0" w:after="0"/>
              <w:rPr>
                <w:sz w:val="20"/>
                <w:szCs w:val="20"/>
              </w:rPr>
            </w:pPr>
            <w:r w:rsidRPr="00577BAD">
              <w:rPr>
                <w:sz w:val="20"/>
                <w:szCs w:val="20"/>
              </w:rPr>
              <w:t>PCC</w:t>
            </w:r>
          </w:p>
        </w:tc>
        <w:tc>
          <w:tcPr>
            <w:tcW w:w="7608" w:type="dxa"/>
          </w:tcPr>
          <w:p w14:paraId="04EE04BF" w14:textId="6967A116" w:rsidR="009E6D5A" w:rsidRPr="00577BAD" w:rsidRDefault="4DD21A85" w:rsidP="00CA2071">
            <w:pPr>
              <w:pStyle w:val="Tabletext"/>
              <w:spacing w:before="0" w:after="0"/>
              <w:rPr>
                <w:rFonts w:eastAsiaTheme="minorEastAsia"/>
                <w:sz w:val="20"/>
                <w:szCs w:val="20"/>
              </w:rPr>
            </w:pPr>
            <w:r w:rsidRPr="00577BAD">
              <w:rPr>
                <w:rFonts w:eastAsiaTheme="minorEastAsia"/>
                <w:sz w:val="20"/>
                <w:szCs w:val="20"/>
              </w:rPr>
              <w:t>Program Coordination Committee</w:t>
            </w:r>
          </w:p>
        </w:tc>
      </w:tr>
      <w:tr w:rsidR="00226C43" w:rsidRPr="00577BAD" w14:paraId="462C538F" w14:textId="77777777" w:rsidTr="00610A3E">
        <w:trPr>
          <w:trHeight w:val="20"/>
        </w:trPr>
        <w:tc>
          <w:tcPr>
            <w:tcW w:w="1418" w:type="dxa"/>
          </w:tcPr>
          <w:p w14:paraId="37AB3A40" w14:textId="631A6EC2" w:rsidR="4DD21A85" w:rsidRPr="00577BAD" w:rsidRDefault="4DD21A85" w:rsidP="00CA2071">
            <w:pPr>
              <w:pStyle w:val="Tabletext"/>
              <w:spacing w:before="0" w:after="0"/>
              <w:rPr>
                <w:sz w:val="20"/>
                <w:szCs w:val="20"/>
              </w:rPr>
            </w:pPr>
            <w:r w:rsidRPr="00577BAD">
              <w:rPr>
                <w:sz w:val="20"/>
                <w:szCs w:val="20"/>
              </w:rPr>
              <w:t>PAHRODF</w:t>
            </w:r>
          </w:p>
        </w:tc>
        <w:tc>
          <w:tcPr>
            <w:tcW w:w="7608" w:type="dxa"/>
          </w:tcPr>
          <w:p w14:paraId="04D5CB6D" w14:textId="06B4F353" w:rsidR="4DD21A85" w:rsidRPr="00577BAD" w:rsidRDefault="4DD21A85" w:rsidP="00CA2071">
            <w:pPr>
              <w:pStyle w:val="Tabletext"/>
              <w:spacing w:before="0" w:after="0"/>
              <w:rPr>
                <w:rFonts w:eastAsiaTheme="minorEastAsia"/>
                <w:sz w:val="20"/>
                <w:szCs w:val="20"/>
              </w:rPr>
            </w:pPr>
            <w:r w:rsidRPr="00577BAD">
              <w:rPr>
                <w:rFonts w:eastAsiaTheme="minorEastAsia"/>
                <w:sz w:val="20"/>
                <w:szCs w:val="20"/>
              </w:rPr>
              <w:t>Philippines-Australia Human Resource and Organisational Development Facility</w:t>
            </w:r>
          </w:p>
        </w:tc>
      </w:tr>
      <w:tr w:rsidR="00226C43" w:rsidRPr="00577BAD" w14:paraId="1F8CC656" w14:textId="77777777" w:rsidTr="00610A3E">
        <w:trPr>
          <w:trHeight w:val="20"/>
        </w:trPr>
        <w:tc>
          <w:tcPr>
            <w:tcW w:w="1418" w:type="dxa"/>
          </w:tcPr>
          <w:p w14:paraId="0FDD2396" w14:textId="4CBD2912" w:rsidR="5BE8B3A4" w:rsidRPr="00577BAD" w:rsidRDefault="5BE8B3A4" w:rsidP="00CA2071">
            <w:pPr>
              <w:pStyle w:val="Tabletext"/>
              <w:spacing w:before="0" w:after="0"/>
              <w:rPr>
                <w:sz w:val="20"/>
                <w:szCs w:val="20"/>
              </w:rPr>
            </w:pPr>
            <w:r w:rsidRPr="00577BAD">
              <w:rPr>
                <w:sz w:val="20"/>
                <w:szCs w:val="20"/>
              </w:rPr>
              <w:t>PWD</w:t>
            </w:r>
          </w:p>
        </w:tc>
        <w:tc>
          <w:tcPr>
            <w:tcW w:w="7608" w:type="dxa"/>
          </w:tcPr>
          <w:p w14:paraId="5213070F" w14:textId="5755A62B" w:rsidR="5BE8B3A4" w:rsidRPr="00577BAD" w:rsidRDefault="5BE8B3A4" w:rsidP="00CA2071">
            <w:pPr>
              <w:pStyle w:val="Tabletext"/>
              <w:spacing w:before="0" w:after="0"/>
              <w:rPr>
                <w:rFonts w:eastAsiaTheme="minorEastAsia"/>
                <w:sz w:val="20"/>
                <w:szCs w:val="20"/>
              </w:rPr>
            </w:pPr>
            <w:r w:rsidRPr="00577BAD">
              <w:rPr>
                <w:rFonts w:eastAsiaTheme="minorEastAsia"/>
                <w:sz w:val="20"/>
                <w:szCs w:val="20"/>
              </w:rPr>
              <w:t>Persons with Disabilities</w:t>
            </w:r>
          </w:p>
        </w:tc>
      </w:tr>
      <w:tr w:rsidR="00226C43" w:rsidRPr="00577BAD" w14:paraId="58724126" w14:textId="77777777" w:rsidTr="00610A3E">
        <w:trPr>
          <w:trHeight w:val="20"/>
        </w:trPr>
        <w:tc>
          <w:tcPr>
            <w:tcW w:w="1418" w:type="dxa"/>
          </w:tcPr>
          <w:p w14:paraId="55C4FEA5" w14:textId="47CD5A1D" w:rsidR="00723C13" w:rsidRPr="00577BAD" w:rsidRDefault="4DD21A85" w:rsidP="00CA2071">
            <w:pPr>
              <w:pStyle w:val="Tabletext"/>
              <w:spacing w:before="0" w:after="0"/>
              <w:rPr>
                <w:sz w:val="20"/>
                <w:szCs w:val="20"/>
              </w:rPr>
            </w:pPr>
            <w:r w:rsidRPr="00577BAD">
              <w:rPr>
                <w:sz w:val="20"/>
                <w:szCs w:val="20"/>
              </w:rPr>
              <w:t>REAP</w:t>
            </w:r>
          </w:p>
        </w:tc>
        <w:tc>
          <w:tcPr>
            <w:tcW w:w="7608" w:type="dxa"/>
          </w:tcPr>
          <w:p w14:paraId="0169F1EA" w14:textId="0FA0A0D9" w:rsidR="00723C13" w:rsidRPr="00577BAD" w:rsidRDefault="4DD21A85" w:rsidP="00CA2071">
            <w:pPr>
              <w:pStyle w:val="Tabletext"/>
              <w:spacing w:before="0" w:after="0"/>
              <w:rPr>
                <w:rFonts w:eastAsiaTheme="minorEastAsia"/>
                <w:sz w:val="20"/>
                <w:szCs w:val="20"/>
              </w:rPr>
            </w:pPr>
            <w:r w:rsidRPr="00577BAD">
              <w:rPr>
                <w:rFonts w:eastAsiaTheme="minorEastAsia"/>
                <w:sz w:val="20"/>
                <w:szCs w:val="20"/>
              </w:rPr>
              <w:t>Re-entry Action Plan</w:t>
            </w:r>
          </w:p>
        </w:tc>
      </w:tr>
      <w:tr w:rsidR="00226C43" w:rsidRPr="00577BAD" w14:paraId="15C59CA6" w14:textId="77777777" w:rsidTr="00610A3E">
        <w:trPr>
          <w:trHeight w:val="20"/>
        </w:trPr>
        <w:tc>
          <w:tcPr>
            <w:tcW w:w="1418" w:type="dxa"/>
          </w:tcPr>
          <w:p w14:paraId="27D435BE" w14:textId="6BE1AD32" w:rsidR="2B3B3F93" w:rsidRPr="00577BAD" w:rsidRDefault="2B3B3F93" w:rsidP="00CA2071">
            <w:pPr>
              <w:pStyle w:val="Tabletext"/>
              <w:spacing w:before="0" w:after="0"/>
              <w:rPr>
                <w:sz w:val="20"/>
                <w:szCs w:val="20"/>
              </w:rPr>
            </w:pPr>
            <w:r w:rsidRPr="00577BAD">
              <w:rPr>
                <w:sz w:val="20"/>
                <w:szCs w:val="20"/>
              </w:rPr>
              <w:t>SAMR</w:t>
            </w:r>
          </w:p>
        </w:tc>
        <w:tc>
          <w:tcPr>
            <w:tcW w:w="7608" w:type="dxa"/>
          </w:tcPr>
          <w:p w14:paraId="5B0B0BFB" w14:textId="370A418E" w:rsidR="2B3B3F93" w:rsidRPr="00577BAD" w:rsidRDefault="046F8CE8" w:rsidP="00CA2071">
            <w:pPr>
              <w:pStyle w:val="Tabletext"/>
              <w:spacing w:before="0" w:after="0"/>
              <w:rPr>
                <w:rFonts w:eastAsiaTheme="minorEastAsia"/>
                <w:sz w:val="20"/>
                <w:szCs w:val="20"/>
              </w:rPr>
            </w:pPr>
            <w:r w:rsidRPr="00577BAD">
              <w:rPr>
                <w:rFonts w:eastAsiaTheme="minorEastAsia"/>
                <w:sz w:val="20"/>
                <w:szCs w:val="20"/>
              </w:rPr>
              <w:t>Semi-Annual Monitoring Reports</w:t>
            </w:r>
          </w:p>
        </w:tc>
      </w:tr>
      <w:tr w:rsidR="00226C43" w:rsidRPr="00577BAD" w14:paraId="7F325187" w14:textId="77777777" w:rsidTr="00610A3E">
        <w:trPr>
          <w:trHeight w:val="20"/>
        </w:trPr>
        <w:tc>
          <w:tcPr>
            <w:tcW w:w="1418" w:type="dxa"/>
          </w:tcPr>
          <w:p w14:paraId="4947D166" w14:textId="46303434" w:rsidR="7AB24D62" w:rsidRPr="00577BAD" w:rsidRDefault="7AB24D62" w:rsidP="00CA2071">
            <w:pPr>
              <w:pStyle w:val="Tabletext"/>
              <w:spacing w:before="0" w:after="0"/>
              <w:rPr>
                <w:sz w:val="20"/>
                <w:szCs w:val="20"/>
              </w:rPr>
            </w:pPr>
            <w:r w:rsidRPr="00577BAD">
              <w:rPr>
                <w:sz w:val="20"/>
                <w:szCs w:val="20"/>
              </w:rPr>
              <w:t>SCA</w:t>
            </w:r>
          </w:p>
        </w:tc>
        <w:tc>
          <w:tcPr>
            <w:tcW w:w="7608" w:type="dxa"/>
          </w:tcPr>
          <w:p w14:paraId="3A478164" w14:textId="34ED3FF9" w:rsidR="7AB24D62" w:rsidRPr="00577BAD" w:rsidRDefault="7AB24D62" w:rsidP="00CA2071">
            <w:pPr>
              <w:pStyle w:val="Tabletext"/>
              <w:spacing w:before="0" w:after="0"/>
              <w:rPr>
                <w:rFonts w:eastAsiaTheme="minorEastAsia"/>
                <w:sz w:val="20"/>
                <w:szCs w:val="20"/>
              </w:rPr>
            </w:pPr>
            <w:r w:rsidRPr="00577BAD">
              <w:rPr>
                <w:rFonts w:eastAsiaTheme="minorEastAsia"/>
                <w:sz w:val="20"/>
                <w:szCs w:val="20"/>
              </w:rPr>
              <w:t>Short Course Awards</w:t>
            </w:r>
          </w:p>
        </w:tc>
      </w:tr>
      <w:tr w:rsidR="00226C43" w:rsidRPr="00577BAD" w14:paraId="313FB16A" w14:textId="77777777" w:rsidTr="00610A3E">
        <w:trPr>
          <w:trHeight w:val="20"/>
        </w:trPr>
        <w:tc>
          <w:tcPr>
            <w:tcW w:w="1418" w:type="dxa"/>
          </w:tcPr>
          <w:p w14:paraId="69D9A89F" w14:textId="44032859" w:rsidR="35322665" w:rsidRPr="00577BAD" w:rsidRDefault="35322665" w:rsidP="00CA2071">
            <w:pPr>
              <w:pStyle w:val="Tabletext"/>
              <w:spacing w:before="0" w:after="0"/>
              <w:rPr>
                <w:sz w:val="20"/>
                <w:szCs w:val="20"/>
              </w:rPr>
            </w:pPr>
            <w:r w:rsidRPr="00577BAD">
              <w:rPr>
                <w:sz w:val="20"/>
                <w:szCs w:val="20"/>
              </w:rPr>
              <w:t>SOGIE</w:t>
            </w:r>
          </w:p>
        </w:tc>
        <w:tc>
          <w:tcPr>
            <w:tcW w:w="7608" w:type="dxa"/>
          </w:tcPr>
          <w:p w14:paraId="61D37A01" w14:textId="42E8985C" w:rsidR="35322665" w:rsidRPr="00577BAD" w:rsidRDefault="35322665" w:rsidP="00CA2071">
            <w:pPr>
              <w:pStyle w:val="Tabletext"/>
              <w:spacing w:before="0" w:after="0"/>
              <w:rPr>
                <w:rFonts w:eastAsiaTheme="minorEastAsia"/>
                <w:sz w:val="20"/>
                <w:szCs w:val="20"/>
              </w:rPr>
            </w:pPr>
            <w:r w:rsidRPr="00577BAD">
              <w:rPr>
                <w:rFonts w:eastAsiaTheme="minorEastAsia"/>
                <w:sz w:val="20"/>
                <w:szCs w:val="20"/>
              </w:rPr>
              <w:t>Sexual Orientation and Gender Identity/Expression</w:t>
            </w:r>
          </w:p>
        </w:tc>
      </w:tr>
      <w:tr w:rsidR="00226C43" w:rsidRPr="00577BAD" w14:paraId="4A79B9D0" w14:textId="77777777" w:rsidTr="00610A3E">
        <w:trPr>
          <w:trHeight w:val="20"/>
        </w:trPr>
        <w:tc>
          <w:tcPr>
            <w:tcW w:w="1418" w:type="dxa"/>
          </w:tcPr>
          <w:p w14:paraId="017C0B5A" w14:textId="3503B2A8" w:rsidR="009E6D5A" w:rsidRPr="00577BAD" w:rsidRDefault="4DD21A85" w:rsidP="00CA2071">
            <w:pPr>
              <w:pStyle w:val="Tabletext"/>
              <w:spacing w:before="0" w:after="0"/>
              <w:rPr>
                <w:sz w:val="20"/>
                <w:szCs w:val="20"/>
              </w:rPr>
            </w:pPr>
            <w:r w:rsidRPr="00577BAD">
              <w:rPr>
                <w:sz w:val="20"/>
                <w:szCs w:val="20"/>
              </w:rPr>
              <w:t>STEM</w:t>
            </w:r>
          </w:p>
        </w:tc>
        <w:tc>
          <w:tcPr>
            <w:tcW w:w="7608" w:type="dxa"/>
          </w:tcPr>
          <w:p w14:paraId="0ECC30D3" w14:textId="5AA2BFC5" w:rsidR="009E6D5A" w:rsidRPr="00577BAD" w:rsidRDefault="4DD21A85" w:rsidP="00CA2071">
            <w:pPr>
              <w:pStyle w:val="Tabletext"/>
              <w:spacing w:before="0" w:after="0"/>
              <w:rPr>
                <w:rFonts w:eastAsiaTheme="minorEastAsia"/>
                <w:sz w:val="20"/>
                <w:szCs w:val="20"/>
              </w:rPr>
            </w:pPr>
            <w:r w:rsidRPr="00577BAD">
              <w:rPr>
                <w:rFonts w:eastAsiaTheme="minorEastAsia"/>
                <w:sz w:val="20"/>
                <w:szCs w:val="20"/>
              </w:rPr>
              <w:t>Science, Technology, Engineering, and Mathematics</w:t>
            </w:r>
          </w:p>
        </w:tc>
      </w:tr>
      <w:tr w:rsidR="00226C43" w:rsidRPr="00577BAD" w14:paraId="288DF5E4" w14:textId="77777777" w:rsidTr="00610A3E">
        <w:trPr>
          <w:trHeight w:val="20"/>
        </w:trPr>
        <w:tc>
          <w:tcPr>
            <w:tcW w:w="1418" w:type="dxa"/>
          </w:tcPr>
          <w:p w14:paraId="3ADA3784" w14:textId="33EB3A88" w:rsidR="009E6D5A" w:rsidRPr="00577BAD" w:rsidRDefault="4DD21A85" w:rsidP="00CA2071">
            <w:pPr>
              <w:pStyle w:val="Tabletext"/>
              <w:spacing w:before="0" w:after="0"/>
              <w:rPr>
                <w:sz w:val="20"/>
                <w:szCs w:val="20"/>
              </w:rPr>
            </w:pPr>
            <w:r w:rsidRPr="00577BAD">
              <w:rPr>
                <w:sz w:val="20"/>
                <w:szCs w:val="20"/>
              </w:rPr>
              <w:t>TNE</w:t>
            </w:r>
          </w:p>
        </w:tc>
        <w:tc>
          <w:tcPr>
            <w:tcW w:w="7608" w:type="dxa"/>
          </w:tcPr>
          <w:p w14:paraId="6090A81B" w14:textId="2839B53C" w:rsidR="009E6D5A" w:rsidRPr="00577BAD" w:rsidRDefault="4DD21A85" w:rsidP="00CA2071">
            <w:pPr>
              <w:pStyle w:val="Tabletext"/>
              <w:spacing w:before="0" w:after="0"/>
              <w:rPr>
                <w:sz w:val="20"/>
                <w:szCs w:val="20"/>
              </w:rPr>
            </w:pPr>
            <w:r w:rsidRPr="00577BAD">
              <w:rPr>
                <w:sz w:val="20"/>
                <w:szCs w:val="20"/>
              </w:rPr>
              <w:t xml:space="preserve">Transnational Education </w:t>
            </w:r>
          </w:p>
        </w:tc>
      </w:tr>
    </w:tbl>
    <w:p w14:paraId="7A60095C" w14:textId="77777777" w:rsidR="009E6D5A" w:rsidRPr="00226C43" w:rsidRDefault="009E6D5A" w:rsidP="4DD21A85">
      <w:r w:rsidRPr="00226C43">
        <w:br w:type="page"/>
      </w:r>
    </w:p>
    <w:p w14:paraId="34AA4A91" w14:textId="5B06ECB4" w:rsidR="00A865D1" w:rsidRPr="00226C43" w:rsidRDefault="4DD21A85" w:rsidP="001A727C">
      <w:pPr>
        <w:pStyle w:val="TOCHeading"/>
        <w:spacing w:before="0"/>
        <w:rPr>
          <w:rFonts w:asciiTheme="minorHAnsi" w:hAnsiTheme="minorHAnsi"/>
          <w:color w:val="auto"/>
        </w:rPr>
      </w:pPr>
      <w:r w:rsidRPr="00226C43">
        <w:rPr>
          <w:rFonts w:asciiTheme="minorHAnsi" w:hAnsiTheme="minorHAnsi"/>
          <w:color w:val="auto"/>
        </w:rPr>
        <w:lastRenderedPageBreak/>
        <w:t>Key Program Data</w:t>
      </w:r>
    </w:p>
    <w:p w14:paraId="6DB3A81F" w14:textId="653F74D9" w:rsidR="00F675AA" w:rsidRPr="00226C43" w:rsidRDefault="4DD21A85" w:rsidP="001A727C">
      <w:pPr>
        <w:pStyle w:val="Caption"/>
        <w:spacing w:before="0"/>
        <w:rPr>
          <w:color w:val="auto"/>
        </w:rPr>
      </w:pPr>
      <w:bookmarkStart w:id="2" w:name="_Toc190939899"/>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000A7CFF" w:rsidRPr="00226C43">
        <w:rPr>
          <w:noProof/>
          <w:color w:val="auto"/>
        </w:rPr>
        <w:t>1</w:t>
      </w:r>
      <w:r w:rsidR="000113F9" w:rsidRPr="00226C43">
        <w:rPr>
          <w:noProof/>
          <w:color w:val="auto"/>
        </w:rPr>
        <w:fldChar w:fldCharType="end"/>
      </w:r>
      <w:r w:rsidRPr="00226C43">
        <w:rPr>
          <w:color w:val="auto"/>
        </w:rPr>
        <w:t>: AAAEP–P Data</w:t>
      </w:r>
      <w:bookmarkEnd w:id="2"/>
    </w:p>
    <w:tbl>
      <w:tblPr>
        <w:tblStyle w:val="TableGrid"/>
        <w:tblW w:w="0" w:type="auto"/>
        <w:tblLook w:val="04A0" w:firstRow="1" w:lastRow="0" w:firstColumn="1" w:lastColumn="0" w:noHBand="0" w:noVBand="1"/>
      </w:tblPr>
      <w:tblGrid>
        <w:gridCol w:w="1819"/>
        <w:gridCol w:w="7197"/>
      </w:tblGrid>
      <w:tr w:rsidR="00226C43" w:rsidRPr="00226C43" w14:paraId="446D5E7C" w14:textId="77777777" w:rsidTr="00117212">
        <w:trPr>
          <w:tblHeader/>
        </w:trPr>
        <w:tc>
          <w:tcPr>
            <w:tcW w:w="0" w:type="auto"/>
            <w:shd w:val="clear" w:color="auto" w:fill="E3DED1" w:themeFill="background2"/>
            <w:hideMark/>
          </w:tcPr>
          <w:p w14:paraId="556AB7E0" w14:textId="77777777" w:rsidR="00AC3F66" w:rsidRPr="00226C43" w:rsidRDefault="00AC3F66" w:rsidP="00AC3F66">
            <w:pPr>
              <w:spacing w:after="0"/>
              <w:rPr>
                <w:b/>
                <w:bCs/>
                <w:sz w:val="20"/>
                <w:szCs w:val="20"/>
              </w:rPr>
            </w:pPr>
            <w:r w:rsidRPr="00226C43">
              <w:rPr>
                <w:b/>
                <w:bCs/>
                <w:sz w:val="20"/>
                <w:szCs w:val="20"/>
              </w:rPr>
              <w:t>Term</w:t>
            </w:r>
          </w:p>
        </w:tc>
        <w:tc>
          <w:tcPr>
            <w:tcW w:w="0" w:type="auto"/>
            <w:shd w:val="clear" w:color="auto" w:fill="E3DED1" w:themeFill="background2"/>
            <w:hideMark/>
          </w:tcPr>
          <w:p w14:paraId="7A1CF845" w14:textId="77777777" w:rsidR="00AC3F66" w:rsidRPr="00226C43" w:rsidRDefault="00AC3F66" w:rsidP="00AC3F66">
            <w:pPr>
              <w:spacing w:after="0"/>
              <w:rPr>
                <w:b/>
                <w:bCs/>
                <w:sz w:val="20"/>
                <w:szCs w:val="20"/>
              </w:rPr>
            </w:pPr>
            <w:r w:rsidRPr="00226C43">
              <w:rPr>
                <w:b/>
                <w:bCs/>
                <w:sz w:val="20"/>
                <w:szCs w:val="20"/>
              </w:rPr>
              <w:t>Meaning</w:t>
            </w:r>
          </w:p>
        </w:tc>
      </w:tr>
      <w:tr w:rsidR="00226C43" w:rsidRPr="00226C43" w14:paraId="289D8C6C" w14:textId="77777777" w:rsidTr="00406405">
        <w:tc>
          <w:tcPr>
            <w:tcW w:w="0" w:type="auto"/>
            <w:hideMark/>
          </w:tcPr>
          <w:p w14:paraId="32CE98C9" w14:textId="77777777" w:rsidR="00AC3F66" w:rsidRPr="00226C43" w:rsidRDefault="00AC3F66" w:rsidP="00AC3F66">
            <w:pPr>
              <w:spacing w:after="0"/>
              <w:rPr>
                <w:sz w:val="20"/>
                <w:szCs w:val="20"/>
              </w:rPr>
            </w:pPr>
            <w:r w:rsidRPr="00226C43">
              <w:rPr>
                <w:b/>
                <w:bCs/>
                <w:sz w:val="20"/>
                <w:szCs w:val="20"/>
              </w:rPr>
              <w:t>Partner Country</w:t>
            </w:r>
          </w:p>
        </w:tc>
        <w:tc>
          <w:tcPr>
            <w:tcW w:w="0" w:type="auto"/>
            <w:hideMark/>
          </w:tcPr>
          <w:p w14:paraId="3AC8136A" w14:textId="77777777" w:rsidR="00AC3F66" w:rsidRPr="00226C43" w:rsidRDefault="00AC3F66" w:rsidP="00AC3F66">
            <w:pPr>
              <w:spacing w:after="0"/>
              <w:rPr>
                <w:sz w:val="20"/>
                <w:szCs w:val="20"/>
              </w:rPr>
            </w:pPr>
            <w:r w:rsidRPr="00226C43">
              <w:rPr>
                <w:sz w:val="20"/>
                <w:szCs w:val="20"/>
              </w:rPr>
              <w:t>Republic of the Philippines</w:t>
            </w:r>
          </w:p>
        </w:tc>
      </w:tr>
      <w:tr w:rsidR="00226C43" w:rsidRPr="00226C43" w14:paraId="2602164B" w14:textId="77777777" w:rsidTr="00406405">
        <w:tc>
          <w:tcPr>
            <w:tcW w:w="0" w:type="auto"/>
            <w:hideMark/>
          </w:tcPr>
          <w:p w14:paraId="3F20C694" w14:textId="77777777" w:rsidR="00AC3F66" w:rsidRPr="00226C43" w:rsidRDefault="00AC3F66" w:rsidP="00AC3F66">
            <w:pPr>
              <w:spacing w:after="0"/>
              <w:rPr>
                <w:sz w:val="20"/>
                <w:szCs w:val="20"/>
              </w:rPr>
            </w:pPr>
            <w:r w:rsidRPr="00226C43">
              <w:rPr>
                <w:b/>
                <w:bCs/>
                <w:sz w:val="20"/>
                <w:szCs w:val="20"/>
              </w:rPr>
              <w:t>Activity Name</w:t>
            </w:r>
          </w:p>
        </w:tc>
        <w:tc>
          <w:tcPr>
            <w:tcW w:w="0" w:type="auto"/>
            <w:hideMark/>
          </w:tcPr>
          <w:p w14:paraId="676EF035" w14:textId="141C2AD0" w:rsidR="00AC3F66" w:rsidRPr="00226C43" w:rsidRDefault="00AC3F66" w:rsidP="00AC3F66">
            <w:pPr>
              <w:spacing w:after="0"/>
              <w:rPr>
                <w:sz w:val="20"/>
                <w:szCs w:val="20"/>
              </w:rPr>
            </w:pPr>
            <w:r w:rsidRPr="00226C43">
              <w:rPr>
                <w:sz w:val="20"/>
                <w:szCs w:val="20"/>
              </w:rPr>
              <w:t>Australia Awards and Alumni Engagement Program-Philippines (AAAEP–P)</w:t>
            </w:r>
          </w:p>
        </w:tc>
      </w:tr>
      <w:tr w:rsidR="00226C43" w:rsidRPr="00226C43" w14:paraId="625F9CAC" w14:textId="77777777" w:rsidTr="00406405">
        <w:tc>
          <w:tcPr>
            <w:tcW w:w="0" w:type="auto"/>
            <w:hideMark/>
          </w:tcPr>
          <w:p w14:paraId="391E0A72" w14:textId="77777777" w:rsidR="00AC3F66" w:rsidRPr="00226C43" w:rsidRDefault="00AC3F66" w:rsidP="00AC3F66">
            <w:pPr>
              <w:spacing w:after="0"/>
              <w:rPr>
                <w:sz w:val="20"/>
                <w:szCs w:val="20"/>
              </w:rPr>
            </w:pPr>
            <w:r w:rsidRPr="00226C43">
              <w:rPr>
                <w:b/>
                <w:bCs/>
                <w:sz w:val="20"/>
                <w:szCs w:val="20"/>
              </w:rPr>
              <w:t>Program Type</w:t>
            </w:r>
          </w:p>
        </w:tc>
        <w:tc>
          <w:tcPr>
            <w:tcW w:w="0" w:type="auto"/>
            <w:hideMark/>
          </w:tcPr>
          <w:p w14:paraId="50839107" w14:textId="77777777" w:rsidR="00AC3F66" w:rsidRPr="00226C43" w:rsidRDefault="00AC3F66" w:rsidP="00AC3F66">
            <w:pPr>
              <w:spacing w:after="0"/>
              <w:rPr>
                <w:sz w:val="20"/>
                <w:szCs w:val="20"/>
              </w:rPr>
            </w:pPr>
            <w:r w:rsidRPr="00226C43">
              <w:rPr>
                <w:sz w:val="20"/>
                <w:szCs w:val="20"/>
              </w:rPr>
              <w:t>Part of the Department of Foreign Affairs and Trade (DFAT) Global Australia Awards (AA) Program, implemented in partnership with the Country Program and Post</w:t>
            </w:r>
          </w:p>
        </w:tc>
      </w:tr>
      <w:tr w:rsidR="00226C43" w:rsidRPr="00226C43" w14:paraId="17EC85A9" w14:textId="77777777" w:rsidTr="00406405">
        <w:tc>
          <w:tcPr>
            <w:tcW w:w="0" w:type="auto"/>
            <w:hideMark/>
          </w:tcPr>
          <w:p w14:paraId="090A583E" w14:textId="77777777" w:rsidR="00AC3F66" w:rsidRPr="00226C43" w:rsidRDefault="00AC3F66" w:rsidP="00AC3F66">
            <w:pPr>
              <w:spacing w:after="0"/>
              <w:rPr>
                <w:sz w:val="20"/>
                <w:szCs w:val="20"/>
              </w:rPr>
            </w:pPr>
            <w:r w:rsidRPr="00226C43">
              <w:rPr>
                <w:b/>
                <w:bCs/>
                <w:sz w:val="20"/>
                <w:szCs w:val="20"/>
              </w:rPr>
              <w:t>Budget</w:t>
            </w:r>
          </w:p>
        </w:tc>
        <w:tc>
          <w:tcPr>
            <w:tcW w:w="0" w:type="auto"/>
            <w:hideMark/>
          </w:tcPr>
          <w:p w14:paraId="6CE7E942" w14:textId="77777777" w:rsidR="00AC3F66" w:rsidRPr="00226C43" w:rsidRDefault="00AC3F66" w:rsidP="00AC3F66">
            <w:pPr>
              <w:spacing w:after="0"/>
              <w:rPr>
                <w:sz w:val="20"/>
                <w:szCs w:val="20"/>
              </w:rPr>
            </w:pPr>
            <w:r w:rsidRPr="00226C43">
              <w:rPr>
                <w:sz w:val="20"/>
                <w:szCs w:val="20"/>
              </w:rPr>
              <w:t>$31 million</w:t>
            </w:r>
          </w:p>
        </w:tc>
      </w:tr>
      <w:tr w:rsidR="00226C43" w:rsidRPr="00226C43" w14:paraId="36DF1FF8" w14:textId="77777777" w:rsidTr="00406405">
        <w:tc>
          <w:tcPr>
            <w:tcW w:w="0" w:type="auto"/>
            <w:hideMark/>
          </w:tcPr>
          <w:p w14:paraId="67D06176" w14:textId="77777777" w:rsidR="00AC3F66" w:rsidRPr="00226C43" w:rsidRDefault="00AC3F66" w:rsidP="00AC3F66">
            <w:pPr>
              <w:spacing w:after="0"/>
              <w:rPr>
                <w:sz w:val="20"/>
                <w:szCs w:val="20"/>
              </w:rPr>
            </w:pPr>
            <w:r w:rsidRPr="00226C43">
              <w:rPr>
                <w:b/>
                <w:bCs/>
                <w:sz w:val="20"/>
                <w:szCs w:val="20"/>
              </w:rPr>
              <w:t>Term</w:t>
            </w:r>
          </w:p>
        </w:tc>
        <w:tc>
          <w:tcPr>
            <w:tcW w:w="0" w:type="auto"/>
            <w:hideMark/>
          </w:tcPr>
          <w:p w14:paraId="4037C721" w14:textId="77777777" w:rsidR="00AC3F66" w:rsidRPr="00226C43" w:rsidRDefault="00AC3F66" w:rsidP="00AC3F66">
            <w:pPr>
              <w:spacing w:after="0"/>
              <w:rPr>
                <w:sz w:val="20"/>
                <w:szCs w:val="20"/>
              </w:rPr>
            </w:pPr>
            <w:r w:rsidRPr="00226C43">
              <w:rPr>
                <w:sz w:val="20"/>
                <w:szCs w:val="20"/>
              </w:rPr>
              <w:t>Eight years (2018-2026)</w:t>
            </w:r>
          </w:p>
        </w:tc>
      </w:tr>
      <w:tr w:rsidR="00226C43" w:rsidRPr="00226C43" w14:paraId="0578867B" w14:textId="77777777" w:rsidTr="00406405">
        <w:tc>
          <w:tcPr>
            <w:tcW w:w="0" w:type="auto"/>
            <w:hideMark/>
          </w:tcPr>
          <w:p w14:paraId="28DA44E9" w14:textId="77777777" w:rsidR="00AC3F66" w:rsidRPr="00226C43" w:rsidRDefault="00AC3F66" w:rsidP="00AC3F66">
            <w:pPr>
              <w:spacing w:after="0"/>
              <w:rPr>
                <w:sz w:val="20"/>
                <w:szCs w:val="20"/>
              </w:rPr>
            </w:pPr>
            <w:r w:rsidRPr="00226C43">
              <w:rPr>
                <w:b/>
                <w:bCs/>
                <w:sz w:val="20"/>
                <w:szCs w:val="20"/>
              </w:rPr>
              <w:t>Counterpart Agencies</w:t>
            </w:r>
          </w:p>
        </w:tc>
        <w:tc>
          <w:tcPr>
            <w:tcW w:w="0" w:type="auto"/>
            <w:hideMark/>
          </w:tcPr>
          <w:p w14:paraId="589273FD" w14:textId="77777777" w:rsidR="00AC3F66" w:rsidRPr="00226C43" w:rsidRDefault="00AC3F66" w:rsidP="00AC3F66">
            <w:pPr>
              <w:spacing w:after="0"/>
              <w:rPr>
                <w:sz w:val="20"/>
                <w:szCs w:val="20"/>
              </w:rPr>
            </w:pPr>
            <w:r w:rsidRPr="00226C43">
              <w:rPr>
                <w:sz w:val="20"/>
                <w:szCs w:val="20"/>
              </w:rPr>
              <w:t>11 key Philippine Government (GPH) agencies; private sector</w:t>
            </w:r>
          </w:p>
        </w:tc>
      </w:tr>
      <w:tr w:rsidR="00226C43" w:rsidRPr="00226C43" w14:paraId="3E3015CB" w14:textId="77777777" w:rsidTr="00406405">
        <w:tc>
          <w:tcPr>
            <w:tcW w:w="0" w:type="auto"/>
            <w:hideMark/>
          </w:tcPr>
          <w:p w14:paraId="7BCBE0CA" w14:textId="77777777" w:rsidR="00AC3F66" w:rsidRPr="00226C43" w:rsidRDefault="00AC3F66" w:rsidP="00AC3F66">
            <w:pPr>
              <w:spacing w:after="0"/>
              <w:rPr>
                <w:sz w:val="20"/>
                <w:szCs w:val="20"/>
              </w:rPr>
            </w:pPr>
            <w:r w:rsidRPr="00226C43">
              <w:rPr>
                <w:b/>
                <w:bCs/>
                <w:sz w:val="20"/>
                <w:szCs w:val="20"/>
              </w:rPr>
              <w:t>Implementing Agency</w:t>
            </w:r>
          </w:p>
        </w:tc>
        <w:tc>
          <w:tcPr>
            <w:tcW w:w="0" w:type="auto"/>
            <w:hideMark/>
          </w:tcPr>
          <w:p w14:paraId="577BA9DB" w14:textId="77777777" w:rsidR="00AC3F66" w:rsidRPr="00226C43" w:rsidRDefault="00AC3F66" w:rsidP="00AC3F66">
            <w:pPr>
              <w:spacing w:after="0"/>
              <w:rPr>
                <w:sz w:val="20"/>
                <w:szCs w:val="20"/>
              </w:rPr>
            </w:pPr>
            <w:r w:rsidRPr="00226C43">
              <w:rPr>
                <w:sz w:val="20"/>
                <w:szCs w:val="20"/>
              </w:rPr>
              <w:t>DFAT</w:t>
            </w:r>
          </w:p>
        </w:tc>
      </w:tr>
      <w:tr w:rsidR="00226C43" w:rsidRPr="00226C43" w14:paraId="5375CC31" w14:textId="77777777" w:rsidTr="00406405">
        <w:tc>
          <w:tcPr>
            <w:tcW w:w="0" w:type="auto"/>
            <w:hideMark/>
          </w:tcPr>
          <w:p w14:paraId="55C0E16A" w14:textId="77777777" w:rsidR="00AC3F66" w:rsidRPr="00226C43" w:rsidRDefault="00AC3F66" w:rsidP="00AC3F66">
            <w:pPr>
              <w:spacing w:after="0"/>
              <w:rPr>
                <w:sz w:val="20"/>
                <w:szCs w:val="20"/>
              </w:rPr>
            </w:pPr>
            <w:r w:rsidRPr="00226C43">
              <w:rPr>
                <w:b/>
                <w:bCs/>
                <w:sz w:val="20"/>
                <w:szCs w:val="20"/>
              </w:rPr>
              <w:t>Managing Contractor</w:t>
            </w:r>
          </w:p>
        </w:tc>
        <w:tc>
          <w:tcPr>
            <w:tcW w:w="0" w:type="auto"/>
            <w:hideMark/>
          </w:tcPr>
          <w:p w14:paraId="63948316" w14:textId="77777777" w:rsidR="00AC3F66" w:rsidRPr="00226C43" w:rsidRDefault="00AC3F66" w:rsidP="00AC3F66">
            <w:pPr>
              <w:spacing w:after="0"/>
              <w:rPr>
                <w:sz w:val="20"/>
                <w:szCs w:val="20"/>
              </w:rPr>
            </w:pPr>
            <w:r w:rsidRPr="00226C43">
              <w:rPr>
                <w:sz w:val="20"/>
                <w:szCs w:val="20"/>
              </w:rPr>
              <w:t>Tetra Tech (formerly Coffey International)</w:t>
            </w:r>
          </w:p>
        </w:tc>
      </w:tr>
      <w:tr w:rsidR="00226C43" w:rsidRPr="00226C43" w14:paraId="36AB8D54" w14:textId="77777777" w:rsidTr="00406405">
        <w:tc>
          <w:tcPr>
            <w:tcW w:w="0" w:type="auto"/>
            <w:hideMark/>
          </w:tcPr>
          <w:p w14:paraId="69274E89" w14:textId="77777777" w:rsidR="00AC3F66" w:rsidRPr="00226C43" w:rsidRDefault="00AC3F66" w:rsidP="00AC3F66">
            <w:pPr>
              <w:spacing w:after="0"/>
              <w:rPr>
                <w:sz w:val="20"/>
                <w:szCs w:val="20"/>
              </w:rPr>
            </w:pPr>
            <w:r w:rsidRPr="00226C43">
              <w:rPr>
                <w:b/>
                <w:bCs/>
                <w:sz w:val="20"/>
                <w:szCs w:val="20"/>
              </w:rPr>
              <w:t>Goal</w:t>
            </w:r>
          </w:p>
        </w:tc>
        <w:tc>
          <w:tcPr>
            <w:tcW w:w="0" w:type="auto"/>
            <w:hideMark/>
          </w:tcPr>
          <w:p w14:paraId="23FCDCB3" w14:textId="77777777" w:rsidR="00AC3F66" w:rsidRPr="00226C43" w:rsidRDefault="00AC3F66" w:rsidP="00AC3F66">
            <w:pPr>
              <w:spacing w:after="0"/>
              <w:rPr>
                <w:sz w:val="20"/>
                <w:szCs w:val="20"/>
              </w:rPr>
            </w:pPr>
            <w:r w:rsidRPr="00226C43">
              <w:rPr>
                <w:sz w:val="20"/>
                <w:szCs w:val="20"/>
              </w:rPr>
              <w:t>To support the Philippines to progress its development goals and have positive relationships with Australia that advance mutual interest</w:t>
            </w:r>
          </w:p>
        </w:tc>
      </w:tr>
    </w:tbl>
    <w:p w14:paraId="761D7CF4" w14:textId="77777777" w:rsidR="00406405" w:rsidRPr="00226C43" w:rsidRDefault="00406405" w:rsidP="00406405">
      <w:pPr>
        <w:spacing w:after="0"/>
        <w:rPr>
          <w:b/>
          <w:bCs/>
          <w:sz w:val="20"/>
          <w:szCs w:val="20"/>
        </w:rPr>
      </w:pPr>
    </w:p>
    <w:p w14:paraId="7FB1C603" w14:textId="4C766C17" w:rsidR="00AC3F66" w:rsidRPr="00226C43" w:rsidRDefault="00AC3F66" w:rsidP="00406405">
      <w:pPr>
        <w:spacing w:after="0"/>
        <w:rPr>
          <w:b/>
          <w:bCs/>
          <w:sz w:val="20"/>
          <w:szCs w:val="20"/>
        </w:rPr>
      </w:pPr>
      <w:r w:rsidRPr="00226C43">
        <w:rPr>
          <w:b/>
          <w:bCs/>
          <w:sz w:val="20"/>
          <w:szCs w:val="20"/>
        </w:rPr>
        <w:t>Phase 1 End of Program Outcomes (EOPOs), 2018–2022</w:t>
      </w:r>
    </w:p>
    <w:tbl>
      <w:tblPr>
        <w:tblStyle w:val="TableGrid"/>
        <w:tblW w:w="0" w:type="auto"/>
        <w:tblLook w:val="04A0" w:firstRow="1" w:lastRow="0" w:firstColumn="1" w:lastColumn="0" w:noHBand="0" w:noVBand="1"/>
      </w:tblPr>
      <w:tblGrid>
        <w:gridCol w:w="1081"/>
        <w:gridCol w:w="7839"/>
      </w:tblGrid>
      <w:tr w:rsidR="00226C43" w:rsidRPr="00226C43" w14:paraId="24248CB3" w14:textId="77777777" w:rsidTr="00117212">
        <w:trPr>
          <w:tblHeader/>
        </w:trPr>
        <w:tc>
          <w:tcPr>
            <w:tcW w:w="1081" w:type="dxa"/>
            <w:shd w:val="clear" w:color="auto" w:fill="E3DED1" w:themeFill="background2"/>
            <w:hideMark/>
          </w:tcPr>
          <w:p w14:paraId="620668C9" w14:textId="77777777" w:rsidR="00AC3F66" w:rsidRPr="00226C43" w:rsidRDefault="00AC3F66" w:rsidP="00CA7A16">
            <w:pPr>
              <w:spacing w:after="0"/>
              <w:rPr>
                <w:b/>
                <w:bCs/>
                <w:sz w:val="20"/>
                <w:szCs w:val="20"/>
              </w:rPr>
            </w:pPr>
            <w:r w:rsidRPr="00226C43">
              <w:rPr>
                <w:b/>
                <w:bCs/>
                <w:sz w:val="20"/>
                <w:szCs w:val="20"/>
              </w:rPr>
              <w:t>EOPO</w:t>
            </w:r>
          </w:p>
        </w:tc>
        <w:tc>
          <w:tcPr>
            <w:tcW w:w="7839" w:type="dxa"/>
            <w:shd w:val="clear" w:color="auto" w:fill="E3DED1" w:themeFill="background2"/>
            <w:hideMark/>
          </w:tcPr>
          <w:p w14:paraId="2AEEBF10" w14:textId="77777777" w:rsidR="00AC3F66" w:rsidRPr="00226C43" w:rsidRDefault="00AC3F66" w:rsidP="00CA7A16">
            <w:pPr>
              <w:spacing w:after="0"/>
              <w:rPr>
                <w:b/>
                <w:bCs/>
                <w:sz w:val="20"/>
                <w:szCs w:val="20"/>
              </w:rPr>
            </w:pPr>
            <w:r w:rsidRPr="00226C43">
              <w:rPr>
                <w:b/>
                <w:bCs/>
                <w:sz w:val="20"/>
                <w:szCs w:val="20"/>
              </w:rPr>
              <w:t>Description</w:t>
            </w:r>
          </w:p>
        </w:tc>
      </w:tr>
      <w:tr w:rsidR="00226C43" w:rsidRPr="00226C43" w14:paraId="47441574" w14:textId="77777777" w:rsidTr="00406405">
        <w:tc>
          <w:tcPr>
            <w:tcW w:w="1081" w:type="dxa"/>
            <w:hideMark/>
          </w:tcPr>
          <w:p w14:paraId="2936783C" w14:textId="77777777" w:rsidR="00AC3F66" w:rsidRPr="00226C43" w:rsidRDefault="00AC3F66" w:rsidP="00CA7A16">
            <w:pPr>
              <w:spacing w:after="0"/>
              <w:rPr>
                <w:sz w:val="20"/>
                <w:szCs w:val="20"/>
              </w:rPr>
            </w:pPr>
            <w:r w:rsidRPr="00226C43">
              <w:rPr>
                <w:b/>
                <w:bCs/>
                <w:sz w:val="20"/>
                <w:szCs w:val="20"/>
              </w:rPr>
              <w:t>EOPO 1</w:t>
            </w:r>
          </w:p>
        </w:tc>
        <w:tc>
          <w:tcPr>
            <w:tcW w:w="7839" w:type="dxa"/>
            <w:hideMark/>
          </w:tcPr>
          <w:p w14:paraId="29AF5B08" w14:textId="77777777" w:rsidR="00AC3F66" w:rsidRPr="00226C43" w:rsidRDefault="00AC3F66" w:rsidP="00CA7A16">
            <w:pPr>
              <w:spacing w:after="0"/>
              <w:rPr>
                <w:sz w:val="20"/>
                <w:szCs w:val="20"/>
              </w:rPr>
            </w:pPr>
            <w:r w:rsidRPr="00226C43">
              <w:rPr>
                <w:sz w:val="20"/>
                <w:szCs w:val="20"/>
              </w:rPr>
              <w:t>Alumni and where relevant, their organisations have and use skills, knowledge and networks to contribute to sustainable development</w:t>
            </w:r>
          </w:p>
        </w:tc>
      </w:tr>
      <w:tr w:rsidR="00226C43" w:rsidRPr="00226C43" w14:paraId="2D91AD4D" w14:textId="77777777" w:rsidTr="00406405">
        <w:tc>
          <w:tcPr>
            <w:tcW w:w="1081" w:type="dxa"/>
            <w:hideMark/>
          </w:tcPr>
          <w:p w14:paraId="19F7CAED" w14:textId="77777777" w:rsidR="00AC3F66" w:rsidRPr="00226C43" w:rsidRDefault="00AC3F66" w:rsidP="00CA7A16">
            <w:pPr>
              <w:spacing w:after="0"/>
              <w:rPr>
                <w:sz w:val="20"/>
                <w:szCs w:val="20"/>
              </w:rPr>
            </w:pPr>
            <w:r w:rsidRPr="00226C43">
              <w:rPr>
                <w:b/>
                <w:bCs/>
                <w:sz w:val="20"/>
                <w:szCs w:val="20"/>
              </w:rPr>
              <w:t>EOPO 2</w:t>
            </w:r>
          </w:p>
        </w:tc>
        <w:tc>
          <w:tcPr>
            <w:tcW w:w="7839" w:type="dxa"/>
            <w:hideMark/>
          </w:tcPr>
          <w:p w14:paraId="52309A06" w14:textId="77777777" w:rsidR="00AC3F66" w:rsidRPr="00226C43" w:rsidRDefault="00AC3F66" w:rsidP="00CA7A16">
            <w:pPr>
              <w:spacing w:after="0"/>
              <w:rPr>
                <w:sz w:val="20"/>
                <w:szCs w:val="20"/>
              </w:rPr>
            </w:pPr>
            <w:r w:rsidRPr="00226C43">
              <w:rPr>
                <w:sz w:val="20"/>
                <w:szCs w:val="20"/>
              </w:rPr>
              <w:t>Australia has alumni in key sectors and positions</w:t>
            </w:r>
          </w:p>
        </w:tc>
      </w:tr>
      <w:tr w:rsidR="00226C43" w:rsidRPr="00226C43" w14:paraId="3370E0ED" w14:textId="77777777" w:rsidTr="00406405">
        <w:tc>
          <w:tcPr>
            <w:tcW w:w="1081" w:type="dxa"/>
            <w:hideMark/>
          </w:tcPr>
          <w:p w14:paraId="48B223A3" w14:textId="77777777" w:rsidR="00AC3F66" w:rsidRPr="00226C43" w:rsidRDefault="00AC3F66" w:rsidP="00CA7A16">
            <w:pPr>
              <w:spacing w:after="0"/>
              <w:rPr>
                <w:sz w:val="20"/>
                <w:szCs w:val="20"/>
              </w:rPr>
            </w:pPr>
            <w:r w:rsidRPr="00226C43">
              <w:rPr>
                <w:b/>
                <w:bCs/>
                <w:sz w:val="20"/>
                <w:szCs w:val="20"/>
              </w:rPr>
              <w:t>EOPO 3</w:t>
            </w:r>
          </w:p>
        </w:tc>
        <w:tc>
          <w:tcPr>
            <w:tcW w:w="7839" w:type="dxa"/>
            <w:hideMark/>
          </w:tcPr>
          <w:p w14:paraId="750DF4AF" w14:textId="77777777" w:rsidR="00AC3F66" w:rsidRPr="00226C43" w:rsidRDefault="00AC3F66" w:rsidP="00CA7A16">
            <w:pPr>
              <w:spacing w:after="0"/>
              <w:rPr>
                <w:sz w:val="20"/>
                <w:szCs w:val="20"/>
              </w:rPr>
            </w:pPr>
            <w:r w:rsidRPr="00226C43">
              <w:rPr>
                <w:sz w:val="20"/>
                <w:szCs w:val="20"/>
              </w:rPr>
              <w:t>Links and/or formal partnerships between institutions and businesses in Australia and Philippines are activated and matured</w:t>
            </w:r>
          </w:p>
        </w:tc>
      </w:tr>
      <w:tr w:rsidR="00226C43" w:rsidRPr="00226C43" w14:paraId="1C759AE5" w14:textId="77777777" w:rsidTr="00406405">
        <w:tc>
          <w:tcPr>
            <w:tcW w:w="1081" w:type="dxa"/>
            <w:hideMark/>
          </w:tcPr>
          <w:p w14:paraId="0C71A79D" w14:textId="77777777" w:rsidR="00AC3F66" w:rsidRPr="00226C43" w:rsidRDefault="00AC3F66" w:rsidP="00CA7A16">
            <w:pPr>
              <w:spacing w:after="0"/>
              <w:rPr>
                <w:sz w:val="20"/>
                <w:szCs w:val="20"/>
              </w:rPr>
            </w:pPr>
            <w:r w:rsidRPr="00226C43">
              <w:rPr>
                <w:b/>
                <w:bCs/>
                <w:sz w:val="20"/>
                <w:szCs w:val="20"/>
              </w:rPr>
              <w:t>EOPO 4</w:t>
            </w:r>
          </w:p>
        </w:tc>
        <w:tc>
          <w:tcPr>
            <w:tcW w:w="7839" w:type="dxa"/>
            <w:hideMark/>
          </w:tcPr>
          <w:p w14:paraId="7F37D865" w14:textId="77777777" w:rsidR="00AC3F66" w:rsidRPr="00226C43" w:rsidRDefault="00AC3F66" w:rsidP="00CA7A16">
            <w:pPr>
              <w:spacing w:after="0"/>
              <w:rPr>
                <w:sz w:val="20"/>
                <w:szCs w:val="20"/>
              </w:rPr>
            </w:pPr>
            <w:r w:rsidRPr="00226C43">
              <w:rPr>
                <w:sz w:val="20"/>
                <w:szCs w:val="20"/>
              </w:rPr>
              <w:t>Australia, Australians and Australian expertise is viewed positively in the Philippines</w:t>
            </w:r>
          </w:p>
        </w:tc>
      </w:tr>
      <w:tr w:rsidR="00AC3F66" w:rsidRPr="00226C43" w14:paraId="1A8193F7" w14:textId="77777777" w:rsidTr="00406405">
        <w:tc>
          <w:tcPr>
            <w:tcW w:w="1081" w:type="dxa"/>
            <w:hideMark/>
          </w:tcPr>
          <w:p w14:paraId="66C414F0" w14:textId="77777777" w:rsidR="00AC3F66" w:rsidRPr="00226C43" w:rsidRDefault="00AC3F66" w:rsidP="00CA7A16">
            <w:pPr>
              <w:spacing w:after="0"/>
              <w:rPr>
                <w:sz w:val="20"/>
                <w:szCs w:val="20"/>
              </w:rPr>
            </w:pPr>
            <w:r w:rsidRPr="00226C43">
              <w:rPr>
                <w:b/>
                <w:bCs/>
                <w:sz w:val="20"/>
                <w:szCs w:val="20"/>
              </w:rPr>
              <w:t>EOPO 5</w:t>
            </w:r>
          </w:p>
        </w:tc>
        <w:tc>
          <w:tcPr>
            <w:tcW w:w="7839" w:type="dxa"/>
            <w:hideMark/>
          </w:tcPr>
          <w:p w14:paraId="0B641B8C" w14:textId="77777777" w:rsidR="00AC3F66" w:rsidRPr="00226C43" w:rsidRDefault="00AC3F66" w:rsidP="00CA7A16">
            <w:pPr>
              <w:spacing w:after="0"/>
              <w:rPr>
                <w:sz w:val="20"/>
                <w:szCs w:val="20"/>
              </w:rPr>
            </w:pPr>
            <w:r w:rsidRPr="00226C43">
              <w:rPr>
                <w:sz w:val="20"/>
                <w:szCs w:val="20"/>
              </w:rPr>
              <w:t>Scholarships and alumni activities have improved gender equality and women’s empowerment</w:t>
            </w:r>
          </w:p>
        </w:tc>
      </w:tr>
    </w:tbl>
    <w:p w14:paraId="5EE13A9F" w14:textId="77777777" w:rsidR="00406405" w:rsidRPr="00226C43" w:rsidRDefault="00406405" w:rsidP="00406405">
      <w:pPr>
        <w:spacing w:after="0"/>
        <w:rPr>
          <w:b/>
          <w:bCs/>
          <w:sz w:val="20"/>
          <w:szCs w:val="20"/>
        </w:rPr>
      </w:pPr>
    </w:p>
    <w:p w14:paraId="07435E62" w14:textId="0F19766F" w:rsidR="00AC3F66" w:rsidRPr="00226C43" w:rsidRDefault="00AC3F66" w:rsidP="00406405">
      <w:pPr>
        <w:spacing w:after="0"/>
        <w:rPr>
          <w:b/>
          <w:bCs/>
          <w:sz w:val="20"/>
          <w:szCs w:val="20"/>
        </w:rPr>
      </w:pPr>
      <w:r w:rsidRPr="00226C43">
        <w:rPr>
          <w:b/>
          <w:bCs/>
          <w:sz w:val="20"/>
          <w:szCs w:val="20"/>
        </w:rPr>
        <w:t>Phase 2 EOPOs, 2023–2026</w:t>
      </w:r>
    </w:p>
    <w:tbl>
      <w:tblPr>
        <w:tblStyle w:val="TableGrid"/>
        <w:tblW w:w="0" w:type="auto"/>
        <w:tblLook w:val="04A0" w:firstRow="1" w:lastRow="0" w:firstColumn="1" w:lastColumn="0" w:noHBand="0" w:noVBand="1"/>
      </w:tblPr>
      <w:tblGrid>
        <w:gridCol w:w="1081"/>
        <w:gridCol w:w="7839"/>
      </w:tblGrid>
      <w:tr w:rsidR="00226C43" w:rsidRPr="00226C43" w14:paraId="5CA57D42" w14:textId="77777777" w:rsidTr="00117212">
        <w:trPr>
          <w:tblHeader/>
        </w:trPr>
        <w:tc>
          <w:tcPr>
            <w:tcW w:w="1081" w:type="dxa"/>
            <w:shd w:val="clear" w:color="auto" w:fill="E3DED1" w:themeFill="background2"/>
            <w:hideMark/>
          </w:tcPr>
          <w:p w14:paraId="3E887B97" w14:textId="77777777" w:rsidR="00AC3F66" w:rsidRPr="00226C43" w:rsidRDefault="00AC3F66" w:rsidP="00CA7A16">
            <w:pPr>
              <w:spacing w:after="0"/>
              <w:rPr>
                <w:b/>
                <w:bCs/>
                <w:sz w:val="20"/>
                <w:szCs w:val="20"/>
              </w:rPr>
            </w:pPr>
            <w:r w:rsidRPr="00226C43">
              <w:rPr>
                <w:b/>
                <w:bCs/>
                <w:sz w:val="20"/>
                <w:szCs w:val="20"/>
              </w:rPr>
              <w:t>EOPO</w:t>
            </w:r>
          </w:p>
        </w:tc>
        <w:tc>
          <w:tcPr>
            <w:tcW w:w="7839" w:type="dxa"/>
            <w:shd w:val="clear" w:color="auto" w:fill="E3DED1" w:themeFill="background2"/>
            <w:hideMark/>
          </w:tcPr>
          <w:p w14:paraId="14FA2D38" w14:textId="77777777" w:rsidR="00AC3F66" w:rsidRPr="00226C43" w:rsidRDefault="00AC3F66" w:rsidP="00CA7A16">
            <w:pPr>
              <w:spacing w:after="0"/>
              <w:rPr>
                <w:b/>
                <w:bCs/>
                <w:sz w:val="20"/>
                <w:szCs w:val="20"/>
              </w:rPr>
            </w:pPr>
            <w:r w:rsidRPr="00226C43">
              <w:rPr>
                <w:b/>
                <w:bCs/>
                <w:sz w:val="20"/>
                <w:szCs w:val="20"/>
              </w:rPr>
              <w:t>Description</w:t>
            </w:r>
          </w:p>
        </w:tc>
      </w:tr>
      <w:tr w:rsidR="00226C43" w:rsidRPr="00226C43" w14:paraId="5E1E815C" w14:textId="77777777" w:rsidTr="00406405">
        <w:tc>
          <w:tcPr>
            <w:tcW w:w="1081" w:type="dxa"/>
            <w:hideMark/>
          </w:tcPr>
          <w:p w14:paraId="53C3247E" w14:textId="77777777" w:rsidR="00AC3F66" w:rsidRPr="00226C43" w:rsidRDefault="00AC3F66" w:rsidP="00CA7A16">
            <w:pPr>
              <w:spacing w:after="0"/>
              <w:rPr>
                <w:sz w:val="20"/>
                <w:szCs w:val="20"/>
              </w:rPr>
            </w:pPr>
            <w:r w:rsidRPr="00226C43">
              <w:rPr>
                <w:b/>
                <w:bCs/>
                <w:sz w:val="20"/>
                <w:szCs w:val="20"/>
              </w:rPr>
              <w:t>EOPO 1</w:t>
            </w:r>
          </w:p>
        </w:tc>
        <w:tc>
          <w:tcPr>
            <w:tcW w:w="7839" w:type="dxa"/>
            <w:hideMark/>
          </w:tcPr>
          <w:p w14:paraId="005BD59C" w14:textId="77777777" w:rsidR="00AC3F66" w:rsidRPr="00226C43" w:rsidRDefault="00AC3F66" w:rsidP="00CA7A16">
            <w:pPr>
              <w:spacing w:after="0"/>
              <w:rPr>
                <w:sz w:val="20"/>
                <w:szCs w:val="20"/>
              </w:rPr>
            </w:pPr>
            <w:r w:rsidRPr="00226C43">
              <w:rPr>
                <w:sz w:val="20"/>
                <w:szCs w:val="20"/>
              </w:rPr>
              <w:t>Diverse alumni, and where relevant, their organisations use skills, knowledge and networks to contribute to sustainable development</w:t>
            </w:r>
          </w:p>
        </w:tc>
      </w:tr>
      <w:tr w:rsidR="00AC3F66" w:rsidRPr="00226C43" w14:paraId="6A5C2D8F" w14:textId="77777777" w:rsidTr="00406405">
        <w:tc>
          <w:tcPr>
            <w:tcW w:w="1081" w:type="dxa"/>
            <w:hideMark/>
          </w:tcPr>
          <w:p w14:paraId="53558F66" w14:textId="77777777" w:rsidR="00AC3F66" w:rsidRPr="00226C43" w:rsidRDefault="00AC3F66" w:rsidP="00CA7A16">
            <w:pPr>
              <w:spacing w:after="0"/>
              <w:rPr>
                <w:sz w:val="20"/>
                <w:szCs w:val="20"/>
              </w:rPr>
            </w:pPr>
            <w:r w:rsidRPr="00226C43">
              <w:rPr>
                <w:b/>
                <w:bCs/>
                <w:sz w:val="20"/>
                <w:szCs w:val="20"/>
              </w:rPr>
              <w:t>EOPO 2</w:t>
            </w:r>
          </w:p>
        </w:tc>
        <w:tc>
          <w:tcPr>
            <w:tcW w:w="7839" w:type="dxa"/>
            <w:hideMark/>
          </w:tcPr>
          <w:p w14:paraId="146B1047" w14:textId="77777777" w:rsidR="00AC3F66" w:rsidRPr="00226C43" w:rsidRDefault="00AC3F66" w:rsidP="00CA7A16">
            <w:pPr>
              <w:spacing w:after="0"/>
              <w:rPr>
                <w:sz w:val="20"/>
                <w:szCs w:val="20"/>
              </w:rPr>
            </w:pPr>
            <w:r w:rsidRPr="00226C43">
              <w:rPr>
                <w:sz w:val="20"/>
                <w:szCs w:val="20"/>
              </w:rPr>
              <w:t>Diverse alumni have contributed to strengthening cooperation between the Philippines and Australia</w:t>
            </w:r>
          </w:p>
        </w:tc>
      </w:tr>
    </w:tbl>
    <w:p w14:paraId="69D3829D" w14:textId="77777777" w:rsidR="00406405" w:rsidRPr="00226C43" w:rsidRDefault="00406405" w:rsidP="00406405">
      <w:pPr>
        <w:spacing w:after="0"/>
        <w:rPr>
          <w:b/>
          <w:bCs/>
          <w:sz w:val="20"/>
          <w:szCs w:val="20"/>
        </w:rPr>
      </w:pPr>
    </w:p>
    <w:p w14:paraId="35C311DE" w14:textId="0358341A" w:rsidR="00AC3F66" w:rsidRPr="00226C43" w:rsidRDefault="00AC3F66" w:rsidP="00406405">
      <w:pPr>
        <w:spacing w:after="0"/>
        <w:rPr>
          <w:b/>
          <w:bCs/>
          <w:sz w:val="20"/>
          <w:szCs w:val="20"/>
        </w:rPr>
      </w:pPr>
      <w:r w:rsidRPr="00226C43">
        <w:rPr>
          <w:b/>
          <w:bCs/>
          <w:sz w:val="20"/>
          <w:szCs w:val="20"/>
        </w:rPr>
        <w:t>Intermediate Outcomes (IOs)</w:t>
      </w:r>
    </w:p>
    <w:tbl>
      <w:tblPr>
        <w:tblStyle w:val="TableGrid"/>
        <w:tblW w:w="0" w:type="auto"/>
        <w:tblLook w:val="04A0" w:firstRow="1" w:lastRow="0" w:firstColumn="1" w:lastColumn="0" w:noHBand="0" w:noVBand="1"/>
      </w:tblPr>
      <w:tblGrid>
        <w:gridCol w:w="798"/>
        <w:gridCol w:w="8122"/>
      </w:tblGrid>
      <w:tr w:rsidR="00226C43" w:rsidRPr="00226C43" w14:paraId="673D59EA" w14:textId="77777777" w:rsidTr="00117212">
        <w:trPr>
          <w:tblHeader/>
        </w:trPr>
        <w:tc>
          <w:tcPr>
            <w:tcW w:w="798" w:type="dxa"/>
            <w:shd w:val="clear" w:color="auto" w:fill="E3DED1" w:themeFill="background2"/>
            <w:hideMark/>
          </w:tcPr>
          <w:p w14:paraId="1791390F" w14:textId="77777777" w:rsidR="00AC3F66" w:rsidRPr="00226C43" w:rsidRDefault="00AC3F66" w:rsidP="00CA7A16">
            <w:pPr>
              <w:spacing w:after="0"/>
              <w:rPr>
                <w:b/>
                <w:bCs/>
                <w:sz w:val="20"/>
                <w:szCs w:val="20"/>
              </w:rPr>
            </w:pPr>
            <w:r w:rsidRPr="00226C43">
              <w:rPr>
                <w:b/>
                <w:bCs/>
                <w:sz w:val="20"/>
                <w:szCs w:val="20"/>
              </w:rPr>
              <w:t>IO</w:t>
            </w:r>
          </w:p>
        </w:tc>
        <w:tc>
          <w:tcPr>
            <w:tcW w:w="8122" w:type="dxa"/>
            <w:shd w:val="clear" w:color="auto" w:fill="E3DED1" w:themeFill="background2"/>
            <w:hideMark/>
          </w:tcPr>
          <w:p w14:paraId="3946ABE6" w14:textId="77777777" w:rsidR="00AC3F66" w:rsidRPr="00226C43" w:rsidRDefault="00AC3F66" w:rsidP="00CA7A16">
            <w:pPr>
              <w:spacing w:after="0"/>
              <w:rPr>
                <w:b/>
                <w:bCs/>
                <w:sz w:val="20"/>
                <w:szCs w:val="20"/>
              </w:rPr>
            </w:pPr>
            <w:r w:rsidRPr="00226C43">
              <w:rPr>
                <w:b/>
                <w:bCs/>
                <w:sz w:val="20"/>
                <w:szCs w:val="20"/>
              </w:rPr>
              <w:t>Description</w:t>
            </w:r>
          </w:p>
        </w:tc>
      </w:tr>
      <w:tr w:rsidR="00226C43" w:rsidRPr="00226C43" w14:paraId="5C0058BE" w14:textId="77777777" w:rsidTr="00406405">
        <w:tc>
          <w:tcPr>
            <w:tcW w:w="798" w:type="dxa"/>
            <w:hideMark/>
          </w:tcPr>
          <w:p w14:paraId="37AF4B29" w14:textId="77777777" w:rsidR="00AC3F66" w:rsidRPr="00226C43" w:rsidRDefault="00AC3F66" w:rsidP="00CA7A16">
            <w:pPr>
              <w:spacing w:after="0"/>
              <w:rPr>
                <w:sz w:val="20"/>
                <w:szCs w:val="20"/>
              </w:rPr>
            </w:pPr>
            <w:r w:rsidRPr="00226C43">
              <w:rPr>
                <w:b/>
                <w:bCs/>
                <w:sz w:val="20"/>
                <w:szCs w:val="20"/>
              </w:rPr>
              <w:t>IO 1</w:t>
            </w:r>
          </w:p>
        </w:tc>
        <w:tc>
          <w:tcPr>
            <w:tcW w:w="8122" w:type="dxa"/>
            <w:hideMark/>
          </w:tcPr>
          <w:p w14:paraId="5AE345F9" w14:textId="77777777" w:rsidR="00AC3F66" w:rsidRPr="00226C43" w:rsidRDefault="00AC3F66" w:rsidP="00CA7A16">
            <w:pPr>
              <w:spacing w:after="0"/>
              <w:rPr>
                <w:sz w:val="20"/>
                <w:szCs w:val="20"/>
              </w:rPr>
            </w:pPr>
            <w:r w:rsidRPr="00226C43">
              <w:rPr>
                <w:sz w:val="20"/>
                <w:szCs w:val="20"/>
              </w:rPr>
              <w:t>Diverse alumni and, through them, their organisations, have skills and knowledge to contribute to development that is aligned to our shared goals</w:t>
            </w:r>
          </w:p>
        </w:tc>
      </w:tr>
      <w:tr w:rsidR="00226C43" w:rsidRPr="00226C43" w14:paraId="504CE3C5" w14:textId="77777777" w:rsidTr="00406405">
        <w:tc>
          <w:tcPr>
            <w:tcW w:w="798" w:type="dxa"/>
            <w:hideMark/>
          </w:tcPr>
          <w:p w14:paraId="14595176" w14:textId="77777777" w:rsidR="00AC3F66" w:rsidRPr="00226C43" w:rsidRDefault="00AC3F66" w:rsidP="00CA7A16">
            <w:pPr>
              <w:spacing w:after="0"/>
              <w:rPr>
                <w:sz w:val="20"/>
                <w:szCs w:val="20"/>
              </w:rPr>
            </w:pPr>
            <w:r w:rsidRPr="00226C43">
              <w:rPr>
                <w:b/>
                <w:bCs/>
                <w:sz w:val="20"/>
                <w:szCs w:val="20"/>
              </w:rPr>
              <w:t>IO 2</w:t>
            </w:r>
          </w:p>
        </w:tc>
        <w:tc>
          <w:tcPr>
            <w:tcW w:w="8122" w:type="dxa"/>
            <w:hideMark/>
          </w:tcPr>
          <w:p w14:paraId="4196C694" w14:textId="77777777" w:rsidR="00AC3F66" w:rsidRPr="00226C43" w:rsidRDefault="00AC3F66" w:rsidP="00CA7A16">
            <w:pPr>
              <w:spacing w:after="0"/>
              <w:rPr>
                <w:sz w:val="20"/>
                <w:szCs w:val="20"/>
              </w:rPr>
            </w:pPr>
            <w:r w:rsidRPr="00226C43">
              <w:rPr>
                <w:sz w:val="20"/>
                <w:szCs w:val="20"/>
              </w:rPr>
              <w:t>Australia, Australians, and Australian expertise are valued and viewed positively by alumni and Partner Organisations</w:t>
            </w:r>
          </w:p>
        </w:tc>
      </w:tr>
      <w:tr w:rsidR="00226C43" w:rsidRPr="00226C43" w14:paraId="295D8F5F" w14:textId="77777777" w:rsidTr="00406405">
        <w:tc>
          <w:tcPr>
            <w:tcW w:w="798" w:type="dxa"/>
            <w:hideMark/>
          </w:tcPr>
          <w:p w14:paraId="30CAEBC3" w14:textId="77777777" w:rsidR="00AC3F66" w:rsidRPr="00226C43" w:rsidRDefault="00AC3F66" w:rsidP="00CA7A16">
            <w:pPr>
              <w:spacing w:after="0"/>
              <w:rPr>
                <w:sz w:val="20"/>
                <w:szCs w:val="20"/>
              </w:rPr>
            </w:pPr>
            <w:r w:rsidRPr="00226C43">
              <w:rPr>
                <w:b/>
                <w:bCs/>
                <w:sz w:val="20"/>
                <w:szCs w:val="20"/>
              </w:rPr>
              <w:t>IO 3</w:t>
            </w:r>
          </w:p>
        </w:tc>
        <w:tc>
          <w:tcPr>
            <w:tcW w:w="8122" w:type="dxa"/>
            <w:hideMark/>
          </w:tcPr>
          <w:p w14:paraId="73C36098" w14:textId="77777777" w:rsidR="00AC3F66" w:rsidRPr="00226C43" w:rsidRDefault="00AC3F66" w:rsidP="00CA7A16">
            <w:pPr>
              <w:spacing w:after="0"/>
              <w:rPr>
                <w:sz w:val="20"/>
                <w:szCs w:val="20"/>
              </w:rPr>
            </w:pPr>
            <w:r w:rsidRPr="00226C43">
              <w:rPr>
                <w:sz w:val="20"/>
                <w:szCs w:val="20"/>
              </w:rPr>
              <w:t>Diverse alumni actively participate in alumni engagement activities</w:t>
            </w:r>
          </w:p>
        </w:tc>
      </w:tr>
    </w:tbl>
    <w:p w14:paraId="7AABCB04" w14:textId="77777777" w:rsidR="00E14054" w:rsidRPr="00226C43" w:rsidRDefault="00E14054" w:rsidP="00406405">
      <w:pPr>
        <w:spacing w:after="0"/>
        <w:rPr>
          <w:b/>
          <w:bCs/>
          <w:sz w:val="20"/>
          <w:szCs w:val="20"/>
        </w:rPr>
      </w:pPr>
    </w:p>
    <w:p w14:paraId="3446B583" w14:textId="1F75863E" w:rsidR="00AC3F66" w:rsidRPr="00226C43" w:rsidRDefault="00AC3F66" w:rsidP="00406405">
      <w:pPr>
        <w:spacing w:after="0"/>
        <w:rPr>
          <w:b/>
          <w:bCs/>
          <w:sz w:val="20"/>
          <w:szCs w:val="20"/>
        </w:rPr>
      </w:pPr>
      <w:r w:rsidRPr="00226C43">
        <w:rPr>
          <w:b/>
          <w:bCs/>
          <w:sz w:val="20"/>
          <w:szCs w:val="20"/>
        </w:rPr>
        <w:t>Evaluation Team</w:t>
      </w:r>
    </w:p>
    <w:tbl>
      <w:tblPr>
        <w:tblStyle w:val="TableGrid"/>
        <w:tblW w:w="0" w:type="auto"/>
        <w:tblLook w:val="04A0" w:firstRow="1" w:lastRow="0" w:firstColumn="1" w:lastColumn="0" w:noHBand="0" w:noVBand="1"/>
      </w:tblPr>
      <w:tblGrid>
        <w:gridCol w:w="1625"/>
        <w:gridCol w:w="7391"/>
      </w:tblGrid>
      <w:tr w:rsidR="00226C43" w:rsidRPr="00226C43" w14:paraId="6C730DC2" w14:textId="77777777" w:rsidTr="00117212">
        <w:trPr>
          <w:tblHeader/>
        </w:trPr>
        <w:tc>
          <w:tcPr>
            <w:tcW w:w="0" w:type="auto"/>
            <w:shd w:val="clear" w:color="auto" w:fill="E3DED1" w:themeFill="background2"/>
            <w:hideMark/>
          </w:tcPr>
          <w:p w14:paraId="17AE2368" w14:textId="77777777" w:rsidR="00AC3F66" w:rsidRPr="00226C43" w:rsidRDefault="00AC3F66" w:rsidP="00E14054">
            <w:pPr>
              <w:spacing w:after="0"/>
              <w:rPr>
                <w:b/>
                <w:bCs/>
                <w:sz w:val="20"/>
                <w:szCs w:val="20"/>
              </w:rPr>
            </w:pPr>
            <w:r w:rsidRPr="00226C43">
              <w:rPr>
                <w:b/>
                <w:bCs/>
                <w:sz w:val="20"/>
                <w:szCs w:val="20"/>
              </w:rPr>
              <w:t>Role</w:t>
            </w:r>
          </w:p>
        </w:tc>
        <w:tc>
          <w:tcPr>
            <w:tcW w:w="0" w:type="auto"/>
            <w:shd w:val="clear" w:color="auto" w:fill="E3DED1" w:themeFill="background2"/>
            <w:hideMark/>
          </w:tcPr>
          <w:p w14:paraId="0E9104D5" w14:textId="77777777" w:rsidR="00AC3F66" w:rsidRPr="00226C43" w:rsidRDefault="00AC3F66" w:rsidP="00E14054">
            <w:pPr>
              <w:spacing w:after="0"/>
              <w:rPr>
                <w:b/>
                <w:bCs/>
                <w:sz w:val="20"/>
                <w:szCs w:val="20"/>
              </w:rPr>
            </w:pPr>
            <w:r w:rsidRPr="00226C43">
              <w:rPr>
                <w:b/>
                <w:bCs/>
                <w:sz w:val="20"/>
                <w:szCs w:val="20"/>
              </w:rPr>
              <w:t>Name</w:t>
            </w:r>
          </w:p>
        </w:tc>
      </w:tr>
      <w:tr w:rsidR="00226C43" w:rsidRPr="00226C43" w14:paraId="496923D5" w14:textId="77777777" w:rsidTr="00406405">
        <w:tc>
          <w:tcPr>
            <w:tcW w:w="0" w:type="auto"/>
            <w:hideMark/>
          </w:tcPr>
          <w:p w14:paraId="14E3B607" w14:textId="77777777" w:rsidR="00AC3F66" w:rsidRPr="00226C43" w:rsidRDefault="00AC3F66" w:rsidP="00E14054">
            <w:pPr>
              <w:spacing w:after="0"/>
              <w:rPr>
                <w:sz w:val="20"/>
                <w:szCs w:val="20"/>
              </w:rPr>
            </w:pPr>
            <w:r w:rsidRPr="00226C43">
              <w:rPr>
                <w:b/>
                <w:bCs/>
                <w:sz w:val="20"/>
                <w:szCs w:val="20"/>
              </w:rPr>
              <w:t>DFAT Evaluation Manager</w:t>
            </w:r>
          </w:p>
        </w:tc>
        <w:tc>
          <w:tcPr>
            <w:tcW w:w="0" w:type="auto"/>
            <w:hideMark/>
          </w:tcPr>
          <w:p w14:paraId="7ECAE968" w14:textId="77777777" w:rsidR="00AC3F66" w:rsidRPr="00226C43" w:rsidRDefault="00AC3F66" w:rsidP="00E14054">
            <w:pPr>
              <w:spacing w:after="0"/>
              <w:rPr>
                <w:sz w:val="20"/>
                <w:szCs w:val="20"/>
              </w:rPr>
            </w:pPr>
            <w:r w:rsidRPr="00226C43">
              <w:rPr>
                <w:sz w:val="20"/>
                <w:szCs w:val="20"/>
              </w:rPr>
              <w:t>Rollie dela Cruz, Portfolio Manager, Scholarships and Innovation</w:t>
            </w:r>
          </w:p>
        </w:tc>
      </w:tr>
      <w:tr w:rsidR="00226C43" w:rsidRPr="00226C43" w14:paraId="4A7447A6" w14:textId="77777777" w:rsidTr="00406405">
        <w:tc>
          <w:tcPr>
            <w:tcW w:w="0" w:type="auto"/>
            <w:hideMark/>
          </w:tcPr>
          <w:p w14:paraId="61906F54" w14:textId="77777777" w:rsidR="00AC3F66" w:rsidRPr="00226C43" w:rsidRDefault="00AC3F66" w:rsidP="00E14054">
            <w:pPr>
              <w:spacing w:after="0"/>
              <w:rPr>
                <w:sz w:val="20"/>
                <w:szCs w:val="20"/>
              </w:rPr>
            </w:pPr>
            <w:r w:rsidRPr="00226C43">
              <w:rPr>
                <w:b/>
                <w:bCs/>
                <w:sz w:val="20"/>
                <w:szCs w:val="20"/>
              </w:rPr>
              <w:t>Evaluation Team</w:t>
            </w:r>
          </w:p>
        </w:tc>
        <w:tc>
          <w:tcPr>
            <w:tcW w:w="0" w:type="auto"/>
            <w:hideMark/>
          </w:tcPr>
          <w:p w14:paraId="7D0BD842" w14:textId="77777777" w:rsidR="00AC3F66" w:rsidRPr="00226C43" w:rsidRDefault="00AC3F66" w:rsidP="00E14054">
            <w:pPr>
              <w:spacing w:after="0"/>
              <w:rPr>
                <w:sz w:val="20"/>
                <w:szCs w:val="20"/>
              </w:rPr>
            </w:pPr>
            <w:r w:rsidRPr="00226C43">
              <w:rPr>
                <w:sz w:val="20"/>
                <w:szCs w:val="20"/>
              </w:rPr>
              <w:t>James McGovern (Team Leader), Douglas Smith (Monitoring, Evaluation and Learning (MEL) Advisor), Bernadette Cariaga (Gender Equality, Disability and Social Inclusion (GEDSI) Specialist), Jodie Kane (Evaluation Specialist)</w:t>
            </w:r>
          </w:p>
        </w:tc>
      </w:tr>
    </w:tbl>
    <w:p w14:paraId="62A797BF" w14:textId="7C87A208" w:rsidR="00024793" w:rsidRPr="00226C43" w:rsidRDefault="4DD21A85" w:rsidP="0020203E">
      <w:pPr>
        <w:pStyle w:val="Heading1"/>
        <w:numPr>
          <w:ilvl w:val="0"/>
          <w:numId w:val="0"/>
        </w:numPr>
        <w:ind w:left="426" w:hanging="426"/>
        <w:rPr>
          <w:rFonts w:asciiTheme="minorHAnsi" w:hAnsiTheme="minorHAnsi"/>
          <w:color w:val="auto"/>
        </w:rPr>
      </w:pPr>
      <w:bookmarkStart w:id="3" w:name="_Toc190195416"/>
      <w:bookmarkStart w:id="4" w:name="_Toc190248313"/>
      <w:r w:rsidRPr="00226C43">
        <w:rPr>
          <w:rFonts w:asciiTheme="minorHAnsi" w:hAnsiTheme="minorHAnsi"/>
          <w:color w:val="auto"/>
        </w:rPr>
        <w:lastRenderedPageBreak/>
        <w:t>Executive Summary</w:t>
      </w:r>
      <w:bookmarkEnd w:id="0"/>
      <w:bookmarkEnd w:id="1"/>
      <w:bookmarkEnd w:id="3"/>
      <w:bookmarkEnd w:id="4"/>
    </w:p>
    <w:p w14:paraId="7E93D40B" w14:textId="1D89E028" w:rsidR="00024793" w:rsidRPr="00226C43" w:rsidRDefault="4DD21A85" w:rsidP="00CB385E">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Background</w:t>
      </w:r>
    </w:p>
    <w:p w14:paraId="452938F3" w14:textId="16F6A6DA" w:rsidR="004D46EF" w:rsidRPr="00226C43" w:rsidRDefault="4DD21A85" w:rsidP="004E3950">
      <w:pPr>
        <w:spacing w:after="0" w:line="259" w:lineRule="auto"/>
      </w:pPr>
      <w:r w:rsidRPr="00226C43">
        <w:t xml:space="preserve">The aim of the </w:t>
      </w:r>
      <w:r w:rsidRPr="00226C43">
        <w:rPr>
          <w:rFonts w:cs="Calibri Light"/>
        </w:rPr>
        <w:t>$31</w:t>
      </w:r>
      <w:r w:rsidR="009E4EC8" w:rsidRPr="00226C43">
        <w:rPr>
          <w:rFonts w:cs="Calibri Light"/>
        </w:rPr>
        <w:t xml:space="preserve"> </w:t>
      </w:r>
      <w:r w:rsidRPr="00226C43">
        <w:rPr>
          <w:rFonts w:cs="Calibri Light"/>
        </w:rPr>
        <w:t>million,</w:t>
      </w:r>
      <w:r w:rsidRPr="00226C43">
        <w:rPr>
          <w:rFonts w:cs="Calibri Light"/>
          <w:i/>
          <w:iCs/>
        </w:rPr>
        <w:t xml:space="preserve"> </w:t>
      </w:r>
      <w:r w:rsidRPr="00226C43">
        <w:rPr>
          <w:rFonts w:cs="Calibri Light"/>
        </w:rPr>
        <w:t xml:space="preserve">eight–year (2018–2026) </w:t>
      </w:r>
      <w:r w:rsidRPr="00226C43">
        <w:rPr>
          <w:rFonts w:cs="Calibri Light"/>
          <w:i/>
          <w:iCs/>
        </w:rPr>
        <w:t>Australia Awards and Alumni Engagement Program – Philippines</w:t>
      </w:r>
      <w:r w:rsidRPr="00226C43">
        <w:rPr>
          <w:rFonts w:cs="Calibri Light"/>
        </w:rPr>
        <w:t xml:space="preserve"> (AAAEP–P)</w:t>
      </w:r>
      <w:r w:rsidRPr="00226C43">
        <w:t xml:space="preserve"> program evaluation was to: </w:t>
      </w:r>
    </w:p>
    <w:p w14:paraId="597A9B5E" w14:textId="770EF1AA" w:rsidR="004D46EF" w:rsidRPr="00226C43" w:rsidRDefault="4DD21A85" w:rsidP="00925CC1">
      <w:pPr>
        <w:pStyle w:val="ListParagraph"/>
        <w:numPr>
          <w:ilvl w:val="0"/>
          <w:numId w:val="23"/>
        </w:numPr>
        <w:suppressAutoHyphens w:val="0"/>
        <w:spacing w:line="259" w:lineRule="auto"/>
      </w:pPr>
      <w:r w:rsidRPr="00226C43">
        <w:t>assess how well AAAEP–P aligns with Australia’s and Philippines’ strategic objectives</w:t>
      </w:r>
      <w:r w:rsidR="00E93F3B" w:rsidRPr="00226C43">
        <w:t>,</w:t>
      </w:r>
    </w:p>
    <w:p w14:paraId="4FA73DDD" w14:textId="728CB0F5" w:rsidR="004D46EF" w:rsidRPr="00226C43" w:rsidRDefault="4DD21A85" w:rsidP="00925CC1">
      <w:pPr>
        <w:pStyle w:val="ListParagraph"/>
        <w:numPr>
          <w:ilvl w:val="0"/>
          <w:numId w:val="23"/>
        </w:numPr>
        <w:spacing w:line="259" w:lineRule="auto"/>
      </w:pPr>
      <w:r w:rsidRPr="00226C43">
        <w:t>assess the efficiency and effectiveness of AAAEP–P’s implementation</w:t>
      </w:r>
      <w:r w:rsidR="00E93F3B" w:rsidRPr="00226C43">
        <w:t>, and</w:t>
      </w:r>
    </w:p>
    <w:p w14:paraId="5DFD2385" w14:textId="27EDF048" w:rsidR="004D46EF" w:rsidRPr="00226C43" w:rsidRDefault="4DD21A85" w:rsidP="00925CC1">
      <w:pPr>
        <w:pStyle w:val="ListParagraph"/>
        <w:numPr>
          <w:ilvl w:val="0"/>
          <w:numId w:val="23"/>
        </w:numPr>
        <w:suppressAutoHyphens w:val="0"/>
        <w:spacing w:line="259" w:lineRule="auto"/>
      </w:pPr>
      <w:r w:rsidRPr="00226C43">
        <w:t>provide recommendations for future activities and improvements</w:t>
      </w:r>
      <w:r w:rsidR="00E93F3B" w:rsidRPr="00226C43">
        <w:rPr>
          <w:rStyle w:val="FootnoteReference"/>
        </w:rPr>
        <w:footnoteReference w:id="2"/>
      </w:r>
      <w:r w:rsidR="00E93F3B" w:rsidRPr="00226C43">
        <w:t>.</w:t>
      </w:r>
    </w:p>
    <w:p w14:paraId="53489628" w14:textId="67EC3A7A" w:rsidR="004D46EF" w:rsidRPr="00226C43" w:rsidRDefault="4DD21A85" w:rsidP="4DD21A85">
      <w:r w:rsidRPr="00226C43">
        <w:t xml:space="preserve">An independent evaluation team conducted the evaluation in late 2024, applying evaluation criteria—relevance, effectiveness, efficiency, sustainability, and GEDSI—while identifying lessons learned and providing recommendations. The evaluation team conducted a document review, </w:t>
      </w:r>
      <w:r w:rsidR="008C3D75" w:rsidRPr="00226C43">
        <w:t xml:space="preserve">interviewed 79 people </w:t>
      </w:r>
      <w:r w:rsidRPr="00226C43">
        <w:t>in-country</w:t>
      </w:r>
      <w:r w:rsidR="009E07B2" w:rsidRPr="00226C43">
        <w:t>,</w:t>
      </w:r>
      <w:r w:rsidRPr="00226C43">
        <w:t xml:space="preserve"> and </w:t>
      </w:r>
      <w:r w:rsidR="008C3D75" w:rsidRPr="00226C43">
        <w:t xml:space="preserve">implemented </w:t>
      </w:r>
      <w:r w:rsidRPr="00226C43">
        <w:t>an alumni survey</w:t>
      </w:r>
      <w:r w:rsidR="008C3D75" w:rsidRPr="00226C43">
        <w:t xml:space="preserve"> with 250 responses</w:t>
      </w:r>
      <w:r w:rsidRPr="00226C43">
        <w:t>.</w:t>
      </w:r>
      <w:r w:rsidR="00630000" w:rsidRPr="00226C43">
        <w:t xml:space="preserve"> In total the evaluation reached 329 stakeholders.</w:t>
      </w:r>
    </w:p>
    <w:p w14:paraId="3F77C491" w14:textId="3B0E6C52" w:rsidR="00161DCE" w:rsidRPr="00226C43" w:rsidRDefault="4DD21A85" w:rsidP="00CB385E">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Key Findings</w:t>
      </w:r>
    </w:p>
    <w:p w14:paraId="5F3ADC99" w14:textId="2BF22BD5" w:rsidR="00F7670B" w:rsidRPr="00226C43" w:rsidRDefault="4DD21A85" w:rsidP="00061D40">
      <w:r w:rsidRPr="00226C43">
        <w:rPr>
          <w:b/>
          <w:bCs/>
        </w:rPr>
        <w:t>Relevance</w:t>
      </w:r>
      <w:r w:rsidR="00433942" w:rsidRPr="00226C43">
        <w:t xml:space="preserve"> </w:t>
      </w:r>
      <w:r w:rsidR="0010084C" w:rsidRPr="00226C43">
        <w:t>–</w:t>
      </w:r>
      <w:r w:rsidRPr="00226C43">
        <w:t xml:space="preserve"> </w:t>
      </w:r>
      <w:r w:rsidR="00ED21AC" w:rsidRPr="00226C43">
        <w:rPr>
          <w:b/>
          <w:bCs/>
        </w:rPr>
        <w:t>Rating</w:t>
      </w:r>
      <w:r w:rsidR="009F7F17" w:rsidRPr="00226C43">
        <w:rPr>
          <w:b/>
          <w:bCs/>
        </w:rPr>
        <w:t xml:space="preserve"> – </w:t>
      </w:r>
      <w:r w:rsidR="00433942" w:rsidRPr="00226C43">
        <w:rPr>
          <w:b/>
          <w:bCs/>
        </w:rPr>
        <w:t>5.5/6</w:t>
      </w:r>
      <w:r w:rsidR="00433942" w:rsidRPr="00226C43">
        <w:t xml:space="preserve">. </w:t>
      </w:r>
      <w:r w:rsidRPr="00226C43">
        <w:t>The AAAEP–P program was well-aligned with the Global Australian Awards (AA) Framework, Australia’s International Development Policy, Southeast Asian Economic Strategy, and Philippine Development Plan (2023–2028)</w:t>
      </w:r>
      <w:r w:rsidR="00B132E8" w:rsidRPr="00226C43">
        <w:t>, and the Development Partnership Plan (DPP) for the Philippines</w:t>
      </w:r>
      <w:r w:rsidRPr="00226C43">
        <w:t>. Engagement with 11 Philippine</w:t>
      </w:r>
      <w:r w:rsidR="007F567D" w:rsidRPr="00226C43">
        <w:t xml:space="preserve"> Government (GPH)</w:t>
      </w:r>
      <w:r w:rsidRPr="00226C43">
        <w:t xml:space="preserve"> organisations</w:t>
      </w:r>
      <w:r w:rsidR="007F567D" w:rsidRPr="00226C43">
        <w:rPr>
          <w:rStyle w:val="FootnoteReference"/>
        </w:rPr>
        <w:footnoteReference w:id="3"/>
      </w:r>
      <w:r w:rsidRPr="00226C43">
        <w:t xml:space="preserve">, Organisational Training and Needs Assessment (OTNA), and well-targeted Re-entry Action Plans (REAPs) demonstrated the implementation team's ability to align closely with </w:t>
      </w:r>
      <w:r w:rsidR="00492D52" w:rsidRPr="00226C43">
        <w:t>GPH</w:t>
      </w:r>
      <w:r w:rsidRPr="00226C43">
        <w:t xml:space="preserve"> priorities and partner organisations' strategic goals, ensuring the relevance and applicability of training programs. Alumni engagement supported both governments' priorities, fostering networks and communities of practice to enhance collaboration and Embassy engagement. While the program effectively developed individual and organisational competencies aligned with the </w:t>
      </w:r>
      <w:r w:rsidR="003D24FD" w:rsidRPr="00226C43">
        <w:t>GPH</w:t>
      </w:r>
      <w:r w:rsidRPr="00226C43">
        <w:t>'</w:t>
      </w:r>
      <w:r w:rsidR="003D24FD" w:rsidRPr="00226C43">
        <w:t>s</w:t>
      </w:r>
      <w:r w:rsidRPr="00226C43">
        <w:t xml:space="preserve"> sustainable development priorities, some misalignment existed between the Embassy's expectations, particularly around public diplomacy objectives, and the current AAAEP–P contract. Governance arrangements suited GPH agency needs but were less responsive to DFAT’s </w:t>
      </w:r>
      <w:r w:rsidRPr="00226C43">
        <w:rPr>
          <w:i/>
          <w:iCs/>
        </w:rPr>
        <w:t>ad hoc</w:t>
      </w:r>
      <w:r w:rsidRPr="00226C43">
        <w:t xml:space="preserve"> priorities.</w:t>
      </w:r>
    </w:p>
    <w:p w14:paraId="702DBB36" w14:textId="3D724FDF" w:rsidR="00F7670B" w:rsidRPr="00226C43" w:rsidRDefault="4DD21A85" w:rsidP="00061D40">
      <w:r w:rsidRPr="00226C43">
        <w:rPr>
          <w:b/>
          <w:bCs/>
        </w:rPr>
        <w:t>Effectiveness</w:t>
      </w:r>
      <w:r w:rsidR="00433942" w:rsidRPr="00226C43">
        <w:rPr>
          <w:b/>
          <w:bCs/>
        </w:rPr>
        <w:t xml:space="preserve"> – Rating</w:t>
      </w:r>
      <w:r w:rsidR="009F7F17" w:rsidRPr="00226C43">
        <w:rPr>
          <w:b/>
          <w:bCs/>
        </w:rPr>
        <w:t xml:space="preserve"> –</w:t>
      </w:r>
      <w:r w:rsidR="0010084C" w:rsidRPr="00226C43">
        <w:rPr>
          <w:b/>
          <w:bCs/>
        </w:rPr>
        <w:t xml:space="preserve"> </w:t>
      </w:r>
      <w:r w:rsidR="003C65BD" w:rsidRPr="00226C43">
        <w:rPr>
          <w:b/>
          <w:bCs/>
        </w:rPr>
        <w:t>5.5/6</w:t>
      </w:r>
      <w:r w:rsidRPr="00226C43">
        <w:t>: The AAAEP</w:t>
      </w:r>
      <w:r w:rsidR="00181670" w:rsidRPr="00226C43">
        <w:t>–P</w:t>
      </w:r>
      <w:r w:rsidRPr="00226C43">
        <w:t xml:space="preserve">’s effective delivery was largely attributed to the managing contractor’s deep knowledge, history and relationships. </w:t>
      </w:r>
      <w:r w:rsidR="008B524B" w:rsidRPr="00226C43">
        <w:t xml:space="preserve">The </w:t>
      </w:r>
      <w:r w:rsidR="1036F95B" w:rsidRPr="00226C43">
        <w:t>p</w:t>
      </w:r>
      <w:r w:rsidR="008B524B" w:rsidRPr="00226C43">
        <w:t>rogram’s focus was</w:t>
      </w:r>
      <w:r w:rsidRPr="00226C43">
        <w:t xml:space="preserve"> on capacity development </w:t>
      </w:r>
      <w:r w:rsidR="002D2FF0" w:rsidRPr="00226C43">
        <w:t>via</w:t>
      </w:r>
      <w:r w:rsidRPr="00226C43">
        <w:t xml:space="preserve"> higher education with notable impacts in both the government and private sectors as trained individuals improved institutional processes and outcomes. Alumni networks amplified the program's impact, fostering knowledge sharing, career support, and advancing both GPH and Embassy objectives, </w:t>
      </w:r>
      <w:r w:rsidR="00F406CC" w:rsidRPr="00226C43">
        <w:t>al</w:t>
      </w:r>
      <w:r w:rsidRPr="00226C43">
        <w:t xml:space="preserve">though some confusion around alumni branding exists. Selection processes for </w:t>
      </w:r>
      <w:r w:rsidRPr="00226C43">
        <w:lastRenderedPageBreak/>
        <w:t xml:space="preserve">scholarships and short courses were transparent and well-structured, but occasional deviations in nomination processes within GPH agencies highlighted the need for better communication with the </w:t>
      </w:r>
      <w:r w:rsidR="14A934A3" w:rsidRPr="00226C43">
        <w:t>p</w:t>
      </w:r>
      <w:r w:rsidRPr="00226C43">
        <w:t>rogram Board to manage risks. Governance arrangements weakened in the program's later stages due to fewer Project Coordination Committee (PCC) and Board meetings (COVID-19 was a factor but not the only one), limiting Embassy engagement and oversight</w:t>
      </w:r>
      <w:r w:rsidR="009F7F17" w:rsidRPr="00226C43">
        <w:t>—</w:t>
      </w:r>
      <w:r w:rsidRPr="00226C43">
        <w:t>although the managing contractor maintained high-quality delivery. Robust Monitoring, Evaluation and Learning (MEL) tools, including competency scorecards and REAPs, provided valuable insights and supported continuous improvement, balancing qualitative feedback with strong quantitative data to track outcomes effectively.</w:t>
      </w:r>
    </w:p>
    <w:p w14:paraId="2573FA75" w14:textId="6652E788" w:rsidR="00F7670B" w:rsidRPr="00226C43" w:rsidRDefault="4DD21A85" w:rsidP="00061D40">
      <w:r w:rsidRPr="00226C43">
        <w:rPr>
          <w:b/>
          <w:bCs/>
        </w:rPr>
        <w:t>Efficiency</w:t>
      </w:r>
      <w:r w:rsidR="003C65BD" w:rsidRPr="00226C43">
        <w:rPr>
          <w:b/>
          <w:bCs/>
        </w:rPr>
        <w:t xml:space="preserve"> – Rating</w:t>
      </w:r>
      <w:r w:rsidR="009F7F17" w:rsidRPr="00226C43">
        <w:rPr>
          <w:b/>
          <w:bCs/>
        </w:rPr>
        <w:t xml:space="preserve"> –</w:t>
      </w:r>
      <w:r w:rsidR="0010084C" w:rsidRPr="00226C43">
        <w:rPr>
          <w:b/>
          <w:bCs/>
        </w:rPr>
        <w:t xml:space="preserve"> </w:t>
      </w:r>
      <w:r w:rsidR="003C65BD" w:rsidRPr="00226C43">
        <w:rPr>
          <w:b/>
          <w:bCs/>
        </w:rPr>
        <w:t>5/6</w:t>
      </w:r>
      <w:r w:rsidRPr="00226C43">
        <w:t>: The AAAEP’s implementing team was smaller than comparable programs in Southeast Asia, (e.g., Vietnam), which contributed to cost efficiency, leveraging the implementation team’s extensive experience. This efficiency demonstrated a potential model for similar Australia Awards programs; however, the program’s resourcing and structure limited flexibility to address emerging priorities outside the approved annual work plan, creating cost and workload pressures for the team. Despite these challenges, the program was highly efficient, managing its workload effectively and delivering on its objectives. MEL processes were well-used to monitor performance and ensure operational efficiency.</w:t>
      </w:r>
    </w:p>
    <w:p w14:paraId="6D5C2D72" w14:textId="59295878" w:rsidR="00F7670B" w:rsidRPr="00226C43" w:rsidRDefault="4DD21A85" w:rsidP="00061D40">
      <w:r w:rsidRPr="00226C43">
        <w:rPr>
          <w:b/>
          <w:bCs/>
        </w:rPr>
        <w:t>Sustainability</w:t>
      </w:r>
      <w:r w:rsidR="003C65BD" w:rsidRPr="00226C43">
        <w:rPr>
          <w:b/>
          <w:bCs/>
        </w:rPr>
        <w:t xml:space="preserve"> </w:t>
      </w:r>
      <w:r w:rsidR="0010084C" w:rsidRPr="00226C43">
        <w:rPr>
          <w:b/>
          <w:bCs/>
        </w:rPr>
        <w:t>–</w:t>
      </w:r>
      <w:r w:rsidR="003C65BD" w:rsidRPr="00226C43">
        <w:rPr>
          <w:b/>
          <w:bCs/>
        </w:rPr>
        <w:t xml:space="preserve"> Rating</w:t>
      </w:r>
      <w:r w:rsidR="009F7F17" w:rsidRPr="00226C43">
        <w:rPr>
          <w:b/>
          <w:bCs/>
        </w:rPr>
        <w:t xml:space="preserve"> – </w:t>
      </w:r>
      <w:r w:rsidR="0010084C" w:rsidRPr="00226C43">
        <w:rPr>
          <w:b/>
          <w:bCs/>
        </w:rPr>
        <w:t>5/6</w:t>
      </w:r>
      <w:r w:rsidRPr="00226C43">
        <w:t>: The AAAEP–P delivered high-quality educational outcomes to talented and motivated individuals, fostering</w:t>
      </w:r>
      <w:r w:rsidR="00D94A2B" w:rsidRPr="00226C43">
        <w:t xml:space="preserve"> </w:t>
      </w:r>
      <w:r w:rsidRPr="00226C43">
        <w:t>sustainability through skills development, including leadership, within GPH and private sector</w:t>
      </w:r>
      <w:r w:rsidR="00BB5BB2" w:rsidRPr="00226C43">
        <w:t xml:space="preserve"> in areas such as economic sustainability (capacity building for economic growth</w:t>
      </w:r>
      <w:r w:rsidR="003D3506" w:rsidRPr="00226C43">
        <w:t xml:space="preserve"> and</w:t>
      </w:r>
      <w:r w:rsidR="00BB5BB2" w:rsidRPr="00226C43">
        <w:t xml:space="preserve"> </w:t>
      </w:r>
      <w:r w:rsidR="00D22EDE" w:rsidRPr="00226C43">
        <w:t>institutional strengthening</w:t>
      </w:r>
      <w:r w:rsidR="003D3506" w:rsidRPr="00226C43">
        <w:t xml:space="preserve">), social sustainability (leadership, </w:t>
      </w:r>
      <w:r w:rsidR="00195167" w:rsidRPr="00226C43">
        <w:t xml:space="preserve">equity and inclusion, and community development), </w:t>
      </w:r>
      <w:r w:rsidR="0045228F" w:rsidRPr="00226C43">
        <w:t xml:space="preserve">environmental sustainability (climate change </w:t>
      </w:r>
      <w:r w:rsidR="008E5885" w:rsidRPr="00226C43">
        <w:t xml:space="preserve">resilience, environmental education and awareness, and </w:t>
      </w:r>
      <w:r w:rsidR="00006016" w:rsidRPr="00226C43">
        <w:t>support for green policies) and</w:t>
      </w:r>
      <w:r w:rsidR="00B312B4" w:rsidRPr="00226C43">
        <w:t xml:space="preserve"> partnership and governance sustainability (strengthened bilateral relations and driving policy reforms, particularly by </w:t>
      </w:r>
      <w:r w:rsidR="0064432C" w:rsidRPr="00226C43">
        <w:t>AAAEP–P</w:t>
      </w:r>
      <w:r w:rsidR="00B312B4" w:rsidRPr="00226C43">
        <w:t xml:space="preserve"> alumni)</w:t>
      </w:r>
      <w:r w:rsidRPr="00226C43">
        <w:t>. REAPs played a key role in achieving sustainability, with several participants citing these as pivotal to their leadership growth and professional development. Governance changes, including turnover in GPH representatives and varying levels of Embassy senior management engagement, alongside the COVID-19 pandemic, impacted the program’s strategic influence and sustainability. Nevertheless, the program consistently delivered results for participants and their organisations. Sustainability was further supported by a strong sense of belonging to the Australia Awards brand, reinforced by Embassy engagement through events and visits, which motivated participants, especially those with postgraduate or short-course experience in Australia. However, gaps in PhD opportunities were noted, with stakeholders emphasising the need for advanced research capabilities in fields such as soil science, forensics, and climate change, while also highlighting the limited career incentives for pursuing a PhD in the Philippines.</w:t>
      </w:r>
    </w:p>
    <w:p w14:paraId="0448718B" w14:textId="2233CE69" w:rsidR="00F7670B" w:rsidRPr="00226C43" w:rsidRDefault="4DD21A85" w:rsidP="00061D40">
      <w:r w:rsidRPr="00226C43">
        <w:rPr>
          <w:b/>
          <w:bCs/>
        </w:rPr>
        <w:t>GEDSI</w:t>
      </w:r>
      <w:r w:rsidR="004B1846" w:rsidRPr="00226C43">
        <w:rPr>
          <w:b/>
          <w:bCs/>
        </w:rPr>
        <w:t xml:space="preserve"> – Rating 5/6</w:t>
      </w:r>
      <w:r w:rsidRPr="00226C43">
        <w:t xml:space="preserve">: The AAAEP–P was highly effective in mainstreaming Gender Equality, Disability, and Social Inclusion (GEDSI) into its processes and outcomes. GEDSI principles were embedded in activities such as GEDSI Summits, Alumni Grant Scheme-funded projects supporting Indigenous Peoples' rights, Alumni Knowledge Sharing Series and GEDSI Communities of Practice (CoP). Despite GPH emphasising Gender and Development (GAD)—not explicitly prioritising GEDSI—as an organisational </w:t>
      </w:r>
      <w:r w:rsidRPr="00226C43">
        <w:lastRenderedPageBreak/>
        <w:t>development goal, AAAEP–P ensured integration of GEDSI into key documents, course content, and REAPs. Alumni activities fostered GEDSI advocates across government sectors, inspiring further initiatives aligned with GEDSI values. Positive practices, such as GEDSI briefings, reasonable accommodations for scholars with disabilities, and a gender scorecard, were positively recognised. While strong in promoting female empowerment, disability inclusion, and Indigenous Peoples’ rights, the program showed limited focus on LGBTQIA+ rights and broader social inclusion. The absence of dedicated GEDSI human resource in the implementation team, and reliance on mainstreamed budgets presented areas for improvement.</w:t>
      </w:r>
    </w:p>
    <w:p w14:paraId="448AEC07" w14:textId="77777777" w:rsidR="00341F90" w:rsidRPr="00226C43" w:rsidRDefault="4DD21A85" w:rsidP="00CB385E">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Lessons Learned</w:t>
      </w:r>
    </w:p>
    <w:p w14:paraId="208DAD8C" w14:textId="680E35E9" w:rsidR="00341F90" w:rsidRPr="00226C43" w:rsidRDefault="4DD21A85" w:rsidP="4DD21A85">
      <w:r w:rsidRPr="00226C43">
        <w:t>Key lessons from AAAEP–P’s implementation include:</w:t>
      </w:r>
    </w:p>
    <w:p w14:paraId="0A953AD0" w14:textId="16D1C972" w:rsidR="00DB7C29" w:rsidRPr="00226C43" w:rsidRDefault="00173E18" w:rsidP="00061D40">
      <w:pPr>
        <w:suppressAutoHyphens w:val="0"/>
        <w:spacing w:after="0" w:line="259" w:lineRule="auto"/>
      </w:pPr>
      <w:r w:rsidRPr="00226C43">
        <w:rPr>
          <w:b/>
          <w:bCs/>
        </w:rPr>
        <w:t>Relevance</w:t>
      </w:r>
    </w:p>
    <w:p w14:paraId="6CEDBD38" w14:textId="38824B51" w:rsidR="00173E18" w:rsidRPr="00226C43" w:rsidRDefault="00173E18" w:rsidP="00925CC1">
      <w:pPr>
        <w:pStyle w:val="ListParagraph"/>
        <w:numPr>
          <w:ilvl w:val="0"/>
          <w:numId w:val="23"/>
        </w:numPr>
        <w:suppressAutoHyphens w:val="0"/>
        <w:spacing w:line="259" w:lineRule="auto"/>
        <w:ind w:left="284" w:hanging="284"/>
      </w:pPr>
      <w:r w:rsidRPr="00226C43">
        <w:t xml:space="preserve">The relevance of Official Development Assistance (ODA)-funded scholarships depends on their alignment with the partner country’s development objectives and the donor’s policies both of which are likely to change throughout a program’s term. It is therefore important to build into programs such as </w:t>
      </w:r>
      <w:r w:rsidR="0064432C" w:rsidRPr="00226C43">
        <w:t>AAAEP–P</w:t>
      </w:r>
      <w:r w:rsidRPr="00226C43">
        <w:t xml:space="preserve"> sufficient capacity to adapt swiftly to emerging priorities while maintaining a core focus on delivering developmental outcomes.</w:t>
      </w:r>
    </w:p>
    <w:p w14:paraId="79EB8987" w14:textId="25678302" w:rsidR="00DB7C29" w:rsidRPr="00226C43" w:rsidRDefault="00173E18" w:rsidP="00061D40">
      <w:pPr>
        <w:suppressAutoHyphens w:val="0"/>
        <w:spacing w:after="0" w:line="259" w:lineRule="auto"/>
        <w:rPr>
          <w:b/>
          <w:bCs/>
        </w:rPr>
      </w:pPr>
      <w:r w:rsidRPr="00226C43">
        <w:rPr>
          <w:b/>
          <w:bCs/>
        </w:rPr>
        <w:t>Effectiveness</w:t>
      </w:r>
    </w:p>
    <w:p w14:paraId="7647A800" w14:textId="79902C9A" w:rsidR="00341F90" w:rsidRPr="00226C43" w:rsidRDefault="4DD21A85" w:rsidP="00925CC1">
      <w:pPr>
        <w:pStyle w:val="ListParagraph"/>
        <w:numPr>
          <w:ilvl w:val="0"/>
          <w:numId w:val="23"/>
        </w:numPr>
        <w:suppressAutoHyphens w:val="0"/>
        <w:spacing w:line="259" w:lineRule="auto"/>
        <w:ind w:left="284" w:hanging="284"/>
      </w:pPr>
      <w:r w:rsidRPr="00226C43">
        <w:t>Adhering to agreed candidate selection processes ensures integrity, strengthens the Australia Awards brand, and enhances its reputation;</w:t>
      </w:r>
      <w:r w:rsidR="00016E4B" w:rsidRPr="00226C43">
        <w:t xml:space="preserve"> </w:t>
      </w:r>
      <w:r w:rsidR="5FF305F6" w:rsidRPr="00226C43">
        <w:t>deviations</w:t>
      </w:r>
      <w:r w:rsidRPr="00226C43">
        <w:t xml:space="preserve"> </w:t>
      </w:r>
      <w:r w:rsidR="00B71571" w:rsidRPr="00226C43">
        <w:t xml:space="preserve">to the process </w:t>
      </w:r>
      <w:r w:rsidR="00191389" w:rsidRPr="00226C43">
        <w:t xml:space="preserve">need to be </w:t>
      </w:r>
      <w:r w:rsidR="4557B287" w:rsidRPr="00226C43">
        <w:t>de</w:t>
      </w:r>
      <w:r w:rsidRPr="00226C43">
        <w:t>clared and communicated to governance bodies.</w:t>
      </w:r>
    </w:p>
    <w:p w14:paraId="79FEA5DF" w14:textId="77777777" w:rsidR="00341F90" w:rsidRPr="00226C43" w:rsidRDefault="4DD21A85" w:rsidP="00925CC1">
      <w:pPr>
        <w:pStyle w:val="ListParagraph"/>
        <w:numPr>
          <w:ilvl w:val="0"/>
          <w:numId w:val="23"/>
        </w:numPr>
        <w:suppressAutoHyphens w:val="0"/>
        <w:spacing w:line="259" w:lineRule="auto"/>
        <w:ind w:left="284" w:hanging="284"/>
      </w:pPr>
      <w:r w:rsidRPr="00226C43">
        <w:t>Investment in alumni engagement is maximised when activities are beneficial, inclusive, and linked to Embassy engagement, requiring dedicated resources for both the program and the Embassy.</w:t>
      </w:r>
    </w:p>
    <w:p w14:paraId="58B33DDE" w14:textId="77777777" w:rsidR="00173E18" w:rsidRPr="00226C43" w:rsidRDefault="00173E18" w:rsidP="00925CC1">
      <w:pPr>
        <w:pStyle w:val="ListParagraph"/>
        <w:numPr>
          <w:ilvl w:val="0"/>
          <w:numId w:val="23"/>
        </w:numPr>
        <w:spacing w:line="259" w:lineRule="auto"/>
        <w:ind w:left="284" w:hanging="284"/>
      </w:pPr>
      <w:r w:rsidRPr="00226C43">
        <w:t>Alumni cohorts need better organisation and platforms for sharing publicly acceptable information to enable networking and collaboration, supported by DFAT to align with Embassy priorities.</w:t>
      </w:r>
    </w:p>
    <w:p w14:paraId="2D5801AA" w14:textId="77777777" w:rsidR="00173E18" w:rsidRPr="00226C43" w:rsidRDefault="00173E18" w:rsidP="00925CC1">
      <w:pPr>
        <w:pStyle w:val="ListParagraph"/>
        <w:numPr>
          <w:ilvl w:val="0"/>
          <w:numId w:val="23"/>
        </w:numPr>
        <w:suppressAutoHyphens w:val="0"/>
        <w:spacing w:line="259" w:lineRule="auto"/>
        <w:ind w:left="284" w:hanging="284"/>
      </w:pPr>
      <w:r w:rsidRPr="00226C43">
        <w:t>Building and maintaining alumni relationships requires investment, including regular secretariat support and consistent communication about Australia’s evolving priorities.</w:t>
      </w:r>
    </w:p>
    <w:p w14:paraId="25CFA5BD" w14:textId="67652E0C" w:rsidR="006C5DA0" w:rsidRPr="00226C43" w:rsidRDefault="006C5DA0" w:rsidP="00061D40">
      <w:pPr>
        <w:suppressAutoHyphens w:val="0"/>
        <w:spacing w:after="0" w:line="259" w:lineRule="auto"/>
        <w:rPr>
          <w:b/>
          <w:bCs/>
        </w:rPr>
      </w:pPr>
      <w:r w:rsidRPr="00226C43">
        <w:rPr>
          <w:b/>
          <w:bCs/>
        </w:rPr>
        <w:t>Efficiency</w:t>
      </w:r>
    </w:p>
    <w:p w14:paraId="0C33BAFB" w14:textId="122D9477" w:rsidR="00341F90" w:rsidRPr="00226C43" w:rsidRDefault="4DD21A85" w:rsidP="00925CC1">
      <w:pPr>
        <w:pStyle w:val="ListParagraph"/>
        <w:numPr>
          <w:ilvl w:val="0"/>
          <w:numId w:val="23"/>
        </w:numPr>
        <w:suppressAutoHyphens w:val="0"/>
        <w:spacing w:line="259" w:lineRule="auto"/>
        <w:ind w:left="284" w:hanging="284"/>
      </w:pPr>
      <w:r w:rsidRPr="00226C43">
        <w:t xml:space="preserve">A clear brand and strategic direction are essential, particularly if transitioning from development to public diplomacy; DFAT </w:t>
      </w:r>
      <w:r w:rsidR="003859E3" w:rsidRPr="00226C43">
        <w:t xml:space="preserve">should </w:t>
      </w:r>
      <w:r w:rsidRPr="00226C43">
        <w:t>articulate these priorities clearly to stakeholders.</w:t>
      </w:r>
    </w:p>
    <w:p w14:paraId="3798E582" w14:textId="77777777" w:rsidR="00341F90" w:rsidRPr="00226C43" w:rsidRDefault="4DD21A85" w:rsidP="00925CC1">
      <w:pPr>
        <w:pStyle w:val="ListParagraph"/>
        <w:numPr>
          <w:ilvl w:val="0"/>
          <w:numId w:val="23"/>
        </w:numPr>
        <w:suppressAutoHyphens w:val="0"/>
        <w:spacing w:line="259" w:lineRule="auto"/>
        <w:ind w:left="284" w:hanging="284"/>
      </w:pPr>
      <w:r w:rsidRPr="00226C43">
        <w:t>Harmonising development and public diplomacy efforts can create synergies, especially through GEDSI-related collaborations with other DFAT-funded projects to deepen analytics on shared themes.</w:t>
      </w:r>
    </w:p>
    <w:p w14:paraId="2590B966" w14:textId="77777777" w:rsidR="00FE3454" w:rsidRPr="00226C43" w:rsidRDefault="00FE3454" w:rsidP="00B27D64">
      <w:pPr>
        <w:suppressAutoHyphens w:val="0"/>
        <w:spacing w:after="0" w:line="259" w:lineRule="auto"/>
        <w:rPr>
          <w:b/>
          <w:bCs/>
        </w:rPr>
      </w:pPr>
      <w:r w:rsidRPr="00226C43">
        <w:rPr>
          <w:b/>
          <w:bCs/>
        </w:rPr>
        <w:br w:type="page"/>
      </w:r>
    </w:p>
    <w:p w14:paraId="1FEECD61" w14:textId="525A60B4" w:rsidR="00B27D64" w:rsidRPr="00226C43" w:rsidRDefault="00B27D64" w:rsidP="00B27D64">
      <w:pPr>
        <w:suppressAutoHyphens w:val="0"/>
        <w:spacing w:after="0" w:line="259" w:lineRule="auto"/>
        <w:rPr>
          <w:b/>
          <w:bCs/>
        </w:rPr>
      </w:pPr>
      <w:r w:rsidRPr="00226C43">
        <w:rPr>
          <w:b/>
          <w:bCs/>
        </w:rPr>
        <w:lastRenderedPageBreak/>
        <w:t>Sustainability</w:t>
      </w:r>
    </w:p>
    <w:p w14:paraId="2749BD35" w14:textId="77777777" w:rsidR="00B27D64" w:rsidRPr="00226C43" w:rsidRDefault="00B27D64" w:rsidP="00925CC1">
      <w:pPr>
        <w:pStyle w:val="ListParagraph"/>
        <w:numPr>
          <w:ilvl w:val="0"/>
          <w:numId w:val="23"/>
        </w:numPr>
        <w:spacing w:line="259" w:lineRule="auto"/>
        <w:ind w:left="284" w:hanging="284"/>
      </w:pPr>
      <w:r w:rsidRPr="00226C43">
        <w:t>The remainder of the program offers an opportunity to deepen GEDSI understanding and practice, positioning the Government of Australia (</w:t>
      </w:r>
      <w:proofErr w:type="spellStart"/>
      <w:r w:rsidRPr="00226C43">
        <w:t>GoA</w:t>
      </w:r>
      <w:proofErr w:type="spellEnd"/>
      <w:r w:rsidRPr="00226C43">
        <w:t>) for thought leadership among GPH agencies.</w:t>
      </w:r>
    </w:p>
    <w:p w14:paraId="2F9527C5" w14:textId="64A9051C" w:rsidR="00B27D64" w:rsidRPr="00226C43" w:rsidRDefault="00B27D64" w:rsidP="00B27D64">
      <w:pPr>
        <w:suppressAutoHyphens w:val="0"/>
        <w:spacing w:after="0" w:line="259" w:lineRule="auto"/>
        <w:rPr>
          <w:b/>
          <w:bCs/>
        </w:rPr>
      </w:pPr>
      <w:r w:rsidRPr="00226C43">
        <w:rPr>
          <w:b/>
          <w:bCs/>
        </w:rPr>
        <w:t>GEDSI</w:t>
      </w:r>
    </w:p>
    <w:p w14:paraId="08237667" w14:textId="77777777" w:rsidR="00B27D64" w:rsidRPr="00226C43" w:rsidRDefault="00B27D64" w:rsidP="00925CC1">
      <w:pPr>
        <w:pStyle w:val="ListParagraph"/>
        <w:numPr>
          <w:ilvl w:val="0"/>
          <w:numId w:val="23"/>
        </w:numPr>
        <w:suppressAutoHyphens w:val="0"/>
        <w:spacing w:line="259" w:lineRule="auto"/>
        <w:ind w:left="284" w:hanging="284"/>
      </w:pPr>
      <w:r w:rsidRPr="00226C43">
        <w:t>GEDSI mainstreaming is a strength of Australia Awards, supported by tools like internal and partner organisation scorecards, which need consistent application to enhance capacity and impact.</w:t>
      </w:r>
    </w:p>
    <w:p w14:paraId="0B682AFD" w14:textId="3E3DCA60" w:rsidR="00024793" w:rsidRPr="00226C43" w:rsidRDefault="4DD21A85" w:rsidP="00CB385E">
      <w:pPr>
        <w:pStyle w:val="Heading3nonumber"/>
        <w:numPr>
          <w:ilvl w:val="0"/>
          <w:numId w:val="0"/>
        </w:numPr>
        <w:ind w:left="720" w:hanging="720"/>
        <w:rPr>
          <w:rFonts w:asciiTheme="minorHAnsi" w:hAnsiTheme="minorHAnsi" w:cs="Calibri Light"/>
          <w:color w:val="auto"/>
        </w:rPr>
      </w:pPr>
      <w:r w:rsidRPr="00226C43">
        <w:rPr>
          <w:rFonts w:asciiTheme="minorHAnsi" w:hAnsiTheme="minorHAnsi"/>
          <w:color w:val="auto"/>
        </w:rPr>
        <w:t xml:space="preserve">Key Recommendations: </w:t>
      </w:r>
      <w:r w:rsidRPr="00226C43">
        <w:rPr>
          <w:rFonts w:asciiTheme="minorHAnsi" w:hAnsiTheme="minorHAnsi" w:cs="Calibri Light"/>
          <w:color w:val="auto"/>
        </w:rPr>
        <w:t>High-priority actions recommended by the evaluators</w:t>
      </w:r>
    </w:p>
    <w:p w14:paraId="19B8080E" w14:textId="2F8692BC" w:rsidR="002828A3" w:rsidRPr="00226C43" w:rsidRDefault="002828A3" w:rsidP="00916D96">
      <w:pPr>
        <w:suppressAutoHyphens w:val="0"/>
        <w:spacing w:after="0" w:line="259" w:lineRule="auto"/>
        <w:rPr>
          <w:b/>
          <w:bCs/>
        </w:rPr>
      </w:pPr>
      <w:r w:rsidRPr="00226C43">
        <w:rPr>
          <w:b/>
          <w:bCs/>
        </w:rPr>
        <w:t>Relevance</w:t>
      </w:r>
    </w:p>
    <w:p w14:paraId="13AF4E94" w14:textId="4D36A60F" w:rsidR="00595ED1" w:rsidRPr="00226C43" w:rsidRDefault="4DD21A85" w:rsidP="00925CC1">
      <w:pPr>
        <w:pStyle w:val="ListParagraph"/>
        <w:numPr>
          <w:ilvl w:val="0"/>
          <w:numId w:val="38"/>
        </w:numPr>
        <w:suppressAutoHyphens w:val="0"/>
        <w:spacing w:line="259" w:lineRule="auto"/>
        <w:ind w:left="426" w:hanging="426"/>
      </w:pPr>
      <w:r w:rsidRPr="00226C43">
        <w:t>Flag emerging priority activities early to minimise adverse impacts on the work plan and consider additional resourcing if necessary.</w:t>
      </w:r>
      <w:r w:rsidR="00F07E49" w:rsidRPr="00226C43">
        <w:t xml:space="preserve"> (O</w:t>
      </w:r>
      <w:r w:rsidR="00C9755D" w:rsidRPr="00226C43">
        <w:t>perational</w:t>
      </w:r>
      <w:r w:rsidR="00F07E49" w:rsidRPr="00226C43">
        <w:t>)</w:t>
      </w:r>
    </w:p>
    <w:p w14:paraId="476637D7" w14:textId="448D614B" w:rsidR="00595ED1" w:rsidRPr="00226C43" w:rsidRDefault="4DD21A85" w:rsidP="00925CC1">
      <w:pPr>
        <w:pStyle w:val="ListParagraph"/>
        <w:numPr>
          <w:ilvl w:val="0"/>
          <w:numId w:val="38"/>
        </w:numPr>
        <w:suppressAutoHyphens w:val="0"/>
        <w:spacing w:line="259" w:lineRule="auto"/>
        <w:ind w:left="426" w:hanging="426"/>
      </w:pPr>
      <w:r w:rsidRPr="00226C43">
        <w:t>Regularly convene key governance meetings, both operational and strategic, to maximise engagement and build strong constituencies.</w:t>
      </w:r>
      <w:r w:rsidR="00F07E49" w:rsidRPr="00226C43">
        <w:t xml:space="preserve"> (O</w:t>
      </w:r>
      <w:r w:rsidR="00C9755D" w:rsidRPr="00226C43">
        <w:t>perational</w:t>
      </w:r>
      <w:r w:rsidR="00F07E49" w:rsidRPr="00226C43">
        <w:t>)</w:t>
      </w:r>
    </w:p>
    <w:p w14:paraId="44C07141" w14:textId="401DB15D" w:rsidR="00C32436" w:rsidRPr="00226C43" w:rsidRDefault="00C32436" w:rsidP="00061D40">
      <w:pPr>
        <w:suppressAutoHyphens w:val="0"/>
        <w:spacing w:after="0" w:line="259" w:lineRule="auto"/>
        <w:rPr>
          <w:b/>
          <w:bCs/>
        </w:rPr>
      </w:pPr>
      <w:r w:rsidRPr="00226C43">
        <w:rPr>
          <w:b/>
          <w:bCs/>
        </w:rPr>
        <w:t>Effectiveness</w:t>
      </w:r>
    </w:p>
    <w:p w14:paraId="14E4B8A8" w14:textId="603AA45D" w:rsidR="00595ED1" w:rsidRPr="00226C43" w:rsidRDefault="4DD21A85" w:rsidP="00925CC1">
      <w:pPr>
        <w:pStyle w:val="ListParagraph"/>
        <w:numPr>
          <w:ilvl w:val="0"/>
          <w:numId w:val="38"/>
        </w:numPr>
        <w:suppressAutoHyphens w:val="0"/>
        <w:spacing w:line="259" w:lineRule="auto"/>
        <w:ind w:left="426" w:hanging="426"/>
      </w:pPr>
      <w:r w:rsidRPr="00226C43">
        <w:t>Recruit a senior advisor to the Embassy in the future program to:</w:t>
      </w:r>
    </w:p>
    <w:p w14:paraId="258CCE8A" w14:textId="77777777" w:rsidR="00595ED1" w:rsidRPr="00226C43" w:rsidRDefault="4DD21A85" w:rsidP="00925CC1">
      <w:pPr>
        <w:pStyle w:val="ListParagraph"/>
        <w:numPr>
          <w:ilvl w:val="1"/>
          <w:numId w:val="23"/>
        </w:numPr>
        <w:suppressAutoHyphens w:val="0"/>
        <w:spacing w:line="259" w:lineRule="auto"/>
        <w:ind w:left="567" w:hanging="283"/>
      </w:pPr>
      <w:r w:rsidRPr="00226C43">
        <w:t>analyse how a future program’s processes can be applied to different contexts (sectors and stakeholders), such as fellowships, study visits, targeted sectoral scholarships (e.g., PhDs in forensics or soil science), and Transnational Education (TNE) initiatives linked to Austrade’s efforts, and</w:t>
      </w:r>
    </w:p>
    <w:p w14:paraId="25DC3EE1" w14:textId="69DF83FB" w:rsidR="00595ED1" w:rsidRPr="00226C43" w:rsidRDefault="4DD21A85" w:rsidP="00925CC1">
      <w:pPr>
        <w:pStyle w:val="ListParagraph"/>
        <w:numPr>
          <w:ilvl w:val="1"/>
          <w:numId w:val="23"/>
        </w:numPr>
        <w:suppressAutoHyphens w:val="0"/>
        <w:spacing w:line="259" w:lineRule="auto"/>
        <w:ind w:left="567" w:hanging="283"/>
      </w:pPr>
      <w:r w:rsidRPr="00226C43">
        <w:t>proactively link REAPs to policy dialogue. This could be achieved by working with GPH agencies to closely link scholarships (and hence REAPs) to specific reform efforts beyond Human Resource Development (HRD). This would heighten Embassy engagement and visibility on GPH reform issues.</w:t>
      </w:r>
      <w:r w:rsidR="00F07E49" w:rsidRPr="00226C43">
        <w:t xml:space="preserve"> (</w:t>
      </w:r>
      <w:r w:rsidR="00C9755D" w:rsidRPr="00226C43">
        <w:t>Strategic</w:t>
      </w:r>
      <w:r w:rsidR="00F07E49" w:rsidRPr="00226C43">
        <w:t>)</w:t>
      </w:r>
    </w:p>
    <w:p w14:paraId="791A84C4" w14:textId="77777777" w:rsidR="00B00EC3" w:rsidRPr="00226C43" w:rsidRDefault="00B00EC3" w:rsidP="00B00EC3">
      <w:pPr>
        <w:suppressAutoHyphens w:val="0"/>
        <w:spacing w:after="0" w:line="259" w:lineRule="auto"/>
        <w:rPr>
          <w:b/>
          <w:bCs/>
        </w:rPr>
      </w:pPr>
      <w:r w:rsidRPr="00226C43">
        <w:rPr>
          <w:b/>
          <w:bCs/>
        </w:rPr>
        <w:t>Efficiency</w:t>
      </w:r>
    </w:p>
    <w:p w14:paraId="6C1C8A9A" w14:textId="3ED72660" w:rsidR="00B00EC3" w:rsidRPr="00226C43" w:rsidRDefault="00B00EC3" w:rsidP="00925CC1">
      <w:pPr>
        <w:pStyle w:val="ListParagraph"/>
        <w:numPr>
          <w:ilvl w:val="0"/>
          <w:numId w:val="38"/>
        </w:numPr>
        <w:suppressAutoHyphens w:val="0"/>
        <w:spacing w:line="259" w:lineRule="auto"/>
        <w:ind w:left="426" w:hanging="426"/>
      </w:pPr>
      <w:r w:rsidRPr="00226C43">
        <w:t xml:space="preserve">For the program’s increased responsiveness to emerging priorities, develop a second, parallel workstream alongside the core AA workstream, with tailored objectives, selection criteria, and appropriate resourcing, to engage and offer scholarships to targeted stakeholders in specific sectors for strategic purposes while leveraging the quality of </w:t>
      </w:r>
      <w:r w:rsidR="0064432C" w:rsidRPr="00226C43">
        <w:t>AAAEP–P</w:t>
      </w:r>
      <w:r w:rsidRPr="00226C43">
        <w:t xml:space="preserve"> brand and operational platform. It is important that this second workstream is specifically and appropriately resourced to emphasise its strategic contribution to both governments’ priorities. This ‘twin-track’ approach would allow the flexibility for responsiveness to changing priorities and emerging leaders (and key stakeholders) while maintaining the core </w:t>
      </w:r>
      <w:r w:rsidR="0064432C" w:rsidRPr="00226C43">
        <w:t>AAAEP–P</w:t>
      </w:r>
      <w:r w:rsidRPr="00226C43">
        <w:t xml:space="preserve"> program’s integrity and reputation. (</w:t>
      </w:r>
      <w:r w:rsidR="00C9755D" w:rsidRPr="00226C43">
        <w:t>Strategic</w:t>
      </w:r>
      <w:r w:rsidRPr="00226C43">
        <w:t>)</w:t>
      </w:r>
    </w:p>
    <w:p w14:paraId="221DFC30" w14:textId="7F90ABD2" w:rsidR="00C4436C" w:rsidRPr="00226C43" w:rsidRDefault="00C4436C" w:rsidP="00061D40">
      <w:pPr>
        <w:suppressAutoHyphens w:val="0"/>
        <w:spacing w:after="0" w:line="259" w:lineRule="auto"/>
        <w:rPr>
          <w:b/>
          <w:bCs/>
        </w:rPr>
      </w:pPr>
      <w:r w:rsidRPr="00226C43">
        <w:rPr>
          <w:b/>
          <w:bCs/>
        </w:rPr>
        <w:t>Sustainability</w:t>
      </w:r>
    </w:p>
    <w:p w14:paraId="0D6500CD" w14:textId="5EE803D2" w:rsidR="00595ED1" w:rsidRPr="00226C43" w:rsidRDefault="4DD21A85" w:rsidP="00925CC1">
      <w:pPr>
        <w:pStyle w:val="ListParagraph"/>
        <w:numPr>
          <w:ilvl w:val="0"/>
          <w:numId w:val="38"/>
        </w:numPr>
        <w:suppressAutoHyphens w:val="0"/>
        <w:spacing w:line="259" w:lineRule="auto"/>
        <w:ind w:left="426" w:hanging="426"/>
      </w:pPr>
      <w:r w:rsidRPr="00226C43">
        <w:t xml:space="preserve">Enhance alumni engagement by establishing targeted groups (e.g., defence alumni, Science, Technology, </w:t>
      </w:r>
      <w:r w:rsidR="0A165263" w:rsidRPr="00226C43">
        <w:t>E</w:t>
      </w:r>
      <w:r w:rsidRPr="00226C43">
        <w:t xml:space="preserve">ngineering, and Mathematics (STEM) alumni) linked to the Embassy’s development and public diplomacy objectives/sectors, ensuring alumni and their organisations see value in participation. This approach would need to be </w:t>
      </w:r>
      <w:r w:rsidRPr="00226C43">
        <w:lastRenderedPageBreak/>
        <w:t xml:space="preserve">informed by political economy analysis and would need to </w:t>
      </w:r>
      <w:r w:rsidR="009E4EC8" w:rsidRPr="00226C43">
        <w:t xml:space="preserve">be </w:t>
      </w:r>
      <w:r w:rsidRPr="00226C43">
        <w:t>appropriately resourced.</w:t>
      </w:r>
      <w:r w:rsidR="00DA5034" w:rsidRPr="00226C43">
        <w:t xml:space="preserve"> Inclusion in a future program of </w:t>
      </w:r>
      <w:r w:rsidR="00C22337" w:rsidRPr="00226C43">
        <w:t xml:space="preserve">financial and human resources to support </w:t>
      </w:r>
      <w:r w:rsidR="009E4EC8" w:rsidRPr="00226C43">
        <w:t>E</w:t>
      </w:r>
      <w:r w:rsidR="00C22337" w:rsidRPr="00226C43">
        <w:t>mbassy</w:t>
      </w:r>
      <w:r w:rsidR="009E4EC8" w:rsidRPr="00226C43">
        <w:t>-</w:t>
      </w:r>
      <w:r w:rsidR="00C22337" w:rsidRPr="00226C43">
        <w:t xml:space="preserve">wide alumni would add to the strategic coherence (e.g., support </w:t>
      </w:r>
      <w:r w:rsidR="009E4EC8" w:rsidRPr="00226C43">
        <w:t>for</w:t>
      </w:r>
      <w:r w:rsidR="00C22337" w:rsidRPr="00226C43">
        <w:t xml:space="preserve"> managing defence alumni, including establishing an accessible database of alumni).</w:t>
      </w:r>
      <w:r w:rsidR="00F07E49" w:rsidRPr="00226C43">
        <w:t xml:space="preserve"> (</w:t>
      </w:r>
      <w:r w:rsidR="00C9755D" w:rsidRPr="00226C43">
        <w:t>Strategic</w:t>
      </w:r>
      <w:r w:rsidR="00F07E49" w:rsidRPr="00226C43">
        <w:t>)</w:t>
      </w:r>
    </w:p>
    <w:p w14:paraId="05E68A21" w14:textId="526829C5" w:rsidR="00C4436C" w:rsidRPr="00226C43" w:rsidRDefault="00C4436C" w:rsidP="00061D40">
      <w:pPr>
        <w:suppressAutoHyphens w:val="0"/>
        <w:spacing w:after="0" w:line="259" w:lineRule="auto"/>
        <w:rPr>
          <w:b/>
          <w:bCs/>
        </w:rPr>
      </w:pPr>
      <w:r w:rsidRPr="00226C43">
        <w:rPr>
          <w:b/>
          <w:bCs/>
        </w:rPr>
        <w:t>GEDSI</w:t>
      </w:r>
      <w:r w:rsidR="00F41C5A" w:rsidRPr="00226C43">
        <w:rPr>
          <w:rStyle w:val="FootnoteReference"/>
          <w:b/>
          <w:bCs/>
        </w:rPr>
        <w:footnoteReference w:id="4"/>
      </w:r>
    </w:p>
    <w:p w14:paraId="784DC18B" w14:textId="788DB73B" w:rsidR="00C4436C" w:rsidRPr="00226C43" w:rsidRDefault="00C4436C" w:rsidP="00925CC1">
      <w:pPr>
        <w:pStyle w:val="ListParagraph"/>
        <w:numPr>
          <w:ilvl w:val="0"/>
          <w:numId w:val="38"/>
        </w:numPr>
        <w:suppressAutoHyphens w:val="0"/>
        <w:spacing w:line="259" w:lineRule="auto"/>
        <w:ind w:left="426" w:hanging="426"/>
      </w:pPr>
      <w:r w:rsidRPr="00226C43">
        <w:t>Strengthen program implementation to align with Australian values and policies (e.g., GEDSI) by ensuring meaningful engagement with scholars from vulnerable or marginalised groups. (O</w:t>
      </w:r>
      <w:r w:rsidR="00C9755D" w:rsidRPr="00226C43">
        <w:t>perational</w:t>
      </w:r>
      <w:r w:rsidRPr="00226C43">
        <w:t>)</w:t>
      </w:r>
    </w:p>
    <w:p w14:paraId="5A06DC1E" w14:textId="6FBB4B24" w:rsidR="00C4436C" w:rsidRPr="00226C43" w:rsidRDefault="00C4436C" w:rsidP="00925CC1">
      <w:pPr>
        <w:pStyle w:val="ListParagraph"/>
        <w:numPr>
          <w:ilvl w:val="0"/>
          <w:numId w:val="38"/>
        </w:numPr>
        <w:suppressAutoHyphens w:val="0"/>
        <w:spacing w:line="259" w:lineRule="auto"/>
        <w:ind w:left="426" w:hanging="426"/>
      </w:pPr>
      <w:r w:rsidRPr="00226C43">
        <w:t>Allocate specific GEDSI resourcing in the future program to complement mainstreaming with targeted activities, leveraging the alumni talent pool and supporting GPH’s understanding and application of GEDSI principles. (O</w:t>
      </w:r>
      <w:r w:rsidR="00C9755D" w:rsidRPr="00226C43">
        <w:t>perational</w:t>
      </w:r>
      <w:r w:rsidRPr="00226C43">
        <w:t>)</w:t>
      </w:r>
    </w:p>
    <w:p w14:paraId="3B7F1E77" w14:textId="77777777" w:rsidR="00161DCE" w:rsidRPr="00226C43" w:rsidRDefault="00161DCE" w:rsidP="4DD21A85">
      <w:pPr>
        <w:suppressAutoHyphens w:val="0"/>
        <w:spacing w:after="0"/>
        <w:rPr>
          <w:b/>
          <w:bCs/>
        </w:rPr>
      </w:pPr>
    </w:p>
    <w:p w14:paraId="59A0A551" w14:textId="77777777" w:rsidR="009E6D5A" w:rsidRPr="00226C43" w:rsidRDefault="009E6D5A" w:rsidP="00181670">
      <w:pPr>
        <w:rPr>
          <w:i/>
          <w:iCs/>
        </w:rPr>
      </w:pPr>
      <w:r w:rsidRPr="00226C43">
        <w:rPr>
          <w:i/>
          <w:iCs/>
        </w:rPr>
        <w:br w:type="page"/>
      </w:r>
    </w:p>
    <w:p w14:paraId="334261F6" w14:textId="1F38719C" w:rsidR="000A074F" w:rsidRPr="00226C43" w:rsidRDefault="4DD21A85" w:rsidP="00CB385E">
      <w:pPr>
        <w:pStyle w:val="Heading1"/>
        <w:numPr>
          <w:ilvl w:val="0"/>
          <w:numId w:val="58"/>
        </w:numPr>
        <w:rPr>
          <w:rFonts w:asciiTheme="minorHAnsi" w:hAnsiTheme="minorHAnsi"/>
          <w:color w:val="auto"/>
        </w:rPr>
      </w:pPr>
      <w:bookmarkStart w:id="5" w:name="_Toc170122224"/>
      <w:bookmarkStart w:id="6" w:name="_Toc170122301"/>
      <w:bookmarkStart w:id="7" w:name="_Toc190195417"/>
      <w:bookmarkStart w:id="8" w:name="_Toc190248314"/>
      <w:r w:rsidRPr="00226C43">
        <w:rPr>
          <w:rFonts w:asciiTheme="minorHAnsi" w:hAnsiTheme="minorHAnsi"/>
          <w:color w:val="auto"/>
        </w:rPr>
        <w:lastRenderedPageBreak/>
        <w:t>Key Findings</w:t>
      </w:r>
      <w:bookmarkEnd w:id="5"/>
      <w:bookmarkEnd w:id="6"/>
      <w:bookmarkEnd w:id="7"/>
      <w:bookmarkEnd w:id="8"/>
    </w:p>
    <w:p w14:paraId="59FA7ACD" w14:textId="28404C2A" w:rsidR="00AA0EC1" w:rsidRPr="00226C43" w:rsidRDefault="4DD21A85" w:rsidP="4DD21A85">
      <w:pPr>
        <w:rPr>
          <w:highlight w:val="yellow"/>
        </w:rPr>
      </w:pPr>
      <w:r w:rsidRPr="00226C43">
        <w:t xml:space="preserve">The key findings are discussed below in relation to each </w:t>
      </w:r>
      <w:r w:rsidR="00F40B32" w:rsidRPr="00226C43">
        <w:t xml:space="preserve">key evaluation </w:t>
      </w:r>
      <w:r w:rsidRPr="00226C43">
        <w:t>question.</w:t>
      </w:r>
      <w:bookmarkStart w:id="9" w:name="_Toc169275861"/>
      <w:bookmarkStart w:id="10" w:name="_Toc170122225"/>
      <w:bookmarkStart w:id="11" w:name="_Toc170122302"/>
      <w:r w:rsidRPr="00226C43">
        <w:t xml:space="preserve"> </w:t>
      </w:r>
      <w:r w:rsidR="18EDB607" w:rsidRPr="00226C43">
        <w:t xml:space="preserve">The discussion </w:t>
      </w:r>
      <w:r w:rsidR="52D9295A" w:rsidRPr="00226C43">
        <w:t xml:space="preserve">also includes responses </w:t>
      </w:r>
      <w:r w:rsidR="66F3F69B" w:rsidRPr="00226C43">
        <w:t>to som</w:t>
      </w:r>
      <w:r w:rsidR="5E0A2351" w:rsidRPr="00226C43">
        <w:t xml:space="preserve">e </w:t>
      </w:r>
      <w:r w:rsidR="12DB5184" w:rsidRPr="00226C43">
        <w:t>s</w:t>
      </w:r>
      <w:r w:rsidR="00F40B32" w:rsidRPr="00226C43">
        <w:t>ub-question</w:t>
      </w:r>
      <w:r w:rsidR="58B90F34" w:rsidRPr="00226C43">
        <w:t>s</w:t>
      </w:r>
      <w:r w:rsidRPr="00226C43">
        <w:t>. A description of the program and background to the evaluation is set out in A</w:t>
      </w:r>
      <w:r w:rsidR="00C5548F" w:rsidRPr="00226C43">
        <w:t>ppendi</w:t>
      </w:r>
      <w:r w:rsidRPr="00226C43">
        <w:t>x A.</w:t>
      </w:r>
      <w:r w:rsidR="000C2937" w:rsidRPr="00226C43">
        <w:t xml:space="preserve"> Key </w:t>
      </w:r>
      <w:r w:rsidR="00393360" w:rsidRPr="00226C43">
        <w:t>Evaluation</w:t>
      </w:r>
      <w:r w:rsidR="000C2937" w:rsidRPr="00226C43">
        <w:t xml:space="preserve"> Questions are set out in Appendix D</w:t>
      </w:r>
      <w:r w:rsidR="00393360" w:rsidRPr="00226C43">
        <w:t>, and the Data Collection Guide is set out in Appendix E.</w:t>
      </w:r>
    </w:p>
    <w:p w14:paraId="42A0622E" w14:textId="1C39FEE2" w:rsidR="00351FF2" w:rsidRPr="00226C43" w:rsidRDefault="4DD21A85" w:rsidP="4DD21A85">
      <w:pPr>
        <w:pStyle w:val="Heading2"/>
        <w:spacing w:after="120"/>
        <w:rPr>
          <w:rFonts w:asciiTheme="minorHAnsi" w:hAnsiTheme="minorHAnsi"/>
          <w:color w:val="auto"/>
        </w:rPr>
      </w:pPr>
      <w:bookmarkStart w:id="12" w:name="_Toc190195418"/>
      <w:bookmarkStart w:id="13" w:name="_Toc190248315"/>
      <w:bookmarkEnd w:id="9"/>
      <w:bookmarkEnd w:id="10"/>
      <w:bookmarkEnd w:id="11"/>
      <w:r w:rsidRPr="00226C43">
        <w:rPr>
          <w:rFonts w:asciiTheme="minorHAnsi" w:hAnsiTheme="minorHAnsi"/>
          <w:color w:val="auto"/>
        </w:rPr>
        <w:t>Relevance</w:t>
      </w:r>
      <w:bookmarkEnd w:id="12"/>
      <w:bookmarkEnd w:id="13"/>
    </w:p>
    <w:p w14:paraId="130C8FF8" w14:textId="0BF802D3" w:rsidR="00E40A0E" w:rsidRPr="00226C43" w:rsidRDefault="4DD21A85" w:rsidP="00061D40">
      <w:pPr>
        <w:pStyle w:val="Box"/>
        <w:spacing w:after="0"/>
      </w:pPr>
      <w:r w:rsidRPr="00226C43">
        <w:rPr>
          <w:u w:val="single"/>
        </w:rPr>
        <w:t xml:space="preserve">Key </w:t>
      </w:r>
      <w:r w:rsidR="00623F17" w:rsidRPr="00226C43">
        <w:rPr>
          <w:u w:val="single"/>
        </w:rPr>
        <w:t>Evaluation</w:t>
      </w:r>
      <w:r w:rsidRPr="00226C43">
        <w:rPr>
          <w:u w:val="single"/>
        </w:rPr>
        <w:t xml:space="preserve"> Question 1</w:t>
      </w:r>
      <w:r w:rsidRPr="00226C43">
        <w:t xml:space="preserve">: </w:t>
      </w:r>
      <w:r w:rsidR="009C5A17" w:rsidRPr="00226C43">
        <w:t xml:space="preserve">To what extent does AAAEP–P align with the strategic priorities and needs of the </w:t>
      </w:r>
      <w:proofErr w:type="spellStart"/>
      <w:r w:rsidR="009C5A17" w:rsidRPr="00226C43">
        <w:t>GoA</w:t>
      </w:r>
      <w:proofErr w:type="spellEnd"/>
      <w:r w:rsidR="009C5A17" w:rsidRPr="00226C43">
        <w:t xml:space="preserve"> and the GPH?</w:t>
      </w:r>
    </w:p>
    <w:p w14:paraId="38F523AB" w14:textId="68899DDE" w:rsidR="00CE6588" w:rsidRPr="00226C43" w:rsidRDefault="00CE6588" w:rsidP="00BF0FC1">
      <w:pPr>
        <w:pStyle w:val="Heading5"/>
        <w:rPr>
          <w:rFonts w:asciiTheme="minorHAnsi" w:hAnsiTheme="minorHAnsi"/>
          <w:color w:val="auto"/>
        </w:rPr>
      </w:pPr>
      <w:r w:rsidRPr="00226C43">
        <w:rPr>
          <w:rFonts w:asciiTheme="minorHAnsi" w:eastAsiaTheme="minorHAnsi" w:hAnsiTheme="minorHAnsi" w:cstheme="minorBidi"/>
          <w:b w:val="0"/>
          <w:color w:val="auto"/>
        </w:rPr>
        <w:t xml:space="preserve">1.1 </w:t>
      </w:r>
      <w:r w:rsidRPr="00226C43">
        <w:rPr>
          <w:rFonts w:asciiTheme="minorHAnsi" w:hAnsiTheme="minorHAnsi"/>
          <w:color w:val="auto"/>
        </w:rPr>
        <w:t>To what extent does AAAEP–P align with GPH’s development policies?</w:t>
      </w:r>
    </w:p>
    <w:p w14:paraId="78BC0A9C" w14:textId="77777777" w:rsidR="00C66B84" w:rsidRPr="00226C43" w:rsidRDefault="00C66B84" w:rsidP="00C66B84">
      <w:r w:rsidRPr="00226C43">
        <w:t>AAAEP–</w:t>
      </w:r>
      <w:r w:rsidRPr="00226C43" w:rsidDel="4DD21A85">
        <w:t>P</w:t>
      </w:r>
      <w:r w:rsidRPr="00226C43">
        <w:t xml:space="preserve"> has been essential in supporting the achievement GPH’s development goals. The program adapted to emergent needs during the COVID-19 pandemic, demonstrating its flexibility and ongoing relevance. </w:t>
      </w:r>
    </w:p>
    <w:p w14:paraId="60F0092B" w14:textId="77777777" w:rsidR="00C66B84" w:rsidRPr="00226C43" w:rsidRDefault="00C66B84" w:rsidP="00C66B84">
      <w:r w:rsidRPr="00226C43">
        <w:t xml:space="preserve">The process of engagement with 11 GPH organisations, OTNA and the highly regarded (and well targeted/implemented) REAPs indicate that the implementation team is well versed at ensuring that AAAEP–P is closely aligned with GPH priorities and strategic directions. Training programs were closely aligned with the strategic goals of partner organisations. This ensured that the skills developed were directly applicable to the participants' work environments, leading to more effective implementation of re-entry action plans. </w:t>
      </w:r>
    </w:p>
    <w:p w14:paraId="739C9241" w14:textId="77777777" w:rsidR="00C66B84" w:rsidRPr="00226C43" w:rsidRDefault="00C66B84" w:rsidP="004E3950">
      <w:pPr>
        <w:spacing w:after="0"/>
      </w:pPr>
      <w:r w:rsidRPr="00226C43">
        <w:t>At a macro level, the program was aligned with objectives of key GPH development strategies including:</w:t>
      </w:r>
    </w:p>
    <w:p w14:paraId="58A3CD6F" w14:textId="77777777" w:rsidR="00C66B84" w:rsidRPr="00226C43" w:rsidRDefault="00C66B84" w:rsidP="00925CC1">
      <w:pPr>
        <w:pStyle w:val="ListParagraph"/>
        <w:numPr>
          <w:ilvl w:val="0"/>
          <w:numId w:val="37"/>
        </w:numPr>
      </w:pPr>
      <w:r w:rsidRPr="00226C43">
        <w:rPr>
          <w:b/>
          <w:bCs/>
        </w:rPr>
        <w:t>The Philippines Development Plan 2017-2022</w:t>
      </w:r>
      <w:r w:rsidRPr="00226C43">
        <w:t xml:space="preserve"> (PDP 2017-2022) which sought to enhance social fabric (</w:t>
      </w:r>
      <w:proofErr w:type="spellStart"/>
      <w:r w:rsidRPr="00226C43">
        <w:t>Malasakit</w:t>
      </w:r>
      <w:proofErr w:type="spellEnd"/>
      <w:r w:rsidRPr="00226C43">
        <w:t>), reduce inequality (</w:t>
      </w:r>
      <w:proofErr w:type="spellStart"/>
      <w:r w:rsidRPr="00226C43">
        <w:t>Pagbabago</w:t>
      </w:r>
      <w:proofErr w:type="spellEnd"/>
      <w:r w:rsidRPr="00226C43">
        <w:t>), and increase growth potential (</w:t>
      </w:r>
      <w:proofErr w:type="spellStart"/>
      <w:r w:rsidRPr="00226C43">
        <w:t>Patuloy</w:t>
      </w:r>
      <w:proofErr w:type="spellEnd"/>
      <w:r w:rsidRPr="00226C43">
        <w:t xml:space="preserve"> </w:t>
      </w:r>
      <w:proofErr w:type="spellStart"/>
      <w:r w:rsidRPr="00226C43">
        <w:t>na</w:t>
      </w:r>
      <w:proofErr w:type="spellEnd"/>
      <w:r w:rsidRPr="00226C43">
        <w:t xml:space="preserve"> Pag-</w:t>
      </w:r>
      <w:proofErr w:type="spellStart"/>
      <w:r w:rsidRPr="00226C43">
        <w:t>unlad</w:t>
      </w:r>
      <w:proofErr w:type="spellEnd"/>
      <w:r w:rsidRPr="00226C43">
        <w:t>). The PDP 2017-2022 references the importance of capacity building in each pillar</w:t>
      </w:r>
      <w:r w:rsidRPr="00226C43">
        <w:rPr>
          <w:rStyle w:val="FootnoteReference"/>
        </w:rPr>
        <w:footnoteReference w:id="5"/>
      </w:r>
      <w:r w:rsidRPr="00226C43">
        <w:t>.</w:t>
      </w:r>
    </w:p>
    <w:p w14:paraId="1F0D050D" w14:textId="1EBC7D41" w:rsidR="00C66B84" w:rsidRPr="00226C43" w:rsidRDefault="00C66B84" w:rsidP="00925CC1">
      <w:pPr>
        <w:pStyle w:val="ListParagraph"/>
        <w:numPr>
          <w:ilvl w:val="0"/>
          <w:numId w:val="37"/>
        </w:numPr>
      </w:pPr>
      <w:proofErr w:type="spellStart"/>
      <w:r w:rsidRPr="00226C43">
        <w:rPr>
          <w:b/>
          <w:bCs/>
        </w:rPr>
        <w:t>AmBisyon</w:t>
      </w:r>
      <w:proofErr w:type="spellEnd"/>
      <w:r w:rsidRPr="00226C43">
        <w:rPr>
          <w:b/>
          <w:bCs/>
        </w:rPr>
        <w:t xml:space="preserve"> 2040</w:t>
      </w:r>
      <w:r w:rsidRPr="00226C43">
        <w:t xml:space="preserve">. </w:t>
      </w:r>
      <w:r w:rsidR="0064432C" w:rsidRPr="00226C43">
        <w:t>AAAEP–</w:t>
      </w:r>
      <w:r w:rsidRPr="00226C43">
        <w:t xml:space="preserve">P aligned with the people-centred development vision of </w:t>
      </w:r>
      <w:proofErr w:type="spellStart"/>
      <w:r w:rsidRPr="00226C43">
        <w:t>AmBisyon</w:t>
      </w:r>
      <w:proofErr w:type="spellEnd"/>
      <w:r w:rsidRPr="00226C43">
        <w:t xml:space="preserve"> 2040 which was that ‘</w:t>
      </w:r>
      <w:r w:rsidRPr="00226C43">
        <w:rPr>
          <w:i/>
          <w:iCs/>
        </w:rPr>
        <w:t>by 2040</w:t>
      </w:r>
      <w:r w:rsidRPr="00226C43">
        <w:rPr>
          <w:i/>
        </w:rPr>
        <w:t>,</w:t>
      </w:r>
      <w:r w:rsidRPr="00226C43">
        <w:rPr>
          <w:b/>
          <w:bCs/>
          <w:i/>
          <w:iCs/>
        </w:rPr>
        <w:t xml:space="preserve"> </w:t>
      </w:r>
      <w:r w:rsidRPr="00226C43">
        <w:rPr>
          <w:i/>
          <w:iCs/>
        </w:rPr>
        <w:t xml:space="preserve">the Philippines is a prosperous </w:t>
      </w:r>
      <w:proofErr w:type="gramStart"/>
      <w:r w:rsidRPr="00226C43">
        <w:rPr>
          <w:i/>
          <w:iCs/>
        </w:rPr>
        <w:t>middle class</w:t>
      </w:r>
      <w:proofErr w:type="gramEnd"/>
      <w:r w:rsidRPr="00226C43">
        <w:rPr>
          <w:i/>
          <w:iCs/>
        </w:rPr>
        <w:t xml:space="preserve"> society where no one is poor. People live long and healthy lives and are smart and innovative. The country is a high-trust society where families thrive in vibrant, culturally diverse, and resilient communities</w:t>
      </w:r>
      <w:r w:rsidRPr="00226C43">
        <w:t>’</w:t>
      </w:r>
      <w:r w:rsidRPr="00226C43">
        <w:rPr>
          <w:rStyle w:val="FootnoteReference"/>
        </w:rPr>
        <w:footnoteReference w:id="6"/>
      </w:r>
      <w:r w:rsidRPr="00226C43">
        <w:t>.</w:t>
      </w:r>
    </w:p>
    <w:p w14:paraId="51878283" w14:textId="33A08045" w:rsidR="00C66B84" w:rsidRPr="00226C43" w:rsidRDefault="00C66B84" w:rsidP="00925CC1">
      <w:pPr>
        <w:pStyle w:val="ListParagraph"/>
        <w:numPr>
          <w:ilvl w:val="0"/>
          <w:numId w:val="37"/>
        </w:numPr>
      </w:pPr>
      <w:r w:rsidRPr="00226C43">
        <w:rPr>
          <w:b/>
          <w:bCs/>
        </w:rPr>
        <w:t>Philippine Development Plan 2023–2028</w:t>
      </w:r>
      <w:r w:rsidRPr="00226C43">
        <w:rPr>
          <w:rStyle w:val="FootnoteReference"/>
        </w:rPr>
        <w:footnoteReference w:id="7"/>
      </w:r>
      <w:r w:rsidRPr="00226C43">
        <w:t xml:space="preserve"> (PDP 2023-2028), which sets out a plan to achieve economic and social transformation towards a </w:t>
      </w:r>
      <w:r w:rsidR="003C64BB" w:rsidRPr="00226C43">
        <w:t>prosperous</w:t>
      </w:r>
      <w:r w:rsidRPr="00226C43">
        <w:t>, inclusive and resilient society. Human capital development is one of the PDP 2023-2028’s eight objectives</w:t>
      </w:r>
      <w:r w:rsidRPr="00226C43">
        <w:rPr>
          <w:rStyle w:val="FootnoteReference"/>
        </w:rPr>
        <w:footnoteReference w:id="8"/>
      </w:r>
      <w:r w:rsidRPr="00226C43">
        <w:t>.</w:t>
      </w:r>
    </w:p>
    <w:p w14:paraId="161249EC" w14:textId="77777777" w:rsidR="00BC5D58" w:rsidRPr="00226C43" w:rsidRDefault="00BC5D58" w:rsidP="00C66B84">
      <w:pPr>
        <w:pStyle w:val="Quote"/>
        <w:rPr>
          <w:color w:val="auto"/>
        </w:rPr>
      </w:pPr>
    </w:p>
    <w:p w14:paraId="56A6BDAB" w14:textId="4B2CF07A" w:rsidR="00C66B84" w:rsidRPr="00226C43" w:rsidRDefault="00C66B84" w:rsidP="00C66B84">
      <w:pPr>
        <w:pStyle w:val="Quote"/>
        <w:rPr>
          <w:color w:val="auto"/>
        </w:rPr>
      </w:pPr>
      <w:r w:rsidRPr="00226C43">
        <w:rPr>
          <w:color w:val="auto"/>
        </w:rPr>
        <w:t>‘We were able to utilize the training and knowledge provided to improve policy drafting processes within our agency…The programs were always tailored to meet our organizational and sectoral needs, ensuring they were aligned with government priorities, especially in infrastructure and policy development.’</w:t>
      </w:r>
      <w:r w:rsidR="00116C3E" w:rsidRPr="00226C43">
        <w:rPr>
          <w:color w:val="auto"/>
        </w:rPr>
        <w:t>, Respondent 1 (R1)</w:t>
      </w:r>
      <w:r w:rsidR="00537182" w:rsidRPr="00226C43">
        <w:rPr>
          <w:rStyle w:val="FootnoteReference"/>
          <w:color w:val="auto"/>
        </w:rPr>
        <w:footnoteReference w:id="9"/>
      </w:r>
      <w:r w:rsidR="00537182" w:rsidRPr="00226C43">
        <w:rPr>
          <w:color w:val="auto"/>
        </w:rPr>
        <w:t>.</w:t>
      </w:r>
    </w:p>
    <w:p w14:paraId="55C74068" w14:textId="1C523274" w:rsidR="00C66B84" w:rsidRPr="00226C43" w:rsidRDefault="00C66B84" w:rsidP="00C66B84">
      <w:r w:rsidRPr="00226C43">
        <w:t xml:space="preserve">The program offered scholarships in two categories—a </w:t>
      </w:r>
      <w:r w:rsidRPr="00226C43">
        <w:rPr>
          <w:b/>
          <w:bCs/>
        </w:rPr>
        <w:t>targeted category</w:t>
      </w:r>
      <w:r w:rsidRPr="00226C43">
        <w:t xml:space="preserve"> and an </w:t>
      </w:r>
      <w:r w:rsidRPr="00226C43">
        <w:rPr>
          <w:b/>
          <w:bCs/>
        </w:rPr>
        <w:t>open category</w:t>
      </w:r>
      <w:r w:rsidRPr="00226C43">
        <w:t xml:space="preserve">. Consultations with GPH agencies, stakeholders, and the </w:t>
      </w:r>
      <w:r w:rsidR="00036FAC" w:rsidRPr="00226C43">
        <w:t>managing contractor</w:t>
      </w:r>
      <w:r w:rsidRPr="00226C43">
        <w:t xml:space="preserve"> ensured strategic alignment. </w:t>
      </w:r>
    </w:p>
    <w:p w14:paraId="57FEB636" w14:textId="77777777" w:rsidR="00C66B84" w:rsidRPr="00226C43" w:rsidRDefault="00C66B84" w:rsidP="00C66B84">
      <w:r w:rsidRPr="00226C43">
        <w:t xml:space="preserve">The </w:t>
      </w:r>
      <w:r w:rsidRPr="00226C43">
        <w:rPr>
          <w:b/>
          <w:bCs/>
        </w:rPr>
        <w:t>open category</w:t>
      </w:r>
      <w:r w:rsidRPr="00226C43">
        <w:t xml:space="preserve"> provided broader opportunities for individuals to apply for scholarships and learning events, fostering participation across various sectors. Open to all eligible applicants, a competitive selection process is followed that evaluates candidates based on their qualifications, potential, and inclusivity considerations. By encouraging a diverse pool of applicants, including those from the private and non-government sectors, the open category supports initiatives like scholarships for professionals and academics, as well as short courses and study tours that promote collaboration and cross-sectoral engagement.</w:t>
      </w:r>
    </w:p>
    <w:p w14:paraId="61A12D0D" w14:textId="77777777" w:rsidR="00C66B84" w:rsidRPr="00226C43" w:rsidRDefault="00C66B84" w:rsidP="00C66B84">
      <w:r w:rsidRPr="00226C43">
        <w:t xml:space="preserve">The </w:t>
      </w:r>
      <w:r w:rsidRPr="00226C43">
        <w:rPr>
          <w:b/>
          <w:bCs/>
        </w:rPr>
        <w:t>targeted category</w:t>
      </w:r>
      <w:r w:rsidRPr="00226C43">
        <w:t xml:space="preserve"> focused on addressing specific development priorities and capacity-building needs identified by the GPH via OTNAs, and by Australia’s bilateral program. GPH agencies nominated candidates based on their roles and alignment with priority sectors such as governance, economic growth, or peacebuilding and a competitive selection process was again followed for participant selection. </w:t>
      </w:r>
    </w:p>
    <w:p w14:paraId="7F4A3A17" w14:textId="1F7D0146" w:rsidR="00C66B84" w:rsidRPr="00226C43" w:rsidRDefault="00C66B84" w:rsidP="002F180F">
      <w:pPr>
        <w:pStyle w:val="Caption"/>
        <w:spacing w:after="0"/>
        <w:rPr>
          <w:color w:val="auto"/>
        </w:rPr>
      </w:pPr>
      <w:bookmarkStart w:id="14" w:name="_Toc190939900"/>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000A7CFF" w:rsidRPr="00226C43">
        <w:rPr>
          <w:noProof/>
          <w:color w:val="auto"/>
        </w:rPr>
        <w:t>2</w:t>
      </w:r>
      <w:r w:rsidR="000113F9" w:rsidRPr="00226C43">
        <w:rPr>
          <w:noProof/>
          <w:color w:val="auto"/>
        </w:rPr>
        <w:fldChar w:fldCharType="end"/>
      </w:r>
      <w:r w:rsidRPr="00226C43">
        <w:rPr>
          <w:color w:val="auto"/>
        </w:rPr>
        <w:t>: Key differences between open and targeted scholarship categories</w:t>
      </w:r>
      <w:bookmarkEnd w:id="14"/>
    </w:p>
    <w:tbl>
      <w:tblPr>
        <w:tblStyle w:val="TableGrid"/>
        <w:tblW w:w="9134" w:type="dxa"/>
        <w:tblLook w:val="06A0" w:firstRow="1" w:lastRow="0" w:firstColumn="1" w:lastColumn="0" w:noHBand="1" w:noVBand="1"/>
      </w:tblPr>
      <w:tblGrid>
        <w:gridCol w:w="1826"/>
        <w:gridCol w:w="3654"/>
        <w:gridCol w:w="3654"/>
      </w:tblGrid>
      <w:tr w:rsidR="00226C43" w:rsidRPr="00F70A19" w14:paraId="73206C5D" w14:textId="77777777" w:rsidTr="00117212">
        <w:trPr>
          <w:trHeight w:val="20"/>
          <w:tblHeader/>
        </w:trPr>
        <w:tc>
          <w:tcPr>
            <w:tcW w:w="1826" w:type="dxa"/>
            <w:shd w:val="clear" w:color="auto" w:fill="E3DED1" w:themeFill="background2"/>
          </w:tcPr>
          <w:p w14:paraId="5DA3738C" w14:textId="77777777" w:rsidR="00C66B84" w:rsidRPr="00F70A19" w:rsidRDefault="00C66B84" w:rsidP="00F87792">
            <w:pPr>
              <w:pStyle w:val="Tabletext"/>
              <w:spacing w:before="0" w:after="0"/>
              <w:jc w:val="center"/>
              <w:rPr>
                <w:b/>
                <w:bCs/>
                <w:sz w:val="20"/>
                <w:szCs w:val="20"/>
              </w:rPr>
            </w:pPr>
            <w:r w:rsidRPr="00F70A19">
              <w:rPr>
                <w:b/>
                <w:bCs/>
                <w:sz w:val="20"/>
                <w:szCs w:val="20"/>
              </w:rPr>
              <w:t>Aspect</w:t>
            </w:r>
          </w:p>
        </w:tc>
        <w:tc>
          <w:tcPr>
            <w:tcW w:w="3654" w:type="dxa"/>
            <w:shd w:val="clear" w:color="auto" w:fill="E3DED1" w:themeFill="background2"/>
          </w:tcPr>
          <w:p w14:paraId="6294B0FA" w14:textId="77777777" w:rsidR="00C66B84" w:rsidRPr="00F70A19" w:rsidRDefault="00C66B84" w:rsidP="00F87792">
            <w:pPr>
              <w:pStyle w:val="Tabletext"/>
              <w:spacing w:before="0" w:after="0"/>
              <w:jc w:val="center"/>
              <w:rPr>
                <w:b/>
                <w:bCs/>
                <w:sz w:val="20"/>
                <w:szCs w:val="20"/>
              </w:rPr>
            </w:pPr>
            <w:r w:rsidRPr="00F70A19">
              <w:rPr>
                <w:b/>
                <w:bCs/>
                <w:sz w:val="20"/>
                <w:szCs w:val="20"/>
              </w:rPr>
              <w:t>Targeted Category</w:t>
            </w:r>
          </w:p>
        </w:tc>
        <w:tc>
          <w:tcPr>
            <w:tcW w:w="3654" w:type="dxa"/>
            <w:shd w:val="clear" w:color="auto" w:fill="E3DED1" w:themeFill="background2"/>
          </w:tcPr>
          <w:p w14:paraId="7D564EF8" w14:textId="77777777" w:rsidR="00C66B84" w:rsidRPr="00F70A19" w:rsidRDefault="00C66B84" w:rsidP="00F87792">
            <w:pPr>
              <w:pStyle w:val="Tabletext"/>
              <w:spacing w:before="0" w:after="0"/>
              <w:jc w:val="center"/>
              <w:rPr>
                <w:b/>
                <w:bCs/>
                <w:sz w:val="20"/>
                <w:szCs w:val="20"/>
              </w:rPr>
            </w:pPr>
            <w:r w:rsidRPr="00F70A19">
              <w:rPr>
                <w:b/>
                <w:bCs/>
                <w:sz w:val="20"/>
                <w:szCs w:val="20"/>
              </w:rPr>
              <w:t>Open Category</w:t>
            </w:r>
          </w:p>
        </w:tc>
      </w:tr>
      <w:tr w:rsidR="00226C43" w:rsidRPr="00F70A19" w14:paraId="0F6E92B0" w14:textId="77777777" w:rsidTr="00F87792">
        <w:trPr>
          <w:trHeight w:val="20"/>
        </w:trPr>
        <w:tc>
          <w:tcPr>
            <w:tcW w:w="1826" w:type="dxa"/>
          </w:tcPr>
          <w:p w14:paraId="3DEA17C2" w14:textId="77777777" w:rsidR="00C66B84" w:rsidRPr="00F70A19" w:rsidRDefault="00C66B84" w:rsidP="00F87792">
            <w:pPr>
              <w:pStyle w:val="Tabletext"/>
              <w:spacing w:before="0" w:after="0"/>
              <w:rPr>
                <w:b/>
                <w:sz w:val="20"/>
                <w:szCs w:val="20"/>
              </w:rPr>
            </w:pPr>
            <w:r w:rsidRPr="00F70A19">
              <w:rPr>
                <w:sz w:val="20"/>
                <w:szCs w:val="20"/>
              </w:rPr>
              <w:t>Focus</w:t>
            </w:r>
          </w:p>
        </w:tc>
        <w:tc>
          <w:tcPr>
            <w:tcW w:w="3654" w:type="dxa"/>
          </w:tcPr>
          <w:p w14:paraId="589E3D93" w14:textId="77777777" w:rsidR="00C66B84" w:rsidRPr="00F70A19" w:rsidRDefault="00C66B84" w:rsidP="00F87792">
            <w:pPr>
              <w:pStyle w:val="Tabletext"/>
              <w:spacing w:before="0" w:after="0"/>
              <w:rPr>
                <w:sz w:val="20"/>
                <w:szCs w:val="20"/>
              </w:rPr>
            </w:pPr>
            <w:r w:rsidRPr="00F70A19">
              <w:rPr>
                <w:sz w:val="20"/>
                <w:szCs w:val="20"/>
              </w:rPr>
              <w:t>Specific development and capacity gaps (determined via OTNAs)</w:t>
            </w:r>
          </w:p>
        </w:tc>
        <w:tc>
          <w:tcPr>
            <w:tcW w:w="3654" w:type="dxa"/>
          </w:tcPr>
          <w:p w14:paraId="49AD10E9" w14:textId="77777777" w:rsidR="00C66B84" w:rsidRPr="00F70A19" w:rsidRDefault="00C66B84" w:rsidP="00F87792">
            <w:pPr>
              <w:pStyle w:val="Tabletext"/>
              <w:spacing w:before="0" w:after="0"/>
              <w:rPr>
                <w:sz w:val="20"/>
                <w:szCs w:val="20"/>
              </w:rPr>
            </w:pPr>
            <w:r w:rsidRPr="00F70A19">
              <w:rPr>
                <w:sz w:val="20"/>
                <w:szCs w:val="20"/>
              </w:rPr>
              <w:t>Broader opportunities for diverse sectors</w:t>
            </w:r>
          </w:p>
        </w:tc>
      </w:tr>
      <w:tr w:rsidR="00226C43" w:rsidRPr="00F70A19" w14:paraId="05C53B15" w14:textId="77777777" w:rsidTr="00F87792">
        <w:trPr>
          <w:trHeight w:val="20"/>
        </w:trPr>
        <w:tc>
          <w:tcPr>
            <w:tcW w:w="1826" w:type="dxa"/>
          </w:tcPr>
          <w:p w14:paraId="1FFE2DD3" w14:textId="77777777" w:rsidR="00C66B84" w:rsidRPr="00F70A19" w:rsidRDefault="00C66B84" w:rsidP="00F87792">
            <w:pPr>
              <w:pStyle w:val="Tabletext"/>
              <w:spacing w:before="0" w:after="0"/>
              <w:rPr>
                <w:b/>
                <w:sz w:val="20"/>
                <w:szCs w:val="20"/>
              </w:rPr>
            </w:pPr>
            <w:r w:rsidRPr="00F70A19">
              <w:rPr>
                <w:sz w:val="20"/>
                <w:szCs w:val="20"/>
              </w:rPr>
              <w:t>Participant Source</w:t>
            </w:r>
          </w:p>
        </w:tc>
        <w:tc>
          <w:tcPr>
            <w:tcW w:w="3654" w:type="dxa"/>
          </w:tcPr>
          <w:p w14:paraId="7530C0DB" w14:textId="77777777" w:rsidR="00C66B84" w:rsidRPr="00F70A19" w:rsidRDefault="00C66B84" w:rsidP="00F87792">
            <w:pPr>
              <w:pStyle w:val="Tabletext"/>
              <w:spacing w:before="0" w:after="0"/>
              <w:rPr>
                <w:sz w:val="20"/>
                <w:szCs w:val="20"/>
              </w:rPr>
            </w:pPr>
            <w:r w:rsidRPr="00F70A19">
              <w:rPr>
                <w:sz w:val="20"/>
                <w:szCs w:val="20"/>
              </w:rPr>
              <w:t>Pre-identified sectors/agencies</w:t>
            </w:r>
          </w:p>
        </w:tc>
        <w:tc>
          <w:tcPr>
            <w:tcW w:w="3654" w:type="dxa"/>
          </w:tcPr>
          <w:p w14:paraId="6A637D27" w14:textId="77777777" w:rsidR="00C66B84" w:rsidRPr="00F70A19" w:rsidRDefault="00C66B84" w:rsidP="00F87792">
            <w:pPr>
              <w:pStyle w:val="Tabletext"/>
              <w:spacing w:before="0" w:after="0"/>
              <w:rPr>
                <w:sz w:val="20"/>
                <w:szCs w:val="20"/>
              </w:rPr>
            </w:pPr>
            <w:r w:rsidRPr="00F70A19">
              <w:rPr>
                <w:sz w:val="20"/>
                <w:szCs w:val="20"/>
              </w:rPr>
              <w:t>Open to all eligible applicants</w:t>
            </w:r>
          </w:p>
        </w:tc>
      </w:tr>
      <w:tr w:rsidR="00226C43" w:rsidRPr="00F70A19" w14:paraId="4A481B35" w14:textId="77777777" w:rsidTr="00F87792">
        <w:trPr>
          <w:trHeight w:val="20"/>
        </w:trPr>
        <w:tc>
          <w:tcPr>
            <w:tcW w:w="1826" w:type="dxa"/>
          </w:tcPr>
          <w:p w14:paraId="7A78360B" w14:textId="77777777" w:rsidR="00C66B84" w:rsidRPr="00F70A19" w:rsidRDefault="00C66B84" w:rsidP="00F87792">
            <w:pPr>
              <w:pStyle w:val="Tabletext"/>
              <w:spacing w:before="0" w:after="0"/>
              <w:rPr>
                <w:b/>
                <w:sz w:val="20"/>
                <w:szCs w:val="20"/>
              </w:rPr>
            </w:pPr>
            <w:r w:rsidRPr="00F70A19">
              <w:rPr>
                <w:sz w:val="20"/>
                <w:szCs w:val="20"/>
              </w:rPr>
              <w:t>Selection Process</w:t>
            </w:r>
          </w:p>
        </w:tc>
        <w:tc>
          <w:tcPr>
            <w:tcW w:w="3654" w:type="dxa"/>
          </w:tcPr>
          <w:p w14:paraId="70BE44A5" w14:textId="77777777" w:rsidR="00C66B84" w:rsidRPr="00F70A19" w:rsidRDefault="00C66B84" w:rsidP="00F87792">
            <w:pPr>
              <w:pStyle w:val="Tabletext"/>
              <w:spacing w:before="0" w:after="0"/>
              <w:rPr>
                <w:sz w:val="20"/>
                <w:szCs w:val="20"/>
              </w:rPr>
            </w:pPr>
            <w:r w:rsidRPr="00F70A19">
              <w:rPr>
                <w:sz w:val="20"/>
                <w:szCs w:val="20"/>
              </w:rPr>
              <w:t>Directed and consultative</w:t>
            </w:r>
          </w:p>
        </w:tc>
        <w:tc>
          <w:tcPr>
            <w:tcW w:w="3654" w:type="dxa"/>
          </w:tcPr>
          <w:p w14:paraId="4E5C697F" w14:textId="77777777" w:rsidR="00C66B84" w:rsidRPr="00F70A19" w:rsidRDefault="00C66B84" w:rsidP="00F87792">
            <w:pPr>
              <w:pStyle w:val="Tabletext"/>
              <w:spacing w:before="0" w:after="0"/>
              <w:rPr>
                <w:sz w:val="20"/>
                <w:szCs w:val="20"/>
              </w:rPr>
            </w:pPr>
            <w:r w:rsidRPr="00F70A19">
              <w:rPr>
                <w:sz w:val="20"/>
                <w:szCs w:val="20"/>
              </w:rPr>
              <w:t>Competitive, merit-based</w:t>
            </w:r>
          </w:p>
        </w:tc>
      </w:tr>
      <w:tr w:rsidR="00226C43" w:rsidRPr="00F70A19" w14:paraId="09D3BC6F" w14:textId="77777777" w:rsidTr="00F87792">
        <w:trPr>
          <w:trHeight w:val="20"/>
        </w:trPr>
        <w:tc>
          <w:tcPr>
            <w:tcW w:w="1826" w:type="dxa"/>
          </w:tcPr>
          <w:p w14:paraId="4B489393" w14:textId="77777777" w:rsidR="00C66B84" w:rsidRPr="00F70A19" w:rsidRDefault="00C66B84" w:rsidP="00F87792">
            <w:pPr>
              <w:pStyle w:val="Tabletext"/>
              <w:spacing w:before="0" w:after="0"/>
              <w:rPr>
                <w:b/>
                <w:sz w:val="20"/>
                <w:szCs w:val="20"/>
              </w:rPr>
            </w:pPr>
            <w:r w:rsidRPr="00F70A19">
              <w:rPr>
                <w:sz w:val="20"/>
                <w:szCs w:val="20"/>
              </w:rPr>
              <w:t>Flexibility</w:t>
            </w:r>
          </w:p>
        </w:tc>
        <w:tc>
          <w:tcPr>
            <w:tcW w:w="3654" w:type="dxa"/>
          </w:tcPr>
          <w:p w14:paraId="3A5247A5" w14:textId="77777777" w:rsidR="00C66B84" w:rsidRPr="00F70A19" w:rsidRDefault="00C66B84" w:rsidP="00F87792">
            <w:pPr>
              <w:pStyle w:val="Tabletext"/>
              <w:spacing w:before="0" w:after="0"/>
              <w:rPr>
                <w:sz w:val="20"/>
                <w:szCs w:val="20"/>
              </w:rPr>
            </w:pPr>
            <w:r w:rsidRPr="00F70A19">
              <w:rPr>
                <w:sz w:val="20"/>
                <w:szCs w:val="20"/>
              </w:rPr>
              <w:t>Limited to identified priorities</w:t>
            </w:r>
          </w:p>
        </w:tc>
        <w:tc>
          <w:tcPr>
            <w:tcW w:w="3654" w:type="dxa"/>
          </w:tcPr>
          <w:p w14:paraId="0193453C" w14:textId="77777777" w:rsidR="00C66B84" w:rsidRPr="00F70A19" w:rsidRDefault="00C66B84" w:rsidP="00F87792">
            <w:pPr>
              <w:pStyle w:val="Tabletext"/>
              <w:spacing w:before="0" w:after="0"/>
              <w:rPr>
                <w:sz w:val="20"/>
                <w:szCs w:val="20"/>
              </w:rPr>
            </w:pPr>
            <w:r w:rsidRPr="00F70A19">
              <w:rPr>
                <w:sz w:val="20"/>
                <w:szCs w:val="20"/>
              </w:rPr>
              <w:t>More flexible and inclusive</w:t>
            </w:r>
          </w:p>
        </w:tc>
      </w:tr>
    </w:tbl>
    <w:p w14:paraId="1AF09331" w14:textId="77777777" w:rsidR="00C66B84" w:rsidRPr="00226C43" w:rsidRDefault="00C66B84" w:rsidP="00C66B84">
      <w:pPr>
        <w:spacing w:before="240" w:line="259" w:lineRule="auto"/>
      </w:pPr>
      <w:r w:rsidRPr="00226C43">
        <w:t>These categories enable AAAEP–P to strategically address both targeted capacity-building priorities while providing inclusive opportunities for broader development impact.</w:t>
      </w:r>
    </w:p>
    <w:p w14:paraId="64F49485" w14:textId="77777777" w:rsidR="00CE6588" w:rsidRPr="00226C43" w:rsidRDefault="00CE6588" w:rsidP="00BF0FC1">
      <w:pPr>
        <w:pStyle w:val="Heading5"/>
        <w:rPr>
          <w:rFonts w:asciiTheme="minorHAnsi" w:hAnsiTheme="minorHAnsi"/>
          <w:color w:val="auto"/>
        </w:rPr>
      </w:pPr>
      <w:r w:rsidRPr="00226C43">
        <w:rPr>
          <w:rFonts w:asciiTheme="minorHAnsi" w:hAnsiTheme="minorHAnsi"/>
          <w:color w:val="auto"/>
        </w:rPr>
        <w:t xml:space="preserve">1.2 To what extent is AAAEP–P consistent with the </w:t>
      </w:r>
      <w:proofErr w:type="spellStart"/>
      <w:r w:rsidRPr="00226C43">
        <w:rPr>
          <w:rFonts w:asciiTheme="minorHAnsi" w:hAnsiTheme="minorHAnsi"/>
          <w:color w:val="auto"/>
        </w:rPr>
        <w:t>GoA’s</w:t>
      </w:r>
      <w:proofErr w:type="spellEnd"/>
      <w:r w:rsidRPr="00226C43">
        <w:rPr>
          <w:rFonts w:asciiTheme="minorHAnsi" w:hAnsiTheme="minorHAnsi"/>
          <w:color w:val="auto"/>
        </w:rPr>
        <w:t xml:space="preserve"> strategic priorities? </w:t>
      </w:r>
    </w:p>
    <w:p w14:paraId="38A116C2" w14:textId="38512E62" w:rsidR="005C45D8" w:rsidRPr="00226C43" w:rsidRDefault="005C45D8" w:rsidP="005C45D8">
      <w:r w:rsidRPr="00226C43">
        <w:t xml:space="preserve">Some misalignments were noted between the current AAAEP–P contract/obligations and the Embassy’s expectations of the program. AAAEP–P sat with the Embassy’s Political Team, with heightened expectations about the potential for the AAAEP–P to contribute more flexibly to public diplomacy and influence objectives. </w:t>
      </w:r>
      <w:proofErr w:type="gramStart"/>
      <w:r w:rsidR="00EB0169" w:rsidRPr="00226C43">
        <w:t xml:space="preserve">In particular, </w:t>
      </w:r>
      <w:r w:rsidR="003800D8" w:rsidRPr="00226C43">
        <w:t>there</w:t>
      </w:r>
      <w:proofErr w:type="gramEnd"/>
      <w:r w:rsidR="003800D8" w:rsidRPr="00226C43">
        <w:t xml:space="preserve"> are expectations at the Embassy that the program could be more effective by targeting influential reform minded individuals to assist in both </w:t>
      </w:r>
      <w:r w:rsidR="005E12B7" w:rsidRPr="00226C43">
        <w:t xml:space="preserve">pushing through key reforms </w:t>
      </w:r>
      <w:proofErr w:type="gramStart"/>
      <w:r w:rsidR="005E12B7" w:rsidRPr="00226C43">
        <w:t>and also</w:t>
      </w:r>
      <w:proofErr w:type="gramEnd"/>
      <w:r w:rsidR="005E12B7" w:rsidRPr="00226C43">
        <w:t xml:space="preserve"> to increase Australia’s profile and its status as a key partner for the GPH.</w:t>
      </w:r>
    </w:p>
    <w:p w14:paraId="16F2D32A" w14:textId="77777777" w:rsidR="005C45D8" w:rsidRPr="00226C43" w:rsidRDefault="005C45D8" w:rsidP="005C45D8">
      <w:r w:rsidRPr="00226C43">
        <w:t xml:space="preserve">The program facilitated identification (and the Board’s agreement) of focus areas and identified Partner Organisations (PHG Agencies) who had responsibility for delivering </w:t>
      </w:r>
      <w:r w:rsidRPr="00226C43">
        <w:lastRenderedPageBreak/>
        <w:t xml:space="preserve">the focus areas. In March 2019, the program proposed the following focus areas, which were highly relevant to both countries’ development and strategic priorities. </w:t>
      </w:r>
    </w:p>
    <w:p w14:paraId="7DFD8341" w14:textId="7BCCBEB7" w:rsidR="005C45D8" w:rsidRPr="00226C43" w:rsidRDefault="005C45D8" w:rsidP="00693AC8">
      <w:pPr>
        <w:pStyle w:val="Caption"/>
        <w:spacing w:after="0"/>
        <w:rPr>
          <w:color w:val="auto"/>
        </w:rPr>
      </w:pPr>
      <w:bookmarkStart w:id="15" w:name="_Toc190939901"/>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000A7CFF" w:rsidRPr="00226C43">
        <w:rPr>
          <w:noProof/>
          <w:color w:val="auto"/>
        </w:rPr>
        <w:t>3</w:t>
      </w:r>
      <w:r w:rsidR="000113F9" w:rsidRPr="00226C43">
        <w:rPr>
          <w:noProof/>
          <w:color w:val="auto"/>
        </w:rPr>
        <w:fldChar w:fldCharType="end"/>
      </w:r>
      <w:r w:rsidRPr="00226C43">
        <w:rPr>
          <w:color w:val="auto"/>
        </w:rPr>
        <w:t>: Focus Areas and Partner Organisations (GPH Agencies)</w:t>
      </w:r>
      <w:r w:rsidR="006C42E3" w:rsidRPr="00226C43">
        <w:rPr>
          <w:color w:val="auto"/>
        </w:rPr>
        <w:t xml:space="preserve"> – </w:t>
      </w:r>
      <w:r w:rsidRPr="00226C43">
        <w:rPr>
          <w:color w:val="auto"/>
        </w:rPr>
        <w:t>2019</w:t>
      </w:r>
      <w:bookmarkEnd w:id="15"/>
    </w:p>
    <w:tbl>
      <w:tblPr>
        <w:tblStyle w:val="TableGrid"/>
        <w:tblW w:w="8789" w:type="dxa"/>
        <w:tblLayout w:type="fixed"/>
        <w:tblLook w:val="06A0" w:firstRow="1" w:lastRow="0" w:firstColumn="1" w:lastColumn="0" w:noHBand="1" w:noVBand="1"/>
      </w:tblPr>
      <w:tblGrid>
        <w:gridCol w:w="2971"/>
        <w:gridCol w:w="5818"/>
      </w:tblGrid>
      <w:tr w:rsidR="00226C43" w:rsidRPr="00E82648" w14:paraId="70F47BC6" w14:textId="77777777" w:rsidTr="00117212">
        <w:trPr>
          <w:trHeight w:val="20"/>
          <w:tblHeader/>
        </w:trPr>
        <w:tc>
          <w:tcPr>
            <w:tcW w:w="2971" w:type="dxa"/>
            <w:shd w:val="clear" w:color="auto" w:fill="E3DED1" w:themeFill="background2"/>
          </w:tcPr>
          <w:p w14:paraId="01A14888" w14:textId="77777777" w:rsidR="005C45D8" w:rsidRPr="00E82648" w:rsidRDefault="005C45D8" w:rsidP="00E82648">
            <w:pPr>
              <w:pStyle w:val="Tabletext"/>
              <w:spacing w:before="0" w:after="0"/>
              <w:jc w:val="center"/>
              <w:rPr>
                <w:b/>
                <w:bCs/>
                <w:sz w:val="20"/>
                <w:szCs w:val="20"/>
              </w:rPr>
            </w:pPr>
            <w:r w:rsidRPr="00E82648">
              <w:rPr>
                <w:b/>
                <w:bCs/>
                <w:sz w:val="20"/>
                <w:szCs w:val="20"/>
              </w:rPr>
              <w:t>Targeted Partner Organisations</w:t>
            </w:r>
          </w:p>
        </w:tc>
        <w:tc>
          <w:tcPr>
            <w:tcW w:w="5818" w:type="dxa"/>
            <w:shd w:val="clear" w:color="auto" w:fill="E3DED1" w:themeFill="background2"/>
          </w:tcPr>
          <w:p w14:paraId="23683CE2" w14:textId="77777777" w:rsidR="005C45D8" w:rsidRPr="00E82648" w:rsidRDefault="005C45D8" w:rsidP="00E82648">
            <w:pPr>
              <w:pStyle w:val="Tabletext"/>
              <w:spacing w:before="0" w:after="0"/>
              <w:jc w:val="center"/>
              <w:rPr>
                <w:b/>
                <w:bCs/>
                <w:sz w:val="20"/>
                <w:szCs w:val="20"/>
              </w:rPr>
            </w:pPr>
            <w:r w:rsidRPr="00E82648">
              <w:rPr>
                <w:b/>
                <w:bCs/>
                <w:sz w:val="20"/>
                <w:szCs w:val="20"/>
              </w:rPr>
              <w:t>Focus Areas</w:t>
            </w:r>
          </w:p>
        </w:tc>
      </w:tr>
      <w:tr w:rsidR="00226C43" w:rsidRPr="00E82648" w14:paraId="5569BF4D" w14:textId="77777777" w:rsidTr="00F87792">
        <w:trPr>
          <w:trHeight w:val="20"/>
        </w:trPr>
        <w:tc>
          <w:tcPr>
            <w:tcW w:w="2971" w:type="dxa"/>
          </w:tcPr>
          <w:p w14:paraId="6E3D3FD1" w14:textId="77777777" w:rsidR="005C45D8" w:rsidRPr="00E82648" w:rsidRDefault="005C45D8" w:rsidP="000B7356">
            <w:pPr>
              <w:pStyle w:val="Tabletext"/>
              <w:spacing w:before="0" w:after="0"/>
              <w:rPr>
                <w:sz w:val="20"/>
                <w:szCs w:val="20"/>
              </w:rPr>
            </w:pPr>
            <w:r w:rsidRPr="00E82648">
              <w:rPr>
                <w:sz w:val="20"/>
                <w:szCs w:val="20"/>
              </w:rPr>
              <w:t>Civil Service Commission and other Partner Organisations</w:t>
            </w:r>
          </w:p>
        </w:tc>
        <w:tc>
          <w:tcPr>
            <w:tcW w:w="5818" w:type="dxa"/>
          </w:tcPr>
          <w:p w14:paraId="3EC63847" w14:textId="77777777" w:rsidR="005C45D8" w:rsidRPr="00E82648" w:rsidRDefault="005C45D8" w:rsidP="000B7356">
            <w:pPr>
              <w:pStyle w:val="Tabletext"/>
              <w:spacing w:before="0" w:after="0"/>
              <w:rPr>
                <w:sz w:val="20"/>
                <w:szCs w:val="20"/>
              </w:rPr>
            </w:pPr>
            <w:r w:rsidRPr="00E82648">
              <w:rPr>
                <w:sz w:val="20"/>
                <w:szCs w:val="20"/>
              </w:rPr>
              <w:t>PRIME HRM</w:t>
            </w:r>
          </w:p>
        </w:tc>
      </w:tr>
      <w:tr w:rsidR="00226C43" w:rsidRPr="00E82648" w14:paraId="05D59B58" w14:textId="77777777" w:rsidTr="00F87792">
        <w:trPr>
          <w:trHeight w:val="20"/>
        </w:trPr>
        <w:tc>
          <w:tcPr>
            <w:tcW w:w="2971" w:type="dxa"/>
          </w:tcPr>
          <w:p w14:paraId="54DCE010" w14:textId="77777777" w:rsidR="005C45D8" w:rsidRPr="00E82648" w:rsidRDefault="005C45D8" w:rsidP="000B7356">
            <w:pPr>
              <w:pStyle w:val="Tabletext"/>
              <w:spacing w:before="0" w:after="0"/>
              <w:rPr>
                <w:sz w:val="20"/>
                <w:szCs w:val="20"/>
              </w:rPr>
            </w:pPr>
            <w:r w:rsidRPr="00E82648">
              <w:rPr>
                <w:sz w:val="20"/>
                <w:szCs w:val="20"/>
              </w:rPr>
              <w:t>Public Private Partnership Centre</w:t>
            </w:r>
          </w:p>
        </w:tc>
        <w:tc>
          <w:tcPr>
            <w:tcW w:w="5818" w:type="dxa"/>
          </w:tcPr>
          <w:p w14:paraId="388C9FA7" w14:textId="77777777" w:rsidR="005C45D8" w:rsidRPr="00E82648" w:rsidRDefault="005C45D8" w:rsidP="000B7356">
            <w:pPr>
              <w:pStyle w:val="Tabletext"/>
              <w:spacing w:before="0" w:after="0"/>
              <w:rPr>
                <w:sz w:val="20"/>
                <w:szCs w:val="20"/>
              </w:rPr>
            </w:pPr>
            <w:r w:rsidRPr="00E82648">
              <w:rPr>
                <w:sz w:val="20"/>
                <w:szCs w:val="20"/>
              </w:rPr>
              <w:t>LGU Private Partnership</w:t>
            </w:r>
          </w:p>
        </w:tc>
      </w:tr>
      <w:tr w:rsidR="00226C43" w:rsidRPr="00E82648" w14:paraId="4FBED709" w14:textId="77777777" w:rsidTr="00F87792">
        <w:trPr>
          <w:trHeight w:val="20"/>
        </w:trPr>
        <w:tc>
          <w:tcPr>
            <w:tcW w:w="2971" w:type="dxa"/>
          </w:tcPr>
          <w:p w14:paraId="6EB531FE" w14:textId="77777777" w:rsidR="005C45D8" w:rsidRPr="00E82648" w:rsidRDefault="005C45D8" w:rsidP="000B7356">
            <w:pPr>
              <w:pStyle w:val="Tabletext"/>
              <w:spacing w:before="0" w:after="0"/>
              <w:rPr>
                <w:sz w:val="20"/>
                <w:szCs w:val="20"/>
              </w:rPr>
            </w:pPr>
            <w:r w:rsidRPr="00E82648">
              <w:rPr>
                <w:sz w:val="20"/>
                <w:szCs w:val="20"/>
              </w:rPr>
              <w:t>Philippine Competition Commission</w:t>
            </w:r>
          </w:p>
        </w:tc>
        <w:tc>
          <w:tcPr>
            <w:tcW w:w="5818" w:type="dxa"/>
          </w:tcPr>
          <w:p w14:paraId="384BD1DD" w14:textId="77777777" w:rsidR="005C45D8" w:rsidRPr="00E82648" w:rsidRDefault="005C45D8" w:rsidP="000B7356">
            <w:pPr>
              <w:pStyle w:val="Tabletext"/>
              <w:spacing w:before="0" w:after="0"/>
              <w:rPr>
                <w:sz w:val="20"/>
                <w:szCs w:val="20"/>
              </w:rPr>
            </w:pPr>
            <w:r w:rsidRPr="00E82648">
              <w:rPr>
                <w:sz w:val="20"/>
                <w:szCs w:val="20"/>
              </w:rPr>
              <w:t>Competition Law Enforcement, Advocacy, Agency Effectiveness</w:t>
            </w:r>
          </w:p>
        </w:tc>
      </w:tr>
      <w:tr w:rsidR="00226C43" w:rsidRPr="00E82648" w14:paraId="753DCF1A" w14:textId="77777777" w:rsidTr="00F87792">
        <w:trPr>
          <w:trHeight w:val="20"/>
        </w:trPr>
        <w:tc>
          <w:tcPr>
            <w:tcW w:w="2971" w:type="dxa"/>
          </w:tcPr>
          <w:p w14:paraId="674C669C" w14:textId="77777777" w:rsidR="005C45D8" w:rsidRPr="00E82648" w:rsidRDefault="005C45D8" w:rsidP="000B7356">
            <w:pPr>
              <w:pStyle w:val="Tabletext"/>
              <w:spacing w:before="0" w:after="0"/>
              <w:rPr>
                <w:sz w:val="20"/>
                <w:szCs w:val="20"/>
              </w:rPr>
            </w:pPr>
            <w:r w:rsidRPr="00E82648">
              <w:rPr>
                <w:sz w:val="20"/>
                <w:szCs w:val="20"/>
              </w:rPr>
              <w:t>Department of the Interior and Local Government</w:t>
            </w:r>
          </w:p>
        </w:tc>
        <w:tc>
          <w:tcPr>
            <w:tcW w:w="5818" w:type="dxa"/>
          </w:tcPr>
          <w:p w14:paraId="79094F8D" w14:textId="77777777" w:rsidR="005C45D8" w:rsidRPr="00E82648" w:rsidRDefault="005C45D8" w:rsidP="000B7356">
            <w:pPr>
              <w:pStyle w:val="Tabletext"/>
              <w:spacing w:before="0" w:after="0"/>
              <w:rPr>
                <w:sz w:val="20"/>
                <w:szCs w:val="20"/>
              </w:rPr>
            </w:pPr>
            <w:r w:rsidRPr="00E82648">
              <w:rPr>
                <w:sz w:val="20"/>
                <w:szCs w:val="20"/>
              </w:rPr>
              <w:t>DRRM, Peace and Conflict</w:t>
            </w:r>
          </w:p>
        </w:tc>
      </w:tr>
      <w:tr w:rsidR="00226C43" w:rsidRPr="00E82648" w14:paraId="36072B34" w14:textId="77777777" w:rsidTr="00F87792">
        <w:trPr>
          <w:trHeight w:val="20"/>
        </w:trPr>
        <w:tc>
          <w:tcPr>
            <w:tcW w:w="2971" w:type="dxa"/>
          </w:tcPr>
          <w:p w14:paraId="5F3F1473" w14:textId="77777777" w:rsidR="005C45D8" w:rsidRPr="00E82648" w:rsidRDefault="005C45D8" w:rsidP="000B7356">
            <w:pPr>
              <w:pStyle w:val="Tabletext"/>
              <w:spacing w:before="0" w:after="0"/>
              <w:rPr>
                <w:sz w:val="20"/>
                <w:szCs w:val="20"/>
              </w:rPr>
            </w:pPr>
            <w:r w:rsidRPr="00E82648">
              <w:rPr>
                <w:sz w:val="20"/>
                <w:szCs w:val="20"/>
              </w:rPr>
              <w:t>Department of Public Works and Highways</w:t>
            </w:r>
          </w:p>
        </w:tc>
        <w:tc>
          <w:tcPr>
            <w:tcW w:w="5818" w:type="dxa"/>
          </w:tcPr>
          <w:p w14:paraId="1200714C" w14:textId="77777777" w:rsidR="005C45D8" w:rsidRPr="00E82648" w:rsidRDefault="005C45D8" w:rsidP="000B7356">
            <w:pPr>
              <w:pStyle w:val="Tabletext"/>
              <w:spacing w:before="0" w:after="0"/>
              <w:rPr>
                <w:sz w:val="20"/>
                <w:szCs w:val="20"/>
              </w:rPr>
            </w:pPr>
            <w:r w:rsidRPr="00E82648">
              <w:rPr>
                <w:sz w:val="20"/>
                <w:szCs w:val="20"/>
              </w:rPr>
              <w:t>Infrastructure Planning &amp; Implementation; and Procurement</w:t>
            </w:r>
          </w:p>
        </w:tc>
      </w:tr>
      <w:tr w:rsidR="00226C43" w:rsidRPr="00E82648" w14:paraId="77F5E34A" w14:textId="77777777" w:rsidTr="00F87792">
        <w:trPr>
          <w:trHeight w:val="20"/>
        </w:trPr>
        <w:tc>
          <w:tcPr>
            <w:tcW w:w="2971" w:type="dxa"/>
          </w:tcPr>
          <w:p w14:paraId="4C114561" w14:textId="77777777" w:rsidR="005C45D8" w:rsidRPr="00E82648" w:rsidRDefault="005C45D8" w:rsidP="000B7356">
            <w:pPr>
              <w:pStyle w:val="Tabletext"/>
              <w:spacing w:before="0" w:after="0"/>
              <w:rPr>
                <w:sz w:val="20"/>
                <w:szCs w:val="20"/>
              </w:rPr>
            </w:pPr>
            <w:r w:rsidRPr="00E82648">
              <w:rPr>
                <w:sz w:val="20"/>
                <w:szCs w:val="20"/>
              </w:rPr>
              <w:t>Department of Trade and Industry</w:t>
            </w:r>
          </w:p>
        </w:tc>
        <w:tc>
          <w:tcPr>
            <w:tcW w:w="5818" w:type="dxa"/>
          </w:tcPr>
          <w:p w14:paraId="4D9F6BC2" w14:textId="77777777" w:rsidR="005C45D8" w:rsidRPr="00E82648" w:rsidRDefault="005C45D8" w:rsidP="000B7356">
            <w:pPr>
              <w:pStyle w:val="Tabletext"/>
              <w:spacing w:before="0" w:after="0"/>
              <w:rPr>
                <w:sz w:val="20"/>
                <w:szCs w:val="20"/>
              </w:rPr>
            </w:pPr>
            <w:r w:rsidRPr="00E82648">
              <w:rPr>
                <w:sz w:val="20"/>
                <w:szCs w:val="20"/>
              </w:rPr>
              <w:t>Trade &amp; Investments: regulatory reforms, and improving the business environment</w:t>
            </w:r>
          </w:p>
        </w:tc>
      </w:tr>
      <w:tr w:rsidR="00226C43" w:rsidRPr="00E82648" w14:paraId="33FE7CCF" w14:textId="77777777" w:rsidTr="00F87792">
        <w:trPr>
          <w:trHeight w:val="20"/>
        </w:trPr>
        <w:tc>
          <w:tcPr>
            <w:tcW w:w="2971" w:type="dxa"/>
          </w:tcPr>
          <w:p w14:paraId="2F1D8AB7" w14:textId="77777777" w:rsidR="005C45D8" w:rsidRPr="00E82648" w:rsidRDefault="005C45D8" w:rsidP="000B7356">
            <w:pPr>
              <w:pStyle w:val="Tabletext"/>
              <w:spacing w:before="0" w:after="0"/>
              <w:rPr>
                <w:sz w:val="20"/>
                <w:szCs w:val="20"/>
              </w:rPr>
            </w:pPr>
            <w:r w:rsidRPr="00E82648">
              <w:rPr>
                <w:sz w:val="20"/>
                <w:szCs w:val="20"/>
              </w:rPr>
              <w:t>National Economic and Development Authority</w:t>
            </w:r>
          </w:p>
        </w:tc>
        <w:tc>
          <w:tcPr>
            <w:tcW w:w="5818" w:type="dxa"/>
          </w:tcPr>
          <w:p w14:paraId="1B5F59A3" w14:textId="77777777" w:rsidR="005C45D8" w:rsidRPr="00E82648" w:rsidRDefault="005C45D8" w:rsidP="000B7356">
            <w:pPr>
              <w:pStyle w:val="Tabletext"/>
              <w:spacing w:before="0" w:after="0"/>
              <w:rPr>
                <w:sz w:val="20"/>
                <w:szCs w:val="20"/>
              </w:rPr>
            </w:pPr>
            <w:r w:rsidRPr="00E82648">
              <w:rPr>
                <w:sz w:val="20"/>
                <w:szCs w:val="20"/>
              </w:rPr>
              <w:t>Infrastructure Planning and Management</w:t>
            </w:r>
          </w:p>
        </w:tc>
      </w:tr>
      <w:tr w:rsidR="00226C43" w:rsidRPr="00E82648" w14:paraId="2C4C9352" w14:textId="77777777" w:rsidTr="00F87792">
        <w:trPr>
          <w:trHeight w:val="20"/>
        </w:trPr>
        <w:tc>
          <w:tcPr>
            <w:tcW w:w="2971" w:type="dxa"/>
          </w:tcPr>
          <w:p w14:paraId="4506ECB0" w14:textId="77777777" w:rsidR="005C45D8" w:rsidRPr="00E82648" w:rsidRDefault="005C45D8" w:rsidP="000B7356">
            <w:pPr>
              <w:pStyle w:val="Tabletext"/>
              <w:spacing w:before="0" w:after="0"/>
              <w:rPr>
                <w:sz w:val="20"/>
                <w:szCs w:val="20"/>
              </w:rPr>
            </w:pPr>
            <w:r w:rsidRPr="00E82648">
              <w:rPr>
                <w:sz w:val="20"/>
                <w:szCs w:val="20"/>
              </w:rPr>
              <w:t xml:space="preserve">Department of Social Welfare and Development </w:t>
            </w:r>
          </w:p>
        </w:tc>
        <w:tc>
          <w:tcPr>
            <w:tcW w:w="5818" w:type="dxa"/>
          </w:tcPr>
          <w:p w14:paraId="35B2ED76" w14:textId="77777777" w:rsidR="005C45D8" w:rsidRPr="00E82648" w:rsidRDefault="005C45D8" w:rsidP="000B7356">
            <w:pPr>
              <w:pStyle w:val="Tabletext"/>
              <w:spacing w:before="0" w:after="0"/>
              <w:rPr>
                <w:sz w:val="20"/>
                <w:szCs w:val="20"/>
              </w:rPr>
            </w:pPr>
            <w:r w:rsidRPr="00E82648">
              <w:rPr>
                <w:sz w:val="20"/>
                <w:szCs w:val="20"/>
              </w:rPr>
              <w:t>Disaster Risk and Resiliency Management (DRRM); Social Policy and Protection, including Child Protection</w:t>
            </w:r>
          </w:p>
        </w:tc>
      </w:tr>
      <w:tr w:rsidR="00226C43" w:rsidRPr="00E82648" w14:paraId="5CF4A534" w14:textId="77777777" w:rsidTr="00F87792">
        <w:trPr>
          <w:trHeight w:val="20"/>
        </w:trPr>
        <w:tc>
          <w:tcPr>
            <w:tcW w:w="2971" w:type="dxa"/>
          </w:tcPr>
          <w:p w14:paraId="10BC8742" w14:textId="77777777" w:rsidR="005C45D8" w:rsidRPr="00E82648" w:rsidRDefault="005C45D8" w:rsidP="000B7356">
            <w:pPr>
              <w:pStyle w:val="Tabletext"/>
              <w:spacing w:before="0" w:after="0"/>
              <w:rPr>
                <w:sz w:val="20"/>
                <w:szCs w:val="20"/>
              </w:rPr>
            </w:pPr>
            <w:r w:rsidRPr="00E82648">
              <w:rPr>
                <w:sz w:val="20"/>
                <w:szCs w:val="20"/>
              </w:rPr>
              <w:t>Department of Budget and Management</w:t>
            </w:r>
          </w:p>
        </w:tc>
        <w:tc>
          <w:tcPr>
            <w:tcW w:w="5818" w:type="dxa"/>
          </w:tcPr>
          <w:p w14:paraId="2B9DB9FB" w14:textId="77777777" w:rsidR="005C45D8" w:rsidRPr="00E82648" w:rsidRDefault="005C45D8" w:rsidP="000B7356">
            <w:pPr>
              <w:pStyle w:val="Tabletext"/>
              <w:spacing w:before="0" w:after="0"/>
              <w:rPr>
                <w:sz w:val="20"/>
                <w:szCs w:val="20"/>
              </w:rPr>
            </w:pPr>
            <w:r w:rsidRPr="00E82648">
              <w:rPr>
                <w:sz w:val="20"/>
                <w:szCs w:val="20"/>
              </w:rPr>
              <w:t>Public Financial Management</w:t>
            </w:r>
          </w:p>
        </w:tc>
      </w:tr>
      <w:tr w:rsidR="00226C43" w:rsidRPr="00E82648" w14:paraId="322AC544" w14:textId="77777777" w:rsidTr="00F87792">
        <w:trPr>
          <w:trHeight w:val="20"/>
        </w:trPr>
        <w:tc>
          <w:tcPr>
            <w:tcW w:w="2971" w:type="dxa"/>
          </w:tcPr>
          <w:p w14:paraId="30729F9F" w14:textId="77777777" w:rsidR="005C45D8" w:rsidRPr="00E82648" w:rsidRDefault="005C45D8" w:rsidP="000B7356">
            <w:pPr>
              <w:pStyle w:val="Tabletext"/>
              <w:spacing w:before="0" w:after="0"/>
              <w:rPr>
                <w:sz w:val="20"/>
                <w:szCs w:val="20"/>
              </w:rPr>
            </w:pPr>
            <w:r w:rsidRPr="00E82648">
              <w:rPr>
                <w:sz w:val="20"/>
                <w:szCs w:val="20"/>
              </w:rPr>
              <w:t>Department of Transport</w:t>
            </w:r>
          </w:p>
        </w:tc>
        <w:tc>
          <w:tcPr>
            <w:tcW w:w="5818" w:type="dxa"/>
          </w:tcPr>
          <w:p w14:paraId="38626789" w14:textId="77777777" w:rsidR="005C45D8" w:rsidRPr="00E82648" w:rsidRDefault="005C45D8" w:rsidP="000B7356">
            <w:pPr>
              <w:pStyle w:val="Tabletext"/>
              <w:spacing w:before="0" w:after="0"/>
              <w:rPr>
                <w:sz w:val="20"/>
                <w:szCs w:val="20"/>
              </w:rPr>
            </w:pPr>
            <w:r w:rsidRPr="00E82648">
              <w:rPr>
                <w:sz w:val="20"/>
                <w:szCs w:val="20"/>
              </w:rPr>
              <w:t>Railway Management, Financial Management, ICT and HR</w:t>
            </w:r>
          </w:p>
        </w:tc>
      </w:tr>
      <w:tr w:rsidR="00226C43" w:rsidRPr="00E82648" w14:paraId="723A66C6" w14:textId="77777777" w:rsidTr="00F87792">
        <w:trPr>
          <w:trHeight w:val="20"/>
        </w:trPr>
        <w:tc>
          <w:tcPr>
            <w:tcW w:w="2971" w:type="dxa"/>
          </w:tcPr>
          <w:p w14:paraId="2DDE9B05" w14:textId="77777777" w:rsidR="005C45D8" w:rsidRPr="00E82648" w:rsidRDefault="005C45D8" w:rsidP="000B7356">
            <w:pPr>
              <w:pStyle w:val="Tabletext"/>
              <w:spacing w:before="0" w:after="0"/>
              <w:rPr>
                <w:sz w:val="20"/>
                <w:szCs w:val="20"/>
              </w:rPr>
            </w:pPr>
            <w:r w:rsidRPr="00E82648">
              <w:rPr>
                <w:sz w:val="20"/>
                <w:szCs w:val="20"/>
              </w:rPr>
              <w:t>Department of Foreign Affairs</w:t>
            </w:r>
          </w:p>
        </w:tc>
        <w:tc>
          <w:tcPr>
            <w:tcW w:w="5818" w:type="dxa"/>
          </w:tcPr>
          <w:p w14:paraId="4FEDD613" w14:textId="77777777" w:rsidR="005C45D8" w:rsidRPr="00E82648" w:rsidRDefault="005C45D8" w:rsidP="000B7356">
            <w:pPr>
              <w:pStyle w:val="Tabletext"/>
              <w:spacing w:before="0" w:after="0"/>
              <w:rPr>
                <w:sz w:val="20"/>
                <w:szCs w:val="20"/>
              </w:rPr>
            </w:pPr>
            <w:r w:rsidRPr="00E82648">
              <w:rPr>
                <w:sz w:val="20"/>
                <w:szCs w:val="20"/>
              </w:rPr>
              <w:t>Foreign Policy, Regional Security and the Indo-Pacific, International Law, particularly Law of the Sea, Strategy and Foreign Policy Making, and Diplomatic Tradecraft</w:t>
            </w:r>
          </w:p>
        </w:tc>
      </w:tr>
    </w:tbl>
    <w:p w14:paraId="4585ABE5" w14:textId="77777777" w:rsidR="005C45D8" w:rsidRPr="00226C43" w:rsidRDefault="005C45D8" w:rsidP="005C45D8">
      <w:pPr>
        <w:suppressAutoHyphens w:val="0"/>
        <w:spacing w:after="0"/>
      </w:pPr>
    </w:p>
    <w:p w14:paraId="342054AC" w14:textId="76D8EB00" w:rsidR="005C45D8" w:rsidRPr="00226C43" w:rsidRDefault="005C45D8" w:rsidP="005C45D8">
      <w:r w:rsidRPr="00226C43">
        <w:t>The program also delivered Embassy-led, ad hoc assistance to non-partner agencies, e.g. on the Law of the Sea short course for agencies with responsibility in the area, and the Davao City Government Benchmarking Study on Effective Transportation and Traffic Management Systems in Australia</w:t>
      </w:r>
      <w:r w:rsidRPr="00226C43">
        <w:rPr>
          <w:vertAlign w:val="superscript"/>
        </w:rPr>
        <w:footnoteReference w:id="10"/>
      </w:r>
      <w:r w:rsidRPr="00226C43">
        <w:t xml:space="preserve"> (see more on ad hoc activities later).</w:t>
      </w:r>
    </w:p>
    <w:p w14:paraId="575D1436" w14:textId="27AE5EDD" w:rsidR="005C45D8" w:rsidRPr="00226C43" w:rsidRDefault="0064432C" w:rsidP="005C45D8">
      <w:r w:rsidRPr="00226C43">
        <w:t>AAAEP–</w:t>
      </w:r>
      <w:r w:rsidR="005C45D8" w:rsidRPr="00226C43">
        <w:t xml:space="preserve">P implemented a comprehensive </w:t>
      </w:r>
      <w:r w:rsidR="005C45D8" w:rsidRPr="00226C43">
        <w:rPr>
          <w:i/>
          <w:iCs/>
        </w:rPr>
        <w:t>Communications and Public Diplomacy Strategy</w:t>
      </w:r>
      <w:r w:rsidR="005C45D8" w:rsidRPr="00226C43">
        <w:t>, with tailored strategies, tactics and outputs targeting audiences and leveraging strengths. For example, the program drew on its existing strong relationships developed under the previous program ‘</w:t>
      </w:r>
      <w:r w:rsidR="005C45D8" w:rsidRPr="00226C43">
        <w:rPr>
          <w:i/>
          <w:iCs/>
        </w:rPr>
        <w:t>Philippines-Australia Human Resource and Organisational Development Facility</w:t>
      </w:r>
      <w:r w:rsidR="005C45D8" w:rsidRPr="00226C43">
        <w:t>’ (PAHRODF) and the high website traffic of the Embassy’s website to target GPH stakeholders, prospective applicants, and AA alumni by regularly producing stories on AA, by promoting AA as an influential network, including by using case studies, video documentaries, and through AA Philippines Facebook</w:t>
      </w:r>
      <w:r w:rsidR="005C45D8" w:rsidRPr="00226C43">
        <w:rPr>
          <w:rStyle w:val="FootnoteReference"/>
        </w:rPr>
        <w:footnoteReference w:id="11"/>
      </w:r>
      <w:r w:rsidR="00C2263B" w:rsidRPr="00226C43">
        <w:t>.</w:t>
      </w:r>
      <w:r w:rsidR="005C45D8" w:rsidRPr="00226C43">
        <w:rPr>
          <w:rStyle w:val="FootnoteReference"/>
        </w:rPr>
        <w:t>.</w:t>
      </w:r>
    </w:p>
    <w:p w14:paraId="28DD51A2" w14:textId="0AE67C0F" w:rsidR="005C45D8" w:rsidRPr="00226C43" w:rsidRDefault="005C45D8" w:rsidP="005C45D8">
      <w:pPr>
        <w:rPr>
          <w:highlight w:val="yellow"/>
        </w:rPr>
      </w:pPr>
      <w:r w:rsidRPr="00226C43">
        <w:t>Governance arrangements were designed to be highly relevant for partner GPH agencies for the competency-focused elements, but less relevant for DFAT-sponsored ad hoc/emerging priorities. Although the program ran an active alumni engagement component, the program was less relevant for privately funded alumni.</w:t>
      </w:r>
      <w:r w:rsidR="0078429F" w:rsidRPr="00226C43">
        <w:t xml:space="preserve"> </w:t>
      </w:r>
      <w:r w:rsidRPr="00226C43">
        <w:t xml:space="preserve">The lack of information about privately funded alumni frustrates the program’s efforts to engage </w:t>
      </w:r>
      <w:r w:rsidRPr="00226C43">
        <w:lastRenderedPageBreak/>
        <w:t xml:space="preserve">them effectively, leading to their inclusion on an </w:t>
      </w:r>
      <w:r w:rsidRPr="00226C43">
        <w:rPr>
          <w:i/>
          <w:iCs/>
        </w:rPr>
        <w:t>ad hoc</w:t>
      </w:r>
      <w:r w:rsidRPr="00226C43">
        <w:t xml:space="preserve"> basis.</w:t>
      </w:r>
      <w:r w:rsidR="0078429F" w:rsidRPr="00226C43">
        <w:t xml:space="preserve"> </w:t>
      </w:r>
      <w:r w:rsidRPr="00226C43">
        <w:t xml:space="preserve">Similarly, there is currently no clear link between </w:t>
      </w:r>
      <w:r w:rsidR="0064432C" w:rsidRPr="00226C43">
        <w:t>AAAEP–P</w:t>
      </w:r>
      <w:r w:rsidRPr="00226C43">
        <w:t xml:space="preserve"> and Australian Transnational Education (TNE) service providers.</w:t>
      </w:r>
      <w:r w:rsidR="0078429F" w:rsidRPr="00226C43">
        <w:t xml:space="preserve"> </w:t>
      </w:r>
      <w:r w:rsidRPr="00226C43">
        <w:t>Opportunities may exist to work in collaboration with Australian TNE providers to deliver scholarship offerings delivered in a hybrid mode.</w:t>
      </w:r>
      <w:r w:rsidR="0078429F" w:rsidRPr="00226C43">
        <w:t xml:space="preserve"> </w:t>
      </w:r>
      <w:r w:rsidRPr="00226C43">
        <w:t>This would require fostering partnerships between Australian and Philippine universities who can develop and market these offerings.</w:t>
      </w:r>
      <w:r w:rsidR="0078429F" w:rsidRPr="00226C43">
        <w:t xml:space="preserve"> </w:t>
      </w:r>
      <w:r w:rsidRPr="00226C43">
        <w:t>Given that the Philippines’ National Economic and Development Authority expects the Philippines to reach upper middle-income status by 2025</w:t>
      </w:r>
      <w:r w:rsidRPr="00226C43">
        <w:rPr>
          <w:rStyle w:val="FootnoteReference"/>
        </w:rPr>
        <w:footnoteReference w:id="12"/>
      </w:r>
      <w:r w:rsidRPr="00226C43">
        <w:t xml:space="preserve">, there may be viable commercial models which could serve both privately funded scholars, as well as realise cost efficiencies for </w:t>
      </w:r>
      <w:r w:rsidR="0064432C" w:rsidRPr="00226C43">
        <w:t>AAAEP–P</w:t>
      </w:r>
      <w:r w:rsidRPr="00226C43">
        <w:t xml:space="preserve"> scholarships.</w:t>
      </w:r>
    </w:p>
    <w:p w14:paraId="52D84E4E" w14:textId="2B5F0E83" w:rsidR="009C5A17" w:rsidRPr="00226C43" w:rsidRDefault="00131B07" w:rsidP="00BF0FC1">
      <w:pPr>
        <w:pStyle w:val="Heading5"/>
        <w:rPr>
          <w:rFonts w:asciiTheme="minorHAnsi" w:hAnsiTheme="minorHAnsi"/>
          <w:color w:val="auto"/>
        </w:rPr>
      </w:pPr>
      <w:r w:rsidRPr="00226C43">
        <w:rPr>
          <w:rFonts w:asciiTheme="minorHAnsi" w:hAnsiTheme="minorHAnsi"/>
          <w:color w:val="auto"/>
        </w:rPr>
        <w:t>1.3</w:t>
      </w:r>
      <w:r w:rsidR="009C5A17" w:rsidRPr="00226C43">
        <w:rPr>
          <w:rFonts w:asciiTheme="minorHAnsi" w:hAnsiTheme="minorHAnsi"/>
          <w:color w:val="auto"/>
        </w:rPr>
        <w:t xml:space="preserve"> To what extend is </w:t>
      </w:r>
      <w:r w:rsidR="0064432C" w:rsidRPr="00226C43">
        <w:rPr>
          <w:rFonts w:asciiTheme="minorHAnsi" w:hAnsiTheme="minorHAnsi"/>
          <w:color w:val="auto"/>
        </w:rPr>
        <w:t>AAAEP–P</w:t>
      </w:r>
      <w:r w:rsidR="009C5A17" w:rsidRPr="00226C43">
        <w:rPr>
          <w:rFonts w:asciiTheme="minorHAnsi" w:hAnsiTheme="minorHAnsi"/>
          <w:color w:val="auto"/>
        </w:rPr>
        <w:t xml:space="preserve"> consistent with Australian development policies, including but not limited to GEDSI?</w:t>
      </w:r>
    </w:p>
    <w:p w14:paraId="71B2FCAA" w14:textId="4231BF3F" w:rsidR="0076454A" w:rsidRPr="00226C43" w:rsidRDefault="002D5AF5" w:rsidP="002D5AF5">
      <w:r w:rsidRPr="00226C43">
        <w:t xml:space="preserve">AAAEP–P was a higher education scholarships program, focused on developing competencies (individual and organisational) and supporting alumni engagement activities to contribute to the GPH’s sustainable development priorities. </w:t>
      </w:r>
      <w:r w:rsidR="4DD21A85" w:rsidRPr="00226C43">
        <w:t>The program was highly aligned with Global AA Framework, Australian International Development policy</w:t>
      </w:r>
      <w:r w:rsidR="000B603B" w:rsidRPr="00226C43">
        <w:t xml:space="preserve">, the </w:t>
      </w:r>
      <w:r w:rsidR="4DD21A85" w:rsidRPr="00226C43">
        <w:t>Southeast Asian Economic Strategy</w:t>
      </w:r>
      <w:r w:rsidR="000B603B" w:rsidRPr="00226C43">
        <w:t>, and with the DPP</w:t>
      </w:r>
      <w:r w:rsidR="005D5168" w:rsidRPr="00226C43">
        <w:t xml:space="preserve"> for the Philippines</w:t>
      </w:r>
      <w:r w:rsidR="005D5168" w:rsidRPr="00226C43">
        <w:rPr>
          <w:rStyle w:val="FootnoteReference"/>
        </w:rPr>
        <w:footnoteReference w:id="13"/>
      </w:r>
      <w:r w:rsidR="4DD21A85" w:rsidRPr="00226C43">
        <w:t>.</w:t>
      </w:r>
      <w:r w:rsidR="0078429F" w:rsidRPr="00226C43">
        <w:t xml:space="preserve"> </w:t>
      </w:r>
      <w:r w:rsidR="4DD21A85" w:rsidRPr="00226C43">
        <w:t xml:space="preserve">The investment was highly relevant to both Australia’s and </w:t>
      </w:r>
      <w:r w:rsidR="006D4798" w:rsidRPr="00226C43">
        <w:t xml:space="preserve">the GPH’s </w:t>
      </w:r>
      <w:r w:rsidR="4DD21A85" w:rsidRPr="00226C43">
        <w:t>development objectives</w:t>
      </w:r>
      <w:r w:rsidR="00571E6C" w:rsidRPr="00226C43">
        <w:t xml:space="preserve"> and the strategic partnership</w:t>
      </w:r>
      <w:r w:rsidR="4DD21A85" w:rsidRPr="00226C43">
        <w:t xml:space="preserve">, focusing on key areas such as sustainable development, education, governance, and gender equality. </w:t>
      </w:r>
    </w:p>
    <w:p w14:paraId="1C4259B4" w14:textId="4277D18A" w:rsidR="0076454A" w:rsidRPr="00226C43" w:rsidRDefault="00EF703E" w:rsidP="4DD21A85">
      <w:pPr>
        <w:pStyle w:val="Quote"/>
        <w:rPr>
          <w:color w:val="auto"/>
          <w:sz w:val="24"/>
        </w:rPr>
      </w:pPr>
      <w:r w:rsidRPr="00226C43">
        <w:rPr>
          <w:color w:val="auto"/>
        </w:rPr>
        <w:t>‘</w:t>
      </w:r>
      <w:r w:rsidR="4DD21A85" w:rsidRPr="00226C43">
        <w:rPr>
          <w:color w:val="auto"/>
        </w:rPr>
        <w:t>If I were to give a percentage, I would say 100% relevance, because the facility ensures that the re-entry action plans and the degree align to the agenda, such as education and human resource development.</w:t>
      </w:r>
      <w:r w:rsidRPr="00226C43">
        <w:rPr>
          <w:color w:val="auto"/>
        </w:rPr>
        <w:t>’</w:t>
      </w:r>
      <w:r w:rsidR="4DD21A85" w:rsidRPr="00226C43">
        <w:rPr>
          <w:color w:val="auto"/>
        </w:rPr>
        <w:t xml:space="preserve"> </w:t>
      </w:r>
      <w:r w:rsidR="006C0493" w:rsidRPr="00226C43">
        <w:rPr>
          <w:color w:val="auto"/>
        </w:rPr>
        <w:t>R2</w:t>
      </w:r>
      <w:r w:rsidR="00946022" w:rsidRPr="00226C43">
        <w:rPr>
          <w:color w:val="auto"/>
        </w:rPr>
        <w:t>.</w:t>
      </w:r>
    </w:p>
    <w:p w14:paraId="272B01A1" w14:textId="1D0AFACE" w:rsidR="00685877" w:rsidRPr="00226C43" w:rsidRDefault="4DD21A85" w:rsidP="4DD21A85">
      <w:pPr>
        <w:spacing w:line="259" w:lineRule="auto"/>
      </w:pPr>
      <w:r w:rsidRPr="00226C43">
        <w:t>Alumni engagement was highly relevant to both governments’ priorities. Active alumni engagement on a range of subject matters and CoPs supported networking and engagement opportunities for the Embassy.</w:t>
      </w:r>
    </w:p>
    <w:p w14:paraId="2DEDE2BC" w14:textId="44A35F4E" w:rsidR="000B7356" w:rsidRPr="00226C43" w:rsidRDefault="002D5AF5" w:rsidP="002D5AF5">
      <w:pPr>
        <w:pStyle w:val="Quote"/>
        <w:rPr>
          <w:color w:val="auto"/>
        </w:rPr>
      </w:pPr>
      <w:r w:rsidRPr="00226C43">
        <w:rPr>
          <w:color w:val="auto"/>
        </w:rPr>
        <w:t>“‘The program gave us a good networking activity among civil servants, which allowed us to share concrete examples from our experiences, leading to fruitful discussions and friendships beyond the program.’</w:t>
      </w:r>
      <w:r w:rsidR="002F2D1C" w:rsidRPr="00226C43">
        <w:rPr>
          <w:color w:val="auto"/>
        </w:rPr>
        <w:t>R3</w:t>
      </w:r>
      <w:r w:rsidR="00946022" w:rsidRPr="00226C43">
        <w:rPr>
          <w:color w:val="auto"/>
        </w:rPr>
        <w:t>.</w:t>
      </w:r>
    </w:p>
    <w:p w14:paraId="005B7F5E" w14:textId="70914011" w:rsidR="0077217B" w:rsidRPr="0077217B" w:rsidRDefault="005D760B" w:rsidP="0077217B">
      <w:pPr>
        <w:pStyle w:val="Heading5"/>
        <w:rPr>
          <w:rFonts w:asciiTheme="minorHAnsi" w:hAnsiTheme="minorHAnsi"/>
          <w:color w:val="auto"/>
        </w:rPr>
      </w:pPr>
      <w:r w:rsidRPr="00226C43">
        <w:rPr>
          <w:rFonts w:asciiTheme="minorHAnsi" w:hAnsiTheme="minorHAnsi"/>
          <w:color w:val="auto"/>
        </w:rPr>
        <w:t>Stakeholders’ perceptions</w:t>
      </w:r>
    </w:p>
    <w:p w14:paraId="7B6046F7" w14:textId="1082AE0A" w:rsidR="0077217B" w:rsidRPr="0077217B" w:rsidRDefault="0077217B" w:rsidP="0077217B">
      <w:pPr>
        <w:pBdr>
          <w:top w:val="single" w:sz="4" w:space="1" w:color="auto"/>
          <w:left w:val="single" w:sz="4" w:space="4" w:color="auto"/>
          <w:bottom w:val="single" w:sz="4" w:space="1" w:color="auto"/>
          <w:right w:val="single" w:sz="4" w:space="4" w:color="auto"/>
        </w:pBdr>
        <w:shd w:val="clear" w:color="auto" w:fill="E9F5D2" w:themeFill="accent2" w:themeFillTint="33"/>
        <w:spacing w:after="0"/>
        <w:rPr>
          <w:b/>
          <w:bCs/>
          <w:sz w:val="20"/>
          <w:szCs w:val="20"/>
        </w:rPr>
      </w:pPr>
      <w:r w:rsidRPr="0077217B">
        <w:rPr>
          <w:b/>
          <w:bCs/>
          <w:sz w:val="20"/>
          <w:szCs w:val="20"/>
        </w:rPr>
        <w:t>What do the alumni think about AAAEP–P’s relevance?</w:t>
      </w:r>
    </w:p>
    <w:p w14:paraId="2FBFDB14" w14:textId="378F59CF" w:rsidR="0077217B" w:rsidRDefault="0077217B" w:rsidP="0077217B">
      <w:pPr>
        <w:pBdr>
          <w:top w:val="single" w:sz="4" w:space="1" w:color="auto"/>
          <w:left w:val="single" w:sz="4" w:space="4" w:color="auto"/>
          <w:bottom w:val="single" w:sz="4" w:space="1" w:color="auto"/>
          <w:right w:val="single" w:sz="4" w:space="4" w:color="auto"/>
        </w:pBdr>
        <w:shd w:val="clear" w:color="auto" w:fill="E9F5D2" w:themeFill="accent2" w:themeFillTint="33"/>
        <w:spacing w:after="0"/>
        <w:rPr>
          <w:sz w:val="20"/>
          <w:szCs w:val="20"/>
        </w:rPr>
      </w:pPr>
      <w:r w:rsidRPr="0077217B">
        <w:rPr>
          <w:sz w:val="20"/>
          <w:szCs w:val="20"/>
        </w:rPr>
        <w:t>The key themes that interviewees spoke about regarding the relevance of the program highlighted its strong alignment with both institutional and national priorities, and its effective support to the strategic goals of partner organisations and GPH. Many participants discussed how the program provided targeted training, scholarships, and short courses specifically designed to address their professional roles, enabling them to tackle critical gaps in areas such as governance, climate change, health, and education. Interviewees emphasised the program’s practical application of learnings, particularly through REAPs that have led to systemic improvements. Alumni also noted the program’s alignment with Australia's and Philippines' broader development strategies, underscoring its dual role in advancing development and diplomacy while equipping participants with the skills needed to address diverse sectoral and community needs. Detailed quotes from KIIs on relevance are set out in Appendix G.</w:t>
      </w:r>
    </w:p>
    <w:p w14:paraId="1C6958DC" w14:textId="77777777" w:rsidR="0077217B" w:rsidRPr="0077217B" w:rsidRDefault="0077217B" w:rsidP="0077217B">
      <w:pPr>
        <w:spacing w:after="0"/>
        <w:rPr>
          <w:sz w:val="20"/>
          <w:szCs w:val="20"/>
          <w:highlight w:val="yellow"/>
        </w:rPr>
      </w:pPr>
    </w:p>
    <w:p w14:paraId="465F876B" w14:textId="60D8E6C2" w:rsidR="009364B3" w:rsidRPr="00226C43" w:rsidRDefault="00131B07" w:rsidP="00DD78B8">
      <w:pPr>
        <w:pStyle w:val="Heading5"/>
        <w:spacing w:before="0"/>
        <w:rPr>
          <w:rFonts w:asciiTheme="minorHAnsi" w:hAnsiTheme="minorHAnsi"/>
          <w:color w:val="auto"/>
          <w:highlight w:val="yellow"/>
        </w:rPr>
      </w:pPr>
      <w:r w:rsidRPr="00226C43">
        <w:rPr>
          <w:rFonts w:asciiTheme="minorHAnsi" w:hAnsiTheme="minorHAnsi"/>
          <w:color w:val="auto"/>
        </w:rPr>
        <w:t xml:space="preserve">1.4 </w:t>
      </w:r>
      <w:r w:rsidR="4DD21A85" w:rsidRPr="00226C43">
        <w:rPr>
          <w:rFonts w:asciiTheme="minorHAnsi" w:hAnsiTheme="minorHAnsi"/>
          <w:color w:val="auto"/>
        </w:rPr>
        <w:t>To what extent do AAAEP–P's GEDSI priorities align with and support GPH priorities?</w:t>
      </w:r>
    </w:p>
    <w:p w14:paraId="4020224E" w14:textId="286C9649" w:rsidR="009364B3" w:rsidRPr="00226C43" w:rsidRDefault="4DD21A85" w:rsidP="001E1D20">
      <w:pPr>
        <w:spacing w:after="120"/>
      </w:pPr>
      <w:r w:rsidRPr="00226C43">
        <w:t>The program strongly supported not only GPH’s GAD objectives but also the greater capacity enhancement and knowledge building of persons with disabilities as well as talents from indigenous groups and communities.</w:t>
      </w:r>
    </w:p>
    <w:p w14:paraId="64934D12" w14:textId="3E991328" w:rsidR="002C6843" w:rsidRPr="00226C43" w:rsidRDefault="4DD21A85" w:rsidP="4DD21A85">
      <w:r w:rsidRPr="00226C43">
        <w:t>The consistent integration of a GEDSI module either as part of a pre-departure briefing or core course content</w:t>
      </w:r>
      <w:r w:rsidR="0063294E" w:rsidRPr="00226C43">
        <w:t xml:space="preserve"> (e.g., for short courses)</w:t>
      </w:r>
      <w:r w:rsidRPr="00226C43">
        <w:t xml:space="preserve"> facilitated the </w:t>
      </w:r>
      <w:r w:rsidR="00880C92" w:rsidRPr="00226C43">
        <w:t xml:space="preserve">scholars’ </w:t>
      </w:r>
      <w:r w:rsidRPr="00226C43">
        <w:t>reflection</w:t>
      </w:r>
      <w:r w:rsidR="00880C92" w:rsidRPr="00226C43">
        <w:t xml:space="preserve"> on GEDSI when</w:t>
      </w:r>
      <w:r w:rsidRPr="00226C43">
        <w:t xml:space="preserve"> designing their REAPs.</w:t>
      </w:r>
      <w:r w:rsidR="0044127F" w:rsidRPr="00226C43">
        <w:t xml:space="preserve"> The program also complemented the REAP design by ensuring the availability of a coach to support the scholars in the development and implementation of their REAPs.</w:t>
      </w:r>
      <w:r w:rsidR="0078429F" w:rsidRPr="00226C43">
        <w:t xml:space="preserve"> </w:t>
      </w:r>
      <w:r w:rsidRPr="00226C43">
        <w:t>This approach has also inspired most of the Alumni</w:t>
      </w:r>
      <w:r w:rsidR="00AE22A3" w:rsidRPr="00226C43">
        <w:t xml:space="preserve"> interviewed</w:t>
      </w:r>
      <w:r w:rsidRPr="00226C43">
        <w:t xml:space="preserve"> to incorporate GEDSI into their reintegration, particularly within the civil service. This approach also supported the gender mainstreaming objectives of GPH in the priority sectors or themes shared with </w:t>
      </w:r>
      <w:proofErr w:type="spellStart"/>
      <w:r w:rsidRPr="00226C43">
        <w:t>GoA</w:t>
      </w:r>
      <w:proofErr w:type="spellEnd"/>
      <w:r w:rsidRPr="00226C43">
        <w:t xml:space="preserve"> such as trade, education, environment, among others. </w:t>
      </w:r>
    </w:p>
    <w:p w14:paraId="38A2A501" w14:textId="2D244A26" w:rsidR="4DD21A85" w:rsidRPr="00226C43" w:rsidRDefault="00EF703E" w:rsidP="003B7AD1">
      <w:pPr>
        <w:pStyle w:val="Quote"/>
        <w:spacing w:before="120" w:after="120"/>
        <w:rPr>
          <w:color w:val="auto"/>
        </w:rPr>
      </w:pPr>
      <w:r w:rsidRPr="00226C43">
        <w:rPr>
          <w:color w:val="auto"/>
        </w:rPr>
        <w:t>‘</w:t>
      </w:r>
      <w:r w:rsidR="4DD21A85" w:rsidRPr="00226C43">
        <w:rPr>
          <w:color w:val="auto"/>
        </w:rPr>
        <w:t>Australia Awards integrates gender and social inclusion throughout its courses, allowing for real-life application in various sectors of government</w:t>
      </w:r>
      <w:r w:rsidR="008F4B86" w:rsidRPr="00226C43">
        <w:rPr>
          <w:color w:val="auto"/>
        </w:rPr>
        <w:t>.</w:t>
      </w:r>
      <w:r w:rsidRPr="00226C43">
        <w:rPr>
          <w:color w:val="auto"/>
        </w:rPr>
        <w:t>’</w:t>
      </w:r>
      <w:r w:rsidR="4DD21A85" w:rsidRPr="00226C43">
        <w:rPr>
          <w:color w:val="auto"/>
        </w:rPr>
        <w:t xml:space="preserve"> </w:t>
      </w:r>
      <w:r w:rsidR="008F4B86" w:rsidRPr="00226C43">
        <w:rPr>
          <w:color w:val="auto"/>
        </w:rPr>
        <w:t>R2.</w:t>
      </w:r>
    </w:p>
    <w:p w14:paraId="05345EFD" w14:textId="2E80321E" w:rsidR="00D62F86" w:rsidRPr="00226C43" w:rsidRDefault="4DD21A85" w:rsidP="4DD21A85">
      <w:r w:rsidRPr="00226C43">
        <w:t>The AAAEP</w:t>
      </w:r>
      <w:r w:rsidR="00181670" w:rsidRPr="00226C43">
        <w:t>–</w:t>
      </w:r>
      <w:r w:rsidRPr="00226C43">
        <w:t>P, however, could improve its efforts by deepening the understanding and discourse surrounding LGBTQIA</w:t>
      </w:r>
      <w:r w:rsidR="00181670" w:rsidRPr="00226C43">
        <w:t>+</w:t>
      </w:r>
      <w:r w:rsidRPr="00226C43">
        <w:t xml:space="preserve"> rights, indigenous peoples’ rights, child rights and rights of older adults or seniors.</w:t>
      </w:r>
    </w:p>
    <w:p w14:paraId="5F313714" w14:textId="2D8E1585" w:rsidR="00D62F86" w:rsidRPr="00226C43" w:rsidRDefault="00EF703E" w:rsidP="003B7AD1">
      <w:pPr>
        <w:pStyle w:val="Quote"/>
        <w:spacing w:before="120" w:after="120"/>
        <w:rPr>
          <w:color w:val="auto"/>
        </w:rPr>
      </w:pPr>
      <w:r w:rsidRPr="00226C43">
        <w:rPr>
          <w:color w:val="auto"/>
        </w:rPr>
        <w:t>‘</w:t>
      </w:r>
      <w:r w:rsidR="4DD21A85" w:rsidRPr="00226C43">
        <w:rPr>
          <w:color w:val="auto"/>
        </w:rPr>
        <w:t>Australia Awards complements other development programs by filling gaps in technical capacity building that other donors may overlook.</w:t>
      </w:r>
      <w:r w:rsidRPr="00226C43">
        <w:rPr>
          <w:color w:val="auto"/>
        </w:rPr>
        <w:t>’</w:t>
      </w:r>
      <w:r w:rsidR="4DD21A85" w:rsidRPr="00226C43">
        <w:rPr>
          <w:color w:val="auto"/>
        </w:rPr>
        <w:t xml:space="preserve"> </w:t>
      </w:r>
      <w:r w:rsidR="008F4B86" w:rsidRPr="00226C43">
        <w:rPr>
          <w:color w:val="auto"/>
        </w:rPr>
        <w:t>R3.</w:t>
      </w:r>
    </w:p>
    <w:p w14:paraId="0EAE97F0" w14:textId="136684A5" w:rsidR="005A26E1" w:rsidRPr="004E3950" w:rsidRDefault="0092590B" w:rsidP="004E3950">
      <w:pPr>
        <w:pStyle w:val="Heading5"/>
        <w:rPr>
          <w:rFonts w:asciiTheme="minorHAnsi" w:hAnsiTheme="minorHAnsi"/>
          <w:color w:val="auto"/>
        </w:rPr>
      </w:pPr>
      <w:r w:rsidRPr="00226C43">
        <w:rPr>
          <w:rFonts w:asciiTheme="minorHAnsi" w:hAnsiTheme="minorHAnsi"/>
          <w:color w:val="auto"/>
        </w:rPr>
        <w:t xml:space="preserve">1.5 To what extent does AAAEP–P substitute or complement other interventions in the Philippines, regardless of funder? (coherence) </w:t>
      </w:r>
    </w:p>
    <w:p w14:paraId="14F9B0E8" w14:textId="77777777" w:rsidR="00C97444" w:rsidRPr="00226C43" w:rsidRDefault="00C97444" w:rsidP="00B27CC8">
      <w:r w:rsidRPr="00226C43">
        <w:t>AAAEP–P demonstrated a high degree of complementarity with other interventions in the Philippines, while avoiding significant duplication or substitution. The strategic focus of the program on capacity development, alumni engagement, and skills enhancement aligned with several national development priorities and complements other GPH, development partner and civil society initiatives.</w:t>
      </w:r>
    </w:p>
    <w:p w14:paraId="4A0473E5" w14:textId="77777777" w:rsidR="00C97444" w:rsidRPr="00226C43" w:rsidRDefault="00C97444" w:rsidP="009B0FD8">
      <w:pPr>
        <w:spacing w:after="0"/>
        <w:rPr>
          <w:b/>
          <w:bCs/>
        </w:rPr>
      </w:pPr>
      <w:r w:rsidRPr="00226C43">
        <w:rPr>
          <w:b/>
          <w:bCs/>
        </w:rPr>
        <w:t>Complementarity with National and Donor Programs</w:t>
      </w:r>
    </w:p>
    <w:p w14:paraId="27DEFA33" w14:textId="77777777" w:rsidR="00C97444" w:rsidRPr="00226C43" w:rsidRDefault="00C97444" w:rsidP="003B7AD1">
      <w:pPr>
        <w:spacing w:after="60"/>
      </w:pPr>
      <w:r w:rsidRPr="00226C43">
        <w:t>AAAEP–P’s capacity building support and leadership development in alignment with the PDP and other government initiatives aimed at upskilling civil servants and advancing governance reforms. The program’s tailored scholarships and short courses targeting the specific needs of priority sectors’ specific needs, (health, education, and infrastructure), filled gaps in capacity development and training not met by others. For example, AAAEP–P’s emphasis on GEDSI strengthened its alignment with ongoing GPH’s and multilateral organisations’ efforts to foster inclusivity.</w:t>
      </w:r>
    </w:p>
    <w:p w14:paraId="3031407C" w14:textId="77777777" w:rsidR="00C97444" w:rsidRPr="00226C43" w:rsidRDefault="00C97444" w:rsidP="003B7AD1">
      <w:pPr>
        <w:spacing w:before="60" w:after="0"/>
      </w:pPr>
      <w:r w:rsidRPr="00226C43">
        <w:t>Alumni engagement activities created networks that facilitated collaboration and peer learning, enhancing the collective impact of leadership development efforts in the country. Several scholarships offerings are available in the Philippines including</w:t>
      </w:r>
      <w:r w:rsidRPr="00226C43">
        <w:rPr>
          <w:rStyle w:val="FootnoteReference"/>
        </w:rPr>
        <w:footnoteReference w:id="14"/>
      </w:r>
      <w:r w:rsidRPr="00226C43">
        <w:t>:</w:t>
      </w:r>
    </w:p>
    <w:p w14:paraId="6C83933C" w14:textId="77777777" w:rsidR="00C97444" w:rsidRPr="00226C43" w:rsidRDefault="00C97444" w:rsidP="00925CC1">
      <w:pPr>
        <w:pStyle w:val="ListParagraph"/>
        <w:numPr>
          <w:ilvl w:val="0"/>
          <w:numId w:val="39"/>
        </w:numPr>
        <w:suppressAutoHyphens w:val="0"/>
      </w:pPr>
      <w:hyperlink r:id="rId10" w:anchor="1_The_Fulbright_Scholarship_Program" w:tooltip="1. The Fulbright Scholarship Program" w:history="1">
        <w:r w:rsidRPr="00226C43">
          <w:t>The Fulbright Scholarship Program</w:t>
        </w:r>
      </w:hyperlink>
      <w:r w:rsidRPr="00226C43">
        <w:t>,</w:t>
      </w:r>
    </w:p>
    <w:p w14:paraId="0EB45BDC" w14:textId="77777777" w:rsidR="00C97444" w:rsidRPr="00226C43" w:rsidRDefault="00C97444" w:rsidP="00925CC1">
      <w:pPr>
        <w:pStyle w:val="ListParagraph"/>
        <w:numPr>
          <w:ilvl w:val="0"/>
          <w:numId w:val="39"/>
        </w:numPr>
        <w:suppressAutoHyphens w:val="0"/>
      </w:pPr>
      <w:hyperlink r:id="rId11" w:anchor="2_Chevening_Scholarships_Programme" w:tooltip="2. Chevening Scholarships Programme" w:history="1">
        <w:r w:rsidRPr="00226C43">
          <w:t>Chevening Scholarships Programme</w:t>
        </w:r>
      </w:hyperlink>
      <w:r w:rsidRPr="00226C43">
        <w:t>,</w:t>
      </w:r>
    </w:p>
    <w:p w14:paraId="3834D286" w14:textId="2D4A1428" w:rsidR="00C97444" w:rsidRPr="00226C43" w:rsidRDefault="00C97444" w:rsidP="00925CC1">
      <w:pPr>
        <w:pStyle w:val="ListParagraph"/>
        <w:numPr>
          <w:ilvl w:val="0"/>
          <w:numId w:val="39"/>
        </w:numPr>
        <w:suppressAutoHyphens w:val="0"/>
      </w:pPr>
      <w:hyperlink r:id="rId12" w:anchor="3_Australian_Awards_Scholarships" w:tooltip="3. Australian Awards Scholarships" w:history="1">
        <w:r w:rsidRPr="00226C43">
          <w:t>Australia Awards Scholarships</w:t>
        </w:r>
      </w:hyperlink>
      <w:r w:rsidRPr="00226C43">
        <w:t>,</w:t>
      </w:r>
    </w:p>
    <w:p w14:paraId="5D7D4315" w14:textId="77777777" w:rsidR="00C97444" w:rsidRPr="00226C43" w:rsidRDefault="00C97444" w:rsidP="00925CC1">
      <w:pPr>
        <w:pStyle w:val="ListParagraph"/>
        <w:numPr>
          <w:ilvl w:val="0"/>
          <w:numId w:val="39"/>
        </w:numPr>
        <w:suppressAutoHyphens w:val="0"/>
      </w:pPr>
      <w:hyperlink r:id="rId13" w:anchor="4_Erasmus_Mundus_Joint_Masters_students_%E2%80%93_Erasmus" w:tooltip="4. Erasmus Mundus Joint Masters (students) – Erasmus+" w:history="1">
        <w:r w:rsidRPr="00226C43">
          <w:t>Erasmus Mundus Joint Masters (students) – Erasmus+</w:t>
        </w:r>
      </w:hyperlink>
      <w:r w:rsidRPr="00226C43">
        <w:t>,</w:t>
      </w:r>
    </w:p>
    <w:p w14:paraId="298365C1" w14:textId="77777777" w:rsidR="00C97444" w:rsidRPr="00226C43" w:rsidRDefault="00C97444" w:rsidP="00925CC1">
      <w:pPr>
        <w:pStyle w:val="ListParagraph"/>
        <w:numPr>
          <w:ilvl w:val="0"/>
          <w:numId w:val="39"/>
        </w:numPr>
        <w:suppressAutoHyphens w:val="0"/>
      </w:pPr>
      <w:hyperlink r:id="rId14" w:anchor="5_The_Japan-ASEAN_Integration_Fund" w:tooltip="5. The Japan-ASEAN Integration Fund" w:history="1">
        <w:r w:rsidRPr="00226C43">
          <w:t>The Japan-ASEAN Integration Fund</w:t>
        </w:r>
      </w:hyperlink>
      <w:r w:rsidRPr="00226C43">
        <w:t>,</w:t>
      </w:r>
    </w:p>
    <w:p w14:paraId="30E370E2" w14:textId="77777777" w:rsidR="00C97444" w:rsidRPr="00226C43" w:rsidRDefault="00C97444" w:rsidP="00925CC1">
      <w:pPr>
        <w:pStyle w:val="ListParagraph"/>
        <w:numPr>
          <w:ilvl w:val="0"/>
          <w:numId w:val="39"/>
        </w:numPr>
        <w:suppressAutoHyphens w:val="0"/>
      </w:pPr>
      <w:hyperlink r:id="rId15" w:anchor="6_The_Schwarzman_Scholars_Initiative" w:tooltip="6. The Schwarzman Scholars Initiative" w:history="1">
        <w:r w:rsidRPr="00226C43">
          <w:t>The Schwarzman Scholars Initiative</w:t>
        </w:r>
      </w:hyperlink>
      <w:r w:rsidRPr="00226C43">
        <w:t>,</w:t>
      </w:r>
    </w:p>
    <w:p w14:paraId="206E6ACA" w14:textId="77777777" w:rsidR="00C97444" w:rsidRPr="00226C43" w:rsidRDefault="00C97444" w:rsidP="00925CC1">
      <w:pPr>
        <w:pStyle w:val="ListParagraph"/>
        <w:numPr>
          <w:ilvl w:val="0"/>
          <w:numId w:val="39"/>
        </w:numPr>
        <w:suppressAutoHyphens w:val="0"/>
      </w:pPr>
      <w:hyperlink r:id="rId16" w:anchor="7_ADB-Japan_Scholarship_Program" w:tooltip="7. ADB-Japan Scholarship Program" w:history="1">
        <w:r w:rsidRPr="00226C43">
          <w:t>ADB-Japan Scholarship Program</w:t>
        </w:r>
      </w:hyperlink>
      <w:r w:rsidRPr="00226C43">
        <w:t>,</w:t>
      </w:r>
    </w:p>
    <w:p w14:paraId="4703954F" w14:textId="77777777" w:rsidR="00C97444" w:rsidRPr="00226C43" w:rsidRDefault="00C97444" w:rsidP="00925CC1">
      <w:pPr>
        <w:pStyle w:val="ListParagraph"/>
        <w:numPr>
          <w:ilvl w:val="0"/>
          <w:numId w:val="39"/>
        </w:numPr>
        <w:suppressAutoHyphens w:val="0"/>
      </w:pPr>
      <w:hyperlink r:id="rId17" w:anchor="8_DAAD_Scholarships" w:tooltip="8. DAAD Scholarships" w:history="1">
        <w:r w:rsidRPr="00226C43">
          <w:t>DAAD Scholarships</w:t>
        </w:r>
      </w:hyperlink>
      <w:r w:rsidRPr="00226C43">
        <w:t>,</w:t>
      </w:r>
    </w:p>
    <w:p w14:paraId="6F83CDF0" w14:textId="77777777" w:rsidR="00C97444" w:rsidRPr="00226C43" w:rsidRDefault="00C97444" w:rsidP="00925CC1">
      <w:pPr>
        <w:pStyle w:val="ListParagraph"/>
        <w:numPr>
          <w:ilvl w:val="0"/>
          <w:numId w:val="39"/>
        </w:numPr>
        <w:suppressAutoHyphens w:val="0"/>
      </w:pPr>
      <w:hyperlink r:id="rId18" w:anchor="9_Commonwealth_Scholarships" w:tooltip="9. Commonwealth Scholarships" w:history="1">
        <w:r w:rsidRPr="00226C43">
          <w:t>Commonwealth Scholarships</w:t>
        </w:r>
      </w:hyperlink>
      <w:r w:rsidRPr="00226C43">
        <w:t>, and</w:t>
      </w:r>
    </w:p>
    <w:p w14:paraId="2E807304" w14:textId="77777777" w:rsidR="00C97444" w:rsidRPr="00226C43" w:rsidRDefault="00C97444" w:rsidP="00925CC1">
      <w:pPr>
        <w:pStyle w:val="ListParagraph"/>
        <w:numPr>
          <w:ilvl w:val="0"/>
          <w:numId w:val="39"/>
        </w:numPr>
        <w:suppressAutoHyphens w:val="0"/>
      </w:pPr>
      <w:hyperlink r:id="rId19" w:anchor="10_UN_Scholarships" w:tooltip="10. UN Scholarships" w:history="1">
        <w:r w:rsidRPr="00226C43">
          <w:t>UN Scholarships</w:t>
        </w:r>
      </w:hyperlink>
      <w:r w:rsidRPr="00226C43">
        <w:t>.</w:t>
      </w:r>
    </w:p>
    <w:p w14:paraId="10C919A0" w14:textId="5EFB7C77" w:rsidR="00C97444" w:rsidRPr="00226C43" w:rsidRDefault="00C97444" w:rsidP="00693AC8">
      <w:pPr>
        <w:spacing w:after="0"/>
        <w:rPr>
          <w:b/>
          <w:bCs/>
        </w:rPr>
      </w:pPr>
      <w:r w:rsidRPr="00226C43">
        <w:rPr>
          <w:b/>
          <w:bCs/>
        </w:rPr>
        <w:t>Avoidance of Duplication</w:t>
      </w:r>
    </w:p>
    <w:p w14:paraId="0DE8D94F" w14:textId="77777777" w:rsidR="00C97444" w:rsidRPr="00226C43" w:rsidRDefault="00C97444" w:rsidP="0077217B">
      <w:pPr>
        <w:spacing w:after="0"/>
      </w:pPr>
      <w:r w:rsidRPr="00226C43">
        <w:t>AAAEP–P’s distinct focus on Australian expertise and partnerships avoided substituting or duplicating offerings such as those above. The program expertly prioritised leveraging Australia’s comparative higher education strengths and its existing networks with Philippine institutions. The program’s rigorous stakeholder consultations and needs assessments ensured that its offerings remained demand-driven and relevant, avoiding overlap with other scholarship offerings.</w:t>
      </w:r>
    </w:p>
    <w:p w14:paraId="7A9760DE" w14:textId="77777777" w:rsidR="00BC5D58" w:rsidRPr="00226C43" w:rsidRDefault="00BC5D58" w:rsidP="00406C4F">
      <w:pPr>
        <w:spacing w:after="0"/>
      </w:pPr>
    </w:p>
    <w:p w14:paraId="38E5586F" w14:textId="77777777" w:rsidR="00C97444" w:rsidRPr="00226C43" w:rsidRDefault="00C97444" w:rsidP="00693AC8">
      <w:pPr>
        <w:spacing w:after="0"/>
        <w:rPr>
          <w:b/>
          <w:bCs/>
        </w:rPr>
      </w:pPr>
      <w:r w:rsidRPr="00226C43">
        <w:rPr>
          <w:b/>
          <w:bCs/>
        </w:rPr>
        <w:t>Value Addition</w:t>
      </w:r>
    </w:p>
    <w:p w14:paraId="517E5EA8" w14:textId="4AF84F9C" w:rsidR="00C97444" w:rsidRPr="00226C43" w:rsidRDefault="00C97444" w:rsidP="0077217B">
      <w:pPr>
        <w:spacing w:after="0"/>
      </w:pPr>
      <w:r w:rsidRPr="00226C43">
        <w:t xml:space="preserve">A key value add of the program was its focus on post-scholarship alumni engagement. This complemented but did not substitute other program’s efforts – few </w:t>
      </w:r>
      <w:r w:rsidR="00027010" w:rsidRPr="00226C43">
        <w:t>scholarship</w:t>
      </w:r>
      <w:r w:rsidRPr="00226C43">
        <w:t xml:space="preserve"> offerings in the Philippines provide the same level of sustained post-award alumni support to drive systemic change. The program also facilitated partnerships between alumni and Australian institutions, enhancing cross-border collaboration and knowledge exchange.</w:t>
      </w:r>
    </w:p>
    <w:p w14:paraId="7D136240" w14:textId="77777777" w:rsidR="00BC5D58" w:rsidRPr="00226C43" w:rsidRDefault="00BC5D58" w:rsidP="00406C4F">
      <w:pPr>
        <w:spacing w:after="0"/>
      </w:pPr>
    </w:p>
    <w:p w14:paraId="7802460B" w14:textId="77777777" w:rsidR="00C97444" w:rsidRPr="00226C43" w:rsidRDefault="00C97444" w:rsidP="00693AC8">
      <w:pPr>
        <w:spacing w:after="0"/>
        <w:rPr>
          <w:b/>
          <w:bCs/>
        </w:rPr>
      </w:pPr>
      <w:r w:rsidRPr="00226C43">
        <w:rPr>
          <w:b/>
          <w:bCs/>
        </w:rPr>
        <w:t>Gaps and Opportunities</w:t>
      </w:r>
    </w:p>
    <w:p w14:paraId="0A460D3C" w14:textId="6BAD2BAE" w:rsidR="00D91A50" w:rsidRPr="00226C43" w:rsidRDefault="00C97444" w:rsidP="003B7AD1">
      <w:pPr>
        <w:spacing w:after="60"/>
      </w:pPr>
      <w:r w:rsidRPr="00226C43">
        <w:t>While AAAEP–P complemented other initiatives well, opportunities exist to strengthen coherence through additional collaboration with other donors and Philippine stakeholders. For example, aligning its offerings with regional or sectoral strategies by multilateral organisations could amplify its impact, although it would be important to remain mindful that Australia’s strategic priorities are not lost.</w:t>
      </w:r>
      <w:r w:rsidR="0078429F" w:rsidRPr="00226C43">
        <w:t xml:space="preserve"> </w:t>
      </w:r>
      <w:r w:rsidRPr="00226C43">
        <w:t>There may also be scope for greater integration of the program’s GEDSI activities with domestic efforts to institutionalise GEDSI principles across GPH.</w:t>
      </w:r>
    </w:p>
    <w:p w14:paraId="3BF9C616" w14:textId="7C38D1E8" w:rsidR="00FA79B1" w:rsidRPr="00226C43" w:rsidRDefault="4DD21A85" w:rsidP="4DD21A85">
      <w:pPr>
        <w:pStyle w:val="Heading2"/>
        <w:rPr>
          <w:rFonts w:asciiTheme="minorHAnsi" w:hAnsiTheme="minorHAnsi"/>
          <w:color w:val="auto"/>
        </w:rPr>
      </w:pPr>
      <w:bookmarkStart w:id="16" w:name="_Toc189577760"/>
      <w:bookmarkStart w:id="17" w:name="_Toc189669851"/>
      <w:bookmarkStart w:id="18" w:name="_Toc189671065"/>
      <w:bookmarkStart w:id="19" w:name="_Toc189671181"/>
      <w:bookmarkStart w:id="20" w:name="_Toc190195419"/>
      <w:bookmarkStart w:id="21" w:name="_Toc190248316"/>
      <w:bookmarkEnd w:id="16"/>
      <w:bookmarkEnd w:id="17"/>
      <w:bookmarkEnd w:id="18"/>
      <w:bookmarkEnd w:id="19"/>
      <w:r w:rsidRPr="00226C43">
        <w:rPr>
          <w:rFonts w:asciiTheme="minorHAnsi" w:hAnsiTheme="minorHAnsi"/>
          <w:color w:val="auto"/>
        </w:rPr>
        <w:t>Effectiveness</w:t>
      </w:r>
      <w:bookmarkEnd w:id="20"/>
      <w:bookmarkEnd w:id="21"/>
    </w:p>
    <w:p w14:paraId="11E9E150" w14:textId="1E89F05B" w:rsidR="00516BAF" w:rsidRPr="00226C43" w:rsidRDefault="4DD21A85" w:rsidP="00181670">
      <w:pPr>
        <w:pStyle w:val="Box"/>
        <w:rPr>
          <w:i/>
          <w:iCs/>
        </w:rPr>
      </w:pPr>
      <w:r w:rsidRPr="00226C43">
        <w:rPr>
          <w:u w:val="single"/>
        </w:rPr>
        <w:t xml:space="preserve">Key </w:t>
      </w:r>
      <w:r w:rsidR="00623F17" w:rsidRPr="00226C43">
        <w:rPr>
          <w:u w:val="single"/>
        </w:rPr>
        <w:t>Evaluation</w:t>
      </w:r>
      <w:r w:rsidRPr="00226C43">
        <w:rPr>
          <w:u w:val="single"/>
        </w:rPr>
        <w:t xml:space="preserve"> Question 2</w:t>
      </w:r>
      <w:r w:rsidRPr="00226C43">
        <w:t>:</w:t>
      </w:r>
      <w:r w:rsidR="00623F17" w:rsidRPr="00226C43">
        <w:t xml:space="preserve"> </w:t>
      </w:r>
      <w:r w:rsidRPr="00226C43">
        <w:t xml:space="preserve">To what extent has AAAEP–P achieved its IOs and EOPOs? </w:t>
      </w:r>
    </w:p>
    <w:p w14:paraId="6E859D4E" w14:textId="4EF1670E" w:rsidR="00B80FCC" w:rsidRPr="00226C43" w:rsidRDefault="00B80FCC" w:rsidP="00BF0FC1">
      <w:pPr>
        <w:pStyle w:val="Heading5"/>
        <w:rPr>
          <w:rFonts w:asciiTheme="minorHAnsi" w:hAnsiTheme="minorHAnsi"/>
          <w:color w:val="auto"/>
        </w:rPr>
      </w:pPr>
      <w:r w:rsidRPr="00226C43">
        <w:rPr>
          <w:rFonts w:asciiTheme="minorHAnsi" w:hAnsiTheme="minorHAnsi"/>
          <w:color w:val="auto"/>
        </w:rPr>
        <w:t xml:space="preserve">2.1 </w:t>
      </w:r>
      <w:r w:rsidR="00AE5347" w:rsidRPr="00226C43">
        <w:rPr>
          <w:rFonts w:asciiTheme="minorHAnsi" w:hAnsiTheme="minorHAnsi"/>
          <w:color w:val="auto"/>
        </w:rPr>
        <w:t xml:space="preserve">To what extent have </w:t>
      </w:r>
      <w:r w:rsidR="001C337A" w:rsidRPr="00226C43">
        <w:rPr>
          <w:rFonts w:asciiTheme="minorHAnsi" w:hAnsiTheme="minorHAnsi"/>
          <w:color w:val="auto"/>
        </w:rPr>
        <w:t>targets for the IOs and EOPOs been attained?</w:t>
      </w:r>
    </w:p>
    <w:p w14:paraId="3E740D36" w14:textId="1D089D42" w:rsidR="00413FBC" w:rsidRPr="00226C43" w:rsidRDefault="4DD21A85" w:rsidP="001723C1">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Phase 1 Outcomes</w:t>
      </w:r>
      <w:r w:rsidR="00234EE1" w:rsidRPr="00226C43">
        <w:rPr>
          <w:rFonts w:asciiTheme="minorHAnsi" w:hAnsiTheme="minorHAnsi"/>
          <w:color w:val="auto"/>
        </w:rPr>
        <w:t>—</w:t>
      </w:r>
      <w:r w:rsidRPr="00226C43">
        <w:rPr>
          <w:rFonts w:asciiTheme="minorHAnsi" w:hAnsiTheme="minorHAnsi"/>
          <w:color w:val="auto"/>
        </w:rPr>
        <w:t>2018</w:t>
      </w:r>
      <w:r w:rsidR="00234EE1" w:rsidRPr="00226C43">
        <w:rPr>
          <w:rFonts w:asciiTheme="minorHAnsi" w:hAnsiTheme="minorHAnsi"/>
          <w:color w:val="auto"/>
        </w:rPr>
        <w:t>–</w:t>
      </w:r>
      <w:r w:rsidRPr="00226C43">
        <w:rPr>
          <w:rFonts w:asciiTheme="minorHAnsi" w:hAnsiTheme="minorHAnsi"/>
          <w:color w:val="auto"/>
        </w:rPr>
        <w:t>2022</w:t>
      </w:r>
    </w:p>
    <w:p w14:paraId="26482BFA" w14:textId="42D6E7F7" w:rsidR="00413FBC" w:rsidRPr="00226C43" w:rsidRDefault="4DD21A85" w:rsidP="00CC5099">
      <w:pPr>
        <w:spacing w:after="0"/>
      </w:pPr>
      <w:r w:rsidRPr="00226C43">
        <w:t>Phase 1 comprised the following five EOPOs.</w:t>
      </w:r>
    </w:p>
    <w:p w14:paraId="01644825" w14:textId="5DA0E5AA" w:rsidR="00EB1595" w:rsidRPr="00226C43" w:rsidRDefault="4DD21A85" w:rsidP="00925CC1">
      <w:pPr>
        <w:pStyle w:val="ListParagraph"/>
        <w:numPr>
          <w:ilvl w:val="0"/>
          <w:numId w:val="35"/>
        </w:numPr>
        <w:tabs>
          <w:tab w:val="left" w:pos="284"/>
        </w:tabs>
      </w:pPr>
      <w:r w:rsidRPr="00226C43">
        <w:rPr>
          <w:b/>
          <w:bCs/>
        </w:rPr>
        <w:t>EOPO 1</w:t>
      </w:r>
      <w:r w:rsidRPr="00226C43">
        <w:t>: Alumni and where relevant, their organisations have and use skills, knowledge and networks to contribute to sustainable development (Use of skills and knowledge)</w:t>
      </w:r>
      <w:r w:rsidR="00234EE1" w:rsidRPr="00226C43">
        <w:t>.</w:t>
      </w:r>
    </w:p>
    <w:p w14:paraId="7F30778C" w14:textId="0D6AA305" w:rsidR="00EB1595" w:rsidRPr="00226C43" w:rsidRDefault="4DD21A85" w:rsidP="00925CC1">
      <w:pPr>
        <w:pStyle w:val="ListParagraph"/>
        <w:numPr>
          <w:ilvl w:val="0"/>
          <w:numId w:val="35"/>
        </w:numPr>
        <w:tabs>
          <w:tab w:val="left" w:pos="284"/>
        </w:tabs>
      </w:pPr>
      <w:r w:rsidRPr="00226C43">
        <w:rPr>
          <w:b/>
          <w:bCs/>
        </w:rPr>
        <w:lastRenderedPageBreak/>
        <w:t>EOPO 2</w:t>
      </w:r>
      <w:r w:rsidRPr="00226C43">
        <w:t>: Australia has alumni in key sectors and positions (Key Sectors and Key Positions).</w:t>
      </w:r>
    </w:p>
    <w:p w14:paraId="01673A57" w14:textId="50DACCED" w:rsidR="00EB1595" w:rsidRPr="00226C43" w:rsidRDefault="4DD21A85" w:rsidP="00925CC1">
      <w:pPr>
        <w:pStyle w:val="ListParagraph"/>
        <w:numPr>
          <w:ilvl w:val="0"/>
          <w:numId w:val="35"/>
        </w:numPr>
        <w:tabs>
          <w:tab w:val="left" w:pos="284"/>
        </w:tabs>
      </w:pPr>
      <w:r w:rsidRPr="00226C43">
        <w:rPr>
          <w:b/>
          <w:bCs/>
        </w:rPr>
        <w:t>EOPO 3</w:t>
      </w:r>
      <w:r w:rsidRPr="00226C43">
        <w:t xml:space="preserve">: Links and/or formal partnerships between institutions and businesses in Australia and Philippines are activated and matured (Links and Partnerships). </w:t>
      </w:r>
    </w:p>
    <w:p w14:paraId="7035B9A6" w14:textId="60F6E95E" w:rsidR="00EB1595" w:rsidRPr="00226C43" w:rsidRDefault="4DD21A85" w:rsidP="00925CC1">
      <w:pPr>
        <w:pStyle w:val="ListParagraph"/>
        <w:numPr>
          <w:ilvl w:val="0"/>
          <w:numId w:val="35"/>
        </w:numPr>
        <w:tabs>
          <w:tab w:val="left" w:pos="284"/>
        </w:tabs>
      </w:pPr>
      <w:r w:rsidRPr="00226C43">
        <w:rPr>
          <w:b/>
          <w:bCs/>
        </w:rPr>
        <w:t>EOPO 4</w:t>
      </w:r>
      <w:r w:rsidRPr="00226C43">
        <w:t>: Australia, Australians and Australian expertise is viewed positively in the Philippines (Perception).</w:t>
      </w:r>
    </w:p>
    <w:p w14:paraId="6192740B" w14:textId="39821B1D" w:rsidR="4DD21A85" w:rsidRPr="00226C43" w:rsidRDefault="4DD21A85" w:rsidP="00925CC1">
      <w:pPr>
        <w:pStyle w:val="ListParagraph"/>
        <w:numPr>
          <w:ilvl w:val="0"/>
          <w:numId w:val="35"/>
        </w:numPr>
        <w:tabs>
          <w:tab w:val="left" w:pos="284"/>
        </w:tabs>
      </w:pPr>
      <w:r w:rsidRPr="00226C43">
        <w:rPr>
          <w:b/>
          <w:bCs/>
        </w:rPr>
        <w:t>EOPO 5</w:t>
      </w:r>
      <w:r w:rsidRPr="00226C43">
        <w:t>: Scholarships and alumni activities have improved gender equality and women’s empowerment (GEDSI).</w:t>
      </w:r>
    </w:p>
    <w:p w14:paraId="5F73FF22" w14:textId="101BCF05" w:rsidR="4DD21A85" w:rsidRPr="00226C43" w:rsidRDefault="4DD21A85" w:rsidP="00BC5D58">
      <w:pPr>
        <w:pStyle w:val="Heading3nonumber"/>
        <w:numPr>
          <w:ilvl w:val="0"/>
          <w:numId w:val="0"/>
        </w:numPr>
        <w:rPr>
          <w:rFonts w:asciiTheme="minorHAnsi" w:hAnsiTheme="minorHAnsi"/>
          <w:color w:val="auto"/>
        </w:rPr>
      </w:pPr>
      <w:r w:rsidRPr="00226C43">
        <w:rPr>
          <w:rFonts w:asciiTheme="minorHAnsi" w:hAnsiTheme="minorHAnsi"/>
          <w:color w:val="auto"/>
        </w:rPr>
        <w:t>Phase 2 Outcomes</w:t>
      </w:r>
      <w:r w:rsidR="00234EE1" w:rsidRPr="00226C43">
        <w:rPr>
          <w:rFonts w:asciiTheme="minorHAnsi" w:hAnsiTheme="minorHAnsi"/>
          <w:color w:val="auto"/>
        </w:rPr>
        <w:t>—</w:t>
      </w:r>
      <w:r w:rsidRPr="00226C43">
        <w:rPr>
          <w:rFonts w:asciiTheme="minorHAnsi" w:hAnsiTheme="minorHAnsi"/>
          <w:color w:val="auto"/>
        </w:rPr>
        <w:t>2023–2024</w:t>
      </w:r>
    </w:p>
    <w:p w14:paraId="23076100" w14:textId="15B90BFE" w:rsidR="4DD21A85" w:rsidRPr="00226C43" w:rsidRDefault="4DD21A85" w:rsidP="00B27CC8">
      <w:r w:rsidRPr="00226C43">
        <w:t>In late 2021, AAAEP</w:t>
      </w:r>
      <w:r w:rsidR="00234EE1" w:rsidRPr="00226C43">
        <w:t>–</w:t>
      </w:r>
      <w:r w:rsidRPr="00226C43">
        <w:t xml:space="preserve">P's outcomes were streamlined following a design refresh, recognising the need for a sharper focus on achieving the primary goal of the </w:t>
      </w:r>
      <w:r w:rsidR="756E4D74" w:rsidRPr="00226C43">
        <w:t>p</w:t>
      </w:r>
      <w:r w:rsidRPr="00226C43">
        <w:t>rogram. As</w:t>
      </w:r>
      <w:r w:rsidR="00027010" w:rsidRPr="00226C43">
        <w:t xml:space="preserve"> a</w:t>
      </w:r>
      <w:r w:rsidRPr="00226C43">
        <w:t xml:space="preserve"> result</w:t>
      </w:r>
      <w:r w:rsidR="00027010" w:rsidRPr="00226C43">
        <w:t>,</w:t>
      </w:r>
      <w:r w:rsidRPr="00226C43">
        <w:t xml:space="preserve"> the previous five EOPOs were reduced to two, with the other EOPOs captured as IOs. Despite these changes, two EOPOs have been consistent over the two phases of AAAEP</w:t>
      </w:r>
      <w:r w:rsidR="00234EE1" w:rsidRPr="00226C43">
        <w:t>–</w:t>
      </w:r>
      <w:r w:rsidRPr="00226C43">
        <w:t>P.</w:t>
      </w:r>
    </w:p>
    <w:p w14:paraId="0555CB3C" w14:textId="6AD235E2" w:rsidR="4DD21A85" w:rsidRPr="00226C43" w:rsidRDefault="4DD21A85" w:rsidP="00CC5099">
      <w:pPr>
        <w:spacing w:after="0"/>
      </w:pPr>
      <w:r w:rsidRPr="00226C43">
        <w:t>The Phase 2 EOPOs are shown below.</w:t>
      </w:r>
    </w:p>
    <w:p w14:paraId="1131B845" w14:textId="335695B5" w:rsidR="4DD21A85" w:rsidRPr="00226C43" w:rsidRDefault="4DD21A85" w:rsidP="00925CC1">
      <w:pPr>
        <w:pStyle w:val="ListParagraph"/>
        <w:numPr>
          <w:ilvl w:val="0"/>
          <w:numId w:val="36"/>
        </w:numPr>
        <w:rPr>
          <w:rFonts w:eastAsia="Aptos"/>
        </w:rPr>
      </w:pPr>
      <w:r w:rsidRPr="00226C43">
        <w:rPr>
          <w:b/>
          <w:bCs/>
        </w:rPr>
        <w:t>EOPO 1</w:t>
      </w:r>
      <w:r w:rsidRPr="00226C43">
        <w:t>: Diverse alumni, and where relevant, their organisations use skills, knowledge and networks to contribute to sustainable development</w:t>
      </w:r>
      <w:r w:rsidR="00027010" w:rsidRPr="00226C43">
        <w:t>.</w:t>
      </w:r>
    </w:p>
    <w:p w14:paraId="5FE0F725" w14:textId="55FD28FF" w:rsidR="4DD21A85" w:rsidRPr="00226C43" w:rsidRDefault="4DD21A85" w:rsidP="00925CC1">
      <w:pPr>
        <w:pStyle w:val="ListParagraph"/>
        <w:numPr>
          <w:ilvl w:val="0"/>
          <w:numId w:val="36"/>
        </w:numPr>
        <w:rPr>
          <w:rFonts w:eastAsia="Aptos"/>
        </w:rPr>
      </w:pPr>
      <w:r w:rsidRPr="00226C43">
        <w:rPr>
          <w:rFonts w:eastAsia="Aptos"/>
          <w:b/>
          <w:bCs/>
        </w:rPr>
        <w:t>EOPO 2</w:t>
      </w:r>
      <w:r w:rsidRPr="00226C43">
        <w:rPr>
          <w:rFonts w:eastAsia="Aptos"/>
        </w:rPr>
        <w:t>: Diverse alumni have contributed to strengthening cooperation between the Philippines and Australia</w:t>
      </w:r>
      <w:r w:rsidR="00027010" w:rsidRPr="00226C43">
        <w:rPr>
          <w:rFonts w:eastAsia="Aptos"/>
        </w:rPr>
        <w:t>.</w:t>
      </w:r>
    </w:p>
    <w:p w14:paraId="65381DC2" w14:textId="1AAD5907" w:rsidR="005567AA" w:rsidRPr="00226C43" w:rsidRDefault="4DD21A85" w:rsidP="00B27CC8">
      <w:r w:rsidRPr="00226C43">
        <w:t xml:space="preserve">These EOPOs are delivered through IOs which in turn result from outputs and related throughputs. The program’s theory of change clearly identifies the causal relationships between these outputs and outcomes, ensuring that the program is focused on achieving its intended results. Monitoring and measurement of the achievement of these outputs and outcomes is guided by a comprehensive monitoring and evaluation strategy which collects and reports program results to assure achievement of the program’s outcomes. </w:t>
      </w:r>
    </w:p>
    <w:p w14:paraId="7798CA38" w14:textId="2B19E460" w:rsidR="005567AA" w:rsidRPr="00226C43" w:rsidRDefault="4DD21A85" w:rsidP="001723C1">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Key results</w:t>
      </w:r>
    </w:p>
    <w:p w14:paraId="1C965C15" w14:textId="0BD24723" w:rsidR="005567AA" w:rsidRPr="00226C43" w:rsidRDefault="4DD21A85" w:rsidP="4DD21A85">
      <w:pPr>
        <w:spacing w:line="259" w:lineRule="auto"/>
      </w:pPr>
      <w:r w:rsidRPr="00226C43">
        <w:t>Using the program’s MEL strategy, AAAEP</w:t>
      </w:r>
      <w:r w:rsidR="00234EE1" w:rsidRPr="00226C43">
        <w:t>–</w:t>
      </w:r>
      <w:r w:rsidRPr="00226C43">
        <w:t>P has clearly demonstrated the achievement of its outcomes, as indicated in the key results represented below</w:t>
      </w:r>
      <w:r w:rsidR="00B06119" w:rsidRPr="00226C43">
        <w:t xml:space="preserve"> for the period 2018 to 2022</w:t>
      </w:r>
      <w:r w:rsidRPr="00226C43">
        <w:t>.</w:t>
      </w:r>
    </w:p>
    <w:p w14:paraId="32BCE019" w14:textId="069A5055" w:rsidR="00D243F6" w:rsidRDefault="00EB280F" w:rsidP="00693AC8">
      <w:pPr>
        <w:pStyle w:val="Caption"/>
        <w:spacing w:after="0"/>
        <w:rPr>
          <w:color w:val="auto"/>
        </w:rPr>
      </w:pPr>
      <w:bookmarkStart w:id="22" w:name="_Toc190939902"/>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003735AF" w:rsidRPr="00226C43">
        <w:rPr>
          <w:noProof/>
          <w:color w:val="auto"/>
        </w:rPr>
        <w:t>4</w:t>
      </w:r>
      <w:r w:rsidR="000113F9" w:rsidRPr="00226C43">
        <w:rPr>
          <w:noProof/>
          <w:color w:val="auto"/>
        </w:rPr>
        <w:fldChar w:fldCharType="end"/>
      </w:r>
      <w:r w:rsidRPr="00226C43">
        <w:rPr>
          <w:color w:val="auto"/>
        </w:rPr>
        <w:t xml:space="preserve">: </w:t>
      </w:r>
      <w:r w:rsidR="0064432C" w:rsidRPr="00226C43">
        <w:rPr>
          <w:color w:val="auto"/>
        </w:rPr>
        <w:t>AAAEP–P</w:t>
      </w:r>
      <w:r w:rsidR="002A5744" w:rsidRPr="00226C43">
        <w:rPr>
          <w:color w:val="auto"/>
        </w:rPr>
        <w:t xml:space="preserve"> Performance Highlights</w:t>
      </w:r>
      <w:bookmarkEnd w:id="22"/>
    </w:p>
    <w:tbl>
      <w:tblPr>
        <w:tblStyle w:val="TableGrid"/>
        <w:tblW w:w="9016" w:type="dxa"/>
        <w:tblLook w:val="04A0" w:firstRow="1" w:lastRow="0" w:firstColumn="1" w:lastColumn="0" w:noHBand="0" w:noVBand="1"/>
      </w:tblPr>
      <w:tblGrid>
        <w:gridCol w:w="1980"/>
        <w:gridCol w:w="7036"/>
      </w:tblGrid>
      <w:tr w:rsidR="00915D9E" w14:paraId="02B91D3C" w14:textId="77777777" w:rsidTr="00610A3E">
        <w:trPr>
          <w:tblHeader/>
        </w:trPr>
        <w:tc>
          <w:tcPr>
            <w:tcW w:w="1980" w:type="dxa"/>
            <w:shd w:val="clear" w:color="auto" w:fill="E3DED1" w:themeFill="background2"/>
          </w:tcPr>
          <w:p w14:paraId="317A5BA7" w14:textId="231E4F27" w:rsidR="00915D9E" w:rsidRDefault="00915D9E" w:rsidP="0077217B">
            <w:pPr>
              <w:spacing w:after="0"/>
            </w:pPr>
            <w:r>
              <w:rPr>
                <w:b/>
                <w:sz w:val="20"/>
                <w:szCs w:val="20"/>
              </w:rPr>
              <w:t>EOPO</w:t>
            </w:r>
          </w:p>
        </w:tc>
        <w:tc>
          <w:tcPr>
            <w:tcW w:w="7036" w:type="dxa"/>
            <w:shd w:val="clear" w:color="auto" w:fill="E3DED1" w:themeFill="background2"/>
          </w:tcPr>
          <w:p w14:paraId="7CBDA04F" w14:textId="2F371DB4" w:rsidR="00915D9E" w:rsidRDefault="00915D9E" w:rsidP="0077217B">
            <w:pPr>
              <w:spacing w:after="0"/>
            </w:pPr>
            <w:r>
              <w:rPr>
                <w:b/>
                <w:sz w:val="20"/>
                <w:szCs w:val="20"/>
              </w:rPr>
              <w:t xml:space="preserve">Highlights </w:t>
            </w:r>
          </w:p>
        </w:tc>
      </w:tr>
      <w:tr w:rsidR="00915D9E" w14:paraId="6C2DCABC" w14:textId="77777777" w:rsidTr="0077217B">
        <w:tc>
          <w:tcPr>
            <w:tcW w:w="1980" w:type="dxa"/>
          </w:tcPr>
          <w:p w14:paraId="5CCF4443" w14:textId="77777777" w:rsidR="00915D9E" w:rsidRPr="00226C43" w:rsidRDefault="00915D9E" w:rsidP="0077217B">
            <w:pPr>
              <w:spacing w:after="0"/>
              <w:rPr>
                <w:b/>
                <w:sz w:val="20"/>
                <w:szCs w:val="20"/>
              </w:rPr>
            </w:pPr>
            <w:r w:rsidRPr="00226C43">
              <w:rPr>
                <w:b/>
                <w:sz w:val="20"/>
                <w:szCs w:val="20"/>
              </w:rPr>
              <w:t>1: Use of Skills and Knowledge</w:t>
            </w:r>
          </w:p>
          <w:p w14:paraId="1ACECA1A" w14:textId="77777777" w:rsidR="00915D9E" w:rsidRDefault="00915D9E" w:rsidP="0077217B">
            <w:pPr>
              <w:spacing w:after="0"/>
            </w:pPr>
          </w:p>
        </w:tc>
        <w:tc>
          <w:tcPr>
            <w:tcW w:w="7036" w:type="dxa"/>
          </w:tcPr>
          <w:p w14:paraId="707B59C1" w14:textId="77777777" w:rsidR="00915D9E" w:rsidRPr="00226C43" w:rsidRDefault="00915D9E" w:rsidP="0077217B">
            <w:pPr>
              <w:numPr>
                <w:ilvl w:val="0"/>
                <w:numId w:val="40"/>
              </w:numPr>
              <w:spacing w:after="0"/>
              <w:rPr>
                <w:sz w:val="20"/>
                <w:szCs w:val="20"/>
              </w:rPr>
            </w:pPr>
            <w:r w:rsidRPr="00226C43">
              <w:rPr>
                <w:b/>
                <w:sz w:val="20"/>
                <w:szCs w:val="20"/>
              </w:rPr>
              <w:t>100% (1,427)</w:t>
            </w:r>
            <w:r w:rsidRPr="00226C43">
              <w:rPr>
                <w:sz w:val="20"/>
                <w:szCs w:val="20"/>
              </w:rPr>
              <w:t> of alumni with a Re-Entry Action Plan (REAP) are implementing their REAPs.</w:t>
            </w:r>
          </w:p>
          <w:p w14:paraId="64367439" w14:textId="77777777" w:rsidR="0077217B" w:rsidRDefault="00915D9E" w:rsidP="0077217B">
            <w:pPr>
              <w:numPr>
                <w:ilvl w:val="0"/>
                <w:numId w:val="40"/>
              </w:numPr>
              <w:spacing w:after="0"/>
              <w:rPr>
                <w:sz w:val="20"/>
                <w:szCs w:val="20"/>
              </w:rPr>
            </w:pPr>
            <w:r w:rsidRPr="00226C43">
              <w:rPr>
                <w:b/>
                <w:sz w:val="20"/>
                <w:szCs w:val="20"/>
              </w:rPr>
              <w:t>100% (11)</w:t>
            </w:r>
            <w:r w:rsidRPr="00226C43">
              <w:rPr>
                <w:sz w:val="20"/>
                <w:szCs w:val="20"/>
              </w:rPr>
              <w:t> of partner organisations (POs) are using the REAP outputs.</w:t>
            </w:r>
          </w:p>
          <w:p w14:paraId="70910A1B" w14:textId="174C466D" w:rsidR="00915D9E" w:rsidRPr="0077217B" w:rsidRDefault="00915D9E" w:rsidP="0077217B">
            <w:pPr>
              <w:numPr>
                <w:ilvl w:val="0"/>
                <w:numId w:val="40"/>
              </w:numPr>
              <w:spacing w:after="0"/>
              <w:rPr>
                <w:sz w:val="20"/>
                <w:szCs w:val="20"/>
              </w:rPr>
            </w:pPr>
            <w:r w:rsidRPr="0077217B">
              <w:rPr>
                <w:sz w:val="20"/>
                <w:szCs w:val="20"/>
              </w:rPr>
              <w:t>A total of </w:t>
            </w:r>
            <w:r w:rsidRPr="0077217B">
              <w:rPr>
                <w:b/>
                <w:sz w:val="20"/>
                <w:szCs w:val="20"/>
              </w:rPr>
              <w:t>44 alumni</w:t>
            </w:r>
            <w:r w:rsidRPr="0077217B">
              <w:rPr>
                <w:sz w:val="20"/>
                <w:szCs w:val="20"/>
              </w:rPr>
              <w:t> have completed (27) or are currently implementing (17) their AGS projects.</w:t>
            </w:r>
          </w:p>
        </w:tc>
      </w:tr>
      <w:tr w:rsidR="00915D9E" w14:paraId="5AABCCF5" w14:textId="77777777" w:rsidTr="0077217B">
        <w:tc>
          <w:tcPr>
            <w:tcW w:w="1980" w:type="dxa"/>
          </w:tcPr>
          <w:p w14:paraId="167AA7EB" w14:textId="77777777" w:rsidR="00915D9E" w:rsidRPr="00226C43" w:rsidRDefault="00915D9E" w:rsidP="0077217B">
            <w:pPr>
              <w:spacing w:after="0"/>
              <w:rPr>
                <w:b/>
                <w:sz w:val="20"/>
                <w:szCs w:val="20"/>
              </w:rPr>
            </w:pPr>
            <w:r w:rsidRPr="00226C43">
              <w:rPr>
                <w:b/>
                <w:sz w:val="20"/>
                <w:szCs w:val="20"/>
              </w:rPr>
              <w:t>2: Key Sectors and Key Positions</w:t>
            </w:r>
          </w:p>
          <w:p w14:paraId="4EDA3AE9" w14:textId="77777777" w:rsidR="00915D9E" w:rsidRDefault="00915D9E" w:rsidP="0077217B">
            <w:pPr>
              <w:spacing w:after="0"/>
            </w:pPr>
          </w:p>
        </w:tc>
        <w:tc>
          <w:tcPr>
            <w:tcW w:w="7036" w:type="dxa"/>
          </w:tcPr>
          <w:p w14:paraId="4471A9EF" w14:textId="77777777" w:rsidR="00915D9E" w:rsidRPr="00226C43" w:rsidRDefault="00915D9E" w:rsidP="0077217B">
            <w:pPr>
              <w:numPr>
                <w:ilvl w:val="0"/>
                <w:numId w:val="41"/>
              </w:numPr>
              <w:spacing w:after="0"/>
              <w:rPr>
                <w:sz w:val="20"/>
                <w:szCs w:val="20"/>
              </w:rPr>
            </w:pPr>
            <w:r w:rsidRPr="00226C43">
              <w:rPr>
                <w:b/>
                <w:sz w:val="20"/>
                <w:szCs w:val="20"/>
              </w:rPr>
              <w:t>100% (2,366)</w:t>
            </w:r>
            <w:r w:rsidRPr="00226C43">
              <w:rPr>
                <w:sz w:val="20"/>
                <w:szCs w:val="20"/>
              </w:rPr>
              <w:t> of alumni are in key sectors.</w:t>
            </w:r>
          </w:p>
          <w:p w14:paraId="39B01030" w14:textId="77777777" w:rsidR="0077217B" w:rsidRDefault="00915D9E" w:rsidP="0077217B">
            <w:pPr>
              <w:numPr>
                <w:ilvl w:val="0"/>
                <w:numId w:val="41"/>
              </w:numPr>
              <w:spacing w:after="0"/>
              <w:rPr>
                <w:sz w:val="20"/>
                <w:szCs w:val="20"/>
              </w:rPr>
            </w:pPr>
            <w:r w:rsidRPr="00226C43">
              <w:rPr>
                <w:b/>
                <w:sz w:val="20"/>
                <w:szCs w:val="20"/>
              </w:rPr>
              <w:t>97% (1,375 of 1,420)</w:t>
            </w:r>
            <w:r w:rsidRPr="00226C43">
              <w:rPr>
                <w:sz w:val="20"/>
                <w:szCs w:val="20"/>
              </w:rPr>
              <w:t> of alumni are in key positions.</w:t>
            </w:r>
          </w:p>
          <w:p w14:paraId="2EC67030" w14:textId="7D36C853" w:rsidR="00915D9E" w:rsidRPr="0077217B" w:rsidRDefault="00915D9E" w:rsidP="0077217B">
            <w:pPr>
              <w:numPr>
                <w:ilvl w:val="0"/>
                <w:numId w:val="41"/>
              </w:numPr>
              <w:spacing w:after="0"/>
              <w:rPr>
                <w:sz w:val="20"/>
                <w:szCs w:val="20"/>
              </w:rPr>
            </w:pPr>
            <w:r w:rsidRPr="0077217B">
              <w:rPr>
                <w:b/>
                <w:sz w:val="20"/>
                <w:szCs w:val="20"/>
              </w:rPr>
              <w:t>161 alumni</w:t>
            </w:r>
            <w:r w:rsidRPr="0077217B">
              <w:rPr>
                <w:sz w:val="20"/>
                <w:szCs w:val="20"/>
              </w:rPr>
              <w:t> in Climate Change Adaptation, Environment, Disaster Risk Reduction.</w:t>
            </w:r>
          </w:p>
        </w:tc>
      </w:tr>
      <w:tr w:rsidR="00915D9E" w14:paraId="6AAB6207" w14:textId="77777777" w:rsidTr="0077217B">
        <w:tc>
          <w:tcPr>
            <w:tcW w:w="1980" w:type="dxa"/>
          </w:tcPr>
          <w:p w14:paraId="7A889339" w14:textId="77777777" w:rsidR="00915D9E" w:rsidRPr="00226C43" w:rsidRDefault="00915D9E" w:rsidP="0077217B">
            <w:pPr>
              <w:spacing w:after="0"/>
              <w:rPr>
                <w:b/>
                <w:sz w:val="20"/>
                <w:szCs w:val="20"/>
              </w:rPr>
            </w:pPr>
            <w:r w:rsidRPr="00226C43">
              <w:rPr>
                <w:b/>
                <w:sz w:val="20"/>
                <w:szCs w:val="20"/>
              </w:rPr>
              <w:t>3: Links and Partnerships</w:t>
            </w:r>
          </w:p>
          <w:p w14:paraId="75C64588" w14:textId="77777777" w:rsidR="00915D9E" w:rsidRDefault="00915D9E" w:rsidP="0077217B">
            <w:pPr>
              <w:spacing w:after="0"/>
            </w:pPr>
          </w:p>
        </w:tc>
        <w:tc>
          <w:tcPr>
            <w:tcW w:w="7036" w:type="dxa"/>
          </w:tcPr>
          <w:p w14:paraId="68D1CA8A" w14:textId="77777777" w:rsidR="0077217B" w:rsidRDefault="00915D9E" w:rsidP="0077217B">
            <w:pPr>
              <w:numPr>
                <w:ilvl w:val="0"/>
                <w:numId w:val="42"/>
              </w:numPr>
              <w:spacing w:after="0"/>
              <w:rPr>
                <w:sz w:val="20"/>
                <w:szCs w:val="20"/>
              </w:rPr>
            </w:pPr>
            <w:r w:rsidRPr="00226C43">
              <w:rPr>
                <w:b/>
                <w:sz w:val="20"/>
                <w:szCs w:val="20"/>
              </w:rPr>
              <w:t>5 partnerships</w:t>
            </w:r>
            <w:r w:rsidRPr="00226C43">
              <w:rPr>
                <w:sz w:val="20"/>
                <w:szCs w:val="20"/>
              </w:rPr>
              <w:t> that were previously established through short courses are still active.</w:t>
            </w:r>
          </w:p>
          <w:p w14:paraId="37078542" w14:textId="4D76FCEC" w:rsidR="00915D9E" w:rsidRPr="0077217B" w:rsidRDefault="00915D9E" w:rsidP="0077217B">
            <w:pPr>
              <w:numPr>
                <w:ilvl w:val="0"/>
                <w:numId w:val="42"/>
              </w:numPr>
              <w:spacing w:after="0"/>
              <w:rPr>
                <w:sz w:val="20"/>
                <w:szCs w:val="20"/>
              </w:rPr>
            </w:pPr>
            <w:r w:rsidRPr="0077217B">
              <w:rPr>
                <w:b/>
                <w:sz w:val="20"/>
                <w:szCs w:val="20"/>
              </w:rPr>
              <w:lastRenderedPageBreak/>
              <w:t>62%</w:t>
            </w:r>
            <w:r w:rsidRPr="0077217B">
              <w:rPr>
                <w:sz w:val="20"/>
                <w:szCs w:val="20"/>
              </w:rPr>
              <w:t> of alumni have contributed to promoting business linkages and private sector engagements (2021 Tracer Study).</w:t>
            </w:r>
          </w:p>
        </w:tc>
      </w:tr>
      <w:tr w:rsidR="00915D9E" w14:paraId="498DA499" w14:textId="77777777" w:rsidTr="0077217B">
        <w:tc>
          <w:tcPr>
            <w:tcW w:w="1980" w:type="dxa"/>
          </w:tcPr>
          <w:p w14:paraId="6484DC07" w14:textId="77777777" w:rsidR="00915D9E" w:rsidRPr="00226C43" w:rsidRDefault="00915D9E" w:rsidP="0077217B">
            <w:pPr>
              <w:spacing w:after="0"/>
              <w:rPr>
                <w:b/>
                <w:sz w:val="20"/>
                <w:szCs w:val="20"/>
              </w:rPr>
            </w:pPr>
            <w:r w:rsidRPr="00226C43">
              <w:rPr>
                <w:b/>
                <w:sz w:val="20"/>
                <w:szCs w:val="20"/>
              </w:rPr>
              <w:lastRenderedPageBreak/>
              <w:t>4: Perception</w:t>
            </w:r>
          </w:p>
          <w:p w14:paraId="5AFCD5EE" w14:textId="77777777" w:rsidR="00915D9E" w:rsidRDefault="00915D9E" w:rsidP="0077217B">
            <w:pPr>
              <w:spacing w:after="0"/>
            </w:pPr>
          </w:p>
        </w:tc>
        <w:tc>
          <w:tcPr>
            <w:tcW w:w="7036" w:type="dxa"/>
          </w:tcPr>
          <w:p w14:paraId="3FE4D96E" w14:textId="77777777" w:rsidR="0077217B" w:rsidRDefault="00915D9E" w:rsidP="0077217B">
            <w:pPr>
              <w:numPr>
                <w:ilvl w:val="0"/>
                <w:numId w:val="43"/>
              </w:numPr>
              <w:spacing w:after="0"/>
              <w:rPr>
                <w:sz w:val="20"/>
                <w:szCs w:val="20"/>
              </w:rPr>
            </w:pPr>
            <w:r w:rsidRPr="00226C43">
              <w:rPr>
                <w:b/>
                <w:sz w:val="20"/>
                <w:szCs w:val="20"/>
              </w:rPr>
              <w:t>100% (1,299)</w:t>
            </w:r>
            <w:r w:rsidRPr="00226C43">
              <w:rPr>
                <w:sz w:val="20"/>
                <w:szCs w:val="20"/>
              </w:rPr>
              <w:t> of beneficiaries that were surveyed have positive views of Australia, Australians, and Australian expertise.</w:t>
            </w:r>
          </w:p>
          <w:p w14:paraId="0D2A6EEC" w14:textId="0BF30855" w:rsidR="00915D9E" w:rsidRPr="0077217B" w:rsidRDefault="00915D9E" w:rsidP="0077217B">
            <w:pPr>
              <w:numPr>
                <w:ilvl w:val="0"/>
                <w:numId w:val="43"/>
              </w:numPr>
              <w:spacing w:after="0"/>
              <w:rPr>
                <w:sz w:val="20"/>
                <w:szCs w:val="20"/>
              </w:rPr>
            </w:pPr>
            <w:r w:rsidRPr="0077217B">
              <w:rPr>
                <w:b/>
                <w:sz w:val="20"/>
                <w:szCs w:val="20"/>
              </w:rPr>
              <w:t>99.</w:t>
            </w:r>
            <w:r w:rsidR="0077217B">
              <w:rPr>
                <w:b/>
                <w:sz w:val="20"/>
                <w:szCs w:val="20"/>
              </w:rPr>
              <w:t>5</w:t>
            </w:r>
            <w:r w:rsidRPr="0077217B">
              <w:rPr>
                <w:b/>
                <w:sz w:val="20"/>
                <w:szCs w:val="20"/>
              </w:rPr>
              <w:t>%</w:t>
            </w:r>
            <w:r w:rsidRPr="0077217B">
              <w:rPr>
                <w:sz w:val="20"/>
                <w:szCs w:val="20"/>
              </w:rPr>
              <w:t> of 2023 Tracer Study respondents have positive views of Australia, Australians, and Australian expertise.</w:t>
            </w:r>
          </w:p>
        </w:tc>
      </w:tr>
      <w:tr w:rsidR="00915D9E" w14:paraId="49FB4F76" w14:textId="77777777" w:rsidTr="0077217B">
        <w:tc>
          <w:tcPr>
            <w:tcW w:w="1980" w:type="dxa"/>
          </w:tcPr>
          <w:p w14:paraId="57F9EF27" w14:textId="77777777" w:rsidR="00915D9E" w:rsidRPr="00226C43" w:rsidRDefault="00915D9E" w:rsidP="0077217B">
            <w:pPr>
              <w:spacing w:after="0"/>
              <w:rPr>
                <w:b/>
                <w:sz w:val="20"/>
                <w:szCs w:val="20"/>
              </w:rPr>
            </w:pPr>
            <w:r w:rsidRPr="00226C43">
              <w:rPr>
                <w:b/>
                <w:sz w:val="20"/>
                <w:szCs w:val="20"/>
              </w:rPr>
              <w:t>5: GEDSI</w:t>
            </w:r>
          </w:p>
          <w:p w14:paraId="009E2D7B" w14:textId="77777777" w:rsidR="00915D9E" w:rsidRDefault="00915D9E" w:rsidP="0077217B">
            <w:pPr>
              <w:spacing w:after="0"/>
            </w:pPr>
          </w:p>
        </w:tc>
        <w:tc>
          <w:tcPr>
            <w:tcW w:w="7036" w:type="dxa"/>
          </w:tcPr>
          <w:p w14:paraId="042146BA" w14:textId="77777777" w:rsidR="00915D9E" w:rsidRPr="00226C43" w:rsidRDefault="00915D9E" w:rsidP="0077217B">
            <w:pPr>
              <w:numPr>
                <w:ilvl w:val="0"/>
                <w:numId w:val="44"/>
              </w:numPr>
              <w:spacing w:after="0"/>
              <w:rPr>
                <w:sz w:val="20"/>
                <w:szCs w:val="20"/>
              </w:rPr>
            </w:pPr>
            <w:r w:rsidRPr="00226C43">
              <w:rPr>
                <w:b/>
                <w:sz w:val="20"/>
                <w:szCs w:val="20"/>
              </w:rPr>
              <w:t>1,410 women</w:t>
            </w:r>
            <w:r w:rsidRPr="00226C43">
              <w:rPr>
                <w:sz w:val="20"/>
                <w:szCs w:val="20"/>
              </w:rPr>
              <w:t> and </w:t>
            </w:r>
            <w:r w:rsidRPr="00226C43">
              <w:rPr>
                <w:b/>
                <w:sz w:val="20"/>
                <w:szCs w:val="20"/>
              </w:rPr>
              <w:t>1,034 men</w:t>
            </w:r>
            <w:r w:rsidRPr="00226C43">
              <w:rPr>
                <w:sz w:val="20"/>
                <w:szCs w:val="20"/>
              </w:rPr>
              <w:t> directly benefitted from the program.</w:t>
            </w:r>
          </w:p>
          <w:p w14:paraId="0BA31175" w14:textId="77777777" w:rsidR="00915D9E" w:rsidRPr="00226C43" w:rsidRDefault="00915D9E" w:rsidP="0077217B">
            <w:pPr>
              <w:numPr>
                <w:ilvl w:val="0"/>
                <w:numId w:val="44"/>
              </w:numPr>
              <w:spacing w:after="0"/>
              <w:rPr>
                <w:sz w:val="20"/>
                <w:szCs w:val="20"/>
              </w:rPr>
            </w:pPr>
            <w:r w:rsidRPr="00226C43">
              <w:rPr>
                <w:b/>
                <w:sz w:val="20"/>
                <w:szCs w:val="20"/>
              </w:rPr>
              <w:t>9 PWDs</w:t>
            </w:r>
            <w:r w:rsidRPr="00226C43">
              <w:rPr>
                <w:sz w:val="20"/>
                <w:szCs w:val="20"/>
              </w:rPr>
              <w:t> and </w:t>
            </w:r>
            <w:r w:rsidRPr="00226C43">
              <w:rPr>
                <w:b/>
                <w:sz w:val="20"/>
                <w:szCs w:val="20"/>
              </w:rPr>
              <w:t>49 IPs</w:t>
            </w:r>
            <w:r w:rsidRPr="00226C43">
              <w:rPr>
                <w:sz w:val="20"/>
                <w:szCs w:val="20"/>
              </w:rPr>
              <w:t> directly benefitted from the program.</w:t>
            </w:r>
          </w:p>
          <w:p w14:paraId="547A7B15" w14:textId="77777777" w:rsidR="0077217B" w:rsidRDefault="00915D9E" w:rsidP="0077217B">
            <w:pPr>
              <w:numPr>
                <w:ilvl w:val="0"/>
                <w:numId w:val="44"/>
              </w:numPr>
              <w:spacing w:after="0"/>
              <w:rPr>
                <w:sz w:val="20"/>
                <w:szCs w:val="20"/>
              </w:rPr>
            </w:pPr>
            <w:r w:rsidRPr="00226C43">
              <w:rPr>
                <w:b/>
                <w:sz w:val="20"/>
                <w:szCs w:val="20"/>
              </w:rPr>
              <w:t>150 REAPs</w:t>
            </w:r>
            <w:r w:rsidRPr="00226C43">
              <w:rPr>
                <w:sz w:val="20"/>
                <w:szCs w:val="20"/>
              </w:rPr>
              <w:t> contributing to gender equality issues.</w:t>
            </w:r>
          </w:p>
          <w:p w14:paraId="16084E04" w14:textId="6A1220A0" w:rsidR="00915D9E" w:rsidRPr="0077217B" w:rsidRDefault="00915D9E" w:rsidP="0077217B">
            <w:pPr>
              <w:numPr>
                <w:ilvl w:val="0"/>
                <w:numId w:val="44"/>
              </w:numPr>
              <w:spacing w:after="0"/>
              <w:rPr>
                <w:sz w:val="20"/>
                <w:szCs w:val="20"/>
              </w:rPr>
            </w:pPr>
            <w:r w:rsidRPr="0077217B">
              <w:rPr>
                <w:b/>
                <w:sz w:val="20"/>
                <w:szCs w:val="20"/>
              </w:rPr>
              <w:t>16 REAPs</w:t>
            </w:r>
            <w:r w:rsidRPr="0077217B">
              <w:rPr>
                <w:sz w:val="20"/>
                <w:szCs w:val="20"/>
              </w:rPr>
              <w:t> contributing to PWD issues.</w:t>
            </w:r>
          </w:p>
        </w:tc>
      </w:tr>
    </w:tbl>
    <w:p w14:paraId="151CF8E6" w14:textId="77777777" w:rsidR="00AF2E33" w:rsidRPr="00226C43" w:rsidRDefault="00AF2E33" w:rsidP="00AF2E33">
      <w:pPr>
        <w:spacing w:after="0"/>
      </w:pPr>
    </w:p>
    <w:p w14:paraId="748728EE" w14:textId="688017C6" w:rsidR="00ED13C1" w:rsidRPr="00226C43" w:rsidRDefault="003B7542" w:rsidP="003B7542">
      <w:r w:rsidRPr="00226C43">
        <w:t xml:space="preserve">The </w:t>
      </w:r>
      <w:r w:rsidR="00034245" w:rsidRPr="00226C43">
        <w:t xml:space="preserve">figure above shows the </w:t>
      </w:r>
      <w:r w:rsidRPr="00226C43">
        <w:t xml:space="preserve">program’s significant progress across all EOPOs. </w:t>
      </w:r>
    </w:p>
    <w:p w14:paraId="068AD2D7" w14:textId="36EB8C59" w:rsidR="003B7542" w:rsidRPr="00226C43" w:rsidRDefault="003B7542" w:rsidP="003B7542">
      <w:r w:rsidRPr="00226C43">
        <w:rPr>
          <w:b/>
          <w:bCs/>
        </w:rPr>
        <w:t>EOPO1 (Use of Skills and Knowledge)</w:t>
      </w:r>
      <w:r w:rsidRPr="00226C43">
        <w:t xml:space="preserve"> 100% of alumni and partner organisations utilising REAP outputs highlight</w:t>
      </w:r>
      <w:r w:rsidR="00E76F85" w:rsidRPr="00226C43">
        <w:t>s</w:t>
      </w:r>
      <w:r w:rsidRPr="00226C43">
        <w:t xml:space="preserve"> the </w:t>
      </w:r>
      <w:r w:rsidR="00E76F85" w:rsidRPr="00226C43">
        <w:t xml:space="preserve">program’s </w:t>
      </w:r>
      <w:r w:rsidRPr="00226C43">
        <w:t xml:space="preserve">importance </w:t>
      </w:r>
      <w:r w:rsidR="00E76F85" w:rsidRPr="00226C43">
        <w:t xml:space="preserve">in </w:t>
      </w:r>
      <w:r w:rsidRPr="00226C43">
        <w:t xml:space="preserve">institutionalising these outcomes for long-term impact. </w:t>
      </w:r>
    </w:p>
    <w:p w14:paraId="2581DB75" w14:textId="415FC281" w:rsidR="003B7542" w:rsidRPr="00226C43" w:rsidRDefault="003B7542" w:rsidP="003B7542">
      <w:r w:rsidRPr="00226C43">
        <w:rPr>
          <w:b/>
          <w:bCs/>
        </w:rPr>
        <w:t>EOPO2 (Key Sectors and Key Positions)</w:t>
      </w:r>
      <w:r w:rsidRPr="00226C43">
        <w:t xml:space="preserve"> </w:t>
      </w:r>
      <w:r w:rsidR="001B4679" w:rsidRPr="00226C43">
        <w:t>S</w:t>
      </w:r>
      <w:r w:rsidRPr="00226C43">
        <w:t>trong alumni representation in key sectors and leadership positions, including areas such as Climate Change Adaptation and Disaster Risk Reduction</w:t>
      </w:r>
      <w:r w:rsidR="001444EC" w:rsidRPr="00226C43">
        <w:t>. Th</w:t>
      </w:r>
      <w:r w:rsidR="009D2CCC" w:rsidRPr="00226C43">
        <w:t xml:space="preserve">is </w:t>
      </w:r>
      <w:r w:rsidRPr="00226C43">
        <w:t>present</w:t>
      </w:r>
      <w:r w:rsidR="009D2CCC" w:rsidRPr="00226C43">
        <w:t>s</w:t>
      </w:r>
      <w:r w:rsidRPr="00226C43">
        <w:t xml:space="preserve"> an opportunity to further leverage alumni influence to address critical development challenges. </w:t>
      </w:r>
    </w:p>
    <w:p w14:paraId="2D8696D7" w14:textId="62222074" w:rsidR="003B7542" w:rsidRPr="00226C43" w:rsidRDefault="003B7542" w:rsidP="003B7542">
      <w:r w:rsidRPr="00226C43">
        <w:rPr>
          <w:b/>
          <w:bCs/>
        </w:rPr>
        <w:t>EOPO3 (Links and Partnerships)</w:t>
      </w:r>
      <w:r w:rsidRPr="00226C43">
        <w:t xml:space="preserve"> 62% of alumni contributing to private sector engagements show</w:t>
      </w:r>
      <w:r w:rsidR="00011D9D" w:rsidRPr="00226C43">
        <w:t>s</w:t>
      </w:r>
      <w:r w:rsidRPr="00226C43">
        <w:t xml:space="preserve"> the</w:t>
      </w:r>
      <w:r w:rsidR="00DF6323" w:rsidRPr="00226C43">
        <w:t xml:space="preserve"> program’s contribution to fostering active partnerships and business links, and d</w:t>
      </w:r>
      <w:r w:rsidRPr="00226C43">
        <w:t>eepen</w:t>
      </w:r>
      <w:r w:rsidR="00DF6323" w:rsidRPr="00226C43">
        <w:t>ing</w:t>
      </w:r>
      <w:r w:rsidRPr="00226C43">
        <w:t xml:space="preserve"> collaborations for greater economic and developmental benefits. </w:t>
      </w:r>
    </w:p>
    <w:p w14:paraId="62C6FAA2" w14:textId="1098217A" w:rsidR="003B7542" w:rsidRPr="00226C43" w:rsidRDefault="003B7542" w:rsidP="003B7542">
      <w:r w:rsidRPr="00226C43">
        <w:rPr>
          <w:b/>
          <w:bCs/>
        </w:rPr>
        <w:t>EOPO4 (Perception)</w:t>
      </w:r>
      <w:r w:rsidRPr="00226C43">
        <w:t xml:space="preserve"> </w:t>
      </w:r>
      <w:r w:rsidR="00A84AF0" w:rsidRPr="00226C43">
        <w:t xml:space="preserve">100% of beneficiaries and 99.46% of </w:t>
      </w:r>
      <w:r w:rsidR="00913834" w:rsidRPr="00226C43">
        <w:t xml:space="preserve">Tracer Study </w:t>
      </w:r>
      <w:r w:rsidR="2EBFD840" w:rsidRPr="00226C43">
        <w:t>Respondents</w:t>
      </w:r>
      <w:r w:rsidR="00913834" w:rsidRPr="00226C43">
        <w:t xml:space="preserve"> having a positive view of Australia, Australians and Australian expertise </w:t>
      </w:r>
      <w:r w:rsidRPr="00226C43">
        <w:t>highlights the overwhelmingly positive perception of Australia and its expertise</w:t>
      </w:r>
      <w:r w:rsidR="00913834" w:rsidRPr="00226C43">
        <w:t xml:space="preserve">. This </w:t>
      </w:r>
      <w:r w:rsidRPr="00226C43">
        <w:t xml:space="preserve">can be further leveraged to strengthen public diplomacy and policy engagement with Philippine stakeholders. </w:t>
      </w:r>
    </w:p>
    <w:p w14:paraId="552D8193" w14:textId="0534001D" w:rsidR="00F86DF7" w:rsidRPr="00226C43" w:rsidRDefault="003B7542" w:rsidP="003B7542">
      <w:r w:rsidRPr="00226C43">
        <w:t xml:space="preserve">Finally, </w:t>
      </w:r>
      <w:r w:rsidR="00CE03D9" w:rsidRPr="00226C43">
        <w:t xml:space="preserve">for </w:t>
      </w:r>
      <w:r w:rsidRPr="00226C43">
        <w:rPr>
          <w:b/>
          <w:bCs/>
        </w:rPr>
        <w:t>EOPO5 (GEDSI)</w:t>
      </w:r>
      <w:r w:rsidRPr="00226C43">
        <w:t xml:space="preserve"> notable achievements </w:t>
      </w:r>
      <w:r w:rsidR="00BA6292" w:rsidRPr="00226C43">
        <w:t xml:space="preserve">were made </w:t>
      </w:r>
      <w:r w:rsidRPr="00226C43">
        <w:t xml:space="preserve">promoting </w:t>
      </w:r>
      <w:r w:rsidR="005E49A2" w:rsidRPr="00226C43">
        <w:t>GEDSI</w:t>
      </w:r>
      <w:r w:rsidRPr="00226C43">
        <w:t>, and support</w:t>
      </w:r>
      <w:r w:rsidR="00BA6292" w:rsidRPr="00226C43">
        <w:t>ing</w:t>
      </w:r>
      <w:r w:rsidRPr="00226C43">
        <w:t xml:space="preserve"> Indigenous Peoples</w:t>
      </w:r>
      <w:r w:rsidR="00BA6292" w:rsidRPr="00226C43">
        <w:t xml:space="preserve"> through participation</w:t>
      </w:r>
      <w:r w:rsidR="006162CA" w:rsidRPr="00226C43">
        <w:t xml:space="preserve"> </w:t>
      </w:r>
      <w:r w:rsidR="001D2CD3" w:rsidRPr="00226C43">
        <w:t xml:space="preserve">of people with disability and </w:t>
      </w:r>
      <w:r w:rsidR="00632AF2" w:rsidRPr="00226C43">
        <w:t>Indigenous</w:t>
      </w:r>
      <w:r w:rsidR="001D2CD3" w:rsidRPr="00226C43">
        <w:t xml:space="preserve"> persons, and through </w:t>
      </w:r>
      <w:r w:rsidR="0036493F" w:rsidRPr="00226C43">
        <w:t xml:space="preserve">150 </w:t>
      </w:r>
      <w:r w:rsidR="001D2CD3" w:rsidRPr="00226C43">
        <w:t xml:space="preserve">REAPs </w:t>
      </w:r>
      <w:r w:rsidR="0036493F" w:rsidRPr="00226C43">
        <w:t xml:space="preserve">contributing to gender equality and 15 </w:t>
      </w:r>
      <w:r w:rsidR="00F40B32" w:rsidRPr="00226C43">
        <w:t>REAP</w:t>
      </w:r>
      <w:r w:rsidR="0036493F" w:rsidRPr="00226C43">
        <w:t xml:space="preserve">s contributing to disability </w:t>
      </w:r>
      <w:r w:rsidR="004B697F" w:rsidRPr="00226C43">
        <w:t>inclusion.</w:t>
      </w:r>
      <w:r w:rsidR="0078429F" w:rsidRPr="00226C43">
        <w:t xml:space="preserve"> </w:t>
      </w:r>
      <w:r w:rsidR="004B697F" w:rsidRPr="00226C43">
        <w:t xml:space="preserve">This demonstrates the program’s </w:t>
      </w:r>
      <w:r w:rsidR="00632AF2" w:rsidRPr="00226C43">
        <w:t>s</w:t>
      </w:r>
      <w:r w:rsidRPr="00226C43">
        <w:t xml:space="preserve">trong focus on inclusivity and addressing remaining systemic barriers. </w:t>
      </w:r>
    </w:p>
    <w:p w14:paraId="4297CFA1" w14:textId="657CD299" w:rsidR="002853A5" w:rsidRPr="00226C43" w:rsidRDefault="4DD21A85" w:rsidP="00BF0FC1">
      <w:pPr>
        <w:pStyle w:val="Heading4"/>
        <w:rPr>
          <w:rFonts w:asciiTheme="minorHAnsi" w:hAnsiTheme="minorHAnsi"/>
          <w:color w:val="auto"/>
        </w:rPr>
      </w:pPr>
      <w:r w:rsidRPr="00226C43">
        <w:rPr>
          <w:rFonts w:asciiTheme="minorHAnsi" w:hAnsiTheme="minorHAnsi"/>
          <w:color w:val="auto"/>
        </w:rPr>
        <w:t>Australia Awards Scholarships</w:t>
      </w:r>
    </w:p>
    <w:p w14:paraId="5FC9F6E4" w14:textId="36F51CF2" w:rsidR="4DD21A85" w:rsidRPr="00226C43" w:rsidRDefault="4DD21A85" w:rsidP="4DD21A85">
      <w:pPr>
        <w:spacing w:line="259" w:lineRule="auto"/>
      </w:pPr>
      <w:r w:rsidRPr="00226C43">
        <w:t>The results achieved for the delivery of scholarships for the period 2018–202</w:t>
      </w:r>
      <w:r w:rsidR="00173B7B" w:rsidRPr="00226C43">
        <w:t>4</w:t>
      </w:r>
      <w:r w:rsidRPr="00226C43">
        <w:t xml:space="preserve"> are shown in the </w:t>
      </w:r>
      <w:r w:rsidR="002A5744" w:rsidRPr="00226C43">
        <w:t xml:space="preserve">table </w:t>
      </w:r>
      <w:r w:rsidRPr="00226C43">
        <w:t>below.</w:t>
      </w:r>
    </w:p>
    <w:p w14:paraId="2569E4F0" w14:textId="590AED9B" w:rsidR="00596832" w:rsidRPr="00226C43" w:rsidRDefault="009F0288" w:rsidP="00742F7B">
      <w:pPr>
        <w:pStyle w:val="Caption"/>
        <w:spacing w:after="0"/>
        <w:rPr>
          <w:color w:val="auto"/>
        </w:rPr>
      </w:pPr>
      <w:bookmarkStart w:id="23" w:name="_Toc190939903"/>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003735AF" w:rsidRPr="00226C43">
        <w:rPr>
          <w:noProof/>
          <w:color w:val="auto"/>
        </w:rPr>
        <w:t>5</w:t>
      </w:r>
      <w:r w:rsidR="000113F9" w:rsidRPr="00226C43">
        <w:rPr>
          <w:noProof/>
          <w:color w:val="auto"/>
        </w:rPr>
        <w:fldChar w:fldCharType="end"/>
      </w:r>
      <w:r w:rsidRPr="00226C43">
        <w:rPr>
          <w:color w:val="auto"/>
        </w:rPr>
        <w:t>: Australia Awards – In Australia Scholarships Data</w:t>
      </w:r>
      <w:bookmarkEnd w:id="23"/>
      <w:r w:rsidR="008A5CC3" w:rsidRPr="00226C43">
        <w:rPr>
          <w:color w:val="auto"/>
        </w:rPr>
        <w:t xml:space="preserve"> (by Intake, Gender, IP, and PWD)</w:t>
      </w:r>
    </w:p>
    <w:tbl>
      <w:tblPr>
        <w:tblStyle w:val="TableGrid"/>
        <w:tblW w:w="0" w:type="auto"/>
        <w:jc w:val="center"/>
        <w:tblLayout w:type="fixed"/>
        <w:tblLook w:val="06A0" w:firstRow="1" w:lastRow="0" w:firstColumn="1" w:lastColumn="0" w:noHBand="1" w:noVBand="1"/>
      </w:tblPr>
      <w:tblGrid>
        <w:gridCol w:w="1254"/>
        <w:gridCol w:w="882"/>
        <w:gridCol w:w="999"/>
        <w:gridCol w:w="882"/>
        <w:gridCol w:w="882"/>
        <w:gridCol w:w="883"/>
      </w:tblGrid>
      <w:tr w:rsidR="00226C43" w:rsidRPr="00226C43" w14:paraId="08CC72D1" w14:textId="77777777" w:rsidTr="00117212">
        <w:trPr>
          <w:tblHeader/>
          <w:jc w:val="center"/>
        </w:trPr>
        <w:tc>
          <w:tcPr>
            <w:tcW w:w="1254" w:type="dxa"/>
            <w:shd w:val="clear" w:color="auto" w:fill="E3DED1" w:themeFill="background2"/>
            <w:hideMark/>
          </w:tcPr>
          <w:p w14:paraId="3D1C2D8F" w14:textId="77777777" w:rsidR="005B14D1" w:rsidRPr="00226C43" w:rsidRDefault="005B14D1" w:rsidP="005B14D1">
            <w:pPr>
              <w:spacing w:after="0"/>
              <w:rPr>
                <w:rFonts w:cs="Segoe UI"/>
                <w:b/>
                <w:sz w:val="20"/>
                <w:szCs w:val="20"/>
              </w:rPr>
            </w:pPr>
            <w:r w:rsidRPr="00226C43">
              <w:rPr>
                <w:rStyle w:val="Strong"/>
                <w:rFonts w:cs="Segoe UI"/>
                <w:sz w:val="20"/>
                <w:szCs w:val="20"/>
              </w:rPr>
              <w:t>Intake Year</w:t>
            </w:r>
          </w:p>
        </w:tc>
        <w:tc>
          <w:tcPr>
            <w:tcW w:w="882" w:type="dxa"/>
            <w:shd w:val="clear" w:color="auto" w:fill="E3DED1" w:themeFill="background2"/>
            <w:hideMark/>
          </w:tcPr>
          <w:p w14:paraId="7D0CA223" w14:textId="77777777" w:rsidR="005B14D1" w:rsidRPr="00226C43" w:rsidRDefault="005B14D1" w:rsidP="006401D0">
            <w:pPr>
              <w:spacing w:after="0"/>
              <w:jc w:val="center"/>
              <w:rPr>
                <w:rFonts w:cs="Segoe UI"/>
                <w:b/>
                <w:sz w:val="20"/>
                <w:szCs w:val="20"/>
              </w:rPr>
            </w:pPr>
            <w:r w:rsidRPr="00226C43">
              <w:rPr>
                <w:rStyle w:val="Strong"/>
                <w:rFonts w:cs="Segoe UI"/>
                <w:sz w:val="20"/>
                <w:szCs w:val="20"/>
              </w:rPr>
              <w:t>Male</w:t>
            </w:r>
          </w:p>
        </w:tc>
        <w:tc>
          <w:tcPr>
            <w:tcW w:w="999" w:type="dxa"/>
            <w:shd w:val="clear" w:color="auto" w:fill="E3DED1" w:themeFill="background2"/>
            <w:hideMark/>
          </w:tcPr>
          <w:p w14:paraId="68B50BBA" w14:textId="77777777" w:rsidR="005B14D1" w:rsidRPr="00226C43" w:rsidRDefault="005B14D1" w:rsidP="006401D0">
            <w:pPr>
              <w:spacing w:after="0"/>
              <w:jc w:val="center"/>
              <w:rPr>
                <w:rFonts w:cs="Segoe UI"/>
                <w:b/>
                <w:sz w:val="20"/>
                <w:szCs w:val="20"/>
              </w:rPr>
            </w:pPr>
            <w:r w:rsidRPr="00226C43">
              <w:rPr>
                <w:rStyle w:val="Strong"/>
                <w:rFonts w:cs="Segoe UI"/>
                <w:sz w:val="20"/>
                <w:szCs w:val="20"/>
              </w:rPr>
              <w:t>Female</w:t>
            </w:r>
          </w:p>
        </w:tc>
        <w:tc>
          <w:tcPr>
            <w:tcW w:w="882" w:type="dxa"/>
            <w:shd w:val="clear" w:color="auto" w:fill="E3DED1" w:themeFill="background2"/>
            <w:hideMark/>
          </w:tcPr>
          <w:p w14:paraId="048FD7E2" w14:textId="77777777" w:rsidR="005B14D1" w:rsidRPr="00226C43" w:rsidRDefault="005B14D1" w:rsidP="006401D0">
            <w:pPr>
              <w:spacing w:after="0"/>
              <w:jc w:val="center"/>
              <w:rPr>
                <w:rFonts w:cs="Segoe UI"/>
                <w:b/>
                <w:sz w:val="20"/>
                <w:szCs w:val="20"/>
              </w:rPr>
            </w:pPr>
            <w:r w:rsidRPr="00226C43">
              <w:rPr>
                <w:rStyle w:val="Strong"/>
                <w:rFonts w:cs="Segoe UI"/>
                <w:sz w:val="20"/>
                <w:szCs w:val="20"/>
              </w:rPr>
              <w:t>PWD</w:t>
            </w:r>
          </w:p>
        </w:tc>
        <w:tc>
          <w:tcPr>
            <w:tcW w:w="882" w:type="dxa"/>
            <w:shd w:val="clear" w:color="auto" w:fill="E3DED1" w:themeFill="background2"/>
            <w:hideMark/>
          </w:tcPr>
          <w:p w14:paraId="1D59AF80" w14:textId="77777777" w:rsidR="005B14D1" w:rsidRPr="00226C43" w:rsidRDefault="005B14D1" w:rsidP="006401D0">
            <w:pPr>
              <w:spacing w:after="0"/>
              <w:jc w:val="center"/>
              <w:rPr>
                <w:rFonts w:cs="Segoe UI"/>
                <w:b/>
                <w:sz w:val="20"/>
                <w:szCs w:val="20"/>
              </w:rPr>
            </w:pPr>
            <w:r w:rsidRPr="00226C43">
              <w:rPr>
                <w:rStyle w:val="Strong"/>
                <w:rFonts w:cs="Segoe UI"/>
                <w:sz w:val="20"/>
                <w:szCs w:val="20"/>
              </w:rPr>
              <w:t>IP</w:t>
            </w:r>
          </w:p>
        </w:tc>
        <w:tc>
          <w:tcPr>
            <w:tcW w:w="883" w:type="dxa"/>
            <w:shd w:val="clear" w:color="auto" w:fill="E3DED1" w:themeFill="background2"/>
            <w:hideMark/>
          </w:tcPr>
          <w:p w14:paraId="14AE9666" w14:textId="77777777" w:rsidR="005B14D1" w:rsidRPr="00226C43" w:rsidRDefault="005B14D1" w:rsidP="006401D0">
            <w:pPr>
              <w:spacing w:after="0"/>
              <w:jc w:val="center"/>
              <w:rPr>
                <w:rFonts w:cs="Segoe UI"/>
                <w:b/>
                <w:sz w:val="20"/>
                <w:szCs w:val="20"/>
              </w:rPr>
            </w:pPr>
            <w:r w:rsidRPr="00226C43">
              <w:rPr>
                <w:rStyle w:val="Strong"/>
                <w:rFonts w:cs="Segoe UI"/>
                <w:sz w:val="20"/>
                <w:szCs w:val="20"/>
              </w:rPr>
              <w:t>Total</w:t>
            </w:r>
          </w:p>
        </w:tc>
      </w:tr>
      <w:tr w:rsidR="00226C43" w:rsidRPr="00226C43" w14:paraId="05379F7D" w14:textId="77777777" w:rsidTr="006401D0">
        <w:trPr>
          <w:jc w:val="center"/>
        </w:trPr>
        <w:tc>
          <w:tcPr>
            <w:tcW w:w="1254" w:type="dxa"/>
            <w:hideMark/>
          </w:tcPr>
          <w:p w14:paraId="265D7267" w14:textId="77777777" w:rsidR="005B14D1" w:rsidRPr="00226C43" w:rsidRDefault="005B14D1" w:rsidP="005B14D1">
            <w:pPr>
              <w:spacing w:after="0"/>
              <w:rPr>
                <w:rFonts w:cs="Segoe UI"/>
                <w:sz w:val="20"/>
                <w:szCs w:val="20"/>
              </w:rPr>
            </w:pPr>
            <w:r w:rsidRPr="00226C43">
              <w:rPr>
                <w:rStyle w:val="Strong"/>
                <w:rFonts w:cs="Segoe UI"/>
                <w:sz w:val="20"/>
                <w:szCs w:val="20"/>
              </w:rPr>
              <w:t>2018 Intake</w:t>
            </w:r>
          </w:p>
        </w:tc>
        <w:tc>
          <w:tcPr>
            <w:tcW w:w="882" w:type="dxa"/>
            <w:hideMark/>
          </w:tcPr>
          <w:p w14:paraId="69FA8EEA" w14:textId="77777777" w:rsidR="005B14D1" w:rsidRPr="00226C43" w:rsidRDefault="005B14D1" w:rsidP="008A5CC3">
            <w:pPr>
              <w:spacing w:after="0"/>
              <w:jc w:val="right"/>
              <w:rPr>
                <w:rFonts w:cs="Segoe UI"/>
                <w:sz w:val="20"/>
                <w:szCs w:val="20"/>
              </w:rPr>
            </w:pPr>
            <w:r w:rsidRPr="00226C43">
              <w:rPr>
                <w:rFonts w:cs="Segoe UI"/>
                <w:sz w:val="20"/>
                <w:szCs w:val="20"/>
              </w:rPr>
              <w:t>39</w:t>
            </w:r>
          </w:p>
        </w:tc>
        <w:tc>
          <w:tcPr>
            <w:tcW w:w="999" w:type="dxa"/>
            <w:hideMark/>
          </w:tcPr>
          <w:p w14:paraId="4C499B5F" w14:textId="77777777" w:rsidR="005B14D1" w:rsidRPr="00226C43" w:rsidRDefault="005B14D1" w:rsidP="008A5CC3">
            <w:pPr>
              <w:spacing w:after="0"/>
              <w:jc w:val="right"/>
              <w:rPr>
                <w:rFonts w:cs="Segoe UI"/>
                <w:sz w:val="20"/>
                <w:szCs w:val="20"/>
              </w:rPr>
            </w:pPr>
            <w:r w:rsidRPr="00226C43">
              <w:rPr>
                <w:rFonts w:cs="Segoe UI"/>
                <w:sz w:val="20"/>
                <w:szCs w:val="20"/>
              </w:rPr>
              <w:t>51</w:t>
            </w:r>
          </w:p>
        </w:tc>
        <w:tc>
          <w:tcPr>
            <w:tcW w:w="882" w:type="dxa"/>
            <w:hideMark/>
          </w:tcPr>
          <w:p w14:paraId="3EDA68B9" w14:textId="77777777" w:rsidR="005B14D1" w:rsidRPr="00226C43" w:rsidRDefault="005B14D1" w:rsidP="008A5CC3">
            <w:pPr>
              <w:spacing w:after="0"/>
              <w:jc w:val="right"/>
              <w:rPr>
                <w:rFonts w:cs="Segoe UI"/>
                <w:sz w:val="20"/>
                <w:szCs w:val="20"/>
              </w:rPr>
            </w:pPr>
            <w:r w:rsidRPr="00226C43">
              <w:rPr>
                <w:rFonts w:cs="Segoe UI"/>
                <w:sz w:val="20"/>
                <w:szCs w:val="20"/>
              </w:rPr>
              <w:t>2</w:t>
            </w:r>
          </w:p>
        </w:tc>
        <w:tc>
          <w:tcPr>
            <w:tcW w:w="882" w:type="dxa"/>
            <w:hideMark/>
          </w:tcPr>
          <w:p w14:paraId="5BF0598C" w14:textId="77777777" w:rsidR="005B14D1" w:rsidRPr="00226C43" w:rsidRDefault="005B14D1" w:rsidP="008A5CC3">
            <w:pPr>
              <w:spacing w:after="0"/>
              <w:jc w:val="right"/>
              <w:rPr>
                <w:rFonts w:cs="Segoe UI"/>
                <w:sz w:val="20"/>
                <w:szCs w:val="20"/>
              </w:rPr>
            </w:pPr>
            <w:r w:rsidRPr="00226C43">
              <w:rPr>
                <w:rFonts w:cs="Segoe UI"/>
                <w:sz w:val="20"/>
                <w:szCs w:val="20"/>
              </w:rPr>
              <w:t>5</w:t>
            </w:r>
          </w:p>
        </w:tc>
        <w:tc>
          <w:tcPr>
            <w:tcW w:w="883" w:type="dxa"/>
            <w:hideMark/>
          </w:tcPr>
          <w:p w14:paraId="2EA82F9E" w14:textId="77777777" w:rsidR="005B14D1" w:rsidRPr="00226C43" w:rsidRDefault="005B14D1" w:rsidP="008A5CC3">
            <w:pPr>
              <w:spacing w:after="0"/>
              <w:jc w:val="right"/>
              <w:rPr>
                <w:rFonts w:cs="Segoe UI"/>
                <w:sz w:val="20"/>
                <w:szCs w:val="20"/>
              </w:rPr>
            </w:pPr>
            <w:r w:rsidRPr="00226C43">
              <w:rPr>
                <w:rFonts w:cs="Segoe UI"/>
                <w:sz w:val="20"/>
                <w:szCs w:val="20"/>
              </w:rPr>
              <w:t>97</w:t>
            </w:r>
          </w:p>
        </w:tc>
      </w:tr>
      <w:tr w:rsidR="00226C43" w:rsidRPr="00226C43" w14:paraId="59E1F007" w14:textId="77777777" w:rsidTr="006401D0">
        <w:trPr>
          <w:jc w:val="center"/>
        </w:trPr>
        <w:tc>
          <w:tcPr>
            <w:tcW w:w="1254" w:type="dxa"/>
            <w:hideMark/>
          </w:tcPr>
          <w:p w14:paraId="41EE1EC8" w14:textId="77777777" w:rsidR="005B14D1" w:rsidRPr="00226C43" w:rsidRDefault="005B14D1" w:rsidP="005B14D1">
            <w:pPr>
              <w:spacing w:after="0"/>
              <w:rPr>
                <w:rFonts w:cs="Segoe UI"/>
                <w:sz w:val="20"/>
                <w:szCs w:val="20"/>
              </w:rPr>
            </w:pPr>
            <w:r w:rsidRPr="00226C43">
              <w:rPr>
                <w:rStyle w:val="Strong"/>
                <w:rFonts w:cs="Segoe UI"/>
                <w:sz w:val="20"/>
                <w:szCs w:val="20"/>
              </w:rPr>
              <w:t>2019 Intake</w:t>
            </w:r>
          </w:p>
        </w:tc>
        <w:tc>
          <w:tcPr>
            <w:tcW w:w="882" w:type="dxa"/>
            <w:hideMark/>
          </w:tcPr>
          <w:p w14:paraId="671FA41D" w14:textId="77777777" w:rsidR="005B14D1" w:rsidRPr="00226C43" w:rsidRDefault="005B14D1" w:rsidP="008A5CC3">
            <w:pPr>
              <w:spacing w:after="0"/>
              <w:jc w:val="right"/>
              <w:rPr>
                <w:rFonts w:cs="Segoe UI"/>
                <w:sz w:val="20"/>
                <w:szCs w:val="20"/>
              </w:rPr>
            </w:pPr>
            <w:r w:rsidRPr="00226C43">
              <w:rPr>
                <w:rFonts w:cs="Segoe UI"/>
                <w:sz w:val="20"/>
                <w:szCs w:val="20"/>
              </w:rPr>
              <w:t>34</w:t>
            </w:r>
          </w:p>
        </w:tc>
        <w:tc>
          <w:tcPr>
            <w:tcW w:w="999" w:type="dxa"/>
            <w:hideMark/>
          </w:tcPr>
          <w:p w14:paraId="43E7D4FC" w14:textId="77777777" w:rsidR="005B14D1" w:rsidRPr="00226C43" w:rsidRDefault="005B14D1" w:rsidP="008A5CC3">
            <w:pPr>
              <w:spacing w:after="0"/>
              <w:jc w:val="right"/>
              <w:rPr>
                <w:rFonts w:cs="Segoe UI"/>
                <w:sz w:val="20"/>
                <w:szCs w:val="20"/>
              </w:rPr>
            </w:pPr>
            <w:r w:rsidRPr="00226C43">
              <w:rPr>
                <w:rFonts w:cs="Segoe UI"/>
                <w:sz w:val="20"/>
                <w:szCs w:val="20"/>
              </w:rPr>
              <w:t>29</w:t>
            </w:r>
          </w:p>
        </w:tc>
        <w:tc>
          <w:tcPr>
            <w:tcW w:w="882" w:type="dxa"/>
            <w:hideMark/>
          </w:tcPr>
          <w:p w14:paraId="2FE2A954" w14:textId="77777777" w:rsidR="005B14D1" w:rsidRPr="00226C43" w:rsidRDefault="005B14D1" w:rsidP="008A5CC3">
            <w:pPr>
              <w:spacing w:after="0"/>
              <w:jc w:val="right"/>
              <w:rPr>
                <w:rFonts w:cs="Segoe UI"/>
                <w:sz w:val="20"/>
                <w:szCs w:val="20"/>
              </w:rPr>
            </w:pPr>
            <w:r w:rsidRPr="00226C43">
              <w:rPr>
                <w:rFonts w:cs="Segoe UI"/>
                <w:sz w:val="20"/>
                <w:szCs w:val="20"/>
              </w:rPr>
              <w:t>1</w:t>
            </w:r>
          </w:p>
        </w:tc>
        <w:tc>
          <w:tcPr>
            <w:tcW w:w="882" w:type="dxa"/>
            <w:hideMark/>
          </w:tcPr>
          <w:p w14:paraId="2586D6EE" w14:textId="77777777" w:rsidR="005B14D1" w:rsidRPr="00226C43" w:rsidRDefault="005B14D1" w:rsidP="008A5CC3">
            <w:pPr>
              <w:spacing w:after="0"/>
              <w:jc w:val="right"/>
              <w:rPr>
                <w:rFonts w:cs="Segoe UI"/>
                <w:sz w:val="20"/>
                <w:szCs w:val="20"/>
              </w:rPr>
            </w:pPr>
            <w:r w:rsidRPr="00226C43">
              <w:rPr>
                <w:rFonts w:cs="Segoe UI"/>
                <w:sz w:val="20"/>
                <w:szCs w:val="20"/>
              </w:rPr>
              <w:t>-</w:t>
            </w:r>
          </w:p>
        </w:tc>
        <w:tc>
          <w:tcPr>
            <w:tcW w:w="883" w:type="dxa"/>
            <w:hideMark/>
          </w:tcPr>
          <w:p w14:paraId="40F03304" w14:textId="77777777" w:rsidR="005B14D1" w:rsidRPr="00226C43" w:rsidRDefault="005B14D1" w:rsidP="008A5CC3">
            <w:pPr>
              <w:spacing w:after="0"/>
              <w:jc w:val="right"/>
              <w:rPr>
                <w:rFonts w:cs="Segoe UI"/>
                <w:sz w:val="20"/>
                <w:szCs w:val="20"/>
              </w:rPr>
            </w:pPr>
            <w:r w:rsidRPr="00226C43">
              <w:rPr>
                <w:rFonts w:cs="Segoe UI"/>
                <w:sz w:val="20"/>
                <w:szCs w:val="20"/>
              </w:rPr>
              <w:t>64</w:t>
            </w:r>
          </w:p>
        </w:tc>
      </w:tr>
      <w:tr w:rsidR="00226C43" w:rsidRPr="00226C43" w14:paraId="761FA05E" w14:textId="77777777" w:rsidTr="006401D0">
        <w:trPr>
          <w:jc w:val="center"/>
        </w:trPr>
        <w:tc>
          <w:tcPr>
            <w:tcW w:w="1254" w:type="dxa"/>
            <w:hideMark/>
          </w:tcPr>
          <w:p w14:paraId="4BC212A3" w14:textId="77777777" w:rsidR="005B14D1" w:rsidRPr="00226C43" w:rsidRDefault="005B14D1" w:rsidP="005B14D1">
            <w:pPr>
              <w:spacing w:after="0"/>
              <w:rPr>
                <w:rFonts w:cs="Segoe UI"/>
                <w:sz w:val="20"/>
                <w:szCs w:val="20"/>
              </w:rPr>
            </w:pPr>
            <w:r w:rsidRPr="00226C43">
              <w:rPr>
                <w:rStyle w:val="Strong"/>
                <w:rFonts w:cs="Segoe UI"/>
                <w:sz w:val="20"/>
                <w:szCs w:val="20"/>
              </w:rPr>
              <w:t>2020 Intake</w:t>
            </w:r>
          </w:p>
        </w:tc>
        <w:tc>
          <w:tcPr>
            <w:tcW w:w="882" w:type="dxa"/>
            <w:hideMark/>
          </w:tcPr>
          <w:p w14:paraId="6F51C5BD" w14:textId="77777777" w:rsidR="005B14D1" w:rsidRPr="00226C43" w:rsidRDefault="005B14D1" w:rsidP="008A5CC3">
            <w:pPr>
              <w:spacing w:after="0"/>
              <w:jc w:val="right"/>
              <w:rPr>
                <w:rFonts w:cs="Segoe UI"/>
                <w:sz w:val="20"/>
                <w:szCs w:val="20"/>
              </w:rPr>
            </w:pPr>
            <w:r w:rsidRPr="00226C43">
              <w:rPr>
                <w:rFonts w:cs="Segoe UI"/>
                <w:sz w:val="20"/>
                <w:szCs w:val="20"/>
              </w:rPr>
              <w:t>25</w:t>
            </w:r>
          </w:p>
        </w:tc>
        <w:tc>
          <w:tcPr>
            <w:tcW w:w="999" w:type="dxa"/>
            <w:hideMark/>
          </w:tcPr>
          <w:p w14:paraId="2F1BCB4A" w14:textId="77777777" w:rsidR="005B14D1" w:rsidRPr="00226C43" w:rsidRDefault="005B14D1" w:rsidP="008A5CC3">
            <w:pPr>
              <w:spacing w:after="0"/>
              <w:jc w:val="right"/>
              <w:rPr>
                <w:rFonts w:cs="Segoe UI"/>
                <w:sz w:val="20"/>
                <w:szCs w:val="20"/>
              </w:rPr>
            </w:pPr>
            <w:r w:rsidRPr="00226C43">
              <w:rPr>
                <w:rFonts w:cs="Segoe UI"/>
                <w:sz w:val="20"/>
                <w:szCs w:val="20"/>
              </w:rPr>
              <w:t>37</w:t>
            </w:r>
          </w:p>
        </w:tc>
        <w:tc>
          <w:tcPr>
            <w:tcW w:w="882" w:type="dxa"/>
            <w:hideMark/>
          </w:tcPr>
          <w:p w14:paraId="58529173" w14:textId="77777777" w:rsidR="005B14D1" w:rsidRPr="00226C43" w:rsidRDefault="005B14D1" w:rsidP="008A5CC3">
            <w:pPr>
              <w:spacing w:after="0"/>
              <w:jc w:val="right"/>
              <w:rPr>
                <w:rFonts w:cs="Segoe UI"/>
                <w:sz w:val="20"/>
                <w:szCs w:val="20"/>
              </w:rPr>
            </w:pPr>
            <w:r w:rsidRPr="00226C43">
              <w:rPr>
                <w:rFonts w:cs="Segoe UI"/>
                <w:sz w:val="20"/>
                <w:szCs w:val="20"/>
              </w:rPr>
              <w:t>-</w:t>
            </w:r>
          </w:p>
        </w:tc>
        <w:tc>
          <w:tcPr>
            <w:tcW w:w="882" w:type="dxa"/>
            <w:hideMark/>
          </w:tcPr>
          <w:p w14:paraId="72A2D220" w14:textId="77777777" w:rsidR="005B14D1" w:rsidRPr="00226C43" w:rsidRDefault="005B14D1" w:rsidP="008A5CC3">
            <w:pPr>
              <w:spacing w:after="0"/>
              <w:jc w:val="right"/>
              <w:rPr>
                <w:rFonts w:cs="Segoe UI"/>
                <w:sz w:val="20"/>
                <w:szCs w:val="20"/>
              </w:rPr>
            </w:pPr>
            <w:r w:rsidRPr="00226C43">
              <w:rPr>
                <w:rFonts w:cs="Segoe UI"/>
                <w:sz w:val="20"/>
                <w:szCs w:val="20"/>
              </w:rPr>
              <w:t>-</w:t>
            </w:r>
          </w:p>
        </w:tc>
        <w:tc>
          <w:tcPr>
            <w:tcW w:w="883" w:type="dxa"/>
            <w:hideMark/>
          </w:tcPr>
          <w:p w14:paraId="6B63FE4C" w14:textId="77777777" w:rsidR="005B14D1" w:rsidRPr="00226C43" w:rsidRDefault="005B14D1" w:rsidP="008A5CC3">
            <w:pPr>
              <w:spacing w:after="0"/>
              <w:jc w:val="right"/>
              <w:rPr>
                <w:rFonts w:cs="Segoe UI"/>
                <w:sz w:val="20"/>
                <w:szCs w:val="20"/>
              </w:rPr>
            </w:pPr>
            <w:r w:rsidRPr="00226C43">
              <w:rPr>
                <w:rFonts w:cs="Segoe UI"/>
                <w:sz w:val="20"/>
                <w:szCs w:val="20"/>
              </w:rPr>
              <w:t>62</w:t>
            </w:r>
          </w:p>
        </w:tc>
      </w:tr>
      <w:tr w:rsidR="00226C43" w:rsidRPr="00226C43" w14:paraId="59B43238" w14:textId="77777777" w:rsidTr="006401D0">
        <w:trPr>
          <w:jc w:val="center"/>
        </w:trPr>
        <w:tc>
          <w:tcPr>
            <w:tcW w:w="1254" w:type="dxa"/>
            <w:hideMark/>
          </w:tcPr>
          <w:p w14:paraId="3658329B" w14:textId="77777777" w:rsidR="005B14D1" w:rsidRPr="00226C43" w:rsidRDefault="005B14D1" w:rsidP="005B14D1">
            <w:pPr>
              <w:spacing w:after="0"/>
              <w:rPr>
                <w:rFonts w:cs="Segoe UI"/>
                <w:sz w:val="20"/>
                <w:szCs w:val="20"/>
              </w:rPr>
            </w:pPr>
            <w:r w:rsidRPr="00226C43">
              <w:rPr>
                <w:rStyle w:val="Strong"/>
                <w:rFonts w:cs="Segoe UI"/>
                <w:sz w:val="20"/>
                <w:szCs w:val="20"/>
              </w:rPr>
              <w:t>2022 Intake</w:t>
            </w:r>
          </w:p>
        </w:tc>
        <w:tc>
          <w:tcPr>
            <w:tcW w:w="882" w:type="dxa"/>
            <w:hideMark/>
          </w:tcPr>
          <w:p w14:paraId="709A32E8" w14:textId="77777777" w:rsidR="005B14D1" w:rsidRPr="00226C43" w:rsidRDefault="005B14D1" w:rsidP="008A5CC3">
            <w:pPr>
              <w:spacing w:after="0"/>
              <w:jc w:val="right"/>
              <w:rPr>
                <w:rFonts w:cs="Segoe UI"/>
                <w:sz w:val="20"/>
                <w:szCs w:val="20"/>
              </w:rPr>
            </w:pPr>
            <w:r w:rsidRPr="00226C43">
              <w:rPr>
                <w:rFonts w:cs="Segoe UI"/>
                <w:sz w:val="20"/>
                <w:szCs w:val="20"/>
              </w:rPr>
              <w:t>33</w:t>
            </w:r>
          </w:p>
        </w:tc>
        <w:tc>
          <w:tcPr>
            <w:tcW w:w="999" w:type="dxa"/>
            <w:hideMark/>
          </w:tcPr>
          <w:p w14:paraId="669FDCE0" w14:textId="77777777" w:rsidR="005B14D1" w:rsidRPr="00226C43" w:rsidRDefault="005B14D1" w:rsidP="008A5CC3">
            <w:pPr>
              <w:spacing w:after="0"/>
              <w:jc w:val="right"/>
              <w:rPr>
                <w:rFonts w:cs="Segoe UI"/>
                <w:sz w:val="20"/>
                <w:szCs w:val="20"/>
              </w:rPr>
            </w:pPr>
            <w:r w:rsidRPr="00226C43">
              <w:rPr>
                <w:rFonts w:cs="Segoe UI"/>
                <w:sz w:val="20"/>
                <w:szCs w:val="20"/>
              </w:rPr>
              <w:t>29</w:t>
            </w:r>
          </w:p>
        </w:tc>
        <w:tc>
          <w:tcPr>
            <w:tcW w:w="882" w:type="dxa"/>
            <w:hideMark/>
          </w:tcPr>
          <w:p w14:paraId="1DE95B1D" w14:textId="77777777" w:rsidR="005B14D1" w:rsidRPr="00226C43" w:rsidRDefault="005B14D1" w:rsidP="008A5CC3">
            <w:pPr>
              <w:spacing w:after="0"/>
              <w:jc w:val="right"/>
              <w:rPr>
                <w:rFonts w:cs="Segoe UI"/>
                <w:sz w:val="20"/>
                <w:szCs w:val="20"/>
              </w:rPr>
            </w:pPr>
            <w:r w:rsidRPr="00226C43">
              <w:rPr>
                <w:rFonts w:cs="Segoe UI"/>
                <w:sz w:val="20"/>
                <w:szCs w:val="20"/>
              </w:rPr>
              <w:t>-</w:t>
            </w:r>
          </w:p>
        </w:tc>
        <w:tc>
          <w:tcPr>
            <w:tcW w:w="882" w:type="dxa"/>
            <w:hideMark/>
          </w:tcPr>
          <w:p w14:paraId="1C5923EE" w14:textId="77777777" w:rsidR="005B14D1" w:rsidRPr="00226C43" w:rsidRDefault="005B14D1" w:rsidP="008A5CC3">
            <w:pPr>
              <w:spacing w:after="0"/>
              <w:jc w:val="right"/>
              <w:rPr>
                <w:rFonts w:cs="Segoe UI"/>
                <w:sz w:val="20"/>
                <w:szCs w:val="20"/>
              </w:rPr>
            </w:pPr>
            <w:r w:rsidRPr="00226C43">
              <w:rPr>
                <w:rFonts w:cs="Segoe UI"/>
                <w:sz w:val="20"/>
                <w:szCs w:val="20"/>
              </w:rPr>
              <w:t>-</w:t>
            </w:r>
          </w:p>
        </w:tc>
        <w:tc>
          <w:tcPr>
            <w:tcW w:w="883" w:type="dxa"/>
            <w:hideMark/>
          </w:tcPr>
          <w:p w14:paraId="22C42460" w14:textId="77777777" w:rsidR="005B14D1" w:rsidRPr="00226C43" w:rsidRDefault="005B14D1" w:rsidP="008A5CC3">
            <w:pPr>
              <w:spacing w:after="0"/>
              <w:jc w:val="right"/>
              <w:rPr>
                <w:rFonts w:cs="Segoe UI"/>
                <w:sz w:val="20"/>
                <w:szCs w:val="20"/>
              </w:rPr>
            </w:pPr>
            <w:r w:rsidRPr="00226C43">
              <w:rPr>
                <w:rFonts w:cs="Segoe UI"/>
                <w:sz w:val="20"/>
                <w:szCs w:val="20"/>
              </w:rPr>
              <w:t>62</w:t>
            </w:r>
          </w:p>
        </w:tc>
      </w:tr>
      <w:tr w:rsidR="00226C43" w:rsidRPr="00226C43" w14:paraId="3C7BE853" w14:textId="77777777" w:rsidTr="006401D0">
        <w:trPr>
          <w:jc w:val="center"/>
        </w:trPr>
        <w:tc>
          <w:tcPr>
            <w:tcW w:w="1254" w:type="dxa"/>
            <w:hideMark/>
          </w:tcPr>
          <w:p w14:paraId="70F762C9" w14:textId="77777777" w:rsidR="005B14D1" w:rsidRPr="00226C43" w:rsidRDefault="005B14D1" w:rsidP="005B14D1">
            <w:pPr>
              <w:spacing w:after="0"/>
              <w:rPr>
                <w:rFonts w:cs="Segoe UI"/>
                <w:sz w:val="20"/>
                <w:szCs w:val="20"/>
              </w:rPr>
            </w:pPr>
            <w:r w:rsidRPr="00226C43">
              <w:rPr>
                <w:rStyle w:val="Strong"/>
                <w:rFonts w:cs="Segoe UI"/>
                <w:sz w:val="20"/>
                <w:szCs w:val="20"/>
              </w:rPr>
              <w:t>2023 Intake</w:t>
            </w:r>
          </w:p>
        </w:tc>
        <w:tc>
          <w:tcPr>
            <w:tcW w:w="882" w:type="dxa"/>
            <w:hideMark/>
          </w:tcPr>
          <w:p w14:paraId="5D95AE0E" w14:textId="77777777" w:rsidR="005B14D1" w:rsidRPr="00226C43" w:rsidRDefault="005B14D1" w:rsidP="008A5CC3">
            <w:pPr>
              <w:spacing w:after="0"/>
              <w:jc w:val="right"/>
              <w:rPr>
                <w:rFonts w:cs="Segoe UI"/>
                <w:sz w:val="20"/>
                <w:szCs w:val="20"/>
              </w:rPr>
            </w:pPr>
            <w:r w:rsidRPr="00226C43">
              <w:rPr>
                <w:rFonts w:cs="Segoe UI"/>
                <w:sz w:val="20"/>
                <w:szCs w:val="20"/>
              </w:rPr>
              <w:t>14</w:t>
            </w:r>
          </w:p>
        </w:tc>
        <w:tc>
          <w:tcPr>
            <w:tcW w:w="999" w:type="dxa"/>
            <w:hideMark/>
          </w:tcPr>
          <w:p w14:paraId="524344CC" w14:textId="77777777" w:rsidR="005B14D1" w:rsidRPr="00226C43" w:rsidRDefault="005B14D1" w:rsidP="008A5CC3">
            <w:pPr>
              <w:spacing w:after="0"/>
              <w:jc w:val="right"/>
              <w:rPr>
                <w:rFonts w:cs="Segoe UI"/>
                <w:sz w:val="20"/>
                <w:szCs w:val="20"/>
              </w:rPr>
            </w:pPr>
            <w:r w:rsidRPr="00226C43">
              <w:rPr>
                <w:rFonts w:cs="Segoe UI"/>
                <w:sz w:val="20"/>
                <w:szCs w:val="20"/>
              </w:rPr>
              <w:t>12</w:t>
            </w:r>
          </w:p>
        </w:tc>
        <w:tc>
          <w:tcPr>
            <w:tcW w:w="882" w:type="dxa"/>
            <w:hideMark/>
          </w:tcPr>
          <w:p w14:paraId="79B32DA8" w14:textId="77777777" w:rsidR="005B14D1" w:rsidRPr="00226C43" w:rsidRDefault="005B14D1" w:rsidP="008A5CC3">
            <w:pPr>
              <w:spacing w:after="0"/>
              <w:jc w:val="right"/>
              <w:rPr>
                <w:rFonts w:cs="Segoe UI"/>
                <w:sz w:val="20"/>
                <w:szCs w:val="20"/>
              </w:rPr>
            </w:pPr>
            <w:r w:rsidRPr="00226C43">
              <w:rPr>
                <w:rFonts w:cs="Segoe UI"/>
                <w:sz w:val="20"/>
                <w:szCs w:val="20"/>
              </w:rPr>
              <w:t>-</w:t>
            </w:r>
          </w:p>
        </w:tc>
        <w:tc>
          <w:tcPr>
            <w:tcW w:w="882" w:type="dxa"/>
            <w:hideMark/>
          </w:tcPr>
          <w:p w14:paraId="69EB8748" w14:textId="77777777" w:rsidR="005B14D1" w:rsidRPr="00226C43" w:rsidRDefault="005B14D1" w:rsidP="008A5CC3">
            <w:pPr>
              <w:spacing w:after="0"/>
              <w:jc w:val="right"/>
              <w:rPr>
                <w:rFonts w:cs="Segoe UI"/>
                <w:sz w:val="20"/>
                <w:szCs w:val="20"/>
              </w:rPr>
            </w:pPr>
            <w:r w:rsidRPr="00226C43">
              <w:rPr>
                <w:rFonts w:cs="Segoe UI"/>
                <w:sz w:val="20"/>
                <w:szCs w:val="20"/>
              </w:rPr>
              <w:t>-</w:t>
            </w:r>
          </w:p>
        </w:tc>
        <w:tc>
          <w:tcPr>
            <w:tcW w:w="883" w:type="dxa"/>
            <w:hideMark/>
          </w:tcPr>
          <w:p w14:paraId="0BB1BBBD" w14:textId="77777777" w:rsidR="005B14D1" w:rsidRPr="00226C43" w:rsidRDefault="005B14D1" w:rsidP="008A5CC3">
            <w:pPr>
              <w:spacing w:after="0"/>
              <w:jc w:val="right"/>
              <w:rPr>
                <w:rFonts w:cs="Segoe UI"/>
                <w:sz w:val="20"/>
                <w:szCs w:val="20"/>
              </w:rPr>
            </w:pPr>
            <w:r w:rsidRPr="00226C43">
              <w:rPr>
                <w:rFonts w:cs="Segoe UI"/>
                <w:sz w:val="20"/>
                <w:szCs w:val="20"/>
              </w:rPr>
              <w:t>26</w:t>
            </w:r>
          </w:p>
        </w:tc>
      </w:tr>
    </w:tbl>
    <w:p w14:paraId="24D96455" w14:textId="263F569A" w:rsidR="00DF052F" w:rsidRPr="00226C43" w:rsidRDefault="00547F1C" w:rsidP="009F6E66">
      <w:pPr>
        <w:pStyle w:val="Caption"/>
        <w:spacing w:after="0"/>
        <w:rPr>
          <w:color w:val="auto"/>
        </w:rPr>
      </w:pPr>
      <w:bookmarkStart w:id="24" w:name="_Toc190939904"/>
      <w:r w:rsidRPr="00226C43">
        <w:rPr>
          <w:color w:val="auto"/>
        </w:rPr>
        <w:lastRenderedPageBreak/>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003735AF" w:rsidRPr="00226C43">
        <w:rPr>
          <w:noProof/>
          <w:color w:val="auto"/>
        </w:rPr>
        <w:t>6</w:t>
      </w:r>
      <w:r w:rsidR="000113F9" w:rsidRPr="00226C43">
        <w:rPr>
          <w:noProof/>
          <w:color w:val="auto"/>
        </w:rPr>
        <w:fldChar w:fldCharType="end"/>
      </w:r>
      <w:r w:rsidRPr="00226C43">
        <w:rPr>
          <w:color w:val="auto"/>
        </w:rPr>
        <w:t>: Australia Awards Scholars</w:t>
      </w:r>
      <w:r w:rsidR="003E0127" w:rsidRPr="00226C43">
        <w:rPr>
          <w:color w:val="auto"/>
        </w:rPr>
        <w:t xml:space="preserve"> </w:t>
      </w:r>
      <w:r w:rsidRPr="00226C43">
        <w:rPr>
          <w:color w:val="auto"/>
        </w:rPr>
        <w:t>– Level of Study and Intake year</w:t>
      </w:r>
      <w:bookmarkEnd w:id="24"/>
    </w:p>
    <w:p w14:paraId="64113CC4" w14:textId="14072A91" w:rsidR="00697235" w:rsidRPr="00226C43" w:rsidRDefault="00697235" w:rsidP="00742F7B">
      <w:pPr>
        <w:spacing w:after="0"/>
        <w:jc w:val="center"/>
        <w:rPr>
          <w:b/>
          <w:sz w:val="20"/>
          <w:szCs w:val="20"/>
        </w:rPr>
      </w:pPr>
      <w:r w:rsidRPr="00226C43">
        <w:rPr>
          <w:b/>
          <w:sz w:val="20"/>
          <w:szCs w:val="20"/>
        </w:rPr>
        <w:t>Number of Australia Awards Scholars by Level of Study</w:t>
      </w:r>
    </w:p>
    <w:tbl>
      <w:tblPr>
        <w:tblStyle w:val="TableGrid"/>
        <w:tblW w:w="0" w:type="auto"/>
        <w:tblLook w:val="06A0" w:firstRow="1" w:lastRow="0" w:firstColumn="1" w:lastColumn="0" w:noHBand="1" w:noVBand="1"/>
      </w:tblPr>
      <w:tblGrid>
        <w:gridCol w:w="657"/>
        <w:gridCol w:w="1571"/>
        <w:gridCol w:w="1571"/>
        <w:gridCol w:w="1571"/>
        <w:gridCol w:w="1571"/>
        <w:gridCol w:w="1572"/>
      </w:tblGrid>
      <w:tr w:rsidR="00226C43" w:rsidRPr="00226C43" w14:paraId="473525EB" w14:textId="77777777" w:rsidTr="00117212">
        <w:trPr>
          <w:tblHeader/>
        </w:trPr>
        <w:tc>
          <w:tcPr>
            <w:tcW w:w="0" w:type="auto"/>
            <w:shd w:val="clear" w:color="auto" w:fill="E3DED1" w:themeFill="background2"/>
            <w:hideMark/>
          </w:tcPr>
          <w:p w14:paraId="24993224" w14:textId="77777777" w:rsidR="001C7DF3" w:rsidRPr="00226C43" w:rsidRDefault="001C7DF3" w:rsidP="00697235">
            <w:pPr>
              <w:spacing w:after="0"/>
              <w:rPr>
                <w:rFonts w:cs="Segoe UI"/>
                <w:b/>
                <w:sz w:val="20"/>
                <w:szCs w:val="20"/>
              </w:rPr>
            </w:pPr>
            <w:r w:rsidRPr="00226C43">
              <w:rPr>
                <w:rStyle w:val="Strong"/>
                <w:rFonts w:cs="Segoe UI"/>
                <w:sz w:val="20"/>
                <w:szCs w:val="20"/>
              </w:rPr>
              <w:t>Year</w:t>
            </w:r>
          </w:p>
        </w:tc>
        <w:tc>
          <w:tcPr>
            <w:tcW w:w="1571" w:type="dxa"/>
            <w:shd w:val="clear" w:color="auto" w:fill="E3DED1" w:themeFill="background2"/>
            <w:hideMark/>
          </w:tcPr>
          <w:p w14:paraId="242547CD" w14:textId="77777777" w:rsidR="001C7DF3" w:rsidRPr="00226C43" w:rsidRDefault="001C7DF3" w:rsidP="00AF2E33">
            <w:pPr>
              <w:spacing w:after="0"/>
              <w:jc w:val="center"/>
              <w:rPr>
                <w:rFonts w:cs="Segoe UI"/>
                <w:b/>
                <w:sz w:val="20"/>
                <w:szCs w:val="20"/>
              </w:rPr>
            </w:pPr>
            <w:r w:rsidRPr="00226C43">
              <w:rPr>
                <w:rStyle w:val="Strong"/>
                <w:rFonts w:cs="Segoe UI"/>
                <w:sz w:val="20"/>
                <w:szCs w:val="20"/>
              </w:rPr>
              <w:t>PhD</w:t>
            </w:r>
          </w:p>
        </w:tc>
        <w:tc>
          <w:tcPr>
            <w:tcW w:w="1571" w:type="dxa"/>
            <w:shd w:val="clear" w:color="auto" w:fill="E3DED1" w:themeFill="background2"/>
            <w:hideMark/>
          </w:tcPr>
          <w:p w14:paraId="45404A34" w14:textId="77777777" w:rsidR="001C7DF3" w:rsidRPr="00226C43" w:rsidRDefault="001C7DF3" w:rsidP="00AF2E33">
            <w:pPr>
              <w:spacing w:after="0"/>
              <w:jc w:val="center"/>
              <w:rPr>
                <w:rFonts w:cs="Segoe UI"/>
                <w:b/>
                <w:sz w:val="20"/>
                <w:szCs w:val="20"/>
              </w:rPr>
            </w:pPr>
            <w:r w:rsidRPr="00226C43">
              <w:rPr>
                <w:rStyle w:val="Strong"/>
                <w:rFonts w:cs="Segoe UI"/>
                <w:sz w:val="20"/>
                <w:szCs w:val="20"/>
              </w:rPr>
              <w:t>Non-PhD (Masters, Graduate Diploma)</w:t>
            </w:r>
          </w:p>
        </w:tc>
        <w:tc>
          <w:tcPr>
            <w:tcW w:w="1571" w:type="dxa"/>
            <w:shd w:val="clear" w:color="auto" w:fill="E3DED1" w:themeFill="background2"/>
            <w:hideMark/>
          </w:tcPr>
          <w:p w14:paraId="4E6B98B6" w14:textId="77777777" w:rsidR="001C7DF3" w:rsidRPr="00226C43" w:rsidRDefault="001C7DF3" w:rsidP="00AF2E33">
            <w:pPr>
              <w:spacing w:after="0"/>
              <w:jc w:val="center"/>
              <w:rPr>
                <w:rFonts w:cs="Segoe UI"/>
                <w:b/>
                <w:sz w:val="20"/>
                <w:szCs w:val="20"/>
              </w:rPr>
            </w:pPr>
            <w:r w:rsidRPr="00226C43">
              <w:rPr>
                <w:rStyle w:val="Strong"/>
                <w:rFonts w:cs="Segoe UI"/>
                <w:sz w:val="20"/>
                <w:szCs w:val="20"/>
              </w:rPr>
              <w:t>Graduate Certificate</w:t>
            </w:r>
          </w:p>
        </w:tc>
        <w:tc>
          <w:tcPr>
            <w:tcW w:w="1571" w:type="dxa"/>
            <w:shd w:val="clear" w:color="auto" w:fill="E3DED1" w:themeFill="background2"/>
            <w:hideMark/>
          </w:tcPr>
          <w:p w14:paraId="10CE6692" w14:textId="77777777" w:rsidR="001C7DF3" w:rsidRPr="00226C43" w:rsidRDefault="001C7DF3" w:rsidP="00AF2E33">
            <w:pPr>
              <w:spacing w:after="0"/>
              <w:jc w:val="center"/>
              <w:rPr>
                <w:rFonts w:cs="Segoe UI"/>
                <w:b/>
                <w:sz w:val="20"/>
                <w:szCs w:val="20"/>
              </w:rPr>
            </w:pPr>
            <w:r w:rsidRPr="00226C43">
              <w:rPr>
                <w:rStyle w:val="Strong"/>
                <w:rFonts w:cs="Segoe UI"/>
                <w:sz w:val="20"/>
                <w:szCs w:val="20"/>
              </w:rPr>
              <w:t>Withdrawn</w:t>
            </w:r>
          </w:p>
        </w:tc>
        <w:tc>
          <w:tcPr>
            <w:tcW w:w="1572" w:type="dxa"/>
            <w:shd w:val="clear" w:color="auto" w:fill="E3DED1" w:themeFill="background2"/>
            <w:hideMark/>
          </w:tcPr>
          <w:p w14:paraId="5941AA75" w14:textId="77777777" w:rsidR="001C7DF3" w:rsidRPr="00226C43" w:rsidRDefault="001C7DF3" w:rsidP="00AF2E33">
            <w:pPr>
              <w:spacing w:after="0"/>
              <w:jc w:val="center"/>
              <w:rPr>
                <w:rFonts w:cs="Segoe UI"/>
                <w:sz w:val="20"/>
                <w:szCs w:val="20"/>
              </w:rPr>
            </w:pPr>
            <w:r w:rsidRPr="00226C43">
              <w:rPr>
                <w:rStyle w:val="Strong"/>
                <w:rFonts w:cs="Segoe UI"/>
                <w:sz w:val="20"/>
                <w:szCs w:val="20"/>
              </w:rPr>
              <w:t>Total</w:t>
            </w:r>
          </w:p>
        </w:tc>
      </w:tr>
      <w:tr w:rsidR="00226C43" w:rsidRPr="00226C43" w14:paraId="03CC8004" w14:textId="77777777" w:rsidTr="00CB2D7D">
        <w:tc>
          <w:tcPr>
            <w:tcW w:w="0" w:type="auto"/>
            <w:hideMark/>
          </w:tcPr>
          <w:p w14:paraId="5CFC72EC" w14:textId="77777777" w:rsidR="001C7DF3" w:rsidRPr="00226C43" w:rsidRDefault="001C7DF3" w:rsidP="00697235">
            <w:pPr>
              <w:spacing w:after="0"/>
              <w:rPr>
                <w:rFonts w:cs="Segoe UI"/>
                <w:sz w:val="20"/>
                <w:szCs w:val="20"/>
              </w:rPr>
            </w:pPr>
            <w:r w:rsidRPr="00226C43">
              <w:rPr>
                <w:rStyle w:val="Strong"/>
                <w:rFonts w:cs="Segoe UI"/>
                <w:sz w:val="20"/>
                <w:szCs w:val="20"/>
              </w:rPr>
              <w:t>2018</w:t>
            </w:r>
          </w:p>
        </w:tc>
        <w:tc>
          <w:tcPr>
            <w:tcW w:w="1571" w:type="dxa"/>
            <w:hideMark/>
          </w:tcPr>
          <w:p w14:paraId="5BD1BDAC" w14:textId="77777777" w:rsidR="001C7DF3" w:rsidRPr="00226C43" w:rsidRDefault="001C7DF3" w:rsidP="00697235">
            <w:pPr>
              <w:spacing w:after="0"/>
              <w:jc w:val="right"/>
              <w:rPr>
                <w:rFonts w:cs="Segoe UI"/>
                <w:sz w:val="20"/>
                <w:szCs w:val="20"/>
              </w:rPr>
            </w:pPr>
            <w:r w:rsidRPr="00226C43">
              <w:rPr>
                <w:rFonts w:cs="Segoe UI"/>
                <w:sz w:val="20"/>
                <w:szCs w:val="20"/>
              </w:rPr>
              <w:t>2</w:t>
            </w:r>
          </w:p>
        </w:tc>
        <w:tc>
          <w:tcPr>
            <w:tcW w:w="1571" w:type="dxa"/>
            <w:hideMark/>
          </w:tcPr>
          <w:p w14:paraId="18664594" w14:textId="77777777" w:rsidR="001C7DF3" w:rsidRPr="00226C43" w:rsidRDefault="001C7DF3" w:rsidP="00697235">
            <w:pPr>
              <w:spacing w:after="0"/>
              <w:jc w:val="right"/>
              <w:rPr>
                <w:rFonts w:cs="Segoe UI"/>
                <w:sz w:val="20"/>
                <w:szCs w:val="20"/>
              </w:rPr>
            </w:pPr>
            <w:r w:rsidRPr="00226C43">
              <w:rPr>
                <w:rFonts w:cs="Segoe UI"/>
                <w:sz w:val="20"/>
                <w:szCs w:val="20"/>
              </w:rPr>
              <w:t>83</w:t>
            </w:r>
          </w:p>
        </w:tc>
        <w:tc>
          <w:tcPr>
            <w:tcW w:w="1571" w:type="dxa"/>
            <w:hideMark/>
          </w:tcPr>
          <w:p w14:paraId="26880D4B" w14:textId="77777777" w:rsidR="001C7DF3" w:rsidRPr="00226C43" w:rsidRDefault="001C7DF3" w:rsidP="00697235">
            <w:pPr>
              <w:spacing w:after="0"/>
              <w:jc w:val="right"/>
              <w:rPr>
                <w:rFonts w:cs="Segoe UI"/>
                <w:sz w:val="20"/>
                <w:szCs w:val="20"/>
              </w:rPr>
            </w:pPr>
            <w:r w:rsidRPr="00226C43">
              <w:rPr>
                <w:rFonts w:cs="Segoe UI"/>
                <w:sz w:val="20"/>
                <w:szCs w:val="20"/>
              </w:rPr>
              <w:t>3</w:t>
            </w:r>
          </w:p>
        </w:tc>
        <w:tc>
          <w:tcPr>
            <w:tcW w:w="1571" w:type="dxa"/>
            <w:hideMark/>
          </w:tcPr>
          <w:p w14:paraId="4C72B782" w14:textId="77777777" w:rsidR="001C7DF3" w:rsidRPr="00226C43" w:rsidRDefault="001C7DF3" w:rsidP="00697235">
            <w:pPr>
              <w:spacing w:after="0"/>
              <w:jc w:val="right"/>
              <w:rPr>
                <w:rFonts w:cs="Segoe UI"/>
                <w:sz w:val="20"/>
                <w:szCs w:val="20"/>
              </w:rPr>
            </w:pPr>
            <w:r w:rsidRPr="00226C43">
              <w:rPr>
                <w:rFonts w:cs="Segoe UI"/>
                <w:sz w:val="20"/>
                <w:szCs w:val="20"/>
              </w:rPr>
              <w:t>1</w:t>
            </w:r>
          </w:p>
        </w:tc>
        <w:tc>
          <w:tcPr>
            <w:tcW w:w="1572" w:type="dxa"/>
            <w:hideMark/>
          </w:tcPr>
          <w:p w14:paraId="67F6D815" w14:textId="77777777" w:rsidR="001C7DF3" w:rsidRPr="00226C43" w:rsidRDefault="001C7DF3" w:rsidP="00697235">
            <w:pPr>
              <w:spacing w:after="0"/>
              <w:jc w:val="right"/>
              <w:rPr>
                <w:rFonts w:cs="Segoe UI"/>
                <w:b/>
                <w:sz w:val="20"/>
                <w:szCs w:val="20"/>
              </w:rPr>
            </w:pPr>
            <w:r w:rsidRPr="00226C43">
              <w:rPr>
                <w:rFonts w:cs="Segoe UI"/>
                <w:b/>
                <w:sz w:val="20"/>
                <w:szCs w:val="20"/>
              </w:rPr>
              <w:t>89</w:t>
            </w:r>
          </w:p>
        </w:tc>
      </w:tr>
      <w:tr w:rsidR="00226C43" w:rsidRPr="00226C43" w14:paraId="238F038F" w14:textId="77777777" w:rsidTr="00CB2D7D">
        <w:tc>
          <w:tcPr>
            <w:tcW w:w="0" w:type="auto"/>
            <w:hideMark/>
          </w:tcPr>
          <w:p w14:paraId="5757B985" w14:textId="77777777" w:rsidR="001C7DF3" w:rsidRPr="00226C43" w:rsidRDefault="001C7DF3" w:rsidP="00697235">
            <w:pPr>
              <w:spacing w:after="0"/>
              <w:rPr>
                <w:rFonts w:cs="Segoe UI"/>
                <w:sz w:val="20"/>
                <w:szCs w:val="20"/>
              </w:rPr>
            </w:pPr>
            <w:r w:rsidRPr="00226C43">
              <w:rPr>
                <w:rStyle w:val="Strong"/>
                <w:rFonts w:cs="Segoe UI"/>
                <w:sz w:val="20"/>
                <w:szCs w:val="20"/>
              </w:rPr>
              <w:t>2019</w:t>
            </w:r>
          </w:p>
        </w:tc>
        <w:tc>
          <w:tcPr>
            <w:tcW w:w="1571" w:type="dxa"/>
            <w:hideMark/>
          </w:tcPr>
          <w:p w14:paraId="5B7519A0" w14:textId="77777777" w:rsidR="001C7DF3" w:rsidRPr="00226C43" w:rsidRDefault="001C7DF3" w:rsidP="00697235">
            <w:pPr>
              <w:spacing w:after="0"/>
              <w:jc w:val="right"/>
              <w:rPr>
                <w:rFonts w:cs="Segoe UI"/>
                <w:sz w:val="20"/>
                <w:szCs w:val="20"/>
              </w:rPr>
            </w:pPr>
            <w:r w:rsidRPr="00226C43">
              <w:rPr>
                <w:rFonts w:cs="Segoe UI"/>
                <w:sz w:val="20"/>
                <w:szCs w:val="20"/>
              </w:rPr>
              <w:t>2</w:t>
            </w:r>
          </w:p>
        </w:tc>
        <w:tc>
          <w:tcPr>
            <w:tcW w:w="1571" w:type="dxa"/>
            <w:hideMark/>
          </w:tcPr>
          <w:p w14:paraId="3665080F" w14:textId="77777777" w:rsidR="001C7DF3" w:rsidRPr="00226C43" w:rsidRDefault="001C7DF3" w:rsidP="00697235">
            <w:pPr>
              <w:spacing w:after="0"/>
              <w:jc w:val="right"/>
              <w:rPr>
                <w:rFonts w:cs="Segoe UI"/>
                <w:sz w:val="20"/>
                <w:szCs w:val="20"/>
              </w:rPr>
            </w:pPr>
            <w:r w:rsidRPr="00226C43">
              <w:rPr>
                <w:rFonts w:cs="Segoe UI"/>
                <w:sz w:val="20"/>
                <w:szCs w:val="20"/>
              </w:rPr>
              <w:t>58</w:t>
            </w:r>
          </w:p>
        </w:tc>
        <w:tc>
          <w:tcPr>
            <w:tcW w:w="1571" w:type="dxa"/>
            <w:hideMark/>
          </w:tcPr>
          <w:p w14:paraId="5CF307BB" w14:textId="77777777" w:rsidR="001C7DF3" w:rsidRPr="00226C43" w:rsidRDefault="001C7DF3" w:rsidP="00697235">
            <w:pPr>
              <w:spacing w:after="0"/>
              <w:jc w:val="right"/>
              <w:rPr>
                <w:rFonts w:cs="Segoe UI"/>
                <w:sz w:val="20"/>
                <w:szCs w:val="20"/>
              </w:rPr>
            </w:pPr>
            <w:r w:rsidRPr="00226C43">
              <w:rPr>
                <w:rFonts w:cs="Segoe UI"/>
                <w:sz w:val="20"/>
                <w:szCs w:val="20"/>
              </w:rPr>
              <w:t>0</w:t>
            </w:r>
          </w:p>
        </w:tc>
        <w:tc>
          <w:tcPr>
            <w:tcW w:w="1571" w:type="dxa"/>
            <w:hideMark/>
          </w:tcPr>
          <w:p w14:paraId="727C7A6E" w14:textId="77777777" w:rsidR="001C7DF3" w:rsidRPr="00226C43" w:rsidRDefault="001C7DF3" w:rsidP="00697235">
            <w:pPr>
              <w:spacing w:after="0"/>
              <w:jc w:val="right"/>
              <w:rPr>
                <w:rFonts w:cs="Segoe UI"/>
                <w:sz w:val="20"/>
                <w:szCs w:val="20"/>
              </w:rPr>
            </w:pPr>
            <w:r w:rsidRPr="00226C43">
              <w:rPr>
                <w:rFonts w:cs="Segoe UI"/>
                <w:sz w:val="20"/>
                <w:szCs w:val="20"/>
              </w:rPr>
              <w:t>3</w:t>
            </w:r>
          </w:p>
        </w:tc>
        <w:tc>
          <w:tcPr>
            <w:tcW w:w="1572" w:type="dxa"/>
            <w:hideMark/>
          </w:tcPr>
          <w:p w14:paraId="2C71C493" w14:textId="77777777" w:rsidR="001C7DF3" w:rsidRPr="00226C43" w:rsidRDefault="001C7DF3" w:rsidP="00697235">
            <w:pPr>
              <w:spacing w:after="0"/>
              <w:jc w:val="right"/>
              <w:rPr>
                <w:rFonts w:cs="Segoe UI"/>
                <w:b/>
                <w:sz w:val="20"/>
                <w:szCs w:val="20"/>
              </w:rPr>
            </w:pPr>
            <w:r w:rsidRPr="00226C43">
              <w:rPr>
                <w:rFonts w:cs="Segoe UI"/>
                <w:b/>
                <w:sz w:val="20"/>
                <w:szCs w:val="20"/>
              </w:rPr>
              <w:t>63</w:t>
            </w:r>
          </w:p>
        </w:tc>
      </w:tr>
      <w:tr w:rsidR="00226C43" w:rsidRPr="00226C43" w14:paraId="46C7A3A4" w14:textId="77777777" w:rsidTr="00CB2D7D">
        <w:tc>
          <w:tcPr>
            <w:tcW w:w="0" w:type="auto"/>
            <w:hideMark/>
          </w:tcPr>
          <w:p w14:paraId="40885BB7" w14:textId="77777777" w:rsidR="001C7DF3" w:rsidRPr="00226C43" w:rsidRDefault="001C7DF3" w:rsidP="00697235">
            <w:pPr>
              <w:spacing w:after="0"/>
              <w:rPr>
                <w:rFonts w:cs="Segoe UI"/>
                <w:sz w:val="20"/>
                <w:szCs w:val="20"/>
              </w:rPr>
            </w:pPr>
            <w:r w:rsidRPr="00226C43">
              <w:rPr>
                <w:rStyle w:val="Strong"/>
                <w:rFonts w:cs="Segoe UI"/>
                <w:sz w:val="20"/>
                <w:szCs w:val="20"/>
              </w:rPr>
              <w:t>2020</w:t>
            </w:r>
          </w:p>
        </w:tc>
        <w:tc>
          <w:tcPr>
            <w:tcW w:w="1571" w:type="dxa"/>
            <w:hideMark/>
          </w:tcPr>
          <w:p w14:paraId="4A33625B" w14:textId="77777777" w:rsidR="001C7DF3" w:rsidRPr="00226C43" w:rsidRDefault="001C7DF3" w:rsidP="00697235">
            <w:pPr>
              <w:spacing w:after="0"/>
              <w:jc w:val="right"/>
              <w:rPr>
                <w:rFonts w:cs="Segoe UI"/>
                <w:sz w:val="20"/>
                <w:szCs w:val="20"/>
              </w:rPr>
            </w:pPr>
            <w:r w:rsidRPr="00226C43">
              <w:rPr>
                <w:rFonts w:cs="Segoe UI"/>
                <w:sz w:val="20"/>
                <w:szCs w:val="20"/>
              </w:rPr>
              <w:t>0</w:t>
            </w:r>
          </w:p>
        </w:tc>
        <w:tc>
          <w:tcPr>
            <w:tcW w:w="1571" w:type="dxa"/>
            <w:hideMark/>
          </w:tcPr>
          <w:p w14:paraId="305125F6" w14:textId="77777777" w:rsidR="001C7DF3" w:rsidRPr="00226C43" w:rsidRDefault="001C7DF3" w:rsidP="00697235">
            <w:pPr>
              <w:spacing w:after="0"/>
              <w:jc w:val="right"/>
              <w:rPr>
                <w:rFonts w:cs="Segoe UI"/>
                <w:sz w:val="20"/>
                <w:szCs w:val="20"/>
              </w:rPr>
            </w:pPr>
            <w:r w:rsidRPr="00226C43">
              <w:rPr>
                <w:rFonts w:cs="Segoe UI"/>
                <w:sz w:val="20"/>
                <w:szCs w:val="20"/>
              </w:rPr>
              <w:t>64</w:t>
            </w:r>
          </w:p>
        </w:tc>
        <w:tc>
          <w:tcPr>
            <w:tcW w:w="1571" w:type="dxa"/>
            <w:hideMark/>
          </w:tcPr>
          <w:p w14:paraId="342A0D3C" w14:textId="77777777" w:rsidR="001C7DF3" w:rsidRPr="00226C43" w:rsidRDefault="001C7DF3" w:rsidP="00697235">
            <w:pPr>
              <w:spacing w:after="0"/>
              <w:jc w:val="right"/>
              <w:rPr>
                <w:rFonts w:cs="Segoe UI"/>
                <w:sz w:val="20"/>
                <w:szCs w:val="20"/>
              </w:rPr>
            </w:pPr>
            <w:r w:rsidRPr="00226C43">
              <w:rPr>
                <w:rFonts w:cs="Segoe UI"/>
                <w:sz w:val="20"/>
                <w:szCs w:val="20"/>
              </w:rPr>
              <w:t>0</w:t>
            </w:r>
          </w:p>
        </w:tc>
        <w:tc>
          <w:tcPr>
            <w:tcW w:w="1571" w:type="dxa"/>
            <w:hideMark/>
          </w:tcPr>
          <w:p w14:paraId="4C4A797C" w14:textId="77777777" w:rsidR="001C7DF3" w:rsidRPr="00226C43" w:rsidRDefault="001C7DF3" w:rsidP="00697235">
            <w:pPr>
              <w:spacing w:after="0"/>
              <w:jc w:val="right"/>
              <w:rPr>
                <w:rFonts w:cs="Segoe UI"/>
                <w:sz w:val="20"/>
                <w:szCs w:val="20"/>
              </w:rPr>
            </w:pPr>
            <w:r w:rsidRPr="00226C43">
              <w:rPr>
                <w:rFonts w:cs="Segoe UI"/>
                <w:sz w:val="20"/>
                <w:szCs w:val="20"/>
              </w:rPr>
              <w:t>0</w:t>
            </w:r>
          </w:p>
        </w:tc>
        <w:tc>
          <w:tcPr>
            <w:tcW w:w="1572" w:type="dxa"/>
            <w:hideMark/>
          </w:tcPr>
          <w:p w14:paraId="602356D9" w14:textId="77777777" w:rsidR="001C7DF3" w:rsidRPr="00226C43" w:rsidRDefault="001C7DF3" w:rsidP="00697235">
            <w:pPr>
              <w:spacing w:after="0"/>
              <w:jc w:val="right"/>
              <w:rPr>
                <w:rFonts w:cs="Segoe UI"/>
                <w:b/>
                <w:sz w:val="20"/>
                <w:szCs w:val="20"/>
              </w:rPr>
            </w:pPr>
            <w:r w:rsidRPr="00226C43">
              <w:rPr>
                <w:rFonts w:cs="Segoe UI"/>
                <w:b/>
                <w:sz w:val="20"/>
                <w:szCs w:val="20"/>
              </w:rPr>
              <w:t>64</w:t>
            </w:r>
          </w:p>
        </w:tc>
      </w:tr>
      <w:tr w:rsidR="00226C43" w:rsidRPr="00226C43" w14:paraId="759C9C19" w14:textId="77777777" w:rsidTr="00CB2D7D">
        <w:tc>
          <w:tcPr>
            <w:tcW w:w="0" w:type="auto"/>
            <w:hideMark/>
          </w:tcPr>
          <w:p w14:paraId="73DD9820" w14:textId="77777777" w:rsidR="001C7DF3" w:rsidRPr="00226C43" w:rsidRDefault="001C7DF3" w:rsidP="00697235">
            <w:pPr>
              <w:spacing w:after="0"/>
              <w:rPr>
                <w:rFonts w:cs="Segoe UI"/>
                <w:sz w:val="20"/>
                <w:szCs w:val="20"/>
              </w:rPr>
            </w:pPr>
            <w:r w:rsidRPr="00226C43">
              <w:rPr>
                <w:rStyle w:val="Strong"/>
                <w:rFonts w:cs="Segoe UI"/>
                <w:sz w:val="20"/>
                <w:szCs w:val="20"/>
              </w:rPr>
              <w:t>2022</w:t>
            </w:r>
          </w:p>
        </w:tc>
        <w:tc>
          <w:tcPr>
            <w:tcW w:w="1571" w:type="dxa"/>
            <w:hideMark/>
          </w:tcPr>
          <w:p w14:paraId="172203C1" w14:textId="77777777" w:rsidR="001C7DF3" w:rsidRPr="00226C43" w:rsidRDefault="001C7DF3" w:rsidP="00697235">
            <w:pPr>
              <w:spacing w:after="0"/>
              <w:jc w:val="right"/>
              <w:rPr>
                <w:rFonts w:cs="Segoe UI"/>
                <w:sz w:val="20"/>
                <w:szCs w:val="20"/>
              </w:rPr>
            </w:pPr>
            <w:r w:rsidRPr="00226C43">
              <w:rPr>
                <w:rFonts w:cs="Segoe UI"/>
                <w:sz w:val="20"/>
                <w:szCs w:val="20"/>
              </w:rPr>
              <w:t>0</w:t>
            </w:r>
          </w:p>
        </w:tc>
        <w:tc>
          <w:tcPr>
            <w:tcW w:w="1571" w:type="dxa"/>
            <w:hideMark/>
          </w:tcPr>
          <w:p w14:paraId="0EF6CDF8" w14:textId="77777777" w:rsidR="001C7DF3" w:rsidRPr="00226C43" w:rsidRDefault="001C7DF3" w:rsidP="00697235">
            <w:pPr>
              <w:spacing w:after="0"/>
              <w:jc w:val="right"/>
              <w:rPr>
                <w:rFonts w:cs="Segoe UI"/>
                <w:sz w:val="20"/>
                <w:szCs w:val="20"/>
              </w:rPr>
            </w:pPr>
            <w:r w:rsidRPr="00226C43">
              <w:rPr>
                <w:rFonts w:cs="Segoe UI"/>
                <w:sz w:val="20"/>
                <w:szCs w:val="20"/>
              </w:rPr>
              <w:t>37</w:t>
            </w:r>
          </w:p>
        </w:tc>
        <w:tc>
          <w:tcPr>
            <w:tcW w:w="1571" w:type="dxa"/>
            <w:hideMark/>
          </w:tcPr>
          <w:p w14:paraId="2D48682E" w14:textId="77777777" w:rsidR="001C7DF3" w:rsidRPr="00226C43" w:rsidRDefault="001C7DF3" w:rsidP="00697235">
            <w:pPr>
              <w:spacing w:after="0"/>
              <w:jc w:val="right"/>
              <w:rPr>
                <w:rFonts w:cs="Segoe UI"/>
                <w:sz w:val="20"/>
                <w:szCs w:val="20"/>
              </w:rPr>
            </w:pPr>
            <w:r w:rsidRPr="00226C43">
              <w:rPr>
                <w:rFonts w:cs="Segoe UI"/>
                <w:sz w:val="20"/>
                <w:szCs w:val="20"/>
              </w:rPr>
              <w:t>1</w:t>
            </w:r>
          </w:p>
        </w:tc>
        <w:tc>
          <w:tcPr>
            <w:tcW w:w="1571" w:type="dxa"/>
            <w:hideMark/>
          </w:tcPr>
          <w:p w14:paraId="4DD17252" w14:textId="77777777" w:rsidR="001C7DF3" w:rsidRPr="00226C43" w:rsidRDefault="001C7DF3" w:rsidP="00697235">
            <w:pPr>
              <w:spacing w:after="0"/>
              <w:jc w:val="right"/>
              <w:rPr>
                <w:rFonts w:cs="Segoe UI"/>
                <w:sz w:val="20"/>
                <w:szCs w:val="20"/>
              </w:rPr>
            </w:pPr>
            <w:r w:rsidRPr="00226C43">
              <w:rPr>
                <w:rFonts w:cs="Segoe UI"/>
                <w:sz w:val="20"/>
                <w:szCs w:val="20"/>
              </w:rPr>
              <w:t>0</w:t>
            </w:r>
          </w:p>
        </w:tc>
        <w:tc>
          <w:tcPr>
            <w:tcW w:w="1572" w:type="dxa"/>
            <w:hideMark/>
          </w:tcPr>
          <w:p w14:paraId="771B83CF" w14:textId="77777777" w:rsidR="001C7DF3" w:rsidRPr="00226C43" w:rsidRDefault="001C7DF3" w:rsidP="00697235">
            <w:pPr>
              <w:spacing w:after="0"/>
              <w:jc w:val="right"/>
              <w:rPr>
                <w:rFonts w:cs="Segoe UI"/>
                <w:b/>
                <w:sz w:val="20"/>
                <w:szCs w:val="20"/>
              </w:rPr>
            </w:pPr>
            <w:r w:rsidRPr="00226C43">
              <w:rPr>
                <w:rFonts w:cs="Segoe UI"/>
                <w:b/>
                <w:sz w:val="20"/>
                <w:szCs w:val="20"/>
              </w:rPr>
              <w:t>38</w:t>
            </w:r>
          </w:p>
        </w:tc>
      </w:tr>
      <w:tr w:rsidR="00226C43" w:rsidRPr="00226C43" w14:paraId="1DC91A3A" w14:textId="77777777" w:rsidTr="00CB2D7D">
        <w:tc>
          <w:tcPr>
            <w:tcW w:w="0" w:type="auto"/>
            <w:hideMark/>
          </w:tcPr>
          <w:p w14:paraId="141D6DAF" w14:textId="77777777" w:rsidR="001C7DF3" w:rsidRPr="00226C43" w:rsidRDefault="001C7DF3" w:rsidP="00697235">
            <w:pPr>
              <w:spacing w:after="0"/>
              <w:rPr>
                <w:rFonts w:cs="Segoe UI"/>
                <w:sz w:val="20"/>
                <w:szCs w:val="20"/>
              </w:rPr>
            </w:pPr>
            <w:r w:rsidRPr="00226C43">
              <w:rPr>
                <w:rStyle w:val="Strong"/>
                <w:rFonts w:cs="Segoe UI"/>
                <w:sz w:val="20"/>
                <w:szCs w:val="20"/>
              </w:rPr>
              <w:t>2023</w:t>
            </w:r>
          </w:p>
        </w:tc>
        <w:tc>
          <w:tcPr>
            <w:tcW w:w="1571" w:type="dxa"/>
            <w:hideMark/>
          </w:tcPr>
          <w:p w14:paraId="48059D21" w14:textId="77777777" w:rsidR="001C7DF3" w:rsidRPr="00226C43" w:rsidRDefault="001C7DF3" w:rsidP="00697235">
            <w:pPr>
              <w:spacing w:after="0"/>
              <w:jc w:val="right"/>
              <w:rPr>
                <w:rFonts w:cs="Segoe UI"/>
                <w:sz w:val="20"/>
                <w:szCs w:val="20"/>
              </w:rPr>
            </w:pPr>
            <w:r w:rsidRPr="00226C43">
              <w:rPr>
                <w:rFonts w:cs="Segoe UI"/>
                <w:sz w:val="20"/>
                <w:szCs w:val="20"/>
              </w:rPr>
              <w:t>0</w:t>
            </w:r>
          </w:p>
        </w:tc>
        <w:tc>
          <w:tcPr>
            <w:tcW w:w="1571" w:type="dxa"/>
            <w:hideMark/>
          </w:tcPr>
          <w:p w14:paraId="1A69CA91" w14:textId="77777777" w:rsidR="001C7DF3" w:rsidRPr="00226C43" w:rsidRDefault="001C7DF3" w:rsidP="00697235">
            <w:pPr>
              <w:spacing w:after="0"/>
              <w:jc w:val="right"/>
              <w:rPr>
                <w:rFonts w:cs="Segoe UI"/>
                <w:sz w:val="20"/>
                <w:szCs w:val="20"/>
              </w:rPr>
            </w:pPr>
            <w:r w:rsidRPr="00226C43">
              <w:rPr>
                <w:rFonts w:cs="Segoe UI"/>
                <w:sz w:val="20"/>
                <w:szCs w:val="20"/>
              </w:rPr>
              <w:t>26</w:t>
            </w:r>
          </w:p>
        </w:tc>
        <w:tc>
          <w:tcPr>
            <w:tcW w:w="1571" w:type="dxa"/>
            <w:hideMark/>
          </w:tcPr>
          <w:p w14:paraId="678CCC67" w14:textId="77777777" w:rsidR="001C7DF3" w:rsidRPr="00226C43" w:rsidRDefault="001C7DF3" w:rsidP="00697235">
            <w:pPr>
              <w:spacing w:after="0"/>
              <w:jc w:val="right"/>
              <w:rPr>
                <w:rFonts w:cs="Segoe UI"/>
                <w:sz w:val="20"/>
                <w:szCs w:val="20"/>
              </w:rPr>
            </w:pPr>
            <w:r w:rsidRPr="00226C43">
              <w:rPr>
                <w:rFonts w:cs="Segoe UI"/>
                <w:sz w:val="20"/>
                <w:szCs w:val="20"/>
              </w:rPr>
              <w:t>0</w:t>
            </w:r>
          </w:p>
        </w:tc>
        <w:tc>
          <w:tcPr>
            <w:tcW w:w="1571" w:type="dxa"/>
            <w:hideMark/>
          </w:tcPr>
          <w:p w14:paraId="1F8A804F" w14:textId="77777777" w:rsidR="001C7DF3" w:rsidRPr="00226C43" w:rsidRDefault="001C7DF3" w:rsidP="00697235">
            <w:pPr>
              <w:spacing w:after="0"/>
              <w:jc w:val="right"/>
              <w:rPr>
                <w:rFonts w:cs="Segoe UI"/>
                <w:sz w:val="20"/>
                <w:szCs w:val="20"/>
              </w:rPr>
            </w:pPr>
            <w:r w:rsidRPr="00226C43">
              <w:rPr>
                <w:rFonts w:cs="Segoe UI"/>
                <w:sz w:val="20"/>
                <w:szCs w:val="20"/>
              </w:rPr>
              <w:t>0</w:t>
            </w:r>
          </w:p>
        </w:tc>
        <w:tc>
          <w:tcPr>
            <w:tcW w:w="1572" w:type="dxa"/>
            <w:hideMark/>
          </w:tcPr>
          <w:p w14:paraId="1F6917F7" w14:textId="77777777" w:rsidR="001C7DF3" w:rsidRPr="00226C43" w:rsidRDefault="001C7DF3" w:rsidP="00697235">
            <w:pPr>
              <w:spacing w:after="0"/>
              <w:jc w:val="right"/>
              <w:rPr>
                <w:rFonts w:cs="Segoe UI"/>
                <w:b/>
                <w:sz w:val="20"/>
                <w:szCs w:val="20"/>
              </w:rPr>
            </w:pPr>
            <w:r w:rsidRPr="00226C43">
              <w:rPr>
                <w:rFonts w:cs="Segoe UI"/>
                <w:b/>
                <w:sz w:val="20"/>
                <w:szCs w:val="20"/>
              </w:rPr>
              <w:t>26</w:t>
            </w:r>
          </w:p>
        </w:tc>
      </w:tr>
      <w:tr w:rsidR="00226C43" w:rsidRPr="00226C43" w14:paraId="4F1D2D65" w14:textId="77777777" w:rsidTr="00CB2D7D">
        <w:tc>
          <w:tcPr>
            <w:tcW w:w="0" w:type="auto"/>
            <w:hideMark/>
          </w:tcPr>
          <w:p w14:paraId="46FFDF16" w14:textId="77777777" w:rsidR="001C7DF3" w:rsidRPr="00226C43" w:rsidRDefault="001C7DF3" w:rsidP="00697235">
            <w:pPr>
              <w:spacing w:after="0"/>
              <w:rPr>
                <w:rFonts w:cs="Segoe UI"/>
                <w:sz w:val="20"/>
                <w:szCs w:val="20"/>
              </w:rPr>
            </w:pPr>
            <w:r w:rsidRPr="00226C43">
              <w:rPr>
                <w:rStyle w:val="Strong"/>
                <w:rFonts w:cs="Segoe UI"/>
                <w:sz w:val="20"/>
                <w:szCs w:val="20"/>
              </w:rPr>
              <w:t>2024</w:t>
            </w:r>
          </w:p>
        </w:tc>
        <w:tc>
          <w:tcPr>
            <w:tcW w:w="1571" w:type="dxa"/>
            <w:hideMark/>
          </w:tcPr>
          <w:p w14:paraId="611E3BC9" w14:textId="77777777" w:rsidR="001C7DF3" w:rsidRPr="00226C43" w:rsidRDefault="001C7DF3" w:rsidP="00697235">
            <w:pPr>
              <w:spacing w:after="0"/>
              <w:jc w:val="right"/>
              <w:rPr>
                <w:rFonts w:cs="Segoe UI"/>
                <w:sz w:val="20"/>
                <w:szCs w:val="20"/>
              </w:rPr>
            </w:pPr>
            <w:r w:rsidRPr="00226C43">
              <w:rPr>
                <w:rFonts w:cs="Segoe UI"/>
                <w:sz w:val="20"/>
                <w:szCs w:val="20"/>
              </w:rPr>
              <w:t>0</w:t>
            </w:r>
          </w:p>
        </w:tc>
        <w:tc>
          <w:tcPr>
            <w:tcW w:w="1571" w:type="dxa"/>
            <w:hideMark/>
          </w:tcPr>
          <w:p w14:paraId="5FE88454" w14:textId="77777777" w:rsidR="001C7DF3" w:rsidRPr="00226C43" w:rsidRDefault="001C7DF3" w:rsidP="00697235">
            <w:pPr>
              <w:spacing w:after="0"/>
              <w:jc w:val="right"/>
              <w:rPr>
                <w:rFonts w:cs="Segoe UI"/>
                <w:sz w:val="20"/>
                <w:szCs w:val="20"/>
              </w:rPr>
            </w:pPr>
            <w:r w:rsidRPr="00226C43">
              <w:rPr>
                <w:rFonts w:cs="Segoe UI"/>
                <w:sz w:val="20"/>
                <w:szCs w:val="20"/>
              </w:rPr>
              <w:t>59</w:t>
            </w:r>
          </w:p>
        </w:tc>
        <w:tc>
          <w:tcPr>
            <w:tcW w:w="1571" w:type="dxa"/>
            <w:hideMark/>
          </w:tcPr>
          <w:p w14:paraId="76298372" w14:textId="77777777" w:rsidR="001C7DF3" w:rsidRPr="00226C43" w:rsidRDefault="001C7DF3" w:rsidP="00697235">
            <w:pPr>
              <w:spacing w:after="0"/>
              <w:jc w:val="right"/>
              <w:rPr>
                <w:rFonts w:cs="Segoe UI"/>
                <w:sz w:val="20"/>
                <w:szCs w:val="20"/>
              </w:rPr>
            </w:pPr>
            <w:r w:rsidRPr="00226C43">
              <w:rPr>
                <w:rFonts w:cs="Segoe UI"/>
                <w:sz w:val="20"/>
                <w:szCs w:val="20"/>
              </w:rPr>
              <w:t>0</w:t>
            </w:r>
          </w:p>
        </w:tc>
        <w:tc>
          <w:tcPr>
            <w:tcW w:w="1571" w:type="dxa"/>
            <w:hideMark/>
          </w:tcPr>
          <w:p w14:paraId="31A4B310" w14:textId="77777777" w:rsidR="001C7DF3" w:rsidRPr="00226C43" w:rsidRDefault="001C7DF3" w:rsidP="00697235">
            <w:pPr>
              <w:spacing w:after="0"/>
              <w:jc w:val="right"/>
              <w:rPr>
                <w:rFonts w:cs="Segoe UI"/>
                <w:sz w:val="20"/>
                <w:szCs w:val="20"/>
              </w:rPr>
            </w:pPr>
            <w:r w:rsidRPr="00226C43">
              <w:rPr>
                <w:rFonts w:cs="Segoe UI"/>
                <w:sz w:val="20"/>
                <w:szCs w:val="20"/>
              </w:rPr>
              <w:t>0</w:t>
            </w:r>
          </w:p>
        </w:tc>
        <w:tc>
          <w:tcPr>
            <w:tcW w:w="1572" w:type="dxa"/>
            <w:hideMark/>
          </w:tcPr>
          <w:p w14:paraId="16763007" w14:textId="77777777" w:rsidR="001C7DF3" w:rsidRPr="00226C43" w:rsidRDefault="001C7DF3" w:rsidP="00697235">
            <w:pPr>
              <w:spacing w:after="0"/>
              <w:jc w:val="right"/>
              <w:rPr>
                <w:rFonts w:cs="Segoe UI"/>
                <w:b/>
                <w:sz w:val="20"/>
                <w:szCs w:val="20"/>
              </w:rPr>
            </w:pPr>
            <w:r w:rsidRPr="00226C43">
              <w:rPr>
                <w:rFonts w:cs="Segoe UI"/>
                <w:b/>
                <w:sz w:val="20"/>
                <w:szCs w:val="20"/>
              </w:rPr>
              <w:t>59</w:t>
            </w:r>
          </w:p>
        </w:tc>
      </w:tr>
      <w:tr w:rsidR="00CB2D7D" w:rsidRPr="00226C43" w14:paraId="65820481" w14:textId="77777777" w:rsidTr="00CB2D7D">
        <w:tc>
          <w:tcPr>
            <w:tcW w:w="0" w:type="auto"/>
            <w:hideMark/>
          </w:tcPr>
          <w:p w14:paraId="2D636604" w14:textId="77777777" w:rsidR="001C7DF3" w:rsidRPr="00226C43" w:rsidRDefault="001C7DF3" w:rsidP="00697235">
            <w:pPr>
              <w:spacing w:after="0"/>
              <w:rPr>
                <w:rFonts w:cs="Segoe UI"/>
                <w:b/>
                <w:sz w:val="20"/>
                <w:szCs w:val="20"/>
              </w:rPr>
            </w:pPr>
            <w:r w:rsidRPr="00226C43">
              <w:rPr>
                <w:rStyle w:val="Strong"/>
                <w:rFonts w:cs="Segoe UI"/>
                <w:sz w:val="20"/>
                <w:szCs w:val="20"/>
              </w:rPr>
              <w:t>Total</w:t>
            </w:r>
          </w:p>
        </w:tc>
        <w:tc>
          <w:tcPr>
            <w:tcW w:w="1571" w:type="dxa"/>
            <w:hideMark/>
          </w:tcPr>
          <w:p w14:paraId="594D77A0" w14:textId="77777777" w:rsidR="001C7DF3" w:rsidRPr="00226C43" w:rsidRDefault="001C7DF3" w:rsidP="00697235">
            <w:pPr>
              <w:spacing w:after="0"/>
              <w:jc w:val="right"/>
              <w:rPr>
                <w:rFonts w:cs="Segoe UI"/>
                <w:b/>
                <w:sz w:val="20"/>
                <w:szCs w:val="20"/>
              </w:rPr>
            </w:pPr>
            <w:r w:rsidRPr="00226C43">
              <w:rPr>
                <w:rFonts w:cs="Segoe UI"/>
                <w:b/>
                <w:sz w:val="20"/>
                <w:szCs w:val="20"/>
              </w:rPr>
              <w:t>4</w:t>
            </w:r>
          </w:p>
        </w:tc>
        <w:tc>
          <w:tcPr>
            <w:tcW w:w="1571" w:type="dxa"/>
            <w:hideMark/>
          </w:tcPr>
          <w:p w14:paraId="0BF31C9B" w14:textId="77777777" w:rsidR="001C7DF3" w:rsidRPr="00226C43" w:rsidRDefault="001C7DF3" w:rsidP="00697235">
            <w:pPr>
              <w:spacing w:after="0"/>
              <w:jc w:val="right"/>
              <w:rPr>
                <w:rFonts w:cs="Segoe UI"/>
                <w:b/>
                <w:sz w:val="20"/>
                <w:szCs w:val="20"/>
              </w:rPr>
            </w:pPr>
            <w:r w:rsidRPr="00226C43">
              <w:rPr>
                <w:rFonts w:cs="Segoe UI"/>
                <w:b/>
                <w:sz w:val="20"/>
                <w:szCs w:val="20"/>
              </w:rPr>
              <w:t>327</w:t>
            </w:r>
          </w:p>
        </w:tc>
        <w:tc>
          <w:tcPr>
            <w:tcW w:w="1571" w:type="dxa"/>
            <w:hideMark/>
          </w:tcPr>
          <w:p w14:paraId="089D13DE" w14:textId="77777777" w:rsidR="001C7DF3" w:rsidRPr="00226C43" w:rsidRDefault="001C7DF3" w:rsidP="00697235">
            <w:pPr>
              <w:spacing w:after="0"/>
              <w:jc w:val="right"/>
              <w:rPr>
                <w:rFonts w:cs="Segoe UI"/>
                <w:b/>
                <w:sz w:val="20"/>
                <w:szCs w:val="20"/>
              </w:rPr>
            </w:pPr>
            <w:r w:rsidRPr="00226C43">
              <w:rPr>
                <w:rFonts w:cs="Segoe UI"/>
                <w:b/>
                <w:sz w:val="20"/>
                <w:szCs w:val="20"/>
              </w:rPr>
              <w:t>4</w:t>
            </w:r>
          </w:p>
        </w:tc>
        <w:tc>
          <w:tcPr>
            <w:tcW w:w="1571" w:type="dxa"/>
            <w:hideMark/>
          </w:tcPr>
          <w:p w14:paraId="0D0FEFE9" w14:textId="77777777" w:rsidR="001C7DF3" w:rsidRPr="00226C43" w:rsidRDefault="001C7DF3" w:rsidP="00697235">
            <w:pPr>
              <w:spacing w:after="0"/>
              <w:jc w:val="right"/>
              <w:rPr>
                <w:rFonts w:cs="Segoe UI"/>
                <w:b/>
                <w:sz w:val="20"/>
                <w:szCs w:val="20"/>
              </w:rPr>
            </w:pPr>
            <w:r w:rsidRPr="00226C43">
              <w:rPr>
                <w:rFonts w:cs="Segoe UI"/>
                <w:b/>
                <w:sz w:val="20"/>
                <w:szCs w:val="20"/>
              </w:rPr>
              <w:t>4</w:t>
            </w:r>
          </w:p>
        </w:tc>
        <w:tc>
          <w:tcPr>
            <w:tcW w:w="1572" w:type="dxa"/>
            <w:hideMark/>
          </w:tcPr>
          <w:p w14:paraId="37738354" w14:textId="77777777" w:rsidR="001C7DF3" w:rsidRPr="00226C43" w:rsidRDefault="001C7DF3" w:rsidP="00697235">
            <w:pPr>
              <w:spacing w:after="0"/>
              <w:jc w:val="right"/>
              <w:rPr>
                <w:rFonts w:cs="Segoe UI"/>
                <w:b/>
                <w:sz w:val="20"/>
                <w:szCs w:val="20"/>
              </w:rPr>
            </w:pPr>
            <w:r w:rsidRPr="00226C43">
              <w:rPr>
                <w:rFonts w:cs="Segoe UI"/>
                <w:b/>
                <w:sz w:val="20"/>
                <w:szCs w:val="20"/>
              </w:rPr>
              <w:t>339</w:t>
            </w:r>
          </w:p>
        </w:tc>
      </w:tr>
    </w:tbl>
    <w:p w14:paraId="79D391E6" w14:textId="77777777" w:rsidR="00697235" w:rsidRPr="00226C43" w:rsidRDefault="00697235" w:rsidP="00697235">
      <w:pPr>
        <w:spacing w:after="0"/>
        <w:rPr>
          <w:rFonts w:cs="Segoe UI"/>
          <w:sz w:val="20"/>
          <w:szCs w:val="20"/>
        </w:rPr>
      </w:pPr>
    </w:p>
    <w:p w14:paraId="47F3C4A5" w14:textId="0EC97747" w:rsidR="001C7DF3" w:rsidRPr="00226C43" w:rsidRDefault="00AF2E33" w:rsidP="00AF2E33">
      <w:pPr>
        <w:spacing w:after="0"/>
        <w:jc w:val="center"/>
        <w:rPr>
          <w:rFonts w:cs="Segoe UI"/>
          <w:b/>
          <w:sz w:val="20"/>
          <w:szCs w:val="20"/>
        </w:rPr>
      </w:pPr>
      <w:r w:rsidRPr="00226C43">
        <w:rPr>
          <w:rFonts w:cs="Segoe UI"/>
          <w:b/>
          <w:sz w:val="20"/>
          <w:szCs w:val="20"/>
        </w:rPr>
        <w:t>N</w:t>
      </w:r>
      <w:r w:rsidR="00697235" w:rsidRPr="00226C43">
        <w:rPr>
          <w:rFonts w:cs="Segoe UI"/>
          <w:b/>
          <w:sz w:val="20"/>
          <w:szCs w:val="20"/>
        </w:rPr>
        <w:t>umber of Australia Awards Scholars Application by Intake</w:t>
      </w:r>
    </w:p>
    <w:tbl>
      <w:tblPr>
        <w:tblStyle w:val="TableGrid"/>
        <w:tblW w:w="0" w:type="auto"/>
        <w:jc w:val="center"/>
        <w:tblLayout w:type="fixed"/>
        <w:tblLook w:val="06A0" w:firstRow="1" w:lastRow="0" w:firstColumn="1" w:lastColumn="0" w:noHBand="1" w:noVBand="1"/>
      </w:tblPr>
      <w:tblGrid>
        <w:gridCol w:w="1236"/>
        <w:gridCol w:w="1102"/>
        <w:gridCol w:w="1102"/>
        <w:gridCol w:w="1102"/>
        <w:gridCol w:w="1088"/>
      </w:tblGrid>
      <w:tr w:rsidR="00226C43" w:rsidRPr="00226C43" w14:paraId="5AAD92DB" w14:textId="77777777" w:rsidTr="00117212">
        <w:trPr>
          <w:tblHeader/>
          <w:jc w:val="center"/>
        </w:trPr>
        <w:tc>
          <w:tcPr>
            <w:tcW w:w="1236" w:type="dxa"/>
            <w:shd w:val="clear" w:color="auto" w:fill="E3DED1" w:themeFill="background2"/>
            <w:hideMark/>
          </w:tcPr>
          <w:p w14:paraId="3E2390AC" w14:textId="77777777" w:rsidR="001C7DF3" w:rsidRPr="00226C43" w:rsidRDefault="001C7DF3" w:rsidP="00697235">
            <w:pPr>
              <w:spacing w:after="0"/>
              <w:rPr>
                <w:rFonts w:cs="Segoe UI"/>
                <w:b/>
                <w:sz w:val="20"/>
                <w:szCs w:val="20"/>
              </w:rPr>
            </w:pPr>
            <w:r w:rsidRPr="00226C43">
              <w:rPr>
                <w:rStyle w:val="Strong"/>
                <w:rFonts w:cs="Segoe UI"/>
                <w:sz w:val="20"/>
                <w:szCs w:val="20"/>
              </w:rPr>
              <w:t>Intake Year</w:t>
            </w:r>
          </w:p>
        </w:tc>
        <w:tc>
          <w:tcPr>
            <w:tcW w:w="1102" w:type="dxa"/>
            <w:shd w:val="clear" w:color="auto" w:fill="E3DED1" w:themeFill="background2"/>
            <w:hideMark/>
          </w:tcPr>
          <w:p w14:paraId="7571F51E" w14:textId="77777777" w:rsidR="001C7DF3" w:rsidRPr="00226C43" w:rsidRDefault="001C7DF3" w:rsidP="00AF2E33">
            <w:pPr>
              <w:spacing w:after="0"/>
              <w:jc w:val="center"/>
              <w:rPr>
                <w:rFonts w:cs="Segoe UI"/>
                <w:b/>
                <w:sz w:val="20"/>
                <w:szCs w:val="20"/>
              </w:rPr>
            </w:pPr>
            <w:r w:rsidRPr="00226C43">
              <w:rPr>
                <w:rStyle w:val="Strong"/>
                <w:rFonts w:cs="Segoe UI"/>
                <w:sz w:val="20"/>
                <w:szCs w:val="20"/>
              </w:rPr>
              <w:t>Male</w:t>
            </w:r>
          </w:p>
        </w:tc>
        <w:tc>
          <w:tcPr>
            <w:tcW w:w="1102" w:type="dxa"/>
            <w:shd w:val="clear" w:color="auto" w:fill="E3DED1" w:themeFill="background2"/>
            <w:hideMark/>
          </w:tcPr>
          <w:p w14:paraId="2FD5698C" w14:textId="77777777" w:rsidR="001C7DF3" w:rsidRPr="00226C43" w:rsidRDefault="001C7DF3" w:rsidP="00AF2E33">
            <w:pPr>
              <w:spacing w:after="0"/>
              <w:jc w:val="center"/>
              <w:rPr>
                <w:rFonts w:cs="Segoe UI"/>
                <w:b/>
                <w:sz w:val="20"/>
                <w:szCs w:val="20"/>
              </w:rPr>
            </w:pPr>
            <w:r w:rsidRPr="00226C43">
              <w:rPr>
                <w:rStyle w:val="Strong"/>
                <w:rFonts w:cs="Segoe UI"/>
                <w:sz w:val="20"/>
                <w:szCs w:val="20"/>
              </w:rPr>
              <w:t>Female</w:t>
            </w:r>
          </w:p>
        </w:tc>
        <w:tc>
          <w:tcPr>
            <w:tcW w:w="1102" w:type="dxa"/>
            <w:shd w:val="clear" w:color="auto" w:fill="E3DED1" w:themeFill="background2"/>
            <w:hideMark/>
          </w:tcPr>
          <w:p w14:paraId="293EFE32" w14:textId="77777777" w:rsidR="001C7DF3" w:rsidRPr="00226C43" w:rsidRDefault="001C7DF3" w:rsidP="00AF2E33">
            <w:pPr>
              <w:spacing w:after="0"/>
              <w:jc w:val="center"/>
              <w:rPr>
                <w:rFonts w:cs="Segoe UI"/>
                <w:b/>
                <w:sz w:val="20"/>
                <w:szCs w:val="20"/>
              </w:rPr>
            </w:pPr>
            <w:r w:rsidRPr="00226C43">
              <w:rPr>
                <w:rStyle w:val="Strong"/>
                <w:rFonts w:cs="Segoe UI"/>
                <w:sz w:val="20"/>
                <w:szCs w:val="20"/>
              </w:rPr>
              <w:t>Other</w:t>
            </w:r>
          </w:p>
        </w:tc>
        <w:tc>
          <w:tcPr>
            <w:tcW w:w="1088" w:type="dxa"/>
            <w:shd w:val="clear" w:color="auto" w:fill="E3DED1" w:themeFill="background2"/>
            <w:hideMark/>
          </w:tcPr>
          <w:p w14:paraId="70AA91F0" w14:textId="77777777" w:rsidR="001C7DF3" w:rsidRPr="00226C43" w:rsidRDefault="001C7DF3" w:rsidP="00AF2E33">
            <w:pPr>
              <w:spacing w:after="0"/>
              <w:jc w:val="center"/>
              <w:rPr>
                <w:rFonts w:cs="Segoe UI"/>
                <w:sz w:val="20"/>
                <w:szCs w:val="20"/>
              </w:rPr>
            </w:pPr>
            <w:r w:rsidRPr="00226C43">
              <w:rPr>
                <w:rStyle w:val="Strong"/>
                <w:rFonts w:cs="Segoe UI"/>
                <w:sz w:val="20"/>
                <w:szCs w:val="20"/>
              </w:rPr>
              <w:t>Total</w:t>
            </w:r>
          </w:p>
        </w:tc>
      </w:tr>
      <w:tr w:rsidR="00226C43" w:rsidRPr="00226C43" w14:paraId="7BBBF4C5" w14:textId="77777777" w:rsidTr="00CB2D7D">
        <w:trPr>
          <w:jc w:val="center"/>
        </w:trPr>
        <w:tc>
          <w:tcPr>
            <w:tcW w:w="1236" w:type="dxa"/>
            <w:hideMark/>
          </w:tcPr>
          <w:p w14:paraId="4FE7C056" w14:textId="77777777" w:rsidR="001C7DF3" w:rsidRPr="00226C43" w:rsidRDefault="001C7DF3" w:rsidP="00697235">
            <w:pPr>
              <w:spacing w:after="0"/>
              <w:rPr>
                <w:rFonts w:cs="Segoe UI"/>
                <w:sz w:val="20"/>
                <w:szCs w:val="20"/>
              </w:rPr>
            </w:pPr>
            <w:r w:rsidRPr="00226C43">
              <w:rPr>
                <w:rStyle w:val="Strong"/>
                <w:rFonts w:cs="Segoe UI"/>
                <w:sz w:val="20"/>
                <w:szCs w:val="20"/>
              </w:rPr>
              <w:t>2018</w:t>
            </w:r>
          </w:p>
        </w:tc>
        <w:tc>
          <w:tcPr>
            <w:tcW w:w="1102" w:type="dxa"/>
            <w:hideMark/>
          </w:tcPr>
          <w:p w14:paraId="08CA88D9" w14:textId="77777777" w:rsidR="001C7DF3" w:rsidRPr="00226C43" w:rsidRDefault="001C7DF3" w:rsidP="00AF2E33">
            <w:pPr>
              <w:spacing w:after="0"/>
              <w:jc w:val="right"/>
              <w:rPr>
                <w:rFonts w:cs="Segoe UI"/>
                <w:sz w:val="20"/>
                <w:szCs w:val="20"/>
              </w:rPr>
            </w:pPr>
            <w:r w:rsidRPr="00226C43">
              <w:rPr>
                <w:rFonts w:cs="Segoe UI"/>
                <w:sz w:val="20"/>
                <w:szCs w:val="20"/>
              </w:rPr>
              <w:t>181</w:t>
            </w:r>
          </w:p>
        </w:tc>
        <w:tc>
          <w:tcPr>
            <w:tcW w:w="1102" w:type="dxa"/>
            <w:hideMark/>
          </w:tcPr>
          <w:p w14:paraId="5CF0ABFF" w14:textId="77777777" w:rsidR="001C7DF3" w:rsidRPr="00226C43" w:rsidRDefault="001C7DF3" w:rsidP="00AF2E33">
            <w:pPr>
              <w:spacing w:after="0"/>
              <w:jc w:val="right"/>
              <w:rPr>
                <w:rFonts w:cs="Segoe UI"/>
                <w:sz w:val="20"/>
                <w:szCs w:val="20"/>
              </w:rPr>
            </w:pPr>
            <w:r w:rsidRPr="00226C43">
              <w:rPr>
                <w:rFonts w:cs="Segoe UI"/>
                <w:sz w:val="20"/>
                <w:szCs w:val="20"/>
              </w:rPr>
              <w:t>280</w:t>
            </w:r>
          </w:p>
        </w:tc>
        <w:tc>
          <w:tcPr>
            <w:tcW w:w="1102" w:type="dxa"/>
            <w:hideMark/>
          </w:tcPr>
          <w:p w14:paraId="18033433" w14:textId="77777777" w:rsidR="001C7DF3" w:rsidRPr="00226C43" w:rsidRDefault="001C7DF3" w:rsidP="00AF2E33">
            <w:pPr>
              <w:spacing w:after="0"/>
              <w:jc w:val="right"/>
              <w:rPr>
                <w:rFonts w:cs="Segoe UI"/>
                <w:sz w:val="20"/>
                <w:szCs w:val="20"/>
              </w:rPr>
            </w:pPr>
            <w:r w:rsidRPr="00226C43">
              <w:rPr>
                <w:rFonts w:cs="Segoe UI"/>
                <w:sz w:val="20"/>
                <w:szCs w:val="20"/>
              </w:rPr>
              <w:t>-</w:t>
            </w:r>
          </w:p>
        </w:tc>
        <w:tc>
          <w:tcPr>
            <w:tcW w:w="1088" w:type="dxa"/>
            <w:hideMark/>
          </w:tcPr>
          <w:p w14:paraId="4DF644D8" w14:textId="77777777" w:rsidR="001C7DF3" w:rsidRPr="00226C43" w:rsidRDefault="001C7DF3" w:rsidP="00AF2E33">
            <w:pPr>
              <w:spacing w:after="0"/>
              <w:jc w:val="right"/>
              <w:rPr>
                <w:rFonts w:cs="Segoe UI"/>
                <w:b/>
                <w:sz w:val="20"/>
                <w:szCs w:val="20"/>
              </w:rPr>
            </w:pPr>
            <w:r w:rsidRPr="00226C43">
              <w:rPr>
                <w:rFonts w:cs="Segoe UI"/>
                <w:b/>
                <w:sz w:val="20"/>
                <w:szCs w:val="20"/>
              </w:rPr>
              <w:t>461</w:t>
            </w:r>
          </w:p>
        </w:tc>
      </w:tr>
      <w:tr w:rsidR="00226C43" w:rsidRPr="00226C43" w14:paraId="085404BB" w14:textId="77777777" w:rsidTr="00CB2D7D">
        <w:trPr>
          <w:jc w:val="center"/>
        </w:trPr>
        <w:tc>
          <w:tcPr>
            <w:tcW w:w="1236" w:type="dxa"/>
            <w:hideMark/>
          </w:tcPr>
          <w:p w14:paraId="74AA35C1" w14:textId="77777777" w:rsidR="001C7DF3" w:rsidRPr="00226C43" w:rsidRDefault="001C7DF3" w:rsidP="00697235">
            <w:pPr>
              <w:spacing w:after="0"/>
              <w:rPr>
                <w:rFonts w:cs="Segoe UI"/>
                <w:sz w:val="20"/>
                <w:szCs w:val="20"/>
              </w:rPr>
            </w:pPr>
            <w:r w:rsidRPr="00226C43">
              <w:rPr>
                <w:rStyle w:val="Strong"/>
                <w:rFonts w:cs="Segoe UI"/>
                <w:sz w:val="20"/>
                <w:szCs w:val="20"/>
              </w:rPr>
              <w:t>2019</w:t>
            </w:r>
          </w:p>
        </w:tc>
        <w:tc>
          <w:tcPr>
            <w:tcW w:w="1102" w:type="dxa"/>
            <w:hideMark/>
          </w:tcPr>
          <w:p w14:paraId="40DD279F" w14:textId="77777777" w:rsidR="001C7DF3" w:rsidRPr="00226C43" w:rsidRDefault="001C7DF3" w:rsidP="00AF2E33">
            <w:pPr>
              <w:spacing w:after="0"/>
              <w:jc w:val="right"/>
              <w:rPr>
                <w:rFonts w:cs="Segoe UI"/>
                <w:sz w:val="20"/>
                <w:szCs w:val="20"/>
              </w:rPr>
            </w:pPr>
            <w:r w:rsidRPr="00226C43">
              <w:rPr>
                <w:rFonts w:cs="Segoe UI"/>
                <w:sz w:val="20"/>
                <w:szCs w:val="20"/>
              </w:rPr>
              <w:t>177</w:t>
            </w:r>
          </w:p>
        </w:tc>
        <w:tc>
          <w:tcPr>
            <w:tcW w:w="1102" w:type="dxa"/>
            <w:hideMark/>
          </w:tcPr>
          <w:p w14:paraId="7F45D7FF" w14:textId="77777777" w:rsidR="001C7DF3" w:rsidRPr="00226C43" w:rsidRDefault="001C7DF3" w:rsidP="00AF2E33">
            <w:pPr>
              <w:spacing w:after="0"/>
              <w:jc w:val="right"/>
              <w:rPr>
                <w:rFonts w:cs="Segoe UI"/>
                <w:sz w:val="20"/>
                <w:szCs w:val="20"/>
              </w:rPr>
            </w:pPr>
            <w:r w:rsidRPr="00226C43">
              <w:rPr>
                <w:rFonts w:cs="Segoe UI"/>
                <w:sz w:val="20"/>
                <w:szCs w:val="20"/>
              </w:rPr>
              <w:t>274</w:t>
            </w:r>
          </w:p>
        </w:tc>
        <w:tc>
          <w:tcPr>
            <w:tcW w:w="1102" w:type="dxa"/>
            <w:hideMark/>
          </w:tcPr>
          <w:p w14:paraId="357C5EA7" w14:textId="77777777" w:rsidR="001C7DF3" w:rsidRPr="00226C43" w:rsidRDefault="001C7DF3" w:rsidP="00AF2E33">
            <w:pPr>
              <w:spacing w:after="0"/>
              <w:jc w:val="right"/>
              <w:rPr>
                <w:rFonts w:cs="Segoe UI"/>
                <w:sz w:val="20"/>
                <w:szCs w:val="20"/>
              </w:rPr>
            </w:pPr>
            <w:r w:rsidRPr="00226C43">
              <w:rPr>
                <w:rFonts w:cs="Segoe UI"/>
                <w:sz w:val="20"/>
                <w:szCs w:val="20"/>
              </w:rPr>
              <w:t>-</w:t>
            </w:r>
          </w:p>
        </w:tc>
        <w:tc>
          <w:tcPr>
            <w:tcW w:w="1088" w:type="dxa"/>
            <w:hideMark/>
          </w:tcPr>
          <w:p w14:paraId="7F4800CF" w14:textId="77777777" w:rsidR="001C7DF3" w:rsidRPr="00226C43" w:rsidRDefault="001C7DF3" w:rsidP="00AF2E33">
            <w:pPr>
              <w:spacing w:after="0"/>
              <w:jc w:val="right"/>
              <w:rPr>
                <w:rFonts w:cs="Segoe UI"/>
                <w:b/>
                <w:sz w:val="20"/>
                <w:szCs w:val="20"/>
              </w:rPr>
            </w:pPr>
            <w:r w:rsidRPr="00226C43">
              <w:rPr>
                <w:rFonts w:cs="Segoe UI"/>
                <w:b/>
                <w:sz w:val="20"/>
                <w:szCs w:val="20"/>
              </w:rPr>
              <w:t>451</w:t>
            </w:r>
          </w:p>
        </w:tc>
      </w:tr>
      <w:tr w:rsidR="00226C43" w:rsidRPr="00226C43" w14:paraId="600003BA" w14:textId="77777777" w:rsidTr="00CB2D7D">
        <w:trPr>
          <w:jc w:val="center"/>
        </w:trPr>
        <w:tc>
          <w:tcPr>
            <w:tcW w:w="1236" w:type="dxa"/>
            <w:hideMark/>
          </w:tcPr>
          <w:p w14:paraId="1A463368" w14:textId="77777777" w:rsidR="001C7DF3" w:rsidRPr="00226C43" w:rsidRDefault="001C7DF3" w:rsidP="00697235">
            <w:pPr>
              <w:spacing w:after="0"/>
              <w:rPr>
                <w:rFonts w:cs="Segoe UI"/>
                <w:sz w:val="20"/>
                <w:szCs w:val="20"/>
              </w:rPr>
            </w:pPr>
            <w:r w:rsidRPr="00226C43">
              <w:rPr>
                <w:rStyle w:val="Strong"/>
                <w:rFonts w:cs="Segoe UI"/>
                <w:sz w:val="20"/>
                <w:szCs w:val="20"/>
              </w:rPr>
              <w:t>2020</w:t>
            </w:r>
          </w:p>
        </w:tc>
        <w:tc>
          <w:tcPr>
            <w:tcW w:w="1102" w:type="dxa"/>
            <w:hideMark/>
          </w:tcPr>
          <w:p w14:paraId="122EDC79" w14:textId="77777777" w:rsidR="001C7DF3" w:rsidRPr="00226C43" w:rsidRDefault="001C7DF3" w:rsidP="00AF2E33">
            <w:pPr>
              <w:spacing w:after="0"/>
              <w:jc w:val="right"/>
              <w:rPr>
                <w:rFonts w:cs="Segoe UI"/>
                <w:sz w:val="20"/>
                <w:szCs w:val="20"/>
              </w:rPr>
            </w:pPr>
            <w:r w:rsidRPr="00226C43">
              <w:rPr>
                <w:rFonts w:cs="Segoe UI"/>
                <w:sz w:val="20"/>
                <w:szCs w:val="20"/>
              </w:rPr>
              <w:t>147</w:t>
            </w:r>
          </w:p>
        </w:tc>
        <w:tc>
          <w:tcPr>
            <w:tcW w:w="1102" w:type="dxa"/>
            <w:hideMark/>
          </w:tcPr>
          <w:p w14:paraId="2ACCD092" w14:textId="77777777" w:rsidR="001C7DF3" w:rsidRPr="00226C43" w:rsidRDefault="001C7DF3" w:rsidP="00AF2E33">
            <w:pPr>
              <w:spacing w:after="0"/>
              <w:jc w:val="right"/>
              <w:rPr>
                <w:rFonts w:cs="Segoe UI"/>
                <w:sz w:val="20"/>
                <w:szCs w:val="20"/>
              </w:rPr>
            </w:pPr>
            <w:r w:rsidRPr="00226C43">
              <w:rPr>
                <w:rFonts w:cs="Segoe UI"/>
                <w:sz w:val="20"/>
                <w:szCs w:val="20"/>
              </w:rPr>
              <w:t>229</w:t>
            </w:r>
          </w:p>
        </w:tc>
        <w:tc>
          <w:tcPr>
            <w:tcW w:w="1102" w:type="dxa"/>
            <w:hideMark/>
          </w:tcPr>
          <w:p w14:paraId="0E6A36E0" w14:textId="77777777" w:rsidR="001C7DF3" w:rsidRPr="00226C43" w:rsidRDefault="001C7DF3" w:rsidP="00AF2E33">
            <w:pPr>
              <w:spacing w:after="0"/>
              <w:jc w:val="right"/>
              <w:rPr>
                <w:rFonts w:cs="Segoe UI"/>
                <w:sz w:val="20"/>
                <w:szCs w:val="20"/>
              </w:rPr>
            </w:pPr>
            <w:r w:rsidRPr="00226C43">
              <w:rPr>
                <w:rFonts w:cs="Segoe UI"/>
                <w:sz w:val="20"/>
                <w:szCs w:val="20"/>
              </w:rPr>
              <w:t>4</w:t>
            </w:r>
          </w:p>
        </w:tc>
        <w:tc>
          <w:tcPr>
            <w:tcW w:w="1088" w:type="dxa"/>
            <w:hideMark/>
          </w:tcPr>
          <w:p w14:paraId="1BC7EDF1" w14:textId="77777777" w:rsidR="001C7DF3" w:rsidRPr="00226C43" w:rsidRDefault="001C7DF3" w:rsidP="00AF2E33">
            <w:pPr>
              <w:spacing w:after="0"/>
              <w:jc w:val="right"/>
              <w:rPr>
                <w:rFonts w:cs="Segoe UI"/>
                <w:b/>
                <w:sz w:val="20"/>
                <w:szCs w:val="20"/>
              </w:rPr>
            </w:pPr>
            <w:r w:rsidRPr="00226C43">
              <w:rPr>
                <w:rFonts w:cs="Segoe UI"/>
                <w:b/>
                <w:sz w:val="20"/>
                <w:szCs w:val="20"/>
              </w:rPr>
              <w:t>380</w:t>
            </w:r>
          </w:p>
        </w:tc>
      </w:tr>
      <w:tr w:rsidR="00226C43" w:rsidRPr="00226C43" w14:paraId="0C6707E9" w14:textId="77777777" w:rsidTr="00CB2D7D">
        <w:trPr>
          <w:jc w:val="center"/>
        </w:trPr>
        <w:tc>
          <w:tcPr>
            <w:tcW w:w="1236" w:type="dxa"/>
            <w:hideMark/>
          </w:tcPr>
          <w:p w14:paraId="7B9BD3DA" w14:textId="77777777" w:rsidR="001C7DF3" w:rsidRPr="00226C43" w:rsidRDefault="001C7DF3" w:rsidP="00697235">
            <w:pPr>
              <w:spacing w:after="0"/>
              <w:rPr>
                <w:rFonts w:cs="Segoe UI"/>
                <w:sz w:val="20"/>
                <w:szCs w:val="20"/>
              </w:rPr>
            </w:pPr>
            <w:r w:rsidRPr="00226C43">
              <w:rPr>
                <w:rStyle w:val="Strong"/>
                <w:rFonts w:cs="Segoe UI"/>
                <w:sz w:val="20"/>
                <w:szCs w:val="20"/>
              </w:rPr>
              <w:t>2021</w:t>
            </w:r>
          </w:p>
        </w:tc>
        <w:tc>
          <w:tcPr>
            <w:tcW w:w="1102" w:type="dxa"/>
            <w:hideMark/>
          </w:tcPr>
          <w:p w14:paraId="241B57DF" w14:textId="77777777" w:rsidR="001C7DF3" w:rsidRPr="00226C43" w:rsidRDefault="001C7DF3" w:rsidP="00AF2E33">
            <w:pPr>
              <w:spacing w:after="0"/>
              <w:jc w:val="right"/>
              <w:rPr>
                <w:rFonts w:cs="Segoe UI"/>
                <w:sz w:val="20"/>
                <w:szCs w:val="20"/>
              </w:rPr>
            </w:pPr>
            <w:r w:rsidRPr="00226C43">
              <w:rPr>
                <w:rFonts w:cs="Segoe UI"/>
                <w:sz w:val="20"/>
                <w:szCs w:val="20"/>
              </w:rPr>
              <w:t>231</w:t>
            </w:r>
          </w:p>
        </w:tc>
        <w:tc>
          <w:tcPr>
            <w:tcW w:w="1102" w:type="dxa"/>
            <w:hideMark/>
          </w:tcPr>
          <w:p w14:paraId="4806BB49" w14:textId="77777777" w:rsidR="001C7DF3" w:rsidRPr="00226C43" w:rsidRDefault="001C7DF3" w:rsidP="00AF2E33">
            <w:pPr>
              <w:spacing w:after="0"/>
              <w:jc w:val="right"/>
              <w:rPr>
                <w:rFonts w:cs="Segoe UI"/>
                <w:sz w:val="20"/>
                <w:szCs w:val="20"/>
              </w:rPr>
            </w:pPr>
            <w:r w:rsidRPr="00226C43">
              <w:rPr>
                <w:rFonts w:cs="Segoe UI"/>
                <w:sz w:val="20"/>
                <w:szCs w:val="20"/>
              </w:rPr>
              <w:t>307</w:t>
            </w:r>
          </w:p>
        </w:tc>
        <w:tc>
          <w:tcPr>
            <w:tcW w:w="1102" w:type="dxa"/>
            <w:hideMark/>
          </w:tcPr>
          <w:p w14:paraId="454BBEFA" w14:textId="77777777" w:rsidR="001C7DF3" w:rsidRPr="00226C43" w:rsidRDefault="001C7DF3" w:rsidP="00AF2E33">
            <w:pPr>
              <w:spacing w:after="0"/>
              <w:jc w:val="right"/>
              <w:rPr>
                <w:rFonts w:cs="Segoe UI"/>
                <w:sz w:val="20"/>
                <w:szCs w:val="20"/>
              </w:rPr>
            </w:pPr>
            <w:r w:rsidRPr="00226C43">
              <w:rPr>
                <w:rFonts w:cs="Segoe UI"/>
                <w:sz w:val="20"/>
                <w:szCs w:val="20"/>
              </w:rPr>
              <w:t>16</w:t>
            </w:r>
          </w:p>
        </w:tc>
        <w:tc>
          <w:tcPr>
            <w:tcW w:w="1088" w:type="dxa"/>
            <w:hideMark/>
          </w:tcPr>
          <w:p w14:paraId="05EA6666" w14:textId="77777777" w:rsidR="001C7DF3" w:rsidRPr="00226C43" w:rsidRDefault="001C7DF3" w:rsidP="00AF2E33">
            <w:pPr>
              <w:spacing w:after="0"/>
              <w:jc w:val="right"/>
              <w:rPr>
                <w:rFonts w:cs="Segoe UI"/>
                <w:b/>
                <w:sz w:val="20"/>
                <w:szCs w:val="20"/>
              </w:rPr>
            </w:pPr>
            <w:r w:rsidRPr="00226C43">
              <w:rPr>
                <w:rFonts w:cs="Segoe UI"/>
                <w:b/>
                <w:sz w:val="20"/>
                <w:szCs w:val="20"/>
              </w:rPr>
              <w:t>554</w:t>
            </w:r>
          </w:p>
        </w:tc>
      </w:tr>
      <w:tr w:rsidR="00226C43" w:rsidRPr="00226C43" w14:paraId="1F434A20" w14:textId="77777777" w:rsidTr="00CB2D7D">
        <w:trPr>
          <w:jc w:val="center"/>
        </w:trPr>
        <w:tc>
          <w:tcPr>
            <w:tcW w:w="1236" w:type="dxa"/>
            <w:hideMark/>
          </w:tcPr>
          <w:p w14:paraId="67A7399A" w14:textId="77777777" w:rsidR="001C7DF3" w:rsidRPr="00226C43" w:rsidRDefault="001C7DF3" w:rsidP="00697235">
            <w:pPr>
              <w:spacing w:after="0"/>
              <w:rPr>
                <w:rFonts w:cs="Segoe UI"/>
                <w:sz w:val="20"/>
                <w:szCs w:val="20"/>
              </w:rPr>
            </w:pPr>
            <w:r w:rsidRPr="00226C43">
              <w:rPr>
                <w:rStyle w:val="Strong"/>
                <w:rFonts w:cs="Segoe UI"/>
                <w:sz w:val="20"/>
                <w:szCs w:val="20"/>
              </w:rPr>
              <w:t>2022</w:t>
            </w:r>
          </w:p>
        </w:tc>
        <w:tc>
          <w:tcPr>
            <w:tcW w:w="1102" w:type="dxa"/>
            <w:hideMark/>
          </w:tcPr>
          <w:p w14:paraId="1559BF7C" w14:textId="77777777" w:rsidR="001C7DF3" w:rsidRPr="00226C43" w:rsidRDefault="001C7DF3" w:rsidP="00AF2E33">
            <w:pPr>
              <w:spacing w:after="0"/>
              <w:jc w:val="right"/>
              <w:rPr>
                <w:rFonts w:cs="Segoe UI"/>
                <w:sz w:val="20"/>
                <w:szCs w:val="20"/>
              </w:rPr>
            </w:pPr>
            <w:r w:rsidRPr="00226C43">
              <w:rPr>
                <w:rFonts w:cs="Segoe UI"/>
                <w:sz w:val="20"/>
                <w:szCs w:val="20"/>
              </w:rPr>
              <w:t>227</w:t>
            </w:r>
          </w:p>
        </w:tc>
        <w:tc>
          <w:tcPr>
            <w:tcW w:w="1102" w:type="dxa"/>
            <w:hideMark/>
          </w:tcPr>
          <w:p w14:paraId="2F13B929" w14:textId="77777777" w:rsidR="001C7DF3" w:rsidRPr="00226C43" w:rsidRDefault="001C7DF3" w:rsidP="00AF2E33">
            <w:pPr>
              <w:spacing w:after="0"/>
              <w:jc w:val="right"/>
              <w:rPr>
                <w:rFonts w:cs="Segoe UI"/>
                <w:sz w:val="20"/>
                <w:szCs w:val="20"/>
              </w:rPr>
            </w:pPr>
            <w:r w:rsidRPr="00226C43">
              <w:rPr>
                <w:rFonts w:cs="Segoe UI"/>
                <w:sz w:val="20"/>
                <w:szCs w:val="20"/>
              </w:rPr>
              <w:t>316</w:t>
            </w:r>
          </w:p>
        </w:tc>
        <w:tc>
          <w:tcPr>
            <w:tcW w:w="1102" w:type="dxa"/>
            <w:hideMark/>
          </w:tcPr>
          <w:p w14:paraId="22B32DD1" w14:textId="77777777" w:rsidR="001C7DF3" w:rsidRPr="00226C43" w:rsidRDefault="001C7DF3" w:rsidP="00AF2E33">
            <w:pPr>
              <w:spacing w:after="0"/>
              <w:jc w:val="right"/>
              <w:rPr>
                <w:rFonts w:cs="Segoe UI"/>
                <w:sz w:val="20"/>
                <w:szCs w:val="20"/>
              </w:rPr>
            </w:pPr>
            <w:r w:rsidRPr="00226C43">
              <w:rPr>
                <w:rFonts w:cs="Segoe UI"/>
                <w:sz w:val="20"/>
                <w:szCs w:val="20"/>
              </w:rPr>
              <w:t>15</w:t>
            </w:r>
          </w:p>
        </w:tc>
        <w:tc>
          <w:tcPr>
            <w:tcW w:w="1088" w:type="dxa"/>
            <w:hideMark/>
          </w:tcPr>
          <w:p w14:paraId="4EF16F2F" w14:textId="77777777" w:rsidR="001C7DF3" w:rsidRPr="00226C43" w:rsidRDefault="001C7DF3" w:rsidP="00AF2E33">
            <w:pPr>
              <w:spacing w:after="0"/>
              <w:jc w:val="right"/>
              <w:rPr>
                <w:rFonts w:cs="Segoe UI"/>
                <w:b/>
                <w:sz w:val="20"/>
                <w:szCs w:val="20"/>
              </w:rPr>
            </w:pPr>
            <w:r w:rsidRPr="00226C43">
              <w:rPr>
                <w:rFonts w:cs="Segoe UI"/>
                <w:b/>
                <w:sz w:val="20"/>
                <w:szCs w:val="20"/>
              </w:rPr>
              <w:t>558</w:t>
            </w:r>
          </w:p>
        </w:tc>
      </w:tr>
      <w:tr w:rsidR="00226C43" w:rsidRPr="00226C43" w14:paraId="1E5C6D86" w14:textId="77777777" w:rsidTr="00CB2D7D">
        <w:trPr>
          <w:jc w:val="center"/>
        </w:trPr>
        <w:tc>
          <w:tcPr>
            <w:tcW w:w="1236" w:type="dxa"/>
            <w:hideMark/>
          </w:tcPr>
          <w:p w14:paraId="737F5E40" w14:textId="77777777" w:rsidR="001C7DF3" w:rsidRPr="00226C43" w:rsidRDefault="001C7DF3" w:rsidP="00697235">
            <w:pPr>
              <w:spacing w:after="0"/>
              <w:rPr>
                <w:rFonts w:cs="Segoe UI"/>
                <w:sz w:val="20"/>
                <w:szCs w:val="20"/>
              </w:rPr>
            </w:pPr>
            <w:r w:rsidRPr="00226C43">
              <w:rPr>
                <w:rStyle w:val="Strong"/>
                <w:rFonts w:cs="Segoe UI"/>
                <w:sz w:val="20"/>
                <w:szCs w:val="20"/>
              </w:rPr>
              <w:t>2023</w:t>
            </w:r>
          </w:p>
        </w:tc>
        <w:tc>
          <w:tcPr>
            <w:tcW w:w="1102" w:type="dxa"/>
            <w:hideMark/>
          </w:tcPr>
          <w:p w14:paraId="784FB907" w14:textId="77777777" w:rsidR="001C7DF3" w:rsidRPr="00226C43" w:rsidRDefault="001C7DF3" w:rsidP="00AF2E33">
            <w:pPr>
              <w:spacing w:after="0"/>
              <w:jc w:val="right"/>
              <w:rPr>
                <w:rFonts w:cs="Segoe UI"/>
                <w:sz w:val="20"/>
                <w:szCs w:val="20"/>
              </w:rPr>
            </w:pPr>
            <w:r w:rsidRPr="00226C43">
              <w:rPr>
                <w:rFonts w:cs="Segoe UI"/>
                <w:sz w:val="20"/>
                <w:szCs w:val="20"/>
              </w:rPr>
              <w:t>215</w:t>
            </w:r>
          </w:p>
        </w:tc>
        <w:tc>
          <w:tcPr>
            <w:tcW w:w="1102" w:type="dxa"/>
            <w:hideMark/>
          </w:tcPr>
          <w:p w14:paraId="257A4472" w14:textId="77777777" w:rsidR="001C7DF3" w:rsidRPr="00226C43" w:rsidRDefault="001C7DF3" w:rsidP="00AF2E33">
            <w:pPr>
              <w:spacing w:after="0"/>
              <w:jc w:val="right"/>
              <w:rPr>
                <w:rFonts w:cs="Segoe UI"/>
                <w:sz w:val="20"/>
                <w:szCs w:val="20"/>
              </w:rPr>
            </w:pPr>
            <w:r w:rsidRPr="00226C43">
              <w:rPr>
                <w:rFonts w:cs="Segoe UI"/>
                <w:sz w:val="20"/>
                <w:szCs w:val="20"/>
              </w:rPr>
              <w:t>327</w:t>
            </w:r>
          </w:p>
        </w:tc>
        <w:tc>
          <w:tcPr>
            <w:tcW w:w="1102" w:type="dxa"/>
            <w:hideMark/>
          </w:tcPr>
          <w:p w14:paraId="5EA0897A" w14:textId="77777777" w:rsidR="001C7DF3" w:rsidRPr="00226C43" w:rsidRDefault="001C7DF3" w:rsidP="00AF2E33">
            <w:pPr>
              <w:spacing w:after="0"/>
              <w:jc w:val="right"/>
              <w:rPr>
                <w:rFonts w:cs="Segoe UI"/>
                <w:sz w:val="20"/>
                <w:szCs w:val="20"/>
              </w:rPr>
            </w:pPr>
            <w:r w:rsidRPr="00226C43">
              <w:rPr>
                <w:rFonts w:cs="Segoe UI"/>
                <w:sz w:val="20"/>
                <w:szCs w:val="20"/>
              </w:rPr>
              <w:t>9</w:t>
            </w:r>
          </w:p>
        </w:tc>
        <w:tc>
          <w:tcPr>
            <w:tcW w:w="1088" w:type="dxa"/>
            <w:hideMark/>
          </w:tcPr>
          <w:p w14:paraId="4FC6F2C6" w14:textId="77777777" w:rsidR="001C7DF3" w:rsidRPr="00226C43" w:rsidRDefault="001C7DF3" w:rsidP="00AF2E33">
            <w:pPr>
              <w:spacing w:after="0"/>
              <w:jc w:val="right"/>
              <w:rPr>
                <w:rFonts w:cs="Segoe UI"/>
                <w:b/>
                <w:sz w:val="20"/>
                <w:szCs w:val="20"/>
              </w:rPr>
            </w:pPr>
            <w:r w:rsidRPr="00226C43">
              <w:rPr>
                <w:rFonts w:cs="Segoe UI"/>
                <w:b/>
                <w:sz w:val="20"/>
                <w:szCs w:val="20"/>
              </w:rPr>
              <w:t>551</w:t>
            </w:r>
          </w:p>
        </w:tc>
      </w:tr>
      <w:tr w:rsidR="00226C43" w:rsidRPr="00226C43" w14:paraId="5E947DD9" w14:textId="77777777" w:rsidTr="00CB2D7D">
        <w:trPr>
          <w:jc w:val="center"/>
        </w:trPr>
        <w:tc>
          <w:tcPr>
            <w:tcW w:w="1236" w:type="dxa"/>
            <w:hideMark/>
          </w:tcPr>
          <w:p w14:paraId="5AE26E1E" w14:textId="77777777" w:rsidR="001C7DF3" w:rsidRPr="00226C43" w:rsidRDefault="001C7DF3" w:rsidP="00697235">
            <w:pPr>
              <w:spacing w:after="0"/>
              <w:rPr>
                <w:rFonts w:cs="Segoe UI"/>
                <w:sz w:val="20"/>
                <w:szCs w:val="20"/>
              </w:rPr>
            </w:pPr>
            <w:r w:rsidRPr="00226C43">
              <w:rPr>
                <w:rStyle w:val="Strong"/>
                <w:rFonts w:cs="Segoe UI"/>
                <w:sz w:val="20"/>
                <w:szCs w:val="20"/>
              </w:rPr>
              <w:t>2024</w:t>
            </w:r>
          </w:p>
        </w:tc>
        <w:tc>
          <w:tcPr>
            <w:tcW w:w="1102" w:type="dxa"/>
            <w:hideMark/>
          </w:tcPr>
          <w:p w14:paraId="3BA756D5" w14:textId="77777777" w:rsidR="001C7DF3" w:rsidRPr="00226C43" w:rsidRDefault="001C7DF3" w:rsidP="00AF2E33">
            <w:pPr>
              <w:spacing w:after="0"/>
              <w:jc w:val="right"/>
              <w:rPr>
                <w:rFonts w:cs="Segoe UI"/>
                <w:sz w:val="20"/>
                <w:szCs w:val="20"/>
              </w:rPr>
            </w:pPr>
            <w:r w:rsidRPr="00226C43">
              <w:rPr>
                <w:rFonts w:cs="Segoe UI"/>
                <w:sz w:val="20"/>
                <w:szCs w:val="20"/>
              </w:rPr>
              <w:t>157</w:t>
            </w:r>
          </w:p>
        </w:tc>
        <w:tc>
          <w:tcPr>
            <w:tcW w:w="1102" w:type="dxa"/>
            <w:hideMark/>
          </w:tcPr>
          <w:p w14:paraId="1DBAEC5E" w14:textId="77777777" w:rsidR="001C7DF3" w:rsidRPr="00226C43" w:rsidRDefault="001C7DF3" w:rsidP="00AF2E33">
            <w:pPr>
              <w:spacing w:after="0"/>
              <w:jc w:val="right"/>
              <w:rPr>
                <w:rFonts w:cs="Segoe UI"/>
                <w:sz w:val="20"/>
                <w:szCs w:val="20"/>
              </w:rPr>
            </w:pPr>
            <w:r w:rsidRPr="00226C43">
              <w:rPr>
                <w:rFonts w:cs="Segoe UI"/>
                <w:sz w:val="20"/>
                <w:szCs w:val="20"/>
              </w:rPr>
              <w:t>205</w:t>
            </w:r>
          </w:p>
        </w:tc>
        <w:tc>
          <w:tcPr>
            <w:tcW w:w="1102" w:type="dxa"/>
            <w:hideMark/>
          </w:tcPr>
          <w:p w14:paraId="270A9476" w14:textId="77777777" w:rsidR="001C7DF3" w:rsidRPr="00226C43" w:rsidRDefault="001C7DF3" w:rsidP="00AF2E33">
            <w:pPr>
              <w:spacing w:after="0"/>
              <w:jc w:val="right"/>
              <w:rPr>
                <w:rFonts w:cs="Segoe UI"/>
                <w:sz w:val="20"/>
                <w:szCs w:val="20"/>
              </w:rPr>
            </w:pPr>
            <w:r w:rsidRPr="00226C43">
              <w:rPr>
                <w:rFonts w:cs="Segoe UI"/>
                <w:sz w:val="20"/>
                <w:szCs w:val="20"/>
              </w:rPr>
              <w:t>4</w:t>
            </w:r>
          </w:p>
        </w:tc>
        <w:tc>
          <w:tcPr>
            <w:tcW w:w="1088" w:type="dxa"/>
            <w:hideMark/>
          </w:tcPr>
          <w:p w14:paraId="5BEE4330" w14:textId="77777777" w:rsidR="001C7DF3" w:rsidRPr="00226C43" w:rsidRDefault="001C7DF3" w:rsidP="00AF2E33">
            <w:pPr>
              <w:spacing w:after="0"/>
              <w:jc w:val="right"/>
              <w:rPr>
                <w:rFonts w:cs="Segoe UI"/>
                <w:b/>
                <w:sz w:val="20"/>
                <w:szCs w:val="20"/>
              </w:rPr>
            </w:pPr>
            <w:r w:rsidRPr="00226C43">
              <w:rPr>
                <w:rFonts w:cs="Segoe UI"/>
                <w:b/>
                <w:sz w:val="20"/>
                <w:szCs w:val="20"/>
              </w:rPr>
              <w:t>366</w:t>
            </w:r>
          </w:p>
        </w:tc>
      </w:tr>
      <w:tr w:rsidR="00226C43" w:rsidRPr="00226C43" w14:paraId="47528674" w14:textId="77777777" w:rsidTr="00CB2D7D">
        <w:trPr>
          <w:jc w:val="center"/>
        </w:trPr>
        <w:tc>
          <w:tcPr>
            <w:tcW w:w="1236" w:type="dxa"/>
            <w:hideMark/>
          </w:tcPr>
          <w:p w14:paraId="01ACDFE1" w14:textId="77777777" w:rsidR="001C7DF3" w:rsidRPr="00226C43" w:rsidRDefault="001C7DF3" w:rsidP="00697235">
            <w:pPr>
              <w:spacing w:after="0"/>
              <w:rPr>
                <w:rFonts w:cs="Segoe UI"/>
                <w:b/>
                <w:sz w:val="20"/>
                <w:szCs w:val="20"/>
              </w:rPr>
            </w:pPr>
            <w:r w:rsidRPr="00226C43">
              <w:rPr>
                <w:rStyle w:val="Strong"/>
                <w:rFonts w:cs="Segoe UI"/>
                <w:sz w:val="20"/>
                <w:szCs w:val="20"/>
              </w:rPr>
              <w:t>Total</w:t>
            </w:r>
          </w:p>
        </w:tc>
        <w:tc>
          <w:tcPr>
            <w:tcW w:w="1102" w:type="dxa"/>
            <w:hideMark/>
          </w:tcPr>
          <w:p w14:paraId="60155962" w14:textId="77777777" w:rsidR="001C7DF3" w:rsidRPr="00226C43" w:rsidRDefault="001C7DF3" w:rsidP="00AF2E33">
            <w:pPr>
              <w:spacing w:after="0"/>
              <w:jc w:val="right"/>
              <w:rPr>
                <w:rFonts w:cs="Segoe UI"/>
                <w:b/>
                <w:sz w:val="20"/>
                <w:szCs w:val="20"/>
              </w:rPr>
            </w:pPr>
            <w:r w:rsidRPr="00226C43">
              <w:rPr>
                <w:rFonts w:cs="Segoe UI"/>
                <w:b/>
                <w:sz w:val="20"/>
                <w:szCs w:val="20"/>
              </w:rPr>
              <w:t>1,335</w:t>
            </w:r>
          </w:p>
        </w:tc>
        <w:tc>
          <w:tcPr>
            <w:tcW w:w="1102" w:type="dxa"/>
            <w:hideMark/>
          </w:tcPr>
          <w:p w14:paraId="2E12E99C" w14:textId="77777777" w:rsidR="001C7DF3" w:rsidRPr="00226C43" w:rsidRDefault="001C7DF3" w:rsidP="00AF2E33">
            <w:pPr>
              <w:spacing w:after="0"/>
              <w:jc w:val="right"/>
              <w:rPr>
                <w:rFonts w:cs="Segoe UI"/>
                <w:b/>
                <w:sz w:val="20"/>
                <w:szCs w:val="20"/>
              </w:rPr>
            </w:pPr>
            <w:r w:rsidRPr="00226C43">
              <w:rPr>
                <w:rFonts w:cs="Segoe UI"/>
                <w:b/>
                <w:sz w:val="20"/>
                <w:szCs w:val="20"/>
              </w:rPr>
              <w:t>1,938</w:t>
            </w:r>
          </w:p>
        </w:tc>
        <w:tc>
          <w:tcPr>
            <w:tcW w:w="1102" w:type="dxa"/>
            <w:hideMark/>
          </w:tcPr>
          <w:p w14:paraId="2698CA75" w14:textId="77777777" w:rsidR="001C7DF3" w:rsidRPr="00226C43" w:rsidRDefault="001C7DF3" w:rsidP="00AF2E33">
            <w:pPr>
              <w:spacing w:after="0"/>
              <w:jc w:val="right"/>
              <w:rPr>
                <w:rFonts w:cs="Segoe UI"/>
                <w:b/>
                <w:sz w:val="20"/>
                <w:szCs w:val="20"/>
              </w:rPr>
            </w:pPr>
            <w:r w:rsidRPr="00226C43">
              <w:rPr>
                <w:rFonts w:cs="Segoe UI"/>
                <w:b/>
                <w:sz w:val="20"/>
                <w:szCs w:val="20"/>
              </w:rPr>
              <w:t>48</w:t>
            </w:r>
          </w:p>
        </w:tc>
        <w:tc>
          <w:tcPr>
            <w:tcW w:w="1088" w:type="dxa"/>
            <w:hideMark/>
          </w:tcPr>
          <w:p w14:paraId="4E9BBA9A" w14:textId="77777777" w:rsidR="001C7DF3" w:rsidRPr="00226C43" w:rsidRDefault="001C7DF3" w:rsidP="00AF2E33">
            <w:pPr>
              <w:spacing w:after="0"/>
              <w:jc w:val="right"/>
              <w:rPr>
                <w:rFonts w:cs="Segoe UI"/>
                <w:b/>
                <w:sz w:val="20"/>
                <w:szCs w:val="20"/>
              </w:rPr>
            </w:pPr>
            <w:r w:rsidRPr="00226C43">
              <w:rPr>
                <w:rFonts w:cs="Segoe UI"/>
                <w:b/>
                <w:sz w:val="20"/>
                <w:szCs w:val="20"/>
              </w:rPr>
              <w:t>3,321</w:t>
            </w:r>
          </w:p>
        </w:tc>
      </w:tr>
    </w:tbl>
    <w:p w14:paraId="12256191" w14:textId="514CCA58" w:rsidR="003C496B" w:rsidRPr="00226C43" w:rsidRDefault="4DD21A85" w:rsidP="4B019637">
      <w:pPr>
        <w:pStyle w:val="SourceNote"/>
        <w:rPr>
          <w:color w:val="auto"/>
        </w:rPr>
      </w:pPr>
      <w:r w:rsidRPr="00226C43">
        <w:rPr>
          <w:color w:val="auto"/>
        </w:rPr>
        <w:t>Source: Program Board Brief, supplied by Tetra Tech International</w:t>
      </w:r>
    </w:p>
    <w:p w14:paraId="7A697E4B" w14:textId="59B61AEC" w:rsidR="00CE0A1A" w:rsidRPr="00226C43" w:rsidRDefault="00C574DF" w:rsidP="00E52C5F">
      <w:r w:rsidRPr="00226C43">
        <w:t>It is noted that the</w:t>
      </w:r>
      <w:r w:rsidR="006C69AB" w:rsidRPr="00226C43">
        <w:t>re was a ‘dip’ in the number of scholars during the pandemic</w:t>
      </w:r>
      <w:r w:rsidR="00320968" w:rsidRPr="00226C43">
        <w:t xml:space="preserve"> with the </w:t>
      </w:r>
      <w:r w:rsidR="008F5104" w:rsidRPr="00226C43">
        <w:t>2020 intake having only 380 scholar</w:t>
      </w:r>
      <w:r w:rsidR="008B07D2" w:rsidRPr="00226C43">
        <w:t xml:space="preserve"> applications</w:t>
      </w:r>
      <w:r w:rsidR="006C69AB" w:rsidRPr="00226C43">
        <w:t>.</w:t>
      </w:r>
      <w:r w:rsidR="006D175E" w:rsidRPr="00226C43">
        <w:t xml:space="preserve"> </w:t>
      </w:r>
      <w:r w:rsidR="009A52E7" w:rsidRPr="00226C43">
        <w:t xml:space="preserve">Across the </w:t>
      </w:r>
      <w:r w:rsidR="00FC059C" w:rsidRPr="00226C43">
        <w:t>period from 2018 to 2024</w:t>
      </w:r>
      <w:r w:rsidR="00B949AB" w:rsidRPr="00226C43">
        <w:t xml:space="preserve"> </w:t>
      </w:r>
      <w:r w:rsidR="004031F7" w:rsidRPr="00226C43">
        <w:t xml:space="preserve">there were </w:t>
      </w:r>
      <w:r w:rsidR="00D569F9" w:rsidRPr="00226C43">
        <w:t xml:space="preserve">more females than male </w:t>
      </w:r>
      <w:r w:rsidR="008B07D2" w:rsidRPr="00226C43">
        <w:t>scholar applications</w:t>
      </w:r>
      <w:r w:rsidR="00D569F9" w:rsidRPr="00226C43">
        <w:t xml:space="preserve"> (</w:t>
      </w:r>
      <w:r w:rsidR="00A069E1" w:rsidRPr="00226C43">
        <w:t xml:space="preserve">Female </w:t>
      </w:r>
      <w:r w:rsidR="00C2174F" w:rsidRPr="00226C43">
        <w:t>1,938:</w:t>
      </w:r>
      <w:r w:rsidR="002F4F55" w:rsidRPr="00226C43">
        <w:t xml:space="preserve"> Male </w:t>
      </w:r>
      <w:r w:rsidR="00A069E1" w:rsidRPr="00226C43">
        <w:t>1,335)</w:t>
      </w:r>
      <w:r w:rsidR="002F4F55" w:rsidRPr="00226C43">
        <w:t xml:space="preserve">, with some 48 </w:t>
      </w:r>
      <w:r w:rsidR="00142F9E" w:rsidRPr="00226C43">
        <w:t>others</w:t>
      </w:r>
      <w:r w:rsidR="004C6B4D" w:rsidRPr="00226C43">
        <w:t>, reaching a total of 3,321.</w:t>
      </w:r>
      <w:r w:rsidR="00E52C5F" w:rsidRPr="00226C43">
        <w:t xml:space="preserve"> </w:t>
      </w:r>
    </w:p>
    <w:p w14:paraId="348C4E47" w14:textId="7E818142" w:rsidR="4DD21A85" w:rsidRPr="00226C43" w:rsidRDefault="4DD21A85" w:rsidP="00BF0FC1">
      <w:pPr>
        <w:pStyle w:val="Heading4"/>
        <w:rPr>
          <w:rFonts w:asciiTheme="minorHAnsi" w:hAnsiTheme="minorHAnsi"/>
          <w:color w:val="auto"/>
        </w:rPr>
      </w:pPr>
      <w:r w:rsidRPr="00226C43">
        <w:rPr>
          <w:rFonts w:asciiTheme="minorHAnsi" w:hAnsiTheme="minorHAnsi"/>
          <w:color w:val="auto"/>
        </w:rPr>
        <w:t>Short courses</w:t>
      </w:r>
    </w:p>
    <w:p w14:paraId="2082C762" w14:textId="71B3AEB0" w:rsidR="4DD21A85" w:rsidRPr="00226C43" w:rsidRDefault="4DD21A85" w:rsidP="4DD21A85">
      <w:pPr>
        <w:spacing w:line="259" w:lineRule="auto"/>
      </w:pPr>
      <w:r w:rsidRPr="00226C43">
        <w:t xml:space="preserve">The results achieved for the delivery of scholarships for the period 2018–2023 are shown in the </w:t>
      </w:r>
      <w:r w:rsidR="00DF052F" w:rsidRPr="00226C43">
        <w:t xml:space="preserve">table </w:t>
      </w:r>
      <w:r w:rsidRPr="00226C43">
        <w:t>below.</w:t>
      </w:r>
    </w:p>
    <w:p w14:paraId="1BCC89E1" w14:textId="47389F2F" w:rsidR="0035577F" w:rsidRPr="00226C43" w:rsidRDefault="002C474C" w:rsidP="005801DC">
      <w:pPr>
        <w:pStyle w:val="Caption"/>
        <w:spacing w:after="0"/>
        <w:rPr>
          <w:color w:val="auto"/>
        </w:rPr>
      </w:pPr>
      <w:bookmarkStart w:id="25" w:name="_Toc190939905"/>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003735AF" w:rsidRPr="00226C43">
        <w:rPr>
          <w:noProof/>
          <w:color w:val="auto"/>
        </w:rPr>
        <w:t>7</w:t>
      </w:r>
      <w:r w:rsidR="000113F9" w:rsidRPr="00226C43">
        <w:rPr>
          <w:noProof/>
          <w:color w:val="auto"/>
        </w:rPr>
        <w:fldChar w:fldCharType="end"/>
      </w:r>
      <w:r w:rsidRPr="00226C43">
        <w:rPr>
          <w:color w:val="auto"/>
        </w:rPr>
        <w:t xml:space="preserve">: </w:t>
      </w:r>
      <w:r w:rsidR="00037E81" w:rsidRPr="00226C43">
        <w:rPr>
          <w:color w:val="auto"/>
        </w:rPr>
        <w:t xml:space="preserve">Short Course Participants per </w:t>
      </w:r>
      <w:r w:rsidR="00F21BE5" w:rsidRPr="00226C43">
        <w:rPr>
          <w:color w:val="auto"/>
        </w:rPr>
        <w:t>GPH Agency</w:t>
      </w:r>
      <w:bookmarkEnd w:id="25"/>
    </w:p>
    <w:p w14:paraId="36DA1441" w14:textId="136740AC" w:rsidR="00D35547" w:rsidRPr="00226C43" w:rsidRDefault="00D35547" w:rsidP="00E27986">
      <w:pPr>
        <w:spacing w:after="0"/>
        <w:jc w:val="center"/>
        <w:rPr>
          <w:b/>
          <w:sz w:val="20"/>
          <w:szCs w:val="20"/>
        </w:rPr>
      </w:pPr>
      <w:r w:rsidRPr="00226C43">
        <w:rPr>
          <w:b/>
          <w:sz w:val="20"/>
          <w:szCs w:val="20"/>
        </w:rPr>
        <w:t>Total Course Participants by Gender</w:t>
      </w:r>
    </w:p>
    <w:tbl>
      <w:tblPr>
        <w:tblStyle w:val="TableGrid"/>
        <w:tblW w:w="0" w:type="auto"/>
        <w:jc w:val="center"/>
        <w:tblLook w:val="06A0" w:firstRow="1" w:lastRow="0" w:firstColumn="1" w:lastColumn="0" w:noHBand="1" w:noVBand="1"/>
      </w:tblPr>
      <w:tblGrid>
        <w:gridCol w:w="892"/>
        <w:gridCol w:w="2324"/>
      </w:tblGrid>
      <w:tr w:rsidR="00226C43" w:rsidRPr="00226C43" w14:paraId="6B7191D5" w14:textId="77777777" w:rsidTr="00117212">
        <w:trPr>
          <w:tblHeader/>
          <w:jc w:val="center"/>
        </w:trPr>
        <w:tc>
          <w:tcPr>
            <w:tcW w:w="0" w:type="auto"/>
            <w:shd w:val="clear" w:color="auto" w:fill="E3DED1" w:themeFill="background2"/>
            <w:hideMark/>
          </w:tcPr>
          <w:p w14:paraId="7550BBED" w14:textId="77777777" w:rsidR="00D35547" w:rsidRPr="00226C43" w:rsidRDefault="00D35547" w:rsidP="00D35547">
            <w:pPr>
              <w:spacing w:after="0"/>
              <w:rPr>
                <w:rFonts w:cs="Segoe UI"/>
                <w:b/>
                <w:sz w:val="20"/>
                <w:szCs w:val="20"/>
              </w:rPr>
            </w:pPr>
            <w:r w:rsidRPr="00226C43">
              <w:rPr>
                <w:rStyle w:val="Strong"/>
                <w:rFonts w:cs="Segoe UI"/>
                <w:sz w:val="20"/>
                <w:szCs w:val="20"/>
              </w:rPr>
              <w:t>Gender</w:t>
            </w:r>
          </w:p>
        </w:tc>
        <w:tc>
          <w:tcPr>
            <w:tcW w:w="0" w:type="auto"/>
            <w:shd w:val="clear" w:color="auto" w:fill="E3DED1" w:themeFill="background2"/>
            <w:hideMark/>
          </w:tcPr>
          <w:p w14:paraId="354677E0" w14:textId="77777777" w:rsidR="00D35547" w:rsidRPr="00226C43" w:rsidRDefault="00D35547" w:rsidP="00D35547">
            <w:pPr>
              <w:spacing w:after="0"/>
              <w:rPr>
                <w:rFonts w:cs="Segoe UI"/>
                <w:b/>
                <w:sz w:val="20"/>
                <w:szCs w:val="20"/>
              </w:rPr>
            </w:pPr>
            <w:r w:rsidRPr="00226C43">
              <w:rPr>
                <w:rStyle w:val="Strong"/>
                <w:rFonts w:cs="Segoe UI"/>
                <w:sz w:val="20"/>
                <w:szCs w:val="20"/>
              </w:rPr>
              <w:t>Number of Participants</w:t>
            </w:r>
          </w:p>
        </w:tc>
      </w:tr>
      <w:tr w:rsidR="00226C43" w:rsidRPr="00226C43" w14:paraId="4B85FB56" w14:textId="77777777" w:rsidTr="005801DC">
        <w:trPr>
          <w:jc w:val="center"/>
        </w:trPr>
        <w:tc>
          <w:tcPr>
            <w:tcW w:w="0" w:type="auto"/>
            <w:hideMark/>
          </w:tcPr>
          <w:p w14:paraId="7EF480D3" w14:textId="77777777" w:rsidR="00D35547" w:rsidRPr="00226C43" w:rsidRDefault="00D35547" w:rsidP="00D35547">
            <w:pPr>
              <w:spacing w:after="0"/>
              <w:rPr>
                <w:rFonts w:cs="Segoe UI"/>
                <w:sz w:val="20"/>
                <w:szCs w:val="20"/>
              </w:rPr>
            </w:pPr>
            <w:r w:rsidRPr="00226C43">
              <w:rPr>
                <w:rStyle w:val="Strong"/>
                <w:rFonts w:cs="Segoe UI"/>
                <w:sz w:val="20"/>
                <w:szCs w:val="20"/>
              </w:rPr>
              <w:t>Male</w:t>
            </w:r>
          </w:p>
        </w:tc>
        <w:tc>
          <w:tcPr>
            <w:tcW w:w="0" w:type="auto"/>
            <w:hideMark/>
          </w:tcPr>
          <w:p w14:paraId="04FF26F3" w14:textId="77777777" w:rsidR="00D35547" w:rsidRPr="00226C43" w:rsidRDefault="00D35547" w:rsidP="00D35547">
            <w:pPr>
              <w:spacing w:after="0"/>
              <w:jc w:val="right"/>
              <w:rPr>
                <w:rFonts w:cs="Segoe UI"/>
                <w:sz w:val="20"/>
                <w:szCs w:val="20"/>
              </w:rPr>
            </w:pPr>
            <w:r w:rsidRPr="00226C43">
              <w:rPr>
                <w:rFonts w:cs="Segoe UI"/>
                <w:sz w:val="20"/>
                <w:szCs w:val="20"/>
              </w:rPr>
              <w:t>804</w:t>
            </w:r>
          </w:p>
        </w:tc>
      </w:tr>
      <w:tr w:rsidR="00226C43" w:rsidRPr="00226C43" w14:paraId="7A0DC89E" w14:textId="77777777" w:rsidTr="005801DC">
        <w:trPr>
          <w:jc w:val="center"/>
        </w:trPr>
        <w:tc>
          <w:tcPr>
            <w:tcW w:w="0" w:type="auto"/>
            <w:hideMark/>
          </w:tcPr>
          <w:p w14:paraId="6E0801E2" w14:textId="77777777" w:rsidR="00D35547" w:rsidRPr="00226C43" w:rsidRDefault="00D35547" w:rsidP="00D35547">
            <w:pPr>
              <w:spacing w:after="0"/>
              <w:rPr>
                <w:rFonts w:cs="Segoe UI"/>
                <w:sz w:val="20"/>
                <w:szCs w:val="20"/>
              </w:rPr>
            </w:pPr>
            <w:r w:rsidRPr="00226C43">
              <w:rPr>
                <w:rStyle w:val="Strong"/>
                <w:rFonts w:cs="Segoe UI"/>
                <w:sz w:val="20"/>
                <w:szCs w:val="20"/>
              </w:rPr>
              <w:t>Female</w:t>
            </w:r>
          </w:p>
        </w:tc>
        <w:tc>
          <w:tcPr>
            <w:tcW w:w="0" w:type="auto"/>
            <w:hideMark/>
          </w:tcPr>
          <w:p w14:paraId="443D2DAB" w14:textId="77777777" w:rsidR="00D35547" w:rsidRPr="00226C43" w:rsidRDefault="00D35547" w:rsidP="00D35547">
            <w:pPr>
              <w:spacing w:after="0"/>
              <w:jc w:val="right"/>
              <w:rPr>
                <w:rFonts w:cs="Segoe UI"/>
                <w:sz w:val="20"/>
                <w:szCs w:val="20"/>
              </w:rPr>
            </w:pPr>
            <w:r w:rsidRPr="00226C43">
              <w:rPr>
                <w:rFonts w:cs="Segoe UI"/>
                <w:sz w:val="20"/>
                <w:szCs w:val="20"/>
              </w:rPr>
              <w:t>1,051</w:t>
            </w:r>
          </w:p>
        </w:tc>
      </w:tr>
      <w:tr w:rsidR="005801DC" w:rsidRPr="00226C43" w14:paraId="137E446A" w14:textId="77777777" w:rsidTr="005801DC">
        <w:trPr>
          <w:jc w:val="center"/>
        </w:trPr>
        <w:tc>
          <w:tcPr>
            <w:tcW w:w="0" w:type="auto"/>
          </w:tcPr>
          <w:p w14:paraId="6B624048" w14:textId="02514F41" w:rsidR="00D35547" w:rsidRPr="00226C43" w:rsidRDefault="00D35547" w:rsidP="00D35547">
            <w:pPr>
              <w:spacing w:after="0"/>
              <w:rPr>
                <w:rStyle w:val="Strong"/>
                <w:rFonts w:cs="Segoe UI"/>
                <w:sz w:val="20"/>
                <w:szCs w:val="20"/>
              </w:rPr>
            </w:pPr>
            <w:r w:rsidRPr="00226C43">
              <w:rPr>
                <w:rStyle w:val="Strong"/>
                <w:rFonts w:cs="Segoe UI"/>
                <w:sz w:val="20"/>
                <w:szCs w:val="20"/>
              </w:rPr>
              <w:t>Total</w:t>
            </w:r>
          </w:p>
        </w:tc>
        <w:tc>
          <w:tcPr>
            <w:tcW w:w="0" w:type="auto"/>
          </w:tcPr>
          <w:p w14:paraId="3349062A" w14:textId="51A54445" w:rsidR="00D35547" w:rsidRPr="00226C43" w:rsidRDefault="0041636F" w:rsidP="00D35547">
            <w:pPr>
              <w:spacing w:after="0"/>
              <w:jc w:val="right"/>
              <w:rPr>
                <w:rFonts w:cs="Segoe UI"/>
                <w:b/>
                <w:sz w:val="20"/>
                <w:szCs w:val="20"/>
              </w:rPr>
            </w:pPr>
            <w:r w:rsidRPr="00226C43">
              <w:rPr>
                <w:rFonts w:cs="Segoe UI"/>
                <w:b/>
                <w:sz w:val="20"/>
                <w:szCs w:val="20"/>
              </w:rPr>
              <w:t>1,855</w:t>
            </w:r>
          </w:p>
        </w:tc>
      </w:tr>
    </w:tbl>
    <w:p w14:paraId="2AD922F6" w14:textId="77777777" w:rsidR="00E27986" w:rsidRPr="00226C43" w:rsidRDefault="00E27986" w:rsidP="00E27986">
      <w:pPr>
        <w:spacing w:after="0"/>
        <w:jc w:val="center"/>
        <w:rPr>
          <w:b/>
          <w:sz w:val="20"/>
          <w:szCs w:val="20"/>
        </w:rPr>
      </w:pPr>
    </w:p>
    <w:p w14:paraId="320CDD0A" w14:textId="75EF2398" w:rsidR="00D35547" w:rsidRPr="00226C43" w:rsidRDefault="00F42C47" w:rsidP="00E27986">
      <w:pPr>
        <w:spacing w:after="0"/>
        <w:jc w:val="center"/>
        <w:rPr>
          <w:b/>
          <w:sz w:val="20"/>
          <w:szCs w:val="20"/>
        </w:rPr>
      </w:pPr>
      <w:r>
        <w:rPr>
          <w:b/>
          <w:sz w:val="20"/>
          <w:szCs w:val="20"/>
        </w:rPr>
        <w:t>Percentage</w:t>
      </w:r>
      <w:r w:rsidR="00D35547" w:rsidRPr="00226C43">
        <w:rPr>
          <w:b/>
          <w:sz w:val="20"/>
          <w:szCs w:val="20"/>
        </w:rPr>
        <w:t xml:space="preserve"> of Short Course Participants per </w:t>
      </w:r>
      <w:r>
        <w:rPr>
          <w:b/>
          <w:sz w:val="20"/>
          <w:szCs w:val="20"/>
        </w:rPr>
        <w:t xml:space="preserve">Partner </w:t>
      </w:r>
      <w:r w:rsidR="00D35547" w:rsidRPr="00226C43">
        <w:rPr>
          <w:b/>
          <w:sz w:val="20"/>
          <w:szCs w:val="20"/>
        </w:rPr>
        <w:t>Agency</w:t>
      </w:r>
    </w:p>
    <w:tbl>
      <w:tblPr>
        <w:tblStyle w:val="TableGrid"/>
        <w:tblW w:w="0" w:type="auto"/>
        <w:jc w:val="center"/>
        <w:tblLook w:val="06A0" w:firstRow="1" w:lastRow="0" w:firstColumn="1" w:lastColumn="0" w:noHBand="1" w:noVBand="1"/>
      </w:tblPr>
      <w:tblGrid>
        <w:gridCol w:w="4260"/>
        <w:gridCol w:w="1243"/>
      </w:tblGrid>
      <w:tr w:rsidR="00226C43" w:rsidRPr="00226C43" w14:paraId="3E982162" w14:textId="77777777" w:rsidTr="00610A3E">
        <w:trPr>
          <w:tblHeader/>
          <w:jc w:val="center"/>
        </w:trPr>
        <w:tc>
          <w:tcPr>
            <w:tcW w:w="0" w:type="auto"/>
            <w:shd w:val="clear" w:color="auto" w:fill="E3DED1" w:themeFill="background2"/>
            <w:hideMark/>
          </w:tcPr>
          <w:p w14:paraId="3EE1ECB9" w14:textId="77777777" w:rsidR="00D35547" w:rsidRPr="00226C43" w:rsidRDefault="00D35547" w:rsidP="00D35547">
            <w:pPr>
              <w:spacing w:after="0"/>
              <w:rPr>
                <w:b/>
                <w:sz w:val="20"/>
                <w:szCs w:val="20"/>
              </w:rPr>
            </w:pPr>
            <w:r w:rsidRPr="00226C43">
              <w:rPr>
                <w:b/>
                <w:sz w:val="20"/>
                <w:szCs w:val="20"/>
              </w:rPr>
              <w:t>Agency</w:t>
            </w:r>
          </w:p>
        </w:tc>
        <w:tc>
          <w:tcPr>
            <w:tcW w:w="0" w:type="auto"/>
            <w:shd w:val="clear" w:color="auto" w:fill="E3DED1" w:themeFill="background2"/>
            <w:hideMark/>
          </w:tcPr>
          <w:p w14:paraId="7C43581C" w14:textId="77777777" w:rsidR="00D35547" w:rsidRPr="00226C43" w:rsidRDefault="00D35547" w:rsidP="00406405">
            <w:pPr>
              <w:spacing w:after="0"/>
              <w:jc w:val="right"/>
              <w:rPr>
                <w:b/>
                <w:sz w:val="20"/>
                <w:szCs w:val="20"/>
              </w:rPr>
            </w:pPr>
            <w:r w:rsidRPr="00226C43">
              <w:rPr>
                <w:b/>
                <w:sz w:val="20"/>
                <w:szCs w:val="20"/>
              </w:rPr>
              <w:t>Percentage</w:t>
            </w:r>
          </w:p>
        </w:tc>
      </w:tr>
      <w:tr w:rsidR="00226C43" w:rsidRPr="00226C43" w14:paraId="3FE1E12F" w14:textId="77777777" w:rsidTr="005801DC">
        <w:trPr>
          <w:jc w:val="center"/>
        </w:trPr>
        <w:tc>
          <w:tcPr>
            <w:tcW w:w="0" w:type="auto"/>
            <w:hideMark/>
          </w:tcPr>
          <w:p w14:paraId="6D458623" w14:textId="77777777" w:rsidR="00D35547" w:rsidRPr="00226C43" w:rsidRDefault="00D35547" w:rsidP="00D35547">
            <w:pPr>
              <w:spacing w:after="0"/>
              <w:rPr>
                <w:sz w:val="20"/>
                <w:szCs w:val="20"/>
              </w:rPr>
            </w:pPr>
            <w:r w:rsidRPr="00226C43">
              <w:rPr>
                <w:sz w:val="20"/>
                <w:szCs w:val="20"/>
              </w:rPr>
              <w:t>Civil Service Commission</w:t>
            </w:r>
          </w:p>
        </w:tc>
        <w:tc>
          <w:tcPr>
            <w:tcW w:w="0" w:type="auto"/>
            <w:hideMark/>
          </w:tcPr>
          <w:p w14:paraId="1F37EF3E" w14:textId="74390E41" w:rsidR="00D35547" w:rsidRPr="00226C43" w:rsidRDefault="00D35547" w:rsidP="00406405">
            <w:pPr>
              <w:spacing w:after="0"/>
              <w:jc w:val="right"/>
              <w:rPr>
                <w:sz w:val="20"/>
                <w:szCs w:val="20"/>
              </w:rPr>
            </w:pPr>
            <w:r w:rsidRPr="00226C43">
              <w:rPr>
                <w:sz w:val="20"/>
                <w:szCs w:val="20"/>
              </w:rPr>
              <w:t>11</w:t>
            </w:r>
          </w:p>
        </w:tc>
      </w:tr>
      <w:tr w:rsidR="00226C43" w:rsidRPr="00226C43" w14:paraId="0C41FC67" w14:textId="77777777" w:rsidTr="005801DC">
        <w:trPr>
          <w:jc w:val="center"/>
        </w:trPr>
        <w:tc>
          <w:tcPr>
            <w:tcW w:w="0" w:type="auto"/>
            <w:hideMark/>
          </w:tcPr>
          <w:p w14:paraId="5788A2BD" w14:textId="77777777" w:rsidR="00D35547" w:rsidRPr="00226C43" w:rsidRDefault="00D35547" w:rsidP="00D35547">
            <w:pPr>
              <w:spacing w:after="0"/>
              <w:rPr>
                <w:sz w:val="20"/>
                <w:szCs w:val="20"/>
              </w:rPr>
            </w:pPr>
            <w:r w:rsidRPr="00226C43">
              <w:rPr>
                <w:sz w:val="20"/>
                <w:szCs w:val="20"/>
              </w:rPr>
              <w:t>Department of Social Work and Development</w:t>
            </w:r>
          </w:p>
        </w:tc>
        <w:tc>
          <w:tcPr>
            <w:tcW w:w="0" w:type="auto"/>
            <w:hideMark/>
          </w:tcPr>
          <w:p w14:paraId="2FD7FE42" w14:textId="4BE4C0A2" w:rsidR="00D35547" w:rsidRPr="00226C43" w:rsidRDefault="00D35547" w:rsidP="00406405">
            <w:pPr>
              <w:spacing w:after="0"/>
              <w:jc w:val="right"/>
              <w:rPr>
                <w:sz w:val="20"/>
                <w:szCs w:val="20"/>
              </w:rPr>
            </w:pPr>
            <w:r w:rsidRPr="00226C43">
              <w:rPr>
                <w:sz w:val="20"/>
                <w:szCs w:val="20"/>
              </w:rPr>
              <w:t>1</w:t>
            </w:r>
          </w:p>
        </w:tc>
      </w:tr>
      <w:tr w:rsidR="00226C43" w:rsidRPr="00226C43" w14:paraId="5132929C" w14:textId="77777777" w:rsidTr="005801DC">
        <w:trPr>
          <w:jc w:val="center"/>
        </w:trPr>
        <w:tc>
          <w:tcPr>
            <w:tcW w:w="0" w:type="auto"/>
            <w:hideMark/>
          </w:tcPr>
          <w:p w14:paraId="5A7CA766" w14:textId="77777777" w:rsidR="00D35547" w:rsidRPr="00226C43" w:rsidRDefault="00D35547" w:rsidP="00D35547">
            <w:pPr>
              <w:spacing w:after="0"/>
              <w:rPr>
                <w:sz w:val="20"/>
                <w:szCs w:val="20"/>
              </w:rPr>
            </w:pPr>
            <w:r w:rsidRPr="00226C43">
              <w:rPr>
                <w:sz w:val="20"/>
                <w:szCs w:val="20"/>
              </w:rPr>
              <w:t>Department of Public Works and Highways</w:t>
            </w:r>
          </w:p>
        </w:tc>
        <w:tc>
          <w:tcPr>
            <w:tcW w:w="0" w:type="auto"/>
            <w:hideMark/>
          </w:tcPr>
          <w:p w14:paraId="7B2EE5CB" w14:textId="21BEEBC8" w:rsidR="00D35547" w:rsidRPr="00226C43" w:rsidRDefault="00D35547" w:rsidP="00406405">
            <w:pPr>
              <w:spacing w:after="0"/>
              <w:jc w:val="right"/>
              <w:rPr>
                <w:sz w:val="20"/>
                <w:szCs w:val="20"/>
              </w:rPr>
            </w:pPr>
            <w:r w:rsidRPr="00226C43">
              <w:rPr>
                <w:sz w:val="20"/>
                <w:szCs w:val="20"/>
              </w:rPr>
              <w:t>11</w:t>
            </w:r>
          </w:p>
        </w:tc>
      </w:tr>
      <w:tr w:rsidR="00226C43" w:rsidRPr="00226C43" w14:paraId="5E345241" w14:textId="77777777" w:rsidTr="005801DC">
        <w:trPr>
          <w:jc w:val="center"/>
        </w:trPr>
        <w:tc>
          <w:tcPr>
            <w:tcW w:w="0" w:type="auto"/>
            <w:hideMark/>
          </w:tcPr>
          <w:p w14:paraId="1C2F39E0" w14:textId="77777777" w:rsidR="00D35547" w:rsidRPr="00226C43" w:rsidRDefault="00D35547" w:rsidP="00D35547">
            <w:pPr>
              <w:spacing w:after="0"/>
              <w:rPr>
                <w:sz w:val="20"/>
                <w:szCs w:val="20"/>
              </w:rPr>
            </w:pPr>
            <w:r w:rsidRPr="00226C43">
              <w:rPr>
                <w:sz w:val="20"/>
                <w:szCs w:val="20"/>
              </w:rPr>
              <w:t>Department of Trade and Industry</w:t>
            </w:r>
          </w:p>
        </w:tc>
        <w:tc>
          <w:tcPr>
            <w:tcW w:w="0" w:type="auto"/>
            <w:hideMark/>
          </w:tcPr>
          <w:p w14:paraId="5ACBF9A0" w14:textId="346824D5" w:rsidR="00D35547" w:rsidRPr="00226C43" w:rsidRDefault="00D35547" w:rsidP="00406405">
            <w:pPr>
              <w:spacing w:after="0"/>
              <w:jc w:val="right"/>
              <w:rPr>
                <w:sz w:val="20"/>
                <w:szCs w:val="20"/>
              </w:rPr>
            </w:pPr>
            <w:r w:rsidRPr="00226C43">
              <w:rPr>
                <w:sz w:val="20"/>
                <w:szCs w:val="20"/>
              </w:rPr>
              <w:t>21</w:t>
            </w:r>
          </w:p>
        </w:tc>
      </w:tr>
      <w:tr w:rsidR="00226C43" w:rsidRPr="00226C43" w14:paraId="56BF7991" w14:textId="77777777" w:rsidTr="005801DC">
        <w:trPr>
          <w:jc w:val="center"/>
        </w:trPr>
        <w:tc>
          <w:tcPr>
            <w:tcW w:w="0" w:type="auto"/>
            <w:hideMark/>
          </w:tcPr>
          <w:p w14:paraId="18446D5E" w14:textId="77777777" w:rsidR="00D35547" w:rsidRPr="00226C43" w:rsidRDefault="00D35547" w:rsidP="00D35547">
            <w:pPr>
              <w:spacing w:after="0"/>
              <w:rPr>
                <w:sz w:val="20"/>
                <w:szCs w:val="20"/>
              </w:rPr>
            </w:pPr>
            <w:r w:rsidRPr="00226C43">
              <w:rPr>
                <w:sz w:val="20"/>
                <w:szCs w:val="20"/>
              </w:rPr>
              <w:t>Department of Budget and Management</w:t>
            </w:r>
          </w:p>
        </w:tc>
        <w:tc>
          <w:tcPr>
            <w:tcW w:w="0" w:type="auto"/>
            <w:hideMark/>
          </w:tcPr>
          <w:p w14:paraId="14247C41" w14:textId="1A59DCAB" w:rsidR="00D35547" w:rsidRPr="00226C43" w:rsidRDefault="00D35547" w:rsidP="00406405">
            <w:pPr>
              <w:spacing w:after="0"/>
              <w:jc w:val="right"/>
              <w:rPr>
                <w:sz w:val="20"/>
                <w:szCs w:val="20"/>
              </w:rPr>
            </w:pPr>
            <w:r w:rsidRPr="00226C43">
              <w:rPr>
                <w:sz w:val="20"/>
                <w:szCs w:val="20"/>
              </w:rPr>
              <w:t>7</w:t>
            </w:r>
          </w:p>
        </w:tc>
      </w:tr>
      <w:tr w:rsidR="00226C43" w:rsidRPr="00226C43" w14:paraId="3496EB85" w14:textId="77777777" w:rsidTr="005801DC">
        <w:trPr>
          <w:jc w:val="center"/>
        </w:trPr>
        <w:tc>
          <w:tcPr>
            <w:tcW w:w="0" w:type="auto"/>
            <w:hideMark/>
          </w:tcPr>
          <w:p w14:paraId="0AA7931C" w14:textId="77777777" w:rsidR="00D35547" w:rsidRPr="00226C43" w:rsidRDefault="00D35547" w:rsidP="00D35547">
            <w:pPr>
              <w:spacing w:after="0"/>
              <w:rPr>
                <w:sz w:val="20"/>
                <w:szCs w:val="20"/>
              </w:rPr>
            </w:pPr>
            <w:r w:rsidRPr="00226C43">
              <w:rPr>
                <w:sz w:val="20"/>
                <w:szCs w:val="20"/>
              </w:rPr>
              <w:t>Department of Interior and Local Government</w:t>
            </w:r>
          </w:p>
        </w:tc>
        <w:tc>
          <w:tcPr>
            <w:tcW w:w="0" w:type="auto"/>
            <w:hideMark/>
          </w:tcPr>
          <w:p w14:paraId="59C34E12" w14:textId="04734512" w:rsidR="00D35547" w:rsidRPr="00226C43" w:rsidRDefault="00D35547" w:rsidP="00406405">
            <w:pPr>
              <w:spacing w:after="0"/>
              <w:jc w:val="right"/>
              <w:rPr>
                <w:sz w:val="20"/>
                <w:szCs w:val="20"/>
              </w:rPr>
            </w:pPr>
            <w:r w:rsidRPr="00226C43">
              <w:rPr>
                <w:sz w:val="20"/>
                <w:szCs w:val="20"/>
              </w:rPr>
              <w:t>9</w:t>
            </w:r>
          </w:p>
        </w:tc>
      </w:tr>
      <w:tr w:rsidR="00226C43" w:rsidRPr="00226C43" w14:paraId="724CA83B" w14:textId="77777777" w:rsidTr="005801DC">
        <w:trPr>
          <w:jc w:val="center"/>
        </w:trPr>
        <w:tc>
          <w:tcPr>
            <w:tcW w:w="0" w:type="auto"/>
            <w:hideMark/>
          </w:tcPr>
          <w:p w14:paraId="1CD62523" w14:textId="77777777" w:rsidR="00D35547" w:rsidRPr="00226C43" w:rsidRDefault="00D35547" w:rsidP="00D35547">
            <w:pPr>
              <w:spacing w:after="0"/>
              <w:rPr>
                <w:sz w:val="20"/>
                <w:szCs w:val="20"/>
              </w:rPr>
            </w:pPr>
            <w:r w:rsidRPr="00226C43">
              <w:rPr>
                <w:sz w:val="20"/>
                <w:szCs w:val="20"/>
              </w:rPr>
              <w:t>Department of Foreign Affairs</w:t>
            </w:r>
          </w:p>
        </w:tc>
        <w:tc>
          <w:tcPr>
            <w:tcW w:w="0" w:type="auto"/>
            <w:hideMark/>
          </w:tcPr>
          <w:p w14:paraId="5E5B5EB2" w14:textId="552D78D0" w:rsidR="00D35547" w:rsidRPr="00226C43" w:rsidRDefault="00D35547" w:rsidP="00406405">
            <w:pPr>
              <w:spacing w:after="0"/>
              <w:jc w:val="right"/>
              <w:rPr>
                <w:sz w:val="20"/>
                <w:szCs w:val="20"/>
              </w:rPr>
            </w:pPr>
            <w:r w:rsidRPr="00226C43">
              <w:rPr>
                <w:sz w:val="20"/>
                <w:szCs w:val="20"/>
              </w:rPr>
              <w:t>16</w:t>
            </w:r>
          </w:p>
        </w:tc>
      </w:tr>
      <w:tr w:rsidR="00226C43" w:rsidRPr="00226C43" w14:paraId="76C9666F" w14:textId="77777777" w:rsidTr="005801DC">
        <w:trPr>
          <w:jc w:val="center"/>
        </w:trPr>
        <w:tc>
          <w:tcPr>
            <w:tcW w:w="0" w:type="auto"/>
            <w:hideMark/>
          </w:tcPr>
          <w:p w14:paraId="01DEC9E9" w14:textId="77777777" w:rsidR="00D35547" w:rsidRPr="00226C43" w:rsidRDefault="00D35547" w:rsidP="00D35547">
            <w:pPr>
              <w:spacing w:after="0"/>
              <w:rPr>
                <w:sz w:val="20"/>
                <w:szCs w:val="20"/>
              </w:rPr>
            </w:pPr>
            <w:r w:rsidRPr="00226C43">
              <w:rPr>
                <w:sz w:val="20"/>
                <w:szCs w:val="20"/>
              </w:rPr>
              <w:t xml:space="preserve">Public–Private Partnership </w:t>
            </w:r>
            <w:proofErr w:type="spellStart"/>
            <w:r w:rsidRPr="00226C43">
              <w:rPr>
                <w:sz w:val="20"/>
                <w:szCs w:val="20"/>
              </w:rPr>
              <w:t>Center</w:t>
            </w:r>
            <w:proofErr w:type="spellEnd"/>
          </w:p>
        </w:tc>
        <w:tc>
          <w:tcPr>
            <w:tcW w:w="0" w:type="auto"/>
            <w:hideMark/>
          </w:tcPr>
          <w:p w14:paraId="5AF4A777" w14:textId="4C80A305" w:rsidR="00D35547" w:rsidRPr="00226C43" w:rsidRDefault="00D35547" w:rsidP="00406405">
            <w:pPr>
              <w:spacing w:after="0"/>
              <w:jc w:val="right"/>
              <w:rPr>
                <w:sz w:val="20"/>
                <w:szCs w:val="20"/>
              </w:rPr>
            </w:pPr>
            <w:r w:rsidRPr="00226C43">
              <w:rPr>
                <w:sz w:val="20"/>
                <w:szCs w:val="20"/>
              </w:rPr>
              <w:t>4</w:t>
            </w:r>
          </w:p>
        </w:tc>
      </w:tr>
      <w:tr w:rsidR="00226C43" w:rsidRPr="00226C43" w14:paraId="69F67B95" w14:textId="77777777" w:rsidTr="005801DC">
        <w:trPr>
          <w:jc w:val="center"/>
        </w:trPr>
        <w:tc>
          <w:tcPr>
            <w:tcW w:w="0" w:type="auto"/>
            <w:hideMark/>
          </w:tcPr>
          <w:p w14:paraId="276B97E1" w14:textId="77777777" w:rsidR="00D35547" w:rsidRPr="00226C43" w:rsidRDefault="00D35547" w:rsidP="00D35547">
            <w:pPr>
              <w:spacing w:after="0"/>
              <w:rPr>
                <w:sz w:val="20"/>
                <w:szCs w:val="20"/>
              </w:rPr>
            </w:pPr>
            <w:r w:rsidRPr="00226C43">
              <w:rPr>
                <w:sz w:val="20"/>
                <w:szCs w:val="20"/>
              </w:rPr>
              <w:t>Philippine Competition Commission</w:t>
            </w:r>
          </w:p>
        </w:tc>
        <w:tc>
          <w:tcPr>
            <w:tcW w:w="0" w:type="auto"/>
            <w:hideMark/>
          </w:tcPr>
          <w:p w14:paraId="65AE4769" w14:textId="7DFAE063" w:rsidR="00D35547" w:rsidRPr="00226C43" w:rsidRDefault="00D35547" w:rsidP="00406405">
            <w:pPr>
              <w:spacing w:after="0"/>
              <w:jc w:val="right"/>
              <w:rPr>
                <w:sz w:val="20"/>
                <w:szCs w:val="20"/>
              </w:rPr>
            </w:pPr>
            <w:r w:rsidRPr="00226C43">
              <w:rPr>
                <w:sz w:val="20"/>
                <w:szCs w:val="20"/>
              </w:rPr>
              <w:t>2</w:t>
            </w:r>
          </w:p>
        </w:tc>
      </w:tr>
      <w:tr w:rsidR="00226C43" w:rsidRPr="00226C43" w14:paraId="36493881" w14:textId="77777777" w:rsidTr="005801DC">
        <w:trPr>
          <w:jc w:val="center"/>
        </w:trPr>
        <w:tc>
          <w:tcPr>
            <w:tcW w:w="0" w:type="auto"/>
            <w:hideMark/>
          </w:tcPr>
          <w:p w14:paraId="2FEFE74F" w14:textId="77777777" w:rsidR="00D35547" w:rsidRPr="00226C43" w:rsidRDefault="00D35547" w:rsidP="00D35547">
            <w:pPr>
              <w:spacing w:after="0"/>
              <w:rPr>
                <w:sz w:val="20"/>
                <w:szCs w:val="20"/>
              </w:rPr>
            </w:pPr>
            <w:r w:rsidRPr="00226C43">
              <w:rPr>
                <w:sz w:val="20"/>
                <w:szCs w:val="20"/>
              </w:rPr>
              <w:lastRenderedPageBreak/>
              <w:t>Department of Transportation</w:t>
            </w:r>
          </w:p>
        </w:tc>
        <w:tc>
          <w:tcPr>
            <w:tcW w:w="0" w:type="auto"/>
            <w:hideMark/>
          </w:tcPr>
          <w:p w14:paraId="218995EC" w14:textId="1C7F338C" w:rsidR="00D35547" w:rsidRPr="00226C43" w:rsidRDefault="00D35547" w:rsidP="00406405">
            <w:pPr>
              <w:spacing w:after="0"/>
              <w:jc w:val="right"/>
              <w:rPr>
                <w:sz w:val="20"/>
                <w:szCs w:val="20"/>
              </w:rPr>
            </w:pPr>
            <w:r w:rsidRPr="00226C43">
              <w:rPr>
                <w:sz w:val="20"/>
                <w:szCs w:val="20"/>
              </w:rPr>
              <w:t>2</w:t>
            </w:r>
          </w:p>
        </w:tc>
      </w:tr>
      <w:tr w:rsidR="00226C43" w:rsidRPr="00226C43" w14:paraId="1461B7B1" w14:textId="77777777" w:rsidTr="005801DC">
        <w:trPr>
          <w:jc w:val="center"/>
        </w:trPr>
        <w:tc>
          <w:tcPr>
            <w:tcW w:w="0" w:type="auto"/>
            <w:hideMark/>
          </w:tcPr>
          <w:p w14:paraId="3209886D" w14:textId="77777777" w:rsidR="00D35547" w:rsidRPr="00226C43" w:rsidRDefault="00D35547" w:rsidP="00D35547">
            <w:pPr>
              <w:spacing w:after="0"/>
              <w:rPr>
                <w:sz w:val="20"/>
                <w:szCs w:val="20"/>
              </w:rPr>
            </w:pPr>
            <w:r w:rsidRPr="00226C43">
              <w:rPr>
                <w:sz w:val="20"/>
                <w:szCs w:val="20"/>
              </w:rPr>
              <w:t>National Economic and Development Authority</w:t>
            </w:r>
          </w:p>
        </w:tc>
        <w:tc>
          <w:tcPr>
            <w:tcW w:w="0" w:type="auto"/>
            <w:hideMark/>
          </w:tcPr>
          <w:p w14:paraId="32C39617" w14:textId="56E945D1" w:rsidR="00D35547" w:rsidRPr="00226C43" w:rsidRDefault="00D35547" w:rsidP="00406405">
            <w:pPr>
              <w:spacing w:after="0"/>
              <w:jc w:val="right"/>
              <w:rPr>
                <w:sz w:val="20"/>
                <w:szCs w:val="20"/>
              </w:rPr>
            </w:pPr>
            <w:r w:rsidRPr="00226C43">
              <w:rPr>
                <w:sz w:val="20"/>
                <w:szCs w:val="20"/>
              </w:rPr>
              <w:t>16</w:t>
            </w:r>
          </w:p>
        </w:tc>
      </w:tr>
    </w:tbl>
    <w:p w14:paraId="59C67C19" w14:textId="46E1F2C1" w:rsidR="4DD21A85" w:rsidRPr="00226C43" w:rsidRDefault="00EF703E" w:rsidP="3FD0F257">
      <w:pPr>
        <w:pStyle w:val="Quote"/>
        <w:rPr>
          <w:color w:val="auto"/>
        </w:rPr>
      </w:pPr>
      <w:r w:rsidRPr="00226C43">
        <w:rPr>
          <w:color w:val="auto"/>
        </w:rPr>
        <w:t>‘</w:t>
      </w:r>
      <w:r w:rsidR="4DD21A85" w:rsidRPr="00226C43">
        <w:rPr>
          <w:color w:val="auto"/>
        </w:rPr>
        <w:t>The Policy Research and Development course was incredibly effective, as it guided us to create actionable and realistic re-entry plans that addressed specific organizational challenges</w:t>
      </w:r>
      <w:r w:rsidR="4B019637" w:rsidRPr="00226C43">
        <w:rPr>
          <w:color w:val="auto"/>
        </w:rPr>
        <w:t>.</w:t>
      </w:r>
      <w:r w:rsidRPr="00226C43">
        <w:rPr>
          <w:color w:val="auto"/>
        </w:rPr>
        <w:t>’</w:t>
      </w:r>
      <w:r w:rsidR="4B019637" w:rsidRPr="00226C43">
        <w:rPr>
          <w:color w:val="auto"/>
        </w:rPr>
        <w:t xml:space="preserve"> </w:t>
      </w:r>
      <w:r w:rsidR="002A4B1C" w:rsidRPr="00226C43">
        <w:rPr>
          <w:color w:val="auto"/>
        </w:rPr>
        <w:t>R1.</w:t>
      </w:r>
    </w:p>
    <w:p w14:paraId="0FE2E8A3" w14:textId="3253ADD0" w:rsidR="00A93F78" w:rsidRPr="00226C43" w:rsidRDefault="00D15452" w:rsidP="00A93F78">
      <w:pPr>
        <w:spacing w:line="259" w:lineRule="auto"/>
      </w:pPr>
      <w:r w:rsidRPr="00226C43">
        <w:t>During the period 2018 to 2023, t</w:t>
      </w:r>
      <w:r w:rsidR="00A93F78" w:rsidRPr="00226C43">
        <w:t xml:space="preserve">he program successfully delivered 45 training activities to 11 partner agencies and various organisations, reaching a total of 1,855 participants from 61 organisations. Of the total participants, 57% (1,051) were female and 43% (804) were male, demonstrating </w:t>
      </w:r>
      <w:r w:rsidR="004D6988" w:rsidRPr="00226C43">
        <w:t xml:space="preserve">the program’s focus </w:t>
      </w:r>
      <w:r w:rsidR="00B76C10" w:rsidRPr="00226C43">
        <w:t>on gender by enabling skills upgrading of women</w:t>
      </w:r>
      <w:r w:rsidR="00A93F78" w:rsidRPr="00226C43">
        <w:t>.</w:t>
      </w:r>
    </w:p>
    <w:p w14:paraId="0F03664C" w14:textId="3DE9EC4E" w:rsidR="00A93F78" w:rsidRPr="00226C43" w:rsidRDefault="00A93F78" w:rsidP="00A93F78">
      <w:pPr>
        <w:spacing w:line="259" w:lineRule="auto"/>
      </w:pPr>
      <w:r w:rsidRPr="00226C43">
        <w:t xml:space="preserve">Among the 1,450 participants from the 11 </w:t>
      </w:r>
      <w:r w:rsidR="00562751" w:rsidRPr="00226C43">
        <w:t xml:space="preserve">GPH </w:t>
      </w:r>
      <w:r w:rsidRPr="00226C43">
        <w:t xml:space="preserve">partner government agencies, the Department of Trade and Industry (DTI) had the highest representation with 21%, followed by the Department of Foreign Affairs (16%) and the National Economic and Development Authority </w:t>
      </w:r>
      <w:r w:rsidR="00E01F00" w:rsidRPr="00226C43">
        <w:t xml:space="preserve">(NEDA) </w:t>
      </w:r>
      <w:r w:rsidRPr="00226C43">
        <w:t xml:space="preserve">(16%). Other significant contributors include the Civil Service Commission (11%), the Department of Public Works and Highways (11%), and the Department of the Interior and Local Government (9%). Smaller proportions were represented by agencies such as the Department of Budget and Management (7%), Public-Private Partnership </w:t>
      </w:r>
      <w:r w:rsidR="004A5471" w:rsidRPr="00226C43">
        <w:t>Centre</w:t>
      </w:r>
      <w:r w:rsidRPr="00226C43">
        <w:t xml:space="preserve"> (4%), and the Philippine Competition Commission (2%). This distribution highlights the program’s targeted engagement with key </w:t>
      </w:r>
      <w:r w:rsidR="00A46041" w:rsidRPr="00226C43">
        <w:t xml:space="preserve">GPH </w:t>
      </w:r>
      <w:r w:rsidRPr="00226C43">
        <w:t>agencies while maintaining inclusivity across sectors.</w:t>
      </w:r>
      <w:r w:rsidR="0078429F" w:rsidRPr="00226C43">
        <w:t xml:space="preserve"> </w:t>
      </w:r>
      <w:r w:rsidR="007815D6" w:rsidRPr="00226C43">
        <w:t>The three largest recipient</w:t>
      </w:r>
      <w:r w:rsidR="00E61628" w:rsidRPr="00226C43">
        <w:t xml:space="preserve"> GPH agencies </w:t>
      </w:r>
      <w:r w:rsidR="007F639C" w:rsidRPr="00226C43">
        <w:t xml:space="preserve">for </w:t>
      </w:r>
      <w:r w:rsidR="007815D6" w:rsidRPr="00226C43">
        <w:t xml:space="preserve">short courses </w:t>
      </w:r>
      <w:r w:rsidR="00E01F00" w:rsidRPr="00226C43">
        <w:t>– the DTI, the DFA, and NEDA</w:t>
      </w:r>
      <w:r w:rsidR="00E61628" w:rsidRPr="00226C43">
        <w:t xml:space="preserve"> – are key </w:t>
      </w:r>
      <w:r w:rsidR="007F639C" w:rsidRPr="00226C43">
        <w:t xml:space="preserve">counterparts </w:t>
      </w:r>
      <w:r w:rsidR="00E61628" w:rsidRPr="00226C43">
        <w:t>for Australia</w:t>
      </w:r>
      <w:r w:rsidR="00F92C52" w:rsidRPr="00226C43">
        <w:t xml:space="preserve">’s support to the Philippines on </w:t>
      </w:r>
      <w:r w:rsidR="007F639C" w:rsidRPr="00226C43">
        <w:t>trade, the bilateral relationship</w:t>
      </w:r>
      <w:r w:rsidR="00F92C52" w:rsidRPr="00226C43">
        <w:t>,</w:t>
      </w:r>
      <w:r w:rsidR="007F639C" w:rsidRPr="00226C43">
        <w:t xml:space="preserve"> and </w:t>
      </w:r>
      <w:r w:rsidR="00F92C52" w:rsidRPr="00226C43">
        <w:t xml:space="preserve">on the Philippine’s </w:t>
      </w:r>
      <w:r w:rsidR="007F639C" w:rsidRPr="00226C43">
        <w:t xml:space="preserve">economic and social </w:t>
      </w:r>
      <w:r w:rsidR="00F92C52" w:rsidRPr="00226C43">
        <w:t>development.</w:t>
      </w:r>
    </w:p>
    <w:p w14:paraId="300A845F" w14:textId="500D9169" w:rsidR="4DD21A85" w:rsidRPr="00226C43" w:rsidRDefault="4DD21A85" w:rsidP="00EE25B1">
      <w:pPr>
        <w:pStyle w:val="Heading4"/>
        <w:spacing w:after="0"/>
        <w:rPr>
          <w:rFonts w:asciiTheme="minorHAnsi" w:hAnsiTheme="minorHAnsi"/>
          <w:color w:val="auto"/>
        </w:rPr>
      </w:pPr>
      <w:r w:rsidRPr="00226C43">
        <w:rPr>
          <w:rFonts w:asciiTheme="minorHAnsi" w:hAnsiTheme="minorHAnsi"/>
          <w:color w:val="auto"/>
        </w:rPr>
        <w:t>In-country scholarships program</w:t>
      </w:r>
    </w:p>
    <w:p w14:paraId="201AD532" w14:textId="676C35C7" w:rsidR="0CE4F189" w:rsidRPr="00226C43" w:rsidRDefault="0CE4F189" w:rsidP="0CE4F189">
      <w:r w:rsidRPr="00226C43">
        <w:t>The In-Country Scholarship Program (ICSP) supports Filipinos who are unable to study in Australia due to either work or family constraints, prioritising recipients from conflict and post-conflict areas in Mindanao.</w:t>
      </w:r>
    </w:p>
    <w:p w14:paraId="5F78A202" w14:textId="521B3278" w:rsidR="0CE4F189" w:rsidRPr="00226C43" w:rsidRDefault="0CE4F189" w:rsidP="0CE4F189">
      <w:r w:rsidRPr="00226C43">
        <w:t xml:space="preserve">In 2020, AAAEP–P evaluated the ICSP (Tracer Study), highlighting ICSP’s relevance in building competencies for Bangsamoro Autonomous Region of Muslim Mindanao (BARMM) personnel, its effectiveness in addressing key concerns, and its efficiency in delivering scholarship benefits. However, challenges like limited support for scholars’ REAPs and evolving political priorities in BARMM were noted. The study emphasised the need for BARMM to invest in resources for sustainability and proposed a design for ICSP Phase 3, which aligned with BARMM’s development goals and complemented other </w:t>
      </w:r>
      <w:r w:rsidR="00A46041" w:rsidRPr="00226C43">
        <w:t xml:space="preserve">GPH </w:t>
      </w:r>
      <w:r w:rsidRPr="00226C43">
        <w:t>and international initiatives.</w:t>
      </w:r>
    </w:p>
    <w:p w14:paraId="7C226741" w14:textId="786C0007" w:rsidR="4DD21A85" w:rsidRPr="00226C43" w:rsidRDefault="0CE4F189" w:rsidP="4DD21A85">
      <w:r w:rsidRPr="00226C43">
        <w:t>In 2020, AAAEP–P also conducted a TNA of ICSP alumni in the context of the pandemic, to identify what help ICSP graduates need to live their best lives and to make a difference to the BARMM community during the global crisis.</w:t>
      </w:r>
      <w:r w:rsidR="0078429F" w:rsidRPr="00226C43">
        <w:t xml:space="preserve"> </w:t>
      </w:r>
      <w:r w:rsidRPr="00226C43">
        <w:t>The TNA proposed a two-pronged leadership development strategy and framework, with a capability enhancement plan for the ICSP alumni proposing topics such as project management, authentic influence, innovation, conflict management and digital competencies.</w:t>
      </w:r>
      <w:r w:rsidR="003E2CE9" w:rsidRPr="00226C43">
        <w:t xml:space="preserve"> </w:t>
      </w:r>
      <w:r w:rsidRPr="00226C43">
        <w:t>These approaches evidence the program’s responsiveness to the pandemic.</w:t>
      </w:r>
    </w:p>
    <w:p w14:paraId="4313F2A2" w14:textId="624A15F6" w:rsidR="4DD21A85" w:rsidRPr="00226C43" w:rsidRDefault="4DD21A85" w:rsidP="4DD21A85">
      <w:pPr>
        <w:spacing w:line="259" w:lineRule="auto"/>
      </w:pPr>
      <w:r w:rsidRPr="00226C43">
        <w:lastRenderedPageBreak/>
        <w:t xml:space="preserve">The results achieved for the delivery of the ICSP are shown in the </w:t>
      </w:r>
      <w:r w:rsidR="0035577F" w:rsidRPr="00226C43">
        <w:t xml:space="preserve">table </w:t>
      </w:r>
      <w:r w:rsidRPr="00226C43">
        <w:t>below.</w:t>
      </w:r>
    </w:p>
    <w:p w14:paraId="7C9A5729" w14:textId="05CD650E" w:rsidR="00466FEE" w:rsidRDefault="00466FEE" w:rsidP="00742F7B">
      <w:pPr>
        <w:pStyle w:val="Caption"/>
        <w:spacing w:after="0"/>
        <w:rPr>
          <w:color w:val="auto"/>
        </w:rPr>
      </w:pPr>
      <w:bookmarkStart w:id="26" w:name="_Toc190939906"/>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003735AF" w:rsidRPr="00226C43">
        <w:rPr>
          <w:noProof/>
          <w:color w:val="auto"/>
        </w:rPr>
        <w:t>8</w:t>
      </w:r>
      <w:r w:rsidR="000113F9" w:rsidRPr="00226C43">
        <w:rPr>
          <w:noProof/>
          <w:color w:val="auto"/>
        </w:rPr>
        <w:fldChar w:fldCharType="end"/>
      </w:r>
      <w:r w:rsidRPr="00226C43">
        <w:rPr>
          <w:color w:val="auto"/>
        </w:rPr>
        <w:t xml:space="preserve">: ICSP </w:t>
      </w:r>
      <w:r w:rsidR="003E1351" w:rsidRPr="00226C43">
        <w:rPr>
          <w:color w:val="auto"/>
        </w:rPr>
        <w:t>Results</w:t>
      </w:r>
      <w:bookmarkEnd w:id="26"/>
    </w:p>
    <w:p w14:paraId="3C07B5CD" w14:textId="77777777" w:rsidR="00724927" w:rsidRDefault="00724927" w:rsidP="00DE67E5">
      <w:pPr>
        <w:spacing w:after="0"/>
      </w:pPr>
      <w:r w:rsidRPr="00226C43">
        <w:rPr>
          <w:b/>
          <w:sz w:val="20"/>
          <w:szCs w:val="20"/>
        </w:rPr>
        <w:t>ICSP 2020 Tracer Study and Program Review Results</w:t>
      </w:r>
    </w:p>
    <w:p w14:paraId="0ED63B43" w14:textId="77777777" w:rsidR="00724927" w:rsidRDefault="00724927" w:rsidP="00724927">
      <w:pPr>
        <w:pStyle w:val="ListParagraph"/>
        <w:numPr>
          <w:ilvl w:val="0"/>
          <w:numId w:val="68"/>
        </w:numPr>
        <w:spacing w:after="0"/>
      </w:pPr>
      <w:r w:rsidRPr="00724927">
        <w:rPr>
          <w:sz w:val="20"/>
          <w:szCs w:val="20"/>
        </w:rPr>
        <w:t>Contributed to improving the local government capacity to deliver services in Bangsamoro.</w:t>
      </w:r>
    </w:p>
    <w:p w14:paraId="4BAC3F3F" w14:textId="77777777" w:rsidR="00724927" w:rsidRDefault="00724927" w:rsidP="00724927">
      <w:pPr>
        <w:pStyle w:val="ListParagraph"/>
        <w:numPr>
          <w:ilvl w:val="0"/>
          <w:numId w:val="68"/>
        </w:numPr>
        <w:spacing w:after="0"/>
      </w:pPr>
      <w:r w:rsidRPr="00724927">
        <w:rPr>
          <w:sz w:val="20"/>
          <w:szCs w:val="20"/>
        </w:rPr>
        <w:t>Enhanced the foundation for sustaining economic growth.</w:t>
      </w:r>
    </w:p>
    <w:p w14:paraId="2A033FC9" w14:textId="77777777" w:rsidR="00724927" w:rsidRDefault="00724927" w:rsidP="00724927">
      <w:pPr>
        <w:pStyle w:val="ListParagraph"/>
        <w:numPr>
          <w:ilvl w:val="0"/>
          <w:numId w:val="68"/>
        </w:numPr>
        <w:spacing w:after="0"/>
      </w:pPr>
      <w:r w:rsidRPr="00724927">
        <w:rPr>
          <w:sz w:val="20"/>
          <w:szCs w:val="20"/>
        </w:rPr>
        <w:t>ICSP scholars to be assigned to key positions in Bangsamoro.</w:t>
      </w:r>
    </w:p>
    <w:p w14:paraId="59B2CB13" w14:textId="77777777" w:rsidR="00724927" w:rsidRDefault="00724927" w:rsidP="00724927">
      <w:pPr>
        <w:pStyle w:val="ListParagraph"/>
        <w:numPr>
          <w:ilvl w:val="0"/>
          <w:numId w:val="68"/>
        </w:numPr>
        <w:spacing w:after="0"/>
      </w:pPr>
      <w:r w:rsidRPr="00724927">
        <w:rPr>
          <w:sz w:val="20"/>
          <w:szCs w:val="20"/>
        </w:rPr>
        <w:t>Respective programs of study are aligned with the awardees’ current work, improving their technical and leadership skills.</w:t>
      </w:r>
    </w:p>
    <w:p w14:paraId="3B257590" w14:textId="77777777" w:rsidR="00724927" w:rsidRDefault="00724927" w:rsidP="00724927">
      <w:pPr>
        <w:pStyle w:val="ListParagraph"/>
        <w:numPr>
          <w:ilvl w:val="0"/>
          <w:numId w:val="68"/>
        </w:numPr>
        <w:spacing w:after="0"/>
      </w:pPr>
      <w:r w:rsidRPr="00724927">
        <w:rPr>
          <w:sz w:val="20"/>
          <w:szCs w:val="20"/>
        </w:rPr>
        <w:t xml:space="preserve">Awardees </w:t>
      </w:r>
      <w:proofErr w:type="gramStart"/>
      <w:r w:rsidRPr="00724927">
        <w:rPr>
          <w:sz w:val="20"/>
          <w:szCs w:val="20"/>
        </w:rPr>
        <w:t>are able to</w:t>
      </w:r>
      <w:proofErr w:type="gramEnd"/>
      <w:r w:rsidRPr="00724927">
        <w:rPr>
          <w:sz w:val="20"/>
          <w:szCs w:val="20"/>
        </w:rPr>
        <w:t xml:space="preserve"> use the competencies gained in their workplace.</w:t>
      </w:r>
    </w:p>
    <w:p w14:paraId="77C3DABE" w14:textId="77777777" w:rsidR="009C7143" w:rsidRPr="00226C43" w:rsidRDefault="009C7143" w:rsidP="00E87FA1">
      <w:pPr>
        <w:tabs>
          <w:tab w:val="left" w:pos="5542"/>
        </w:tabs>
        <w:spacing w:after="0"/>
        <w:jc w:val="center"/>
        <w:rPr>
          <w:b/>
          <w:sz w:val="20"/>
          <w:szCs w:val="20"/>
        </w:rPr>
      </w:pPr>
    </w:p>
    <w:p w14:paraId="35C7FC7B" w14:textId="242DC0BE" w:rsidR="003931E8" w:rsidRPr="00226C43" w:rsidRDefault="00E87FA1" w:rsidP="00E87FA1">
      <w:pPr>
        <w:tabs>
          <w:tab w:val="left" w:pos="5542"/>
        </w:tabs>
        <w:spacing w:after="0"/>
        <w:jc w:val="center"/>
        <w:rPr>
          <w:b/>
          <w:sz w:val="20"/>
          <w:szCs w:val="20"/>
        </w:rPr>
      </w:pPr>
      <w:r w:rsidRPr="00226C43">
        <w:rPr>
          <w:b/>
          <w:sz w:val="20"/>
          <w:szCs w:val="20"/>
        </w:rPr>
        <w:t>Number of Scholars from 2012 to 2023</w:t>
      </w:r>
    </w:p>
    <w:tbl>
      <w:tblPr>
        <w:tblStyle w:val="TableGrid"/>
        <w:tblW w:w="0" w:type="auto"/>
        <w:tblLook w:val="06A0" w:firstRow="1" w:lastRow="0" w:firstColumn="1" w:lastColumn="0" w:noHBand="1" w:noVBand="1"/>
      </w:tblPr>
      <w:tblGrid>
        <w:gridCol w:w="902"/>
        <w:gridCol w:w="2779"/>
        <w:gridCol w:w="4111"/>
        <w:gridCol w:w="1224"/>
      </w:tblGrid>
      <w:tr w:rsidR="00226C43" w:rsidRPr="00226C43" w14:paraId="4446A867" w14:textId="77777777" w:rsidTr="00610A3E">
        <w:trPr>
          <w:tblHeader/>
        </w:trPr>
        <w:tc>
          <w:tcPr>
            <w:tcW w:w="0" w:type="auto"/>
            <w:shd w:val="clear" w:color="auto" w:fill="E3DED1" w:themeFill="background2"/>
            <w:hideMark/>
          </w:tcPr>
          <w:p w14:paraId="2015EF91" w14:textId="77777777" w:rsidR="00E87FA1" w:rsidRPr="00226C43" w:rsidRDefault="00E87FA1" w:rsidP="003943A0">
            <w:pPr>
              <w:spacing w:after="0"/>
              <w:jc w:val="center"/>
              <w:rPr>
                <w:rFonts w:cs="Segoe UI"/>
                <w:b/>
                <w:sz w:val="20"/>
                <w:szCs w:val="20"/>
              </w:rPr>
            </w:pPr>
            <w:r w:rsidRPr="00226C43">
              <w:rPr>
                <w:rStyle w:val="Strong"/>
                <w:rFonts w:cs="Segoe UI"/>
                <w:sz w:val="20"/>
                <w:szCs w:val="20"/>
              </w:rPr>
              <w:t>Year</w:t>
            </w:r>
          </w:p>
        </w:tc>
        <w:tc>
          <w:tcPr>
            <w:tcW w:w="2779" w:type="dxa"/>
            <w:shd w:val="clear" w:color="auto" w:fill="E3DED1" w:themeFill="background2"/>
            <w:hideMark/>
          </w:tcPr>
          <w:p w14:paraId="0494528A" w14:textId="77777777" w:rsidR="00E87FA1" w:rsidRPr="00226C43" w:rsidRDefault="00E87FA1" w:rsidP="003943A0">
            <w:pPr>
              <w:spacing w:after="0"/>
              <w:jc w:val="center"/>
              <w:rPr>
                <w:rFonts w:cs="Segoe UI"/>
                <w:b/>
                <w:sz w:val="20"/>
                <w:szCs w:val="20"/>
              </w:rPr>
            </w:pPr>
            <w:r w:rsidRPr="00226C43">
              <w:rPr>
                <w:rStyle w:val="Strong"/>
                <w:rFonts w:cs="Segoe UI"/>
                <w:sz w:val="20"/>
                <w:szCs w:val="20"/>
              </w:rPr>
              <w:t>Scope / Target Scholars</w:t>
            </w:r>
          </w:p>
        </w:tc>
        <w:tc>
          <w:tcPr>
            <w:tcW w:w="4111" w:type="dxa"/>
            <w:shd w:val="clear" w:color="auto" w:fill="E3DED1" w:themeFill="background2"/>
            <w:hideMark/>
          </w:tcPr>
          <w:p w14:paraId="492F28D6" w14:textId="77777777" w:rsidR="00E87FA1" w:rsidRPr="00226C43" w:rsidRDefault="00E87FA1" w:rsidP="003943A0">
            <w:pPr>
              <w:spacing w:after="0"/>
              <w:jc w:val="center"/>
              <w:rPr>
                <w:rFonts w:cs="Segoe UI"/>
                <w:b/>
                <w:sz w:val="20"/>
                <w:szCs w:val="20"/>
              </w:rPr>
            </w:pPr>
            <w:r w:rsidRPr="00226C43">
              <w:rPr>
                <w:rStyle w:val="Strong"/>
                <w:rFonts w:cs="Segoe UI"/>
                <w:sz w:val="20"/>
                <w:szCs w:val="20"/>
              </w:rPr>
              <w:t>Fields of Study</w:t>
            </w:r>
          </w:p>
        </w:tc>
        <w:tc>
          <w:tcPr>
            <w:tcW w:w="1224" w:type="dxa"/>
            <w:shd w:val="clear" w:color="auto" w:fill="E3DED1" w:themeFill="background2"/>
            <w:hideMark/>
          </w:tcPr>
          <w:p w14:paraId="313E7621" w14:textId="77777777" w:rsidR="00E87FA1" w:rsidRPr="00226C43" w:rsidRDefault="00E87FA1" w:rsidP="00E87FA1">
            <w:pPr>
              <w:spacing w:after="0"/>
              <w:jc w:val="center"/>
              <w:rPr>
                <w:rFonts w:cs="Segoe UI"/>
                <w:b/>
                <w:sz w:val="20"/>
                <w:szCs w:val="20"/>
              </w:rPr>
            </w:pPr>
            <w:r w:rsidRPr="00226C43">
              <w:rPr>
                <w:rStyle w:val="Strong"/>
                <w:rFonts w:cs="Segoe UI"/>
                <w:sz w:val="20"/>
                <w:szCs w:val="20"/>
              </w:rPr>
              <w:t>Number of Scholars Mobilised</w:t>
            </w:r>
          </w:p>
        </w:tc>
      </w:tr>
      <w:tr w:rsidR="00226C43" w:rsidRPr="00226C43" w14:paraId="59FFE70C" w14:textId="77777777" w:rsidTr="009F6E66">
        <w:tc>
          <w:tcPr>
            <w:tcW w:w="0" w:type="auto"/>
            <w:hideMark/>
          </w:tcPr>
          <w:p w14:paraId="65B75E25" w14:textId="77777777" w:rsidR="00E87FA1" w:rsidRPr="00226C43" w:rsidRDefault="00E87FA1" w:rsidP="00E87FA1">
            <w:pPr>
              <w:spacing w:after="0"/>
              <w:rPr>
                <w:rFonts w:cs="Segoe UI"/>
                <w:sz w:val="20"/>
                <w:szCs w:val="20"/>
              </w:rPr>
            </w:pPr>
            <w:r w:rsidRPr="00226C43">
              <w:rPr>
                <w:rStyle w:val="Strong"/>
                <w:rFonts w:cs="Segoe UI"/>
                <w:sz w:val="20"/>
                <w:szCs w:val="20"/>
              </w:rPr>
              <w:t>2023 (ICSP3)</w:t>
            </w:r>
          </w:p>
        </w:tc>
        <w:tc>
          <w:tcPr>
            <w:tcW w:w="2779" w:type="dxa"/>
            <w:hideMark/>
          </w:tcPr>
          <w:p w14:paraId="46A38C67" w14:textId="77777777" w:rsidR="00E87FA1" w:rsidRPr="00226C43" w:rsidRDefault="00E87FA1" w:rsidP="00E87FA1">
            <w:pPr>
              <w:spacing w:after="0"/>
              <w:rPr>
                <w:rFonts w:cs="Segoe UI"/>
                <w:sz w:val="20"/>
                <w:szCs w:val="20"/>
              </w:rPr>
            </w:pPr>
            <w:r w:rsidRPr="00226C43">
              <w:rPr>
                <w:rFonts w:cs="Segoe UI"/>
                <w:sz w:val="20"/>
                <w:szCs w:val="20"/>
              </w:rPr>
              <w:t>Professionals working in Bangsamoro agencies</w:t>
            </w:r>
          </w:p>
        </w:tc>
        <w:tc>
          <w:tcPr>
            <w:tcW w:w="4111" w:type="dxa"/>
            <w:hideMark/>
          </w:tcPr>
          <w:p w14:paraId="0B4E38E4" w14:textId="77777777" w:rsidR="00E87FA1" w:rsidRPr="00226C43" w:rsidRDefault="00E87FA1" w:rsidP="00E87FA1">
            <w:pPr>
              <w:spacing w:after="0"/>
              <w:rPr>
                <w:rFonts w:cs="Segoe UI"/>
                <w:sz w:val="20"/>
                <w:szCs w:val="20"/>
              </w:rPr>
            </w:pPr>
            <w:r w:rsidRPr="00226C43">
              <w:rPr>
                <w:rFonts w:cs="Segoe UI"/>
                <w:sz w:val="20"/>
                <w:szCs w:val="20"/>
              </w:rPr>
              <w:t>Disaster Risk Reduction Management (DRRM), human rights, peace and development, urban and regional planning, social work, chemistry, engineering</w:t>
            </w:r>
          </w:p>
        </w:tc>
        <w:tc>
          <w:tcPr>
            <w:tcW w:w="1224" w:type="dxa"/>
            <w:hideMark/>
          </w:tcPr>
          <w:p w14:paraId="52E944C4" w14:textId="77777777" w:rsidR="00E87FA1" w:rsidRPr="00226C43" w:rsidRDefault="00E87FA1" w:rsidP="00E87FA1">
            <w:pPr>
              <w:spacing w:after="0"/>
              <w:jc w:val="right"/>
              <w:rPr>
                <w:rFonts w:cs="Segoe UI"/>
                <w:sz w:val="20"/>
                <w:szCs w:val="20"/>
              </w:rPr>
            </w:pPr>
            <w:r w:rsidRPr="00226C43">
              <w:rPr>
                <w:rFonts w:cs="Segoe UI"/>
                <w:sz w:val="20"/>
                <w:szCs w:val="20"/>
              </w:rPr>
              <w:t>10</w:t>
            </w:r>
          </w:p>
        </w:tc>
      </w:tr>
      <w:tr w:rsidR="00226C43" w:rsidRPr="00226C43" w14:paraId="69E393AC" w14:textId="77777777" w:rsidTr="009F6E66">
        <w:tc>
          <w:tcPr>
            <w:tcW w:w="0" w:type="auto"/>
            <w:hideMark/>
          </w:tcPr>
          <w:p w14:paraId="494F9B04" w14:textId="77777777" w:rsidR="00E87FA1" w:rsidRPr="00226C43" w:rsidRDefault="00E87FA1" w:rsidP="00E87FA1">
            <w:pPr>
              <w:spacing w:after="0"/>
              <w:rPr>
                <w:rFonts w:cs="Segoe UI"/>
                <w:sz w:val="20"/>
                <w:szCs w:val="20"/>
              </w:rPr>
            </w:pPr>
            <w:r w:rsidRPr="00226C43">
              <w:rPr>
                <w:rStyle w:val="Strong"/>
                <w:rFonts w:cs="Segoe UI"/>
                <w:sz w:val="20"/>
                <w:szCs w:val="20"/>
              </w:rPr>
              <w:t>2016 (ICSP2)</w:t>
            </w:r>
          </w:p>
        </w:tc>
        <w:tc>
          <w:tcPr>
            <w:tcW w:w="2779" w:type="dxa"/>
            <w:hideMark/>
          </w:tcPr>
          <w:p w14:paraId="0DFAB243" w14:textId="77777777" w:rsidR="00E87FA1" w:rsidRPr="00226C43" w:rsidRDefault="00E87FA1" w:rsidP="00E87FA1">
            <w:pPr>
              <w:spacing w:after="0"/>
              <w:rPr>
                <w:rFonts w:cs="Segoe UI"/>
                <w:sz w:val="20"/>
                <w:szCs w:val="20"/>
              </w:rPr>
            </w:pPr>
            <w:r w:rsidRPr="00226C43">
              <w:rPr>
                <w:rFonts w:cs="Segoe UI"/>
                <w:sz w:val="20"/>
                <w:szCs w:val="20"/>
              </w:rPr>
              <w:t>Professionals from Mindanao committed to work for the development of Bangsamoro</w:t>
            </w:r>
          </w:p>
        </w:tc>
        <w:tc>
          <w:tcPr>
            <w:tcW w:w="4111" w:type="dxa"/>
            <w:hideMark/>
          </w:tcPr>
          <w:p w14:paraId="65956497" w14:textId="77777777" w:rsidR="00E87FA1" w:rsidRPr="00226C43" w:rsidRDefault="00E87FA1" w:rsidP="00E87FA1">
            <w:pPr>
              <w:spacing w:after="0"/>
              <w:rPr>
                <w:rFonts w:cs="Segoe UI"/>
                <w:sz w:val="20"/>
                <w:szCs w:val="20"/>
              </w:rPr>
            </w:pPr>
            <w:r w:rsidRPr="00226C43">
              <w:rPr>
                <w:rFonts w:cs="Segoe UI"/>
                <w:sz w:val="20"/>
                <w:szCs w:val="20"/>
              </w:rPr>
              <w:t>Education, peace and development, urban and regional planning, public administration, community development, social work, business administration, engineering</w:t>
            </w:r>
          </w:p>
        </w:tc>
        <w:tc>
          <w:tcPr>
            <w:tcW w:w="1224" w:type="dxa"/>
            <w:hideMark/>
          </w:tcPr>
          <w:p w14:paraId="2F40F429" w14:textId="77777777" w:rsidR="00E87FA1" w:rsidRPr="00226C43" w:rsidRDefault="00E87FA1" w:rsidP="00E87FA1">
            <w:pPr>
              <w:spacing w:after="0"/>
              <w:jc w:val="right"/>
              <w:rPr>
                <w:rFonts w:cs="Segoe UI"/>
                <w:sz w:val="20"/>
                <w:szCs w:val="20"/>
              </w:rPr>
            </w:pPr>
            <w:r w:rsidRPr="00226C43">
              <w:rPr>
                <w:rFonts w:cs="Segoe UI"/>
                <w:sz w:val="20"/>
                <w:szCs w:val="20"/>
              </w:rPr>
              <w:t>64</w:t>
            </w:r>
          </w:p>
        </w:tc>
      </w:tr>
      <w:tr w:rsidR="00226C43" w:rsidRPr="00226C43" w14:paraId="101924DC" w14:textId="77777777" w:rsidTr="009F6E66">
        <w:tc>
          <w:tcPr>
            <w:tcW w:w="0" w:type="auto"/>
            <w:hideMark/>
          </w:tcPr>
          <w:p w14:paraId="5AA511F6" w14:textId="77777777" w:rsidR="00E87FA1" w:rsidRPr="00226C43" w:rsidRDefault="00E87FA1" w:rsidP="00E87FA1">
            <w:pPr>
              <w:spacing w:after="0"/>
              <w:rPr>
                <w:rFonts w:cs="Segoe UI"/>
                <w:sz w:val="20"/>
                <w:szCs w:val="20"/>
              </w:rPr>
            </w:pPr>
            <w:r w:rsidRPr="00226C43">
              <w:rPr>
                <w:rStyle w:val="Strong"/>
                <w:rFonts w:cs="Segoe UI"/>
                <w:sz w:val="20"/>
                <w:szCs w:val="20"/>
              </w:rPr>
              <w:t>2012 (ICSP1)</w:t>
            </w:r>
          </w:p>
        </w:tc>
        <w:tc>
          <w:tcPr>
            <w:tcW w:w="2779" w:type="dxa"/>
            <w:hideMark/>
          </w:tcPr>
          <w:p w14:paraId="09AEFA77" w14:textId="77777777" w:rsidR="00E87FA1" w:rsidRPr="00226C43" w:rsidRDefault="00E87FA1" w:rsidP="00E87FA1">
            <w:pPr>
              <w:spacing w:after="0"/>
              <w:rPr>
                <w:rFonts w:cs="Segoe UI"/>
                <w:sz w:val="20"/>
                <w:szCs w:val="20"/>
              </w:rPr>
            </w:pPr>
            <w:r w:rsidRPr="00226C43">
              <w:rPr>
                <w:rFonts w:cs="Segoe UI"/>
                <w:sz w:val="20"/>
                <w:szCs w:val="20"/>
              </w:rPr>
              <w:t>Professionals based in Mindanao, especially in conflict and post-conflict affected areas</w:t>
            </w:r>
          </w:p>
        </w:tc>
        <w:tc>
          <w:tcPr>
            <w:tcW w:w="4111" w:type="dxa"/>
            <w:hideMark/>
          </w:tcPr>
          <w:p w14:paraId="18CB5085" w14:textId="77777777" w:rsidR="00E87FA1" w:rsidRPr="00226C43" w:rsidRDefault="00E87FA1" w:rsidP="00E87FA1">
            <w:pPr>
              <w:spacing w:after="0"/>
              <w:rPr>
                <w:rFonts w:cs="Segoe UI"/>
                <w:sz w:val="20"/>
                <w:szCs w:val="20"/>
              </w:rPr>
            </w:pPr>
            <w:r w:rsidRPr="00226C43">
              <w:rPr>
                <w:rFonts w:cs="Segoe UI"/>
                <w:sz w:val="20"/>
                <w:szCs w:val="20"/>
              </w:rPr>
              <w:t>Education, social protection, community development, public administration and governance, peace and development, human resource, DRRM</w:t>
            </w:r>
          </w:p>
        </w:tc>
        <w:tc>
          <w:tcPr>
            <w:tcW w:w="1224" w:type="dxa"/>
            <w:hideMark/>
          </w:tcPr>
          <w:p w14:paraId="4ADCB504" w14:textId="77777777" w:rsidR="00E87FA1" w:rsidRPr="00226C43" w:rsidRDefault="00E87FA1" w:rsidP="00E87FA1">
            <w:pPr>
              <w:spacing w:after="0"/>
              <w:jc w:val="right"/>
              <w:rPr>
                <w:rFonts w:cs="Segoe UI"/>
                <w:sz w:val="20"/>
                <w:szCs w:val="20"/>
              </w:rPr>
            </w:pPr>
            <w:r w:rsidRPr="00226C43">
              <w:rPr>
                <w:rFonts w:cs="Segoe UI"/>
                <w:sz w:val="20"/>
                <w:szCs w:val="20"/>
              </w:rPr>
              <w:t>94</w:t>
            </w:r>
          </w:p>
        </w:tc>
      </w:tr>
      <w:tr w:rsidR="00226C43" w:rsidRPr="00226C43" w14:paraId="1AC89BB7" w14:textId="77777777" w:rsidTr="009F6E66">
        <w:tc>
          <w:tcPr>
            <w:tcW w:w="0" w:type="auto"/>
            <w:hideMark/>
          </w:tcPr>
          <w:p w14:paraId="2FA7CD8F" w14:textId="77777777" w:rsidR="00E87FA1" w:rsidRPr="00226C43" w:rsidRDefault="00E87FA1" w:rsidP="00E87FA1">
            <w:pPr>
              <w:spacing w:after="0"/>
              <w:rPr>
                <w:rFonts w:cs="Segoe UI"/>
                <w:sz w:val="20"/>
                <w:szCs w:val="20"/>
              </w:rPr>
            </w:pPr>
            <w:r w:rsidRPr="00226C43">
              <w:rPr>
                <w:rStyle w:val="Strong"/>
                <w:rFonts w:cs="Segoe UI"/>
                <w:sz w:val="20"/>
                <w:szCs w:val="20"/>
              </w:rPr>
              <w:t>Total</w:t>
            </w:r>
          </w:p>
        </w:tc>
        <w:tc>
          <w:tcPr>
            <w:tcW w:w="2779" w:type="dxa"/>
            <w:hideMark/>
          </w:tcPr>
          <w:p w14:paraId="5385C548" w14:textId="77777777" w:rsidR="00E87FA1" w:rsidRPr="00226C43" w:rsidRDefault="00E87FA1" w:rsidP="00E87FA1">
            <w:pPr>
              <w:spacing w:after="0"/>
              <w:rPr>
                <w:rFonts w:cs="Segoe UI"/>
                <w:sz w:val="20"/>
                <w:szCs w:val="20"/>
              </w:rPr>
            </w:pPr>
          </w:p>
        </w:tc>
        <w:tc>
          <w:tcPr>
            <w:tcW w:w="4111" w:type="dxa"/>
            <w:hideMark/>
          </w:tcPr>
          <w:p w14:paraId="4DEE4F4B" w14:textId="77777777" w:rsidR="00E87FA1" w:rsidRPr="00226C43" w:rsidRDefault="00E87FA1" w:rsidP="00E87FA1">
            <w:pPr>
              <w:spacing w:after="0"/>
              <w:rPr>
                <w:sz w:val="20"/>
                <w:szCs w:val="20"/>
              </w:rPr>
            </w:pPr>
          </w:p>
        </w:tc>
        <w:tc>
          <w:tcPr>
            <w:tcW w:w="1224" w:type="dxa"/>
            <w:hideMark/>
          </w:tcPr>
          <w:p w14:paraId="4A64DEEA" w14:textId="77777777" w:rsidR="00E87FA1" w:rsidRPr="00226C43" w:rsidRDefault="00E87FA1" w:rsidP="00E87FA1">
            <w:pPr>
              <w:spacing w:after="0"/>
              <w:jc w:val="right"/>
              <w:rPr>
                <w:rFonts w:cs="Segoe UI"/>
                <w:sz w:val="20"/>
                <w:szCs w:val="20"/>
              </w:rPr>
            </w:pPr>
            <w:r w:rsidRPr="00226C43">
              <w:rPr>
                <w:rFonts w:cs="Segoe UI"/>
                <w:sz w:val="20"/>
                <w:szCs w:val="20"/>
              </w:rPr>
              <w:t>168</w:t>
            </w:r>
          </w:p>
        </w:tc>
      </w:tr>
    </w:tbl>
    <w:p w14:paraId="38616CB4" w14:textId="77777777" w:rsidR="003943A0" w:rsidRPr="00226C43" w:rsidRDefault="003943A0" w:rsidP="003943A0">
      <w:pPr>
        <w:spacing w:after="0" w:line="259" w:lineRule="auto"/>
        <w:jc w:val="center"/>
      </w:pPr>
    </w:p>
    <w:p w14:paraId="3C83C349" w14:textId="72F19155" w:rsidR="0035577F" w:rsidRPr="00226C43" w:rsidRDefault="009C7143" w:rsidP="003943A0">
      <w:pPr>
        <w:spacing w:after="0" w:line="259" w:lineRule="auto"/>
        <w:jc w:val="center"/>
        <w:rPr>
          <w:b/>
          <w:sz w:val="20"/>
          <w:szCs w:val="20"/>
        </w:rPr>
      </w:pPr>
      <w:r w:rsidRPr="00226C43">
        <w:rPr>
          <w:b/>
          <w:sz w:val="20"/>
          <w:szCs w:val="20"/>
        </w:rPr>
        <w:t>Gender Distribution and Number of Indigenous People</w:t>
      </w:r>
      <w:r w:rsidRPr="00226C43">
        <w:rPr>
          <w:rStyle w:val="FootnoteReference"/>
          <w:b/>
          <w:sz w:val="20"/>
          <w:szCs w:val="20"/>
        </w:rPr>
        <w:footnoteReference w:id="15"/>
      </w:r>
    </w:p>
    <w:tbl>
      <w:tblPr>
        <w:tblStyle w:val="TableGrid"/>
        <w:tblW w:w="0" w:type="auto"/>
        <w:jc w:val="center"/>
        <w:tblLook w:val="06A0" w:firstRow="1" w:lastRow="0" w:firstColumn="1" w:lastColumn="0" w:noHBand="1" w:noVBand="1"/>
      </w:tblPr>
      <w:tblGrid>
        <w:gridCol w:w="1890"/>
        <w:gridCol w:w="2324"/>
      </w:tblGrid>
      <w:tr w:rsidR="00226C43" w:rsidRPr="00226C43" w14:paraId="584B4735" w14:textId="77777777" w:rsidTr="00117212">
        <w:trPr>
          <w:tblHeader/>
          <w:jc w:val="center"/>
        </w:trPr>
        <w:tc>
          <w:tcPr>
            <w:tcW w:w="0" w:type="auto"/>
            <w:shd w:val="clear" w:color="auto" w:fill="E3DED1" w:themeFill="background2"/>
            <w:hideMark/>
          </w:tcPr>
          <w:p w14:paraId="2ACD2274" w14:textId="77777777" w:rsidR="00B606C1" w:rsidRPr="00226C43" w:rsidRDefault="00B606C1" w:rsidP="00B606C1">
            <w:pPr>
              <w:spacing w:after="0"/>
              <w:rPr>
                <w:rFonts w:cs="Segoe UI"/>
                <w:b/>
                <w:sz w:val="20"/>
                <w:szCs w:val="20"/>
              </w:rPr>
            </w:pPr>
            <w:r w:rsidRPr="00226C43">
              <w:rPr>
                <w:rStyle w:val="Strong"/>
                <w:rFonts w:cs="Segoe UI"/>
                <w:sz w:val="20"/>
                <w:szCs w:val="20"/>
              </w:rPr>
              <w:t>Gender</w:t>
            </w:r>
          </w:p>
        </w:tc>
        <w:tc>
          <w:tcPr>
            <w:tcW w:w="0" w:type="auto"/>
            <w:shd w:val="clear" w:color="auto" w:fill="E3DED1" w:themeFill="background2"/>
            <w:hideMark/>
          </w:tcPr>
          <w:p w14:paraId="1AAF75EA" w14:textId="77777777" w:rsidR="00B606C1" w:rsidRPr="00226C43" w:rsidRDefault="00B606C1" w:rsidP="00B606C1">
            <w:pPr>
              <w:spacing w:after="0"/>
              <w:rPr>
                <w:rFonts w:cs="Segoe UI"/>
                <w:b/>
                <w:sz w:val="20"/>
                <w:szCs w:val="20"/>
              </w:rPr>
            </w:pPr>
            <w:r w:rsidRPr="00226C43">
              <w:rPr>
                <w:rStyle w:val="Strong"/>
                <w:rFonts w:cs="Segoe UI"/>
                <w:sz w:val="20"/>
                <w:szCs w:val="20"/>
              </w:rPr>
              <w:t>Number of Participants</w:t>
            </w:r>
          </w:p>
        </w:tc>
      </w:tr>
      <w:tr w:rsidR="00226C43" w:rsidRPr="00226C43" w14:paraId="3EFDABB0" w14:textId="77777777" w:rsidTr="005801DC">
        <w:trPr>
          <w:jc w:val="center"/>
        </w:trPr>
        <w:tc>
          <w:tcPr>
            <w:tcW w:w="0" w:type="auto"/>
            <w:hideMark/>
          </w:tcPr>
          <w:p w14:paraId="5AF794BE" w14:textId="77777777" w:rsidR="00B606C1" w:rsidRPr="00226C43" w:rsidRDefault="00B606C1" w:rsidP="00B606C1">
            <w:pPr>
              <w:spacing w:after="0"/>
              <w:rPr>
                <w:rFonts w:cs="Segoe UI"/>
                <w:sz w:val="20"/>
                <w:szCs w:val="20"/>
              </w:rPr>
            </w:pPr>
            <w:r w:rsidRPr="00226C43">
              <w:rPr>
                <w:rStyle w:val="Strong"/>
                <w:rFonts w:cs="Segoe UI"/>
                <w:sz w:val="20"/>
                <w:szCs w:val="20"/>
              </w:rPr>
              <w:t>Male</w:t>
            </w:r>
          </w:p>
        </w:tc>
        <w:tc>
          <w:tcPr>
            <w:tcW w:w="0" w:type="auto"/>
            <w:hideMark/>
          </w:tcPr>
          <w:p w14:paraId="67122AB7" w14:textId="77777777" w:rsidR="00B606C1" w:rsidRPr="00226C43" w:rsidRDefault="00B606C1" w:rsidP="00742F7B">
            <w:pPr>
              <w:spacing w:after="0"/>
              <w:jc w:val="right"/>
              <w:rPr>
                <w:rFonts w:cs="Segoe UI"/>
                <w:sz w:val="20"/>
                <w:szCs w:val="20"/>
              </w:rPr>
            </w:pPr>
            <w:r w:rsidRPr="00226C43">
              <w:rPr>
                <w:rFonts w:cs="Segoe UI"/>
                <w:sz w:val="20"/>
                <w:szCs w:val="20"/>
              </w:rPr>
              <w:t>92</w:t>
            </w:r>
          </w:p>
        </w:tc>
      </w:tr>
      <w:tr w:rsidR="00226C43" w:rsidRPr="00226C43" w14:paraId="6BEAD4E8" w14:textId="77777777" w:rsidTr="005801DC">
        <w:trPr>
          <w:jc w:val="center"/>
        </w:trPr>
        <w:tc>
          <w:tcPr>
            <w:tcW w:w="0" w:type="auto"/>
            <w:hideMark/>
          </w:tcPr>
          <w:p w14:paraId="24B0466C" w14:textId="77777777" w:rsidR="00B606C1" w:rsidRPr="00226C43" w:rsidRDefault="00B606C1" w:rsidP="00B606C1">
            <w:pPr>
              <w:spacing w:after="0"/>
              <w:rPr>
                <w:rFonts w:cs="Segoe UI"/>
                <w:sz w:val="20"/>
                <w:szCs w:val="20"/>
              </w:rPr>
            </w:pPr>
            <w:r w:rsidRPr="00226C43">
              <w:rPr>
                <w:rStyle w:val="Strong"/>
                <w:rFonts w:cs="Segoe UI"/>
                <w:sz w:val="20"/>
                <w:szCs w:val="20"/>
              </w:rPr>
              <w:t>Female</w:t>
            </w:r>
          </w:p>
        </w:tc>
        <w:tc>
          <w:tcPr>
            <w:tcW w:w="0" w:type="auto"/>
            <w:hideMark/>
          </w:tcPr>
          <w:p w14:paraId="198A5BA7" w14:textId="77777777" w:rsidR="00B606C1" w:rsidRPr="00226C43" w:rsidRDefault="00B606C1" w:rsidP="00742F7B">
            <w:pPr>
              <w:spacing w:after="0"/>
              <w:jc w:val="right"/>
              <w:rPr>
                <w:rFonts w:cs="Segoe UI"/>
                <w:sz w:val="20"/>
                <w:szCs w:val="20"/>
              </w:rPr>
            </w:pPr>
            <w:r w:rsidRPr="00226C43">
              <w:rPr>
                <w:rFonts w:cs="Segoe UI"/>
                <w:sz w:val="20"/>
                <w:szCs w:val="20"/>
              </w:rPr>
              <w:t>76</w:t>
            </w:r>
          </w:p>
        </w:tc>
      </w:tr>
      <w:tr w:rsidR="00226C43" w:rsidRPr="00226C43" w14:paraId="6A372107" w14:textId="77777777" w:rsidTr="005801DC">
        <w:trPr>
          <w:jc w:val="center"/>
        </w:trPr>
        <w:tc>
          <w:tcPr>
            <w:tcW w:w="0" w:type="auto"/>
            <w:hideMark/>
          </w:tcPr>
          <w:p w14:paraId="2AF6ADD0" w14:textId="0EB392ED" w:rsidR="00B606C1" w:rsidRPr="00226C43" w:rsidRDefault="00B606C1" w:rsidP="00B606C1">
            <w:pPr>
              <w:spacing w:after="0"/>
              <w:rPr>
                <w:rFonts w:cs="Segoe UI"/>
                <w:sz w:val="20"/>
                <w:szCs w:val="20"/>
              </w:rPr>
            </w:pPr>
            <w:r w:rsidRPr="00226C43">
              <w:rPr>
                <w:rStyle w:val="Strong"/>
                <w:rFonts w:cs="Segoe UI"/>
                <w:sz w:val="20"/>
                <w:szCs w:val="20"/>
              </w:rPr>
              <w:t>Indigenous People</w:t>
            </w:r>
          </w:p>
        </w:tc>
        <w:tc>
          <w:tcPr>
            <w:tcW w:w="0" w:type="auto"/>
            <w:hideMark/>
          </w:tcPr>
          <w:p w14:paraId="5476BCD5" w14:textId="77777777" w:rsidR="00B606C1" w:rsidRPr="00226C43" w:rsidRDefault="00B606C1" w:rsidP="00742F7B">
            <w:pPr>
              <w:spacing w:after="0"/>
              <w:jc w:val="right"/>
              <w:rPr>
                <w:rFonts w:cs="Segoe UI"/>
                <w:sz w:val="20"/>
                <w:szCs w:val="20"/>
              </w:rPr>
            </w:pPr>
            <w:r w:rsidRPr="00226C43">
              <w:rPr>
                <w:rFonts w:cs="Segoe UI"/>
                <w:sz w:val="20"/>
                <w:szCs w:val="20"/>
              </w:rPr>
              <w:t>29</w:t>
            </w:r>
          </w:p>
        </w:tc>
      </w:tr>
    </w:tbl>
    <w:p w14:paraId="5EAF09C1" w14:textId="77777777" w:rsidR="00742F7B" w:rsidRPr="00226C43" w:rsidRDefault="00742F7B" w:rsidP="00742F7B">
      <w:pPr>
        <w:spacing w:after="0"/>
      </w:pPr>
    </w:p>
    <w:p w14:paraId="11528E41" w14:textId="690E2504" w:rsidR="00C9155C" w:rsidRPr="00226C43" w:rsidRDefault="00C9155C" w:rsidP="003E1351">
      <w:r w:rsidRPr="00226C43">
        <w:t>The results of the ICSP Tracer Study and Program Review highlight significant contributions of the scholarship program to improving governance, economic growth, and local service delivery in Bangsamoro. By aligning fields of study with the professional needs of the region, such as DRRM, human rights, public administration, and engineering, the program has equipped scholars with competencies directly relevant to their workplace, enhancing both technical expertise and leadership capabilities. Importantly, the results show the program’s role in enabling scholars to take on key positions in Bangsamoro, contributing to sustained development outcomes.</w:t>
      </w:r>
    </w:p>
    <w:p w14:paraId="2728030B" w14:textId="7521D942" w:rsidR="00C9155C" w:rsidRPr="00226C43" w:rsidRDefault="00C9155C" w:rsidP="00C9155C">
      <w:r w:rsidRPr="00226C43">
        <w:t xml:space="preserve">The program mobilised 168 scholars between 2012 and 2023, with notable progress over three phases. In 2012 (ICSP1), 94 scholars were engaged, primarily targeting professionals from conflict-affected areas in Mindanao, followed by 64 scholars in 2016 </w:t>
      </w:r>
      <w:r w:rsidRPr="00226C43">
        <w:lastRenderedPageBreak/>
        <w:t>(ICSP2), who committed to Bangsamoro’s development</w:t>
      </w:r>
      <w:r w:rsidR="004A5079" w:rsidRPr="00226C43">
        <w:rPr>
          <w:rStyle w:val="FootnoteReference"/>
        </w:rPr>
        <w:footnoteReference w:id="16"/>
      </w:r>
      <w:r w:rsidRPr="00226C43">
        <w:t>. The latest cohort in 2023 (ICSP3) included 10 scholars working in Bangsamoro agencies</w:t>
      </w:r>
      <w:r w:rsidR="008418F8" w:rsidRPr="00226C43">
        <w:t xml:space="preserve">, continuing </w:t>
      </w:r>
      <w:r w:rsidR="00A26E70" w:rsidRPr="00226C43">
        <w:t>the program’s investment in</w:t>
      </w:r>
      <w:r w:rsidRPr="00226C43">
        <w:t xml:space="preserve"> capacity-building tailored to regional needs.</w:t>
      </w:r>
    </w:p>
    <w:p w14:paraId="45099603" w14:textId="77777777" w:rsidR="00C9155C" w:rsidRPr="00226C43" w:rsidRDefault="00C9155C" w:rsidP="00C9155C">
      <w:r w:rsidRPr="00226C43">
        <w:t>Additionally, the gender distribution indicates strong participation from women, with 76 females and 92 males, showcasing efforts toward inclusivity and gender equality. Furthermore, the inclusion of 29 Indigenous People highlights the program’s responsiveness to historically underrepresented groups. The implications underscore the program’s success in fostering a skilled and diverse workforce committed to regional stability, governance, and development, while also identifying the need for ongoing investments to ensure sustained growth, particularly in sectors critical to Bangsamoro's future.</w:t>
      </w:r>
    </w:p>
    <w:p w14:paraId="1331DBED" w14:textId="73DD62BC" w:rsidR="00A11377" w:rsidRPr="00226C43" w:rsidRDefault="4DD21A85" w:rsidP="00BF0FC1">
      <w:pPr>
        <w:pStyle w:val="Heading4"/>
        <w:rPr>
          <w:rFonts w:asciiTheme="minorHAnsi" w:hAnsiTheme="minorHAnsi"/>
          <w:color w:val="auto"/>
        </w:rPr>
      </w:pPr>
      <w:r w:rsidRPr="00226C43">
        <w:rPr>
          <w:rFonts w:asciiTheme="minorHAnsi" w:hAnsiTheme="minorHAnsi"/>
          <w:color w:val="auto"/>
        </w:rPr>
        <w:t>Alumni Engagement</w:t>
      </w:r>
    </w:p>
    <w:p w14:paraId="27EBEC87" w14:textId="5D944A3B" w:rsidR="4DD21A85" w:rsidRPr="00226C43" w:rsidRDefault="4DD21A85" w:rsidP="00EB0CEF">
      <w:pPr>
        <w:spacing w:after="0"/>
      </w:pPr>
      <w:r w:rsidRPr="00226C43">
        <w:t xml:space="preserve">The results achieved for the delivery of alumni engagement activities are shown in the </w:t>
      </w:r>
      <w:r w:rsidR="003E0F8B" w:rsidRPr="00226C43">
        <w:t xml:space="preserve">table </w:t>
      </w:r>
      <w:r w:rsidRPr="00226C43">
        <w:t>below</w:t>
      </w:r>
      <w:r w:rsidR="006A0780" w:rsidRPr="00226C43">
        <w:t>.</w:t>
      </w:r>
    </w:p>
    <w:p w14:paraId="60404112" w14:textId="5C7C0B86" w:rsidR="003E1351" w:rsidRPr="00226C43" w:rsidRDefault="003E1351" w:rsidP="00EB0CEF">
      <w:pPr>
        <w:pStyle w:val="Caption"/>
        <w:tabs>
          <w:tab w:val="left" w:pos="3633"/>
        </w:tabs>
        <w:spacing w:after="0"/>
        <w:rPr>
          <w:color w:val="auto"/>
        </w:rPr>
      </w:pPr>
      <w:bookmarkStart w:id="27" w:name="_Toc190939907"/>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003735AF" w:rsidRPr="00226C43">
        <w:rPr>
          <w:noProof/>
          <w:color w:val="auto"/>
        </w:rPr>
        <w:t>9</w:t>
      </w:r>
      <w:r w:rsidR="000113F9" w:rsidRPr="00226C43">
        <w:rPr>
          <w:noProof/>
          <w:color w:val="auto"/>
        </w:rPr>
        <w:fldChar w:fldCharType="end"/>
      </w:r>
      <w:r w:rsidRPr="00226C43">
        <w:rPr>
          <w:color w:val="auto"/>
        </w:rPr>
        <w:t>: Alumni Engagement Results</w:t>
      </w:r>
      <w:bookmarkEnd w:id="27"/>
      <w:r w:rsidR="00407BF4" w:rsidRPr="00226C43">
        <w:rPr>
          <w:color w:val="auto"/>
        </w:rPr>
        <w:tab/>
      </w:r>
    </w:p>
    <w:p w14:paraId="4595369F" w14:textId="0C81D3E8" w:rsidR="00800F39" w:rsidRPr="00226C43" w:rsidRDefault="00800F39" w:rsidP="00800F39">
      <w:pPr>
        <w:spacing w:after="0"/>
        <w:jc w:val="center"/>
        <w:rPr>
          <w:b/>
          <w:sz w:val="20"/>
          <w:szCs w:val="20"/>
        </w:rPr>
      </w:pPr>
      <w:r w:rsidRPr="00226C43">
        <w:rPr>
          <w:b/>
          <w:sz w:val="20"/>
          <w:szCs w:val="20"/>
        </w:rPr>
        <w:t>Number of Alumni by Level of Study</w:t>
      </w:r>
    </w:p>
    <w:tbl>
      <w:tblPr>
        <w:tblStyle w:val="TableGrid"/>
        <w:tblW w:w="0" w:type="auto"/>
        <w:jc w:val="center"/>
        <w:tblLook w:val="06A0" w:firstRow="1" w:lastRow="0" w:firstColumn="1" w:lastColumn="0" w:noHBand="1" w:noVBand="1"/>
      </w:tblPr>
      <w:tblGrid>
        <w:gridCol w:w="2357"/>
        <w:gridCol w:w="1867"/>
      </w:tblGrid>
      <w:tr w:rsidR="00226C43" w:rsidRPr="00226C43" w14:paraId="0A7EDBBC" w14:textId="77777777" w:rsidTr="00117212">
        <w:trPr>
          <w:tblHeader/>
          <w:jc w:val="center"/>
        </w:trPr>
        <w:tc>
          <w:tcPr>
            <w:tcW w:w="0" w:type="auto"/>
            <w:shd w:val="clear" w:color="auto" w:fill="E3DED1" w:themeFill="background2"/>
            <w:hideMark/>
          </w:tcPr>
          <w:p w14:paraId="1DE11CBA" w14:textId="77777777" w:rsidR="00800F39" w:rsidRPr="00226C43" w:rsidRDefault="00800F39" w:rsidP="00163FD5">
            <w:pPr>
              <w:suppressAutoHyphens w:val="0"/>
              <w:spacing w:after="0"/>
              <w:rPr>
                <w:rFonts w:eastAsia="Times New Roman" w:cs="Segoe UI"/>
                <w:b/>
                <w:kern w:val="0"/>
                <w:sz w:val="20"/>
                <w:szCs w:val="20"/>
                <w:lang w:eastAsia="en-AU"/>
                <w14:ligatures w14:val="none"/>
              </w:rPr>
            </w:pPr>
            <w:r w:rsidRPr="00226C43">
              <w:rPr>
                <w:rFonts w:eastAsia="Times New Roman" w:cs="Segoe UI"/>
                <w:b/>
                <w:kern w:val="0"/>
                <w:sz w:val="20"/>
                <w:szCs w:val="20"/>
                <w:lang w:eastAsia="en-AU"/>
                <w14:ligatures w14:val="none"/>
              </w:rPr>
              <w:t>Level of Study</w:t>
            </w:r>
          </w:p>
        </w:tc>
        <w:tc>
          <w:tcPr>
            <w:tcW w:w="0" w:type="auto"/>
            <w:shd w:val="clear" w:color="auto" w:fill="E3DED1" w:themeFill="background2"/>
            <w:hideMark/>
          </w:tcPr>
          <w:p w14:paraId="6017C21E" w14:textId="77777777" w:rsidR="00800F39" w:rsidRPr="00226C43" w:rsidRDefault="00800F39" w:rsidP="00163FD5">
            <w:pPr>
              <w:suppressAutoHyphens w:val="0"/>
              <w:spacing w:after="0"/>
              <w:rPr>
                <w:rFonts w:eastAsia="Times New Roman" w:cs="Segoe UI"/>
                <w:b/>
                <w:kern w:val="0"/>
                <w:sz w:val="20"/>
                <w:szCs w:val="20"/>
                <w:lang w:eastAsia="en-AU"/>
                <w14:ligatures w14:val="none"/>
              </w:rPr>
            </w:pPr>
            <w:r w:rsidRPr="00226C43">
              <w:rPr>
                <w:rFonts w:eastAsia="Times New Roman" w:cs="Segoe UI"/>
                <w:b/>
                <w:kern w:val="0"/>
                <w:sz w:val="20"/>
                <w:szCs w:val="20"/>
                <w:lang w:eastAsia="en-AU"/>
                <w14:ligatures w14:val="none"/>
              </w:rPr>
              <w:t>Number of Alumni</w:t>
            </w:r>
          </w:p>
        </w:tc>
      </w:tr>
      <w:tr w:rsidR="00226C43" w:rsidRPr="00226C43" w14:paraId="38D799A0" w14:textId="77777777" w:rsidTr="005801DC">
        <w:trPr>
          <w:jc w:val="center"/>
        </w:trPr>
        <w:tc>
          <w:tcPr>
            <w:tcW w:w="0" w:type="auto"/>
            <w:hideMark/>
          </w:tcPr>
          <w:p w14:paraId="3FC05ED0" w14:textId="77777777" w:rsidR="00800F39" w:rsidRPr="00226C43" w:rsidRDefault="00800F39" w:rsidP="00163FD5">
            <w:pPr>
              <w:suppressAutoHyphens w:val="0"/>
              <w:spacing w:after="0"/>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PhD</w:t>
            </w:r>
          </w:p>
        </w:tc>
        <w:tc>
          <w:tcPr>
            <w:tcW w:w="0" w:type="auto"/>
            <w:hideMark/>
          </w:tcPr>
          <w:p w14:paraId="52022F26" w14:textId="77777777" w:rsidR="00800F39" w:rsidRPr="00226C43" w:rsidRDefault="00800F39" w:rsidP="00800F39">
            <w:pPr>
              <w:suppressAutoHyphens w:val="0"/>
              <w:spacing w:after="0"/>
              <w:jc w:val="right"/>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85</w:t>
            </w:r>
          </w:p>
        </w:tc>
      </w:tr>
      <w:tr w:rsidR="00226C43" w:rsidRPr="00226C43" w14:paraId="075A3F3E" w14:textId="77777777" w:rsidTr="005801DC">
        <w:trPr>
          <w:jc w:val="center"/>
        </w:trPr>
        <w:tc>
          <w:tcPr>
            <w:tcW w:w="0" w:type="auto"/>
            <w:hideMark/>
          </w:tcPr>
          <w:p w14:paraId="422D5A47" w14:textId="563F6393" w:rsidR="00800F39" w:rsidRPr="00226C43" w:rsidRDefault="00800F39" w:rsidP="00163FD5">
            <w:pPr>
              <w:suppressAutoHyphens w:val="0"/>
              <w:spacing w:after="0"/>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Master</w:t>
            </w:r>
            <w:r w:rsidR="005801DC">
              <w:rPr>
                <w:rFonts w:eastAsia="Times New Roman" w:cs="Segoe UI"/>
                <w:kern w:val="0"/>
                <w:sz w:val="20"/>
                <w:szCs w:val="20"/>
                <w:lang w:eastAsia="en-AU"/>
                <w14:ligatures w14:val="none"/>
              </w:rPr>
              <w:t>’</w:t>
            </w:r>
            <w:r w:rsidRPr="00226C43">
              <w:rPr>
                <w:rFonts w:eastAsia="Times New Roman" w:cs="Segoe UI"/>
                <w:kern w:val="0"/>
                <w:sz w:val="20"/>
                <w:szCs w:val="20"/>
                <w:lang w:eastAsia="en-AU"/>
                <w14:ligatures w14:val="none"/>
              </w:rPr>
              <w:t>s Degree</w:t>
            </w:r>
          </w:p>
        </w:tc>
        <w:tc>
          <w:tcPr>
            <w:tcW w:w="0" w:type="auto"/>
            <w:hideMark/>
          </w:tcPr>
          <w:p w14:paraId="60ED36C0" w14:textId="77777777" w:rsidR="00800F39" w:rsidRPr="00226C43" w:rsidRDefault="00800F39" w:rsidP="00800F39">
            <w:pPr>
              <w:suppressAutoHyphens w:val="0"/>
              <w:spacing w:after="0"/>
              <w:jc w:val="right"/>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1,555</w:t>
            </w:r>
          </w:p>
        </w:tc>
      </w:tr>
      <w:tr w:rsidR="00226C43" w:rsidRPr="00226C43" w14:paraId="1B124C03" w14:textId="77777777" w:rsidTr="005801DC">
        <w:trPr>
          <w:jc w:val="center"/>
        </w:trPr>
        <w:tc>
          <w:tcPr>
            <w:tcW w:w="0" w:type="auto"/>
            <w:hideMark/>
          </w:tcPr>
          <w:p w14:paraId="2C38D8AF" w14:textId="77777777" w:rsidR="00800F39" w:rsidRPr="00226C43" w:rsidRDefault="00800F39" w:rsidP="00163FD5">
            <w:pPr>
              <w:suppressAutoHyphens w:val="0"/>
              <w:spacing w:after="0"/>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Graduate Diploma</w:t>
            </w:r>
          </w:p>
        </w:tc>
        <w:tc>
          <w:tcPr>
            <w:tcW w:w="0" w:type="auto"/>
            <w:hideMark/>
          </w:tcPr>
          <w:p w14:paraId="1BDD7D08" w14:textId="77777777" w:rsidR="00800F39" w:rsidRPr="00226C43" w:rsidRDefault="00800F39" w:rsidP="00800F39">
            <w:pPr>
              <w:suppressAutoHyphens w:val="0"/>
              <w:spacing w:after="0"/>
              <w:jc w:val="right"/>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198</w:t>
            </w:r>
          </w:p>
        </w:tc>
      </w:tr>
      <w:tr w:rsidR="00226C43" w:rsidRPr="00226C43" w14:paraId="1CE93F64" w14:textId="77777777" w:rsidTr="005801DC">
        <w:trPr>
          <w:jc w:val="center"/>
        </w:trPr>
        <w:tc>
          <w:tcPr>
            <w:tcW w:w="0" w:type="auto"/>
            <w:hideMark/>
          </w:tcPr>
          <w:p w14:paraId="27FADA18" w14:textId="77777777" w:rsidR="00800F39" w:rsidRPr="00226C43" w:rsidRDefault="00800F39" w:rsidP="00163FD5">
            <w:pPr>
              <w:suppressAutoHyphens w:val="0"/>
              <w:spacing w:after="0"/>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Graduate Certificate</w:t>
            </w:r>
          </w:p>
        </w:tc>
        <w:tc>
          <w:tcPr>
            <w:tcW w:w="0" w:type="auto"/>
            <w:hideMark/>
          </w:tcPr>
          <w:p w14:paraId="5D8D9DBD" w14:textId="77777777" w:rsidR="00800F39" w:rsidRPr="00226C43" w:rsidRDefault="00800F39" w:rsidP="00800F39">
            <w:pPr>
              <w:suppressAutoHyphens w:val="0"/>
              <w:spacing w:after="0"/>
              <w:jc w:val="right"/>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12</w:t>
            </w:r>
          </w:p>
        </w:tc>
      </w:tr>
      <w:tr w:rsidR="00226C43" w:rsidRPr="00226C43" w14:paraId="6460A1DD" w14:textId="77777777" w:rsidTr="005801DC">
        <w:trPr>
          <w:jc w:val="center"/>
        </w:trPr>
        <w:tc>
          <w:tcPr>
            <w:tcW w:w="0" w:type="auto"/>
            <w:hideMark/>
          </w:tcPr>
          <w:p w14:paraId="3B31B01A" w14:textId="7F58044C" w:rsidR="00800F39" w:rsidRPr="00226C43" w:rsidRDefault="00800F39" w:rsidP="00163FD5">
            <w:pPr>
              <w:suppressAutoHyphens w:val="0"/>
              <w:spacing w:after="0"/>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Bachelor</w:t>
            </w:r>
            <w:r w:rsidR="005801DC">
              <w:rPr>
                <w:rFonts w:eastAsia="Times New Roman" w:cs="Segoe UI"/>
                <w:kern w:val="0"/>
                <w:sz w:val="20"/>
                <w:szCs w:val="20"/>
                <w:lang w:eastAsia="en-AU"/>
                <w14:ligatures w14:val="none"/>
              </w:rPr>
              <w:t>’</w:t>
            </w:r>
            <w:r w:rsidRPr="00226C43">
              <w:rPr>
                <w:rFonts w:eastAsia="Times New Roman" w:cs="Segoe UI"/>
                <w:kern w:val="0"/>
                <w:sz w:val="20"/>
                <w:szCs w:val="20"/>
                <w:lang w:eastAsia="en-AU"/>
                <w14:ligatures w14:val="none"/>
              </w:rPr>
              <w:t>s Degree</w:t>
            </w:r>
          </w:p>
        </w:tc>
        <w:tc>
          <w:tcPr>
            <w:tcW w:w="0" w:type="auto"/>
            <w:hideMark/>
          </w:tcPr>
          <w:p w14:paraId="7C3DA7F0" w14:textId="77777777" w:rsidR="00800F39" w:rsidRPr="00226C43" w:rsidRDefault="00800F39" w:rsidP="00800F39">
            <w:pPr>
              <w:suppressAutoHyphens w:val="0"/>
              <w:spacing w:after="0"/>
              <w:jc w:val="right"/>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7</w:t>
            </w:r>
          </w:p>
        </w:tc>
      </w:tr>
      <w:tr w:rsidR="00226C43" w:rsidRPr="00226C43" w14:paraId="3C445622" w14:textId="77777777" w:rsidTr="005801DC">
        <w:trPr>
          <w:jc w:val="center"/>
        </w:trPr>
        <w:tc>
          <w:tcPr>
            <w:tcW w:w="0" w:type="auto"/>
            <w:hideMark/>
          </w:tcPr>
          <w:p w14:paraId="6A2E88E7" w14:textId="77777777" w:rsidR="00800F39" w:rsidRPr="00226C43" w:rsidRDefault="00800F39" w:rsidP="00163FD5">
            <w:pPr>
              <w:suppressAutoHyphens w:val="0"/>
              <w:spacing w:after="0"/>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Short Course/Fellowship</w:t>
            </w:r>
          </w:p>
        </w:tc>
        <w:tc>
          <w:tcPr>
            <w:tcW w:w="0" w:type="auto"/>
            <w:hideMark/>
          </w:tcPr>
          <w:p w14:paraId="1646FC28" w14:textId="77777777" w:rsidR="00800F39" w:rsidRPr="00226C43" w:rsidRDefault="00800F39" w:rsidP="00800F39">
            <w:pPr>
              <w:suppressAutoHyphens w:val="0"/>
              <w:spacing w:after="0"/>
              <w:jc w:val="right"/>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2,028</w:t>
            </w:r>
          </w:p>
        </w:tc>
      </w:tr>
      <w:tr w:rsidR="00226C43" w:rsidRPr="00226C43" w14:paraId="2D96E2EE" w14:textId="77777777" w:rsidTr="005801DC">
        <w:trPr>
          <w:jc w:val="center"/>
        </w:trPr>
        <w:tc>
          <w:tcPr>
            <w:tcW w:w="0" w:type="auto"/>
            <w:hideMark/>
          </w:tcPr>
          <w:p w14:paraId="24A93AC2" w14:textId="77777777" w:rsidR="00800F39" w:rsidRPr="00226C43" w:rsidRDefault="00800F39" w:rsidP="00163FD5">
            <w:pPr>
              <w:suppressAutoHyphens w:val="0"/>
              <w:spacing w:after="0"/>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Not specified</w:t>
            </w:r>
          </w:p>
        </w:tc>
        <w:tc>
          <w:tcPr>
            <w:tcW w:w="0" w:type="auto"/>
            <w:hideMark/>
          </w:tcPr>
          <w:p w14:paraId="0B3FE73E" w14:textId="77777777" w:rsidR="00800F39" w:rsidRPr="00226C43" w:rsidRDefault="00800F39" w:rsidP="00800F39">
            <w:pPr>
              <w:suppressAutoHyphens w:val="0"/>
              <w:spacing w:after="0"/>
              <w:jc w:val="right"/>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22</w:t>
            </w:r>
          </w:p>
        </w:tc>
      </w:tr>
      <w:tr w:rsidR="005801DC" w:rsidRPr="00226C43" w14:paraId="00BDE794" w14:textId="77777777" w:rsidTr="005801DC">
        <w:trPr>
          <w:jc w:val="center"/>
        </w:trPr>
        <w:tc>
          <w:tcPr>
            <w:tcW w:w="0" w:type="auto"/>
          </w:tcPr>
          <w:p w14:paraId="1A5D44C3" w14:textId="0266A4AE" w:rsidR="00800F39" w:rsidRPr="00226C43" w:rsidRDefault="00800F39" w:rsidP="00163FD5">
            <w:pPr>
              <w:suppressAutoHyphens w:val="0"/>
              <w:spacing w:after="0"/>
              <w:rPr>
                <w:rFonts w:eastAsia="Times New Roman" w:cs="Segoe UI"/>
                <w:b/>
                <w:kern w:val="0"/>
                <w:sz w:val="20"/>
                <w:szCs w:val="20"/>
                <w:lang w:eastAsia="en-AU"/>
                <w14:ligatures w14:val="none"/>
              </w:rPr>
            </w:pPr>
            <w:r w:rsidRPr="00226C43">
              <w:rPr>
                <w:rFonts w:eastAsia="Times New Roman" w:cs="Segoe UI"/>
                <w:b/>
                <w:kern w:val="0"/>
                <w:sz w:val="20"/>
                <w:szCs w:val="20"/>
                <w:lang w:eastAsia="en-AU"/>
                <w14:ligatures w14:val="none"/>
              </w:rPr>
              <w:t>T</w:t>
            </w:r>
            <w:r w:rsidRPr="00226C43">
              <w:rPr>
                <w:rFonts w:eastAsia="Times New Roman"/>
                <w:b/>
                <w:kern w:val="0"/>
                <w:sz w:val="20"/>
                <w:szCs w:val="20"/>
                <w:lang w:eastAsia="en-AU"/>
                <w14:ligatures w14:val="none"/>
              </w:rPr>
              <w:t>otal</w:t>
            </w:r>
          </w:p>
        </w:tc>
        <w:tc>
          <w:tcPr>
            <w:tcW w:w="0" w:type="auto"/>
          </w:tcPr>
          <w:p w14:paraId="0723BAB2" w14:textId="2E5B49D9" w:rsidR="00800F39" w:rsidRPr="00226C43" w:rsidRDefault="00553F5F" w:rsidP="00800F39">
            <w:pPr>
              <w:suppressAutoHyphens w:val="0"/>
              <w:spacing w:after="0"/>
              <w:jc w:val="right"/>
              <w:rPr>
                <w:rFonts w:eastAsia="Times New Roman" w:cs="Segoe UI"/>
                <w:b/>
                <w:kern w:val="0"/>
                <w:sz w:val="20"/>
                <w:szCs w:val="20"/>
                <w:lang w:eastAsia="en-AU"/>
                <w14:ligatures w14:val="none"/>
              </w:rPr>
            </w:pPr>
            <w:r w:rsidRPr="00226C43">
              <w:rPr>
                <w:rFonts w:eastAsia="Times New Roman" w:cs="Segoe UI"/>
                <w:b/>
                <w:kern w:val="0"/>
                <w:sz w:val="20"/>
                <w:szCs w:val="20"/>
                <w:lang w:eastAsia="en-AU"/>
                <w14:ligatures w14:val="none"/>
              </w:rPr>
              <w:t>3</w:t>
            </w:r>
            <w:r w:rsidRPr="00226C43">
              <w:rPr>
                <w:rFonts w:eastAsia="Times New Roman"/>
                <w:b/>
                <w:kern w:val="0"/>
                <w:sz w:val="20"/>
                <w:szCs w:val="20"/>
                <w:lang w:eastAsia="en-AU"/>
                <w14:ligatures w14:val="none"/>
              </w:rPr>
              <w:t>,907</w:t>
            </w:r>
          </w:p>
        </w:tc>
      </w:tr>
    </w:tbl>
    <w:p w14:paraId="3299BB00" w14:textId="77777777" w:rsidR="00800F39" w:rsidRPr="00226C43" w:rsidRDefault="00800F39" w:rsidP="00800F39">
      <w:pPr>
        <w:spacing w:after="0"/>
        <w:jc w:val="center"/>
        <w:rPr>
          <w:sz w:val="20"/>
          <w:szCs w:val="20"/>
        </w:rPr>
      </w:pPr>
    </w:p>
    <w:p w14:paraId="32B90DAA" w14:textId="2CC115A5" w:rsidR="006B5E69" w:rsidRPr="00226C43" w:rsidRDefault="006B5E69" w:rsidP="00800F39">
      <w:pPr>
        <w:spacing w:after="0"/>
        <w:jc w:val="center"/>
        <w:rPr>
          <w:b/>
          <w:sz w:val="20"/>
          <w:szCs w:val="20"/>
        </w:rPr>
      </w:pPr>
      <w:r w:rsidRPr="00226C43">
        <w:rPr>
          <w:b/>
          <w:sz w:val="20"/>
          <w:szCs w:val="20"/>
        </w:rPr>
        <w:t>Number of Alumni by Geographic Location</w:t>
      </w:r>
    </w:p>
    <w:tbl>
      <w:tblPr>
        <w:tblStyle w:val="TableGrid"/>
        <w:tblW w:w="0" w:type="auto"/>
        <w:jc w:val="center"/>
        <w:tblLook w:val="06A0" w:firstRow="1" w:lastRow="0" w:firstColumn="1" w:lastColumn="0" w:noHBand="1" w:noVBand="1"/>
      </w:tblPr>
      <w:tblGrid>
        <w:gridCol w:w="2312"/>
        <w:gridCol w:w="1867"/>
      </w:tblGrid>
      <w:tr w:rsidR="00226C43" w:rsidRPr="00226C43" w14:paraId="2F68B4F0" w14:textId="77777777" w:rsidTr="00117212">
        <w:trPr>
          <w:tblHeader/>
          <w:jc w:val="center"/>
        </w:trPr>
        <w:tc>
          <w:tcPr>
            <w:tcW w:w="0" w:type="auto"/>
            <w:shd w:val="clear" w:color="auto" w:fill="E3DED1" w:themeFill="background2"/>
            <w:hideMark/>
          </w:tcPr>
          <w:p w14:paraId="555CBCCC" w14:textId="77777777" w:rsidR="00370F70" w:rsidRPr="00226C43" w:rsidRDefault="00370F70" w:rsidP="00370F70">
            <w:pPr>
              <w:spacing w:after="0"/>
              <w:jc w:val="center"/>
              <w:rPr>
                <w:b/>
                <w:sz w:val="20"/>
                <w:szCs w:val="20"/>
              </w:rPr>
            </w:pPr>
            <w:r w:rsidRPr="00226C43">
              <w:rPr>
                <w:b/>
                <w:sz w:val="20"/>
                <w:szCs w:val="20"/>
              </w:rPr>
              <w:t>Geographic Location</w:t>
            </w:r>
          </w:p>
        </w:tc>
        <w:tc>
          <w:tcPr>
            <w:tcW w:w="0" w:type="auto"/>
            <w:shd w:val="clear" w:color="auto" w:fill="E3DED1" w:themeFill="background2"/>
            <w:hideMark/>
          </w:tcPr>
          <w:p w14:paraId="61C3CBA7" w14:textId="77777777" w:rsidR="00370F70" w:rsidRPr="00226C43" w:rsidRDefault="00370F70" w:rsidP="00370F70">
            <w:pPr>
              <w:spacing w:after="0"/>
              <w:jc w:val="center"/>
              <w:rPr>
                <w:b/>
                <w:sz w:val="20"/>
                <w:szCs w:val="20"/>
              </w:rPr>
            </w:pPr>
            <w:r w:rsidRPr="00226C43">
              <w:rPr>
                <w:b/>
                <w:sz w:val="20"/>
                <w:szCs w:val="20"/>
              </w:rPr>
              <w:t>Number of Alumni</w:t>
            </w:r>
          </w:p>
        </w:tc>
      </w:tr>
      <w:tr w:rsidR="00226C43" w:rsidRPr="00226C43" w14:paraId="3F3D8321" w14:textId="77777777" w:rsidTr="005801DC">
        <w:trPr>
          <w:jc w:val="center"/>
        </w:trPr>
        <w:tc>
          <w:tcPr>
            <w:tcW w:w="0" w:type="auto"/>
            <w:hideMark/>
          </w:tcPr>
          <w:p w14:paraId="5EF22AE9" w14:textId="77777777" w:rsidR="00370F70" w:rsidRPr="00226C43" w:rsidRDefault="00370F70" w:rsidP="00370F70">
            <w:pPr>
              <w:spacing w:after="0"/>
              <w:rPr>
                <w:sz w:val="20"/>
                <w:szCs w:val="20"/>
              </w:rPr>
            </w:pPr>
            <w:r w:rsidRPr="00226C43">
              <w:rPr>
                <w:sz w:val="20"/>
                <w:szCs w:val="20"/>
              </w:rPr>
              <w:t>Luzon, Philippines</w:t>
            </w:r>
          </w:p>
        </w:tc>
        <w:tc>
          <w:tcPr>
            <w:tcW w:w="0" w:type="auto"/>
            <w:hideMark/>
          </w:tcPr>
          <w:p w14:paraId="0B6510AD" w14:textId="77777777" w:rsidR="00370F70" w:rsidRPr="00226C43" w:rsidRDefault="00370F70" w:rsidP="00370F70">
            <w:pPr>
              <w:spacing w:after="0"/>
              <w:jc w:val="right"/>
              <w:rPr>
                <w:sz w:val="20"/>
                <w:szCs w:val="20"/>
              </w:rPr>
            </w:pPr>
            <w:r w:rsidRPr="00226C43">
              <w:rPr>
                <w:sz w:val="20"/>
                <w:szCs w:val="20"/>
              </w:rPr>
              <w:t>2,199</w:t>
            </w:r>
          </w:p>
        </w:tc>
      </w:tr>
      <w:tr w:rsidR="00226C43" w:rsidRPr="00226C43" w14:paraId="465CE81E" w14:textId="77777777" w:rsidTr="005801DC">
        <w:trPr>
          <w:jc w:val="center"/>
        </w:trPr>
        <w:tc>
          <w:tcPr>
            <w:tcW w:w="0" w:type="auto"/>
            <w:hideMark/>
          </w:tcPr>
          <w:p w14:paraId="35DC715D" w14:textId="77777777" w:rsidR="00370F70" w:rsidRPr="00226C43" w:rsidRDefault="00370F70" w:rsidP="00370F70">
            <w:pPr>
              <w:spacing w:after="0"/>
              <w:rPr>
                <w:sz w:val="20"/>
                <w:szCs w:val="20"/>
              </w:rPr>
            </w:pPr>
            <w:r w:rsidRPr="00226C43">
              <w:rPr>
                <w:sz w:val="20"/>
                <w:szCs w:val="20"/>
              </w:rPr>
              <w:t>Visayas, Philippines</w:t>
            </w:r>
          </w:p>
        </w:tc>
        <w:tc>
          <w:tcPr>
            <w:tcW w:w="0" w:type="auto"/>
            <w:hideMark/>
          </w:tcPr>
          <w:p w14:paraId="64F5D799" w14:textId="77777777" w:rsidR="00370F70" w:rsidRPr="00226C43" w:rsidRDefault="00370F70" w:rsidP="00370F70">
            <w:pPr>
              <w:spacing w:after="0"/>
              <w:jc w:val="right"/>
              <w:rPr>
                <w:sz w:val="20"/>
                <w:szCs w:val="20"/>
              </w:rPr>
            </w:pPr>
            <w:r w:rsidRPr="00226C43">
              <w:rPr>
                <w:sz w:val="20"/>
                <w:szCs w:val="20"/>
              </w:rPr>
              <w:t>207</w:t>
            </w:r>
          </w:p>
        </w:tc>
      </w:tr>
      <w:tr w:rsidR="00226C43" w:rsidRPr="00226C43" w14:paraId="708DD731" w14:textId="77777777" w:rsidTr="005801DC">
        <w:trPr>
          <w:jc w:val="center"/>
        </w:trPr>
        <w:tc>
          <w:tcPr>
            <w:tcW w:w="0" w:type="auto"/>
            <w:hideMark/>
          </w:tcPr>
          <w:p w14:paraId="75419113" w14:textId="77777777" w:rsidR="00370F70" w:rsidRPr="00226C43" w:rsidRDefault="00370F70" w:rsidP="00370F70">
            <w:pPr>
              <w:spacing w:after="0"/>
              <w:rPr>
                <w:sz w:val="20"/>
                <w:szCs w:val="20"/>
              </w:rPr>
            </w:pPr>
            <w:r w:rsidRPr="00226C43">
              <w:rPr>
                <w:sz w:val="20"/>
                <w:szCs w:val="20"/>
              </w:rPr>
              <w:t>Mindanao, Philippines</w:t>
            </w:r>
          </w:p>
        </w:tc>
        <w:tc>
          <w:tcPr>
            <w:tcW w:w="0" w:type="auto"/>
            <w:hideMark/>
          </w:tcPr>
          <w:p w14:paraId="6F677F5C" w14:textId="77777777" w:rsidR="00370F70" w:rsidRPr="00226C43" w:rsidRDefault="00370F70" w:rsidP="00370F70">
            <w:pPr>
              <w:spacing w:after="0"/>
              <w:jc w:val="right"/>
              <w:rPr>
                <w:sz w:val="20"/>
                <w:szCs w:val="20"/>
              </w:rPr>
            </w:pPr>
            <w:r w:rsidRPr="00226C43">
              <w:rPr>
                <w:sz w:val="20"/>
                <w:szCs w:val="20"/>
              </w:rPr>
              <w:t>773</w:t>
            </w:r>
          </w:p>
        </w:tc>
      </w:tr>
      <w:tr w:rsidR="00226C43" w:rsidRPr="00226C43" w14:paraId="30B78A7F" w14:textId="77777777" w:rsidTr="005801DC">
        <w:trPr>
          <w:jc w:val="center"/>
        </w:trPr>
        <w:tc>
          <w:tcPr>
            <w:tcW w:w="0" w:type="auto"/>
            <w:hideMark/>
          </w:tcPr>
          <w:p w14:paraId="0C856CDD" w14:textId="77777777" w:rsidR="00370F70" w:rsidRPr="00226C43" w:rsidRDefault="00370F70" w:rsidP="00370F70">
            <w:pPr>
              <w:spacing w:after="0"/>
              <w:rPr>
                <w:sz w:val="20"/>
                <w:szCs w:val="20"/>
              </w:rPr>
            </w:pPr>
            <w:r w:rsidRPr="00226C43">
              <w:rPr>
                <w:sz w:val="20"/>
                <w:szCs w:val="20"/>
              </w:rPr>
              <w:t>Australia</w:t>
            </w:r>
          </w:p>
        </w:tc>
        <w:tc>
          <w:tcPr>
            <w:tcW w:w="0" w:type="auto"/>
            <w:hideMark/>
          </w:tcPr>
          <w:p w14:paraId="75AE09B6" w14:textId="77777777" w:rsidR="00370F70" w:rsidRPr="00226C43" w:rsidRDefault="00370F70" w:rsidP="00370F70">
            <w:pPr>
              <w:spacing w:after="0"/>
              <w:jc w:val="right"/>
              <w:rPr>
                <w:sz w:val="20"/>
                <w:szCs w:val="20"/>
              </w:rPr>
            </w:pPr>
            <w:r w:rsidRPr="00226C43">
              <w:rPr>
                <w:sz w:val="20"/>
                <w:szCs w:val="20"/>
              </w:rPr>
              <w:t>6</w:t>
            </w:r>
          </w:p>
        </w:tc>
      </w:tr>
      <w:tr w:rsidR="00226C43" w:rsidRPr="00226C43" w14:paraId="36E991F9" w14:textId="77777777" w:rsidTr="005801DC">
        <w:trPr>
          <w:jc w:val="center"/>
        </w:trPr>
        <w:tc>
          <w:tcPr>
            <w:tcW w:w="0" w:type="auto"/>
            <w:hideMark/>
          </w:tcPr>
          <w:p w14:paraId="0C48FBE3" w14:textId="77777777" w:rsidR="00370F70" w:rsidRPr="00226C43" w:rsidRDefault="00370F70" w:rsidP="00370F70">
            <w:pPr>
              <w:spacing w:after="0"/>
              <w:rPr>
                <w:sz w:val="20"/>
                <w:szCs w:val="20"/>
              </w:rPr>
            </w:pPr>
            <w:r w:rsidRPr="00226C43">
              <w:rPr>
                <w:sz w:val="20"/>
                <w:szCs w:val="20"/>
              </w:rPr>
              <w:t>No data before AAAEP–P</w:t>
            </w:r>
          </w:p>
        </w:tc>
        <w:tc>
          <w:tcPr>
            <w:tcW w:w="0" w:type="auto"/>
            <w:hideMark/>
          </w:tcPr>
          <w:p w14:paraId="66F3ED75" w14:textId="77777777" w:rsidR="00370F70" w:rsidRPr="00226C43" w:rsidRDefault="00370F70" w:rsidP="00370F70">
            <w:pPr>
              <w:spacing w:after="0"/>
              <w:jc w:val="right"/>
              <w:rPr>
                <w:sz w:val="20"/>
                <w:szCs w:val="20"/>
              </w:rPr>
            </w:pPr>
            <w:r w:rsidRPr="00226C43">
              <w:rPr>
                <w:sz w:val="20"/>
                <w:szCs w:val="20"/>
              </w:rPr>
              <w:t>772</w:t>
            </w:r>
          </w:p>
        </w:tc>
      </w:tr>
      <w:tr w:rsidR="005801DC" w:rsidRPr="00226C43" w14:paraId="7EA8018D" w14:textId="77777777" w:rsidTr="005801DC">
        <w:trPr>
          <w:jc w:val="center"/>
        </w:trPr>
        <w:tc>
          <w:tcPr>
            <w:tcW w:w="0" w:type="auto"/>
            <w:hideMark/>
          </w:tcPr>
          <w:p w14:paraId="3991C996" w14:textId="77777777" w:rsidR="00370F70" w:rsidRPr="00226C43" w:rsidRDefault="00370F70" w:rsidP="00370F70">
            <w:pPr>
              <w:spacing w:after="0"/>
              <w:rPr>
                <w:b/>
                <w:sz w:val="20"/>
                <w:szCs w:val="20"/>
              </w:rPr>
            </w:pPr>
            <w:r w:rsidRPr="00226C43">
              <w:rPr>
                <w:b/>
                <w:sz w:val="20"/>
                <w:szCs w:val="20"/>
              </w:rPr>
              <w:t>Total</w:t>
            </w:r>
          </w:p>
        </w:tc>
        <w:tc>
          <w:tcPr>
            <w:tcW w:w="0" w:type="auto"/>
            <w:hideMark/>
          </w:tcPr>
          <w:p w14:paraId="28EF47F3" w14:textId="77777777" w:rsidR="00370F70" w:rsidRPr="00226C43" w:rsidRDefault="00370F70" w:rsidP="00370F70">
            <w:pPr>
              <w:spacing w:after="0"/>
              <w:jc w:val="right"/>
              <w:rPr>
                <w:b/>
                <w:sz w:val="20"/>
                <w:szCs w:val="20"/>
              </w:rPr>
            </w:pPr>
            <w:r w:rsidRPr="00226C43">
              <w:rPr>
                <w:b/>
                <w:sz w:val="20"/>
                <w:szCs w:val="20"/>
              </w:rPr>
              <w:t>3,957</w:t>
            </w:r>
          </w:p>
        </w:tc>
      </w:tr>
    </w:tbl>
    <w:p w14:paraId="3CF999B1" w14:textId="77777777" w:rsidR="00370F70" w:rsidRPr="00226C43" w:rsidRDefault="00370F70" w:rsidP="00800F39">
      <w:pPr>
        <w:spacing w:after="0"/>
        <w:jc w:val="center"/>
        <w:rPr>
          <w:sz w:val="20"/>
          <w:szCs w:val="20"/>
        </w:rPr>
      </w:pPr>
    </w:p>
    <w:p w14:paraId="51EB0A72" w14:textId="77777777" w:rsidR="00724927" w:rsidRPr="00226C43" w:rsidRDefault="00724927" w:rsidP="006B5E69">
      <w:pPr>
        <w:spacing w:after="0"/>
        <w:jc w:val="center"/>
        <w:rPr>
          <w:b/>
          <w:sz w:val="20"/>
          <w:szCs w:val="20"/>
        </w:rPr>
      </w:pPr>
      <w:r w:rsidRPr="00226C43">
        <w:rPr>
          <w:b/>
          <w:sz w:val="20"/>
          <w:szCs w:val="20"/>
        </w:rPr>
        <w:t>Strengthening Relationships through Collaborative Partnerships</w:t>
      </w:r>
    </w:p>
    <w:p w14:paraId="40FCA077" w14:textId="77777777" w:rsidR="00724927" w:rsidRPr="00724927" w:rsidRDefault="00724927" w:rsidP="00724927">
      <w:pPr>
        <w:pStyle w:val="ListParagraph"/>
        <w:numPr>
          <w:ilvl w:val="0"/>
          <w:numId w:val="70"/>
        </w:numPr>
        <w:spacing w:after="0"/>
        <w:jc w:val="center"/>
        <w:rPr>
          <w:sz w:val="20"/>
          <w:szCs w:val="20"/>
        </w:rPr>
      </w:pPr>
      <w:r w:rsidRPr="00724927">
        <w:rPr>
          <w:sz w:val="20"/>
          <w:szCs w:val="20"/>
        </w:rPr>
        <w:t>Alumni Network Summit</w:t>
      </w:r>
    </w:p>
    <w:p w14:paraId="36A4C208" w14:textId="77777777" w:rsidR="00724927" w:rsidRPr="00724927" w:rsidRDefault="00724927" w:rsidP="00724927">
      <w:pPr>
        <w:pStyle w:val="ListParagraph"/>
        <w:numPr>
          <w:ilvl w:val="0"/>
          <w:numId w:val="70"/>
        </w:numPr>
        <w:spacing w:after="0"/>
        <w:jc w:val="center"/>
        <w:rPr>
          <w:sz w:val="20"/>
          <w:szCs w:val="20"/>
        </w:rPr>
      </w:pPr>
      <w:r w:rsidRPr="00724927">
        <w:rPr>
          <w:sz w:val="20"/>
          <w:szCs w:val="20"/>
        </w:rPr>
        <w:t>Public Diplomacy Activities</w:t>
      </w:r>
    </w:p>
    <w:p w14:paraId="69B48DB6" w14:textId="77777777" w:rsidR="00724927" w:rsidRPr="00724927" w:rsidRDefault="00724927" w:rsidP="00724927">
      <w:pPr>
        <w:pStyle w:val="ListParagraph"/>
        <w:numPr>
          <w:ilvl w:val="0"/>
          <w:numId w:val="70"/>
        </w:numPr>
        <w:spacing w:after="0"/>
        <w:jc w:val="center"/>
        <w:rPr>
          <w:sz w:val="20"/>
          <w:szCs w:val="20"/>
        </w:rPr>
      </w:pPr>
      <w:r w:rsidRPr="00724927">
        <w:rPr>
          <w:sz w:val="20"/>
          <w:szCs w:val="20"/>
        </w:rPr>
        <w:t xml:space="preserve">Support for Alumni Groups PA3i and </w:t>
      </w:r>
      <w:proofErr w:type="spellStart"/>
      <w:r w:rsidRPr="00724927">
        <w:rPr>
          <w:sz w:val="20"/>
          <w:szCs w:val="20"/>
        </w:rPr>
        <w:t>AACPh</w:t>
      </w:r>
      <w:proofErr w:type="spellEnd"/>
    </w:p>
    <w:p w14:paraId="62933E4E" w14:textId="77777777" w:rsidR="006B5E69" w:rsidRPr="00226C43" w:rsidRDefault="006B5E69" w:rsidP="00800F39">
      <w:pPr>
        <w:spacing w:after="0"/>
        <w:jc w:val="center"/>
        <w:rPr>
          <w:sz w:val="20"/>
          <w:szCs w:val="20"/>
        </w:rPr>
      </w:pPr>
    </w:p>
    <w:p w14:paraId="1FB005BD" w14:textId="77777777" w:rsidR="00724927" w:rsidRPr="00226C43" w:rsidRDefault="00724927" w:rsidP="00163FD5">
      <w:pPr>
        <w:spacing w:after="0"/>
        <w:jc w:val="center"/>
        <w:rPr>
          <w:b/>
          <w:sz w:val="20"/>
          <w:szCs w:val="20"/>
        </w:rPr>
      </w:pPr>
      <w:r w:rsidRPr="00226C43">
        <w:rPr>
          <w:b/>
          <w:sz w:val="20"/>
          <w:szCs w:val="20"/>
        </w:rPr>
        <w:t>Enabling Alumni Response to Current Needs and Priorities</w:t>
      </w:r>
    </w:p>
    <w:p w14:paraId="3ED8EC44" w14:textId="77777777" w:rsidR="00724927" w:rsidRPr="00724927" w:rsidRDefault="00724927" w:rsidP="00724927">
      <w:pPr>
        <w:pStyle w:val="ListParagraph"/>
        <w:numPr>
          <w:ilvl w:val="0"/>
          <w:numId w:val="69"/>
        </w:numPr>
        <w:spacing w:after="0"/>
        <w:jc w:val="center"/>
        <w:rPr>
          <w:sz w:val="20"/>
          <w:szCs w:val="20"/>
        </w:rPr>
      </w:pPr>
      <w:r w:rsidRPr="00724927">
        <w:rPr>
          <w:sz w:val="20"/>
          <w:szCs w:val="20"/>
        </w:rPr>
        <w:t>Quarterly Alumni Knowledge Sharing Series</w:t>
      </w:r>
    </w:p>
    <w:p w14:paraId="22ECC6EB" w14:textId="77777777" w:rsidR="00724927" w:rsidRPr="00724927" w:rsidRDefault="00724927" w:rsidP="00724927">
      <w:pPr>
        <w:pStyle w:val="ListParagraph"/>
        <w:numPr>
          <w:ilvl w:val="0"/>
          <w:numId w:val="69"/>
        </w:numPr>
        <w:spacing w:after="0"/>
        <w:jc w:val="center"/>
        <w:rPr>
          <w:sz w:val="20"/>
          <w:szCs w:val="20"/>
        </w:rPr>
      </w:pPr>
      <w:r w:rsidRPr="00724927">
        <w:rPr>
          <w:sz w:val="20"/>
          <w:szCs w:val="20"/>
        </w:rPr>
        <w:t>Year-Long Alumni Grants Scheme</w:t>
      </w:r>
    </w:p>
    <w:p w14:paraId="7097F385" w14:textId="77777777" w:rsidR="00724927" w:rsidRPr="00724927" w:rsidRDefault="00724927" w:rsidP="00724927">
      <w:pPr>
        <w:pStyle w:val="ListParagraph"/>
        <w:numPr>
          <w:ilvl w:val="0"/>
          <w:numId w:val="69"/>
        </w:numPr>
        <w:spacing w:after="0"/>
        <w:jc w:val="center"/>
        <w:rPr>
          <w:sz w:val="20"/>
          <w:szCs w:val="20"/>
        </w:rPr>
      </w:pPr>
      <w:r w:rsidRPr="00724927">
        <w:rPr>
          <w:sz w:val="20"/>
          <w:szCs w:val="20"/>
        </w:rPr>
        <w:t>Regional GEDSI Leadership Summit</w:t>
      </w:r>
    </w:p>
    <w:p w14:paraId="66295FAA" w14:textId="77777777" w:rsidR="00724927" w:rsidRDefault="00724927">
      <w:pPr>
        <w:suppressAutoHyphens w:val="0"/>
        <w:spacing w:after="0"/>
        <w:rPr>
          <w:b/>
          <w:bCs/>
        </w:rPr>
      </w:pPr>
      <w:r>
        <w:rPr>
          <w:b/>
          <w:bCs/>
        </w:rPr>
        <w:br w:type="page"/>
      </w:r>
    </w:p>
    <w:p w14:paraId="79F54D81" w14:textId="50C6654F" w:rsidR="004565C6" w:rsidRPr="00226C43" w:rsidRDefault="004565C6" w:rsidP="00742F7B">
      <w:pPr>
        <w:spacing w:before="240" w:after="0"/>
        <w:rPr>
          <w:b/>
          <w:bCs/>
        </w:rPr>
      </w:pPr>
      <w:r w:rsidRPr="00226C43">
        <w:rPr>
          <w:b/>
          <w:bCs/>
        </w:rPr>
        <w:lastRenderedPageBreak/>
        <w:t>Geographic spread</w:t>
      </w:r>
      <w:r w:rsidR="006C42E3" w:rsidRPr="00226C43">
        <w:rPr>
          <w:b/>
          <w:bCs/>
        </w:rPr>
        <w:t xml:space="preserve"> – </w:t>
      </w:r>
      <w:r w:rsidR="00154A17" w:rsidRPr="00226C43">
        <w:rPr>
          <w:b/>
          <w:bCs/>
        </w:rPr>
        <w:t>selection</w:t>
      </w:r>
    </w:p>
    <w:p w14:paraId="2CF7E37B" w14:textId="18F167E7" w:rsidR="004565C6" w:rsidRPr="00226C43" w:rsidRDefault="004565C6" w:rsidP="00974E2F">
      <w:r w:rsidRPr="00226C43">
        <w:t xml:space="preserve">As a nationwide program, </w:t>
      </w:r>
      <w:r w:rsidR="0064432C" w:rsidRPr="00226C43">
        <w:t>AAAEP–</w:t>
      </w:r>
      <w:r w:rsidRPr="00226C43">
        <w:t>P is design</w:t>
      </w:r>
      <w:r w:rsidR="003D16B6" w:rsidRPr="00226C43">
        <w:t>ed</w:t>
      </w:r>
      <w:r w:rsidRPr="00226C43">
        <w:t xml:space="preserve"> to be open to qualified individuals from all regions, including the Visayas and Mindanao. The concentration of national government agencies, universities, and private sector organisations in Metro Manila result</w:t>
      </w:r>
      <w:r w:rsidR="008562FE" w:rsidRPr="00226C43">
        <w:t>ed</w:t>
      </w:r>
      <w:r w:rsidRPr="00226C43">
        <w:t xml:space="preserve"> in higher numbers in Luzon. Many Luzon scholars also work on national programs that benefit the entire country, including Visayas and Mindanao regional development. </w:t>
      </w:r>
    </w:p>
    <w:p w14:paraId="3CF9B377" w14:textId="2E89FE91" w:rsidR="00154A17" w:rsidRPr="00226C43" w:rsidRDefault="0064432C" w:rsidP="00061D40">
      <w:pPr>
        <w:spacing w:before="240"/>
      </w:pPr>
      <w:r w:rsidRPr="00226C43">
        <w:t>AAAEP–</w:t>
      </w:r>
      <w:r w:rsidR="00154A17" w:rsidRPr="00226C43">
        <w:t>P applied a GEDSI lens to ensure equitable access to scholarships, short courses, and alumni engagement opportunities. The selection strategy sought to remove barriers and promote participation among women, people with disabilities, and underrepresented groups.</w:t>
      </w:r>
      <w:r w:rsidR="0078429F" w:rsidRPr="00226C43">
        <w:t xml:space="preserve"> </w:t>
      </w:r>
      <w:r w:rsidR="005C09D3" w:rsidRPr="00226C43">
        <w:t>The Program actively encouraged participation from underserved areas, targeting outreach to local government units, key sectors and regional universities outside Luzon. The application process incorporated GEDSI-</w:t>
      </w:r>
      <w:r w:rsidR="00BF51BC" w:rsidRPr="00226C43">
        <w:t>sensitive</w:t>
      </w:r>
      <w:r w:rsidR="005C09D3" w:rsidRPr="00226C43">
        <w:t xml:space="preserve"> selection criteria, and considered economic and social disadvantage, and including consideration of applicants from conflict affected or </w:t>
      </w:r>
      <w:r w:rsidR="000F73A9" w:rsidRPr="00226C43">
        <w:t>disaster-prone</w:t>
      </w:r>
      <w:r w:rsidR="005C09D3" w:rsidRPr="00226C43">
        <w:t xml:space="preserve"> areas. </w:t>
      </w:r>
      <w:r w:rsidR="003E3CD2" w:rsidRPr="00226C43">
        <w:t xml:space="preserve">The program </w:t>
      </w:r>
      <w:r w:rsidR="000F73A9" w:rsidRPr="00226C43">
        <w:t>provided reasonable</w:t>
      </w:r>
      <w:r w:rsidR="00154A17" w:rsidRPr="00226C43">
        <w:t xml:space="preserve"> adjustments for applicants and scholars with disabilities, including assistive technologies, flexible learning options, and accessible facilities.</w:t>
      </w:r>
      <w:r w:rsidR="003E3CD2" w:rsidRPr="00226C43">
        <w:t xml:space="preserve"> </w:t>
      </w:r>
      <w:r w:rsidR="00154A17" w:rsidRPr="00226C43">
        <w:t xml:space="preserve">Financial support </w:t>
      </w:r>
      <w:r w:rsidR="003E3CD2" w:rsidRPr="00226C43">
        <w:t xml:space="preserve">was provided to </w:t>
      </w:r>
      <w:r w:rsidR="00154A17" w:rsidRPr="00226C43">
        <w:t>cover dependent care, travel for persons with disabilities, and additional allowances for those requiring assistance.</w:t>
      </w:r>
      <w:r w:rsidR="0078429F" w:rsidRPr="00226C43">
        <w:t xml:space="preserve"> </w:t>
      </w:r>
      <w:r w:rsidR="000F73A9" w:rsidRPr="00226C43">
        <w:t>The program also sought to ensure representation across diverse sectors (economic development, education, governance, and health), and encouraged applicants from regions, such as Mindanao and Visayas.</w:t>
      </w:r>
    </w:p>
    <w:p w14:paraId="0C4E3D7D" w14:textId="31DC1AA0" w:rsidR="008A699D" w:rsidRPr="00226C43" w:rsidRDefault="008A699D" w:rsidP="00742F7B">
      <w:pPr>
        <w:pStyle w:val="Caption"/>
        <w:spacing w:after="0"/>
        <w:rPr>
          <w:color w:val="auto"/>
        </w:rPr>
      </w:pPr>
      <w:bookmarkStart w:id="28" w:name="_Toc190939908"/>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003735AF" w:rsidRPr="00226C43">
        <w:rPr>
          <w:noProof/>
          <w:color w:val="auto"/>
        </w:rPr>
        <w:t>10</w:t>
      </w:r>
      <w:r w:rsidR="000113F9" w:rsidRPr="00226C43">
        <w:rPr>
          <w:noProof/>
          <w:color w:val="auto"/>
        </w:rPr>
        <w:fldChar w:fldCharType="end"/>
      </w:r>
      <w:r w:rsidRPr="00226C43">
        <w:rPr>
          <w:color w:val="auto"/>
        </w:rPr>
        <w:t>: Australia’s Alumni Engagement Strategy and Reach</w:t>
      </w:r>
      <w:bookmarkEnd w:id="28"/>
    </w:p>
    <w:p w14:paraId="78D5031D" w14:textId="77777777" w:rsidR="00724927" w:rsidRPr="00226C43" w:rsidRDefault="00724927" w:rsidP="00974E2F">
      <w:pPr>
        <w:spacing w:after="0"/>
        <w:rPr>
          <w:sz w:val="20"/>
          <w:szCs w:val="20"/>
        </w:rPr>
      </w:pPr>
      <w:r w:rsidRPr="00226C43">
        <w:rPr>
          <w:sz w:val="20"/>
          <w:szCs w:val="20"/>
        </w:rPr>
        <w:t>The Program’s Alumni Engagement Strategy recognises that alumni contribute in many ways to Australia’s influence and standing in the region and globally. Engaging alumni is a public diplomacy priority. Through the alumni, Australia can:</w:t>
      </w:r>
    </w:p>
    <w:p w14:paraId="1EE55B82" w14:textId="77777777" w:rsidR="00724927" w:rsidRPr="00226C43" w:rsidRDefault="00724927" w:rsidP="00974E2F">
      <w:pPr>
        <w:pStyle w:val="ListParagraph"/>
        <w:numPr>
          <w:ilvl w:val="0"/>
          <w:numId w:val="45"/>
        </w:numPr>
        <w:spacing w:after="0"/>
        <w:rPr>
          <w:sz w:val="20"/>
          <w:szCs w:val="20"/>
        </w:rPr>
      </w:pPr>
      <w:r w:rsidRPr="00226C43">
        <w:rPr>
          <w:sz w:val="20"/>
          <w:szCs w:val="20"/>
        </w:rPr>
        <w:t xml:space="preserve">strengthen diplomatic access and </w:t>
      </w:r>
      <w:proofErr w:type="gramStart"/>
      <w:r w:rsidRPr="00226C43">
        <w:rPr>
          <w:sz w:val="20"/>
          <w:szCs w:val="20"/>
        </w:rPr>
        <w:t>influence;</w:t>
      </w:r>
      <w:proofErr w:type="gramEnd"/>
    </w:p>
    <w:p w14:paraId="5FF45A53" w14:textId="77777777" w:rsidR="00724927" w:rsidRPr="00226C43" w:rsidRDefault="00724927" w:rsidP="00974E2F">
      <w:pPr>
        <w:pStyle w:val="ListParagraph"/>
        <w:numPr>
          <w:ilvl w:val="0"/>
          <w:numId w:val="45"/>
        </w:numPr>
        <w:spacing w:after="0"/>
        <w:rPr>
          <w:sz w:val="20"/>
          <w:szCs w:val="20"/>
        </w:rPr>
      </w:pPr>
      <w:r w:rsidRPr="00226C43">
        <w:rPr>
          <w:sz w:val="20"/>
          <w:szCs w:val="20"/>
        </w:rPr>
        <w:t xml:space="preserve">grow trade, investment and business </w:t>
      </w:r>
      <w:proofErr w:type="gramStart"/>
      <w:r w:rsidRPr="00226C43">
        <w:rPr>
          <w:sz w:val="20"/>
          <w:szCs w:val="20"/>
        </w:rPr>
        <w:t>linkages;</w:t>
      </w:r>
      <w:proofErr w:type="gramEnd"/>
    </w:p>
    <w:p w14:paraId="3C3A02A9" w14:textId="77777777" w:rsidR="00724927" w:rsidRPr="00226C43" w:rsidRDefault="00724927" w:rsidP="00974E2F">
      <w:pPr>
        <w:pStyle w:val="ListParagraph"/>
        <w:numPr>
          <w:ilvl w:val="0"/>
          <w:numId w:val="45"/>
        </w:numPr>
        <w:spacing w:after="0"/>
        <w:rPr>
          <w:sz w:val="20"/>
          <w:szCs w:val="20"/>
        </w:rPr>
      </w:pPr>
      <w:r w:rsidRPr="00226C43">
        <w:rPr>
          <w:sz w:val="20"/>
          <w:szCs w:val="20"/>
        </w:rPr>
        <w:t xml:space="preserve">promote Australian capabilities and credentials in education, science, research and </w:t>
      </w:r>
      <w:proofErr w:type="gramStart"/>
      <w:r w:rsidRPr="00226C43">
        <w:rPr>
          <w:sz w:val="20"/>
          <w:szCs w:val="20"/>
        </w:rPr>
        <w:t>innovation;</w:t>
      </w:r>
      <w:proofErr w:type="gramEnd"/>
    </w:p>
    <w:p w14:paraId="1884E570" w14:textId="77777777" w:rsidR="00724927" w:rsidRPr="00226C43" w:rsidRDefault="00724927" w:rsidP="00974E2F">
      <w:pPr>
        <w:pStyle w:val="ListParagraph"/>
        <w:numPr>
          <w:ilvl w:val="0"/>
          <w:numId w:val="45"/>
        </w:numPr>
        <w:spacing w:after="0"/>
        <w:rPr>
          <w:sz w:val="20"/>
          <w:szCs w:val="20"/>
        </w:rPr>
      </w:pPr>
      <w:r w:rsidRPr="00226C43">
        <w:rPr>
          <w:sz w:val="20"/>
          <w:szCs w:val="20"/>
        </w:rPr>
        <w:t>showcase Australia as a contemporary, innovative, open society.</w:t>
      </w:r>
    </w:p>
    <w:p w14:paraId="3D62BD93" w14:textId="77777777" w:rsidR="00724927" w:rsidRPr="00226C43" w:rsidRDefault="00724927" w:rsidP="00974E2F">
      <w:pPr>
        <w:spacing w:after="0"/>
        <w:rPr>
          <w:b/>
          <w:sz w:val="20"/>
          <w:szCs w:val="20"/>
        </w:rPr>
      </w:pPr>
      <w:r w:rsidRPr="00226C43">
        <w:rPr>
          <w:b/>
          <w:sz w:val="20"/>
          <w:szCs w:val="20"/>
        </w:rPr>
        <w:t>Total number of alumni (as of August 2023): 3,907</w:t>
      </w:r>
    </w:p>
    <w:p w14:paraId="3E3DF171" w14:textId="2957C556" w:rsidR="00DA3AFE" w:rsidRPr="00226C43" w:rsidRDefault="008A699D" w:rsidP="00307206">
      <w:pPr>
        <w:pStyle w:val="Caption"/>
        <w:spacing w:after="0"/>
        <w:rPr>
          <w:color w:val="auto"/>
        </w:rPr>
      </w:pPr>
      <w:bookmarkStart w:id="29" w:name="_Toc190939909"/>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003735AF" w:rsidRPr="00226C43">
        <w:rPr>
          <w:noProof/>
          <w:color w:val="auto"/>
        </w:rPr>
        <w:t>11</w:t>
      </w:r>
      <w:r w:rsidR="000113F9" w:rsidRPr="00226C43">
        <w:rPr>
          <w:noProof/>
          <w:color w:val="auto"/>
        </w:rPr>
        <w:fldChar w:fldCharType="end"/>
      </w:r>
      <w:r w:rsidRPr="00226C43">
        <w:rPr>
          <w:color w:val="auto"/>
        </w:rPr>
        <w:t>: Number of Alumni (August 2023)</w:t>
      </w:r>
      <w:bookmarkEnd w:id="29"/>
    </w:p>
    <w:p w14:paraId="2B5B3A49" w14:textId="431459C6" w:rsidR="00953675" w:rsidRPr="00226C43" w:rsidRDefault="00953675" w:rsidP="00B50B53">
      <w:pPr>
        <w:spacing w:after="0"/>
        <w:jc w:val="center"/>
        <w:rPr>
          <w:b/>
          <w:sz w:val="20"/>
          <w:szCs w:val="20"/>
        </w:rPr>
      </w:pPr>
      <w:r w:rsidRPr="00226C43">
        <w:rPr>
          <w:b/>
          <w:sz w:val="20"/>
          <w:szCs w:val="20"/>
        </w:rPr>
        <w:t>Composition of alumni</w:t>
      </w:r>
      <w:r w:rsidR="00B50B53" w:rsidRPr="00226C43">
        <w:rPr>
          <w:rStyle w:val="FootnoteReference"/>
          <w:b/>
          <w:sz w:val="20"/>
          <w:szCs w:val="20"/>
        </w:rPr>
        <w:footnoteReference w:id="17"/>
      </w:r>
    </w:p>
    <w:tbl>
      <w:tblPr>
        <w:tblStyle w:val="TableGrid"/>
        <w:tblW w:w="0" w:type="auto"/>
        <w:jc w:val="center"/>
        <w:tblLook w:val="06A0" w:firstRow="1" w:lastRow="0" w:firstColumn="1" w:lastColumn="0" w:noHBand="1" w:noVBand="1"/>
      </w:tblPr>
      <w:tblGrid>
        <w:gridCol w:w="1040"/>
        <w:gridCol w:w="1867"/>
      </w:tblGrid>
      <w:tr w:rsidR="00226C43" w:rsidRPr="00226C43" w14:paraId="324EC8E8" w14:textId="77777777" w:rsidTr="00117212">
        <w:trPr>
          <w:tblHeader/>
          <w:jc w:val="center"/>
        </w:trPr>
        <w:tc>
          <w:tcPr>
            <w:tcW w:w="0" w:type="auto"/>
            <w:shd w:val="clear" w:color="auto" w:fill="E3DED1" w:themeFill="background2"/>
            <w:hideMark/>
          </w:tcPr>
          <w:p w14:paraId="65B53A82" w14:textId="77777777" w:rsidR="00B50B53" w:rsidRPr="00226C43" w:rsidRDefault="00B50B53" w:rsidP="00163FD5">
            <w:pPr>
              <w:suppressAutoHyphens w:val="0"/>
              <w:spacing w:after="0"/>
              <w:rPr>
                <w:rFonts w:eastAsia="Times New Roman" w:cs="Segoe UI"/>
                <w:b/>
                <w:kern w:val="0"/>
                <w:sz w:val="20"/>
                <w:szCs w:val="20"/>
                <w:lang w:eastAsia="en-AU"/>
                <w14:ligatures w14:val="none"/>
              </w:rPr>
            </w:pPr>
            <w:r w:rsidRPr="00226C43">
              <w:rPr>
                <w:rFonts w:eastAsia="Times New Roman" w:cs="Segoe UI"/>
                <w:b/>
                <w:kern w:val="0"/>
                <w:sz w:val="20"/>
                <w:szCs w:val="20"/>
                <w:lang w:eastAsia="en-AU"/>
                <w14:ligatures w14:val="none"/>
              </w:rPr>
              <w:t>Category</w:t>
            </w:r>
          </w:p>
        </w:tc>
        <w:tc>
          <w:tcPr>
            <w:tcW w:w="0" w:type="auto"/>
            <w:shd w:val="clear" w:color="auto" w:fill="E3DED1" w:themeFill="background2"/>
            <w:hideMark/>
          </w:tcPr>
          <w:p w14:paraId="74927992" w14:textId="77777777" w:rsidR="00B50B53" w:rsidRPr="00226C43" w:rsidRDefault="00B50B53" w:rsidP="00163FD5">
            <w:pPr>
              <w:suppressAutoHyphens w:val="0"/>
              <w:spacing w:after="0"/>
              <w:rPr>
                <w:rFonts w:eastAsia="Times New Roman" w:cs="Segoe UI"/>
                <w:b/>
                <w:kern w:val="0"/>
                <w:sz w:val="20"/>
                <w:szCs w:val="20"/>
                <w:lang w:eastAsia="en-AU"/>
                <w14:ligatures w14:val="none"/>
              </w:rPr>
            </w:pPr>
            <w:r w:rsidRPr="00226C43">
              <w:rPr>
                <w:rFonts w:eastAsia="Times New Roman" w:cs="Segoe UI"/>
                <w:b/>
                <w:kern w:val="0"/>
                <w:sz w:val="20"/>
                <w:szCs w:val="20"/>
                <w:lang w:eastAsia="en-AU"/>
                <w14:ligatures w14:val="none"/>
              </w:rPr>
              <w:t>Number of Alumni</w:t>
            </w:r>
          </w:p>
        </w:tc>
      </w:tr>
      <w:tr w:rsidR="00226C43" w:rsidRPr="00226C43" w14:paraId="0968809D" w14:textId="77777777" w:rsidTr="005801DC">
        <w:trPr>
          <w:jc w:val="center"/>
        </w:trPr>
        <w:tc>
          <w:tcPr>
            <w:tcW w:w="0" w:type="auto"/>
            <w:hideMark/>
          </w:tcPr>
          <w:p w14:paraId="137E314B" w14:textId="77777777" w:rsidR="00B50B53" w:rsidRPr="00226C43" w:rsidRDefault="00B50B53" w:rsidP="00163FD5">
            <w:pPr>
              <w:suppressAutoHyphens w:val="0"/>
              <w:spacing w:after="0"/>
              <w:rPr>
                <w:rFonts w:eastAsia="Times New Roman" w:cs="Segoe UI"/>
                <w:kern w:val="0"/>
                <w:sz w:val="20"/>
                <w:szCs w:val="20"/>
                <w:lang w:eastAsia="en-AU"/>
                <w14:ligatures w14:val="none"/>
              </w:rPr>
            </w:pPr>
            <w:r w:rsidRPr="00226C43">
              <w:rPr>
                <w:rFonts w:eastAsia="Times New Roman" w:cs="Segoe UI"/>
                <w:b/>
                <w:kern w:val="0"/>
                <w:sz w:val="20"/>
                <w:szCs w:val="20"/>
                <w:lang w:eastAsia="en-AU"/>
                <w14:ligatures w14:val="none"/>
              </w:rPr>
              <w:t>Male</w:t>
            </w:r>
          </w:p>
        </w:tc>
        <w:tc>
          <w:tcPr>
            <w:tcW w:w="0" w:type="auto"/>
            <w:hideMark/>
          </w:tcPr>
          <w:p w14:paraId="6B35C8E2" w14:textId="77777777" w:rsidR="00B50B53" w:rsidRPr="00226C43" w:rsidRDefault="00B50B53" w:rsidP="00974E2F">
            <w:pPr>
              <w:suppressAutoHyphens w:val="0"/>
              <w:spacing w:after="0"/>
              <w:jc w:val="right"/>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1,609</w:t>
            </w:r>
          </w:p>
        </w:tc>
      </w:tr>
      <w:tr w:rsidR="00226C43" w:rsidRPr="00226C43" w14:paraId="7C0D659A" w14:textId="77777777" w:rsidTr="005801DC">
        <w:trPr>
          <w:jc w:val="center"/>
        </w:trPr>
        <w:tc>
          <w:tcPr>
            <w:tcW w:w="0" w:type="auto"/>
            <w:hideMark/>
          </w:tcPr>
          <w:p w14:paraId="091AB9EA" w14:textId="77777777" w:rsidR="00B50B53" w:rsidRPr="00226C43" w:rsidRDefault="00B50B53" w:rsidP="00163FD5">
            <w:pPr>
              <w:suppressAutoHyphens w:val="0"/>
              <w:spacing w:after="0"/>
              <w:rPr>
                <w:rFonts w:eastAsia="Times New Roman" w:cs="Segoe UI"/>
                <w:kern w:val="0"/>
                <w:sz w:val="20"/>
                <w:szCs w:val="20"/>
                <w:lang w:eastAsia="en-AU"/>
                <w14:ligatures w14:val="none"/>
              </w:rPr>
            </w:pPr>
            <w:r w:rsidRPr="00226C43">
              <w:rPr>
                <w:rFonts w:eastAsia="Times New Roman" w:cs="Segoe UI"/>
                <w:b/>
                <w:kern w:val="0"/>
                <w:sz w:val="20"/>
                <w:szCs w:val="20"/>
                <w:lang w:eastAsia="en-AU"/>
                <w14:ligatures w14:val="none"/>
              </w:rPr>
              <w:t>Female</w:t>
            </w:r>
          </w:p>
        </w:tc>
        <w:tc>
          <w:tcPr>
            <w:tcW w:w="0" w:type="auto"/>
            <w:hideMark/>
          </w:tcPr>
          <w:p w14:paraId="615B064B" w14:textId="77777777" w:rsidR="00B50B53" w:rsidRPr="00226C43" w:rsidRDefault="00B50B53" w:rsidP="00974E2F">
            <w:pPr>
              <w:suppressAutoHyphens w:val="0"/>
              <w:spacing w:after="0"/>
              <w:jc w:val="right"/>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2,290</w:t>
            </w:r>
          </w:p>
        </w:tc>
      </w:tr>
      <w:tr w:rsidR="00226C43" w:rsidRPr="00226C43" w14:paraId="30EABD08" w14:textId="77777777" w:rsidTr="005801DC">
        <w:trPr>
          <w:jc w:val="center"/>
        </w:trPr>
        <w:tc>
          <w:tcPr>
            <w:tcW w:w="0" w:type="auto"/>
            <w:hideMark/>
          </w:tcPr>
          <w:p w14:paraId="28FFB68A" w14:textId="77777777" w:rsidR="00B50B53" w:rsidRPr="00226C43" w:rsidRDefault="00B50B53" w:rsidP="00163FD5">
            <w:pPr>
              <w:suppressAutoHyphens w:val="0"/>
              <w:spacing w:after="0"/>
              <w:rPr>
                <w:rFonts w:eastAsia="Times New Roman" w:cs="Segoe UI"/>
                <w:kern w:val="0"/>
                <w:sz w:val="20"/>
                <w:szCs w:val="20"/>
                <w:lang w:eastAsia="en-AU"/>
                <w14:ligatures w14:val="none"/>
              </w:rPr>
            </w:pPr>
            <w:r w:rsidRPr="00226C43">
              <w:rPr>
                <w:rFonts w:eastAsia="Times New Roman" w:cs="Segoe UI"/>
                <w:b/>
                <w:kern w:val="0"/>
                <w:sz w:val="20"/>
                <w:szCs w:val="20"/>
                <w:lang w:eastAsia="en-AU"/>
                <w14:ligatures w14:val="none"/>
              </w:rPr>
              <w:t>PWD</w:t>
            </w:r>
          </w:p>
        </w:tc>
        <w:tc>
          <w:tcPr>
            <w:tcW w:w="0" w:type="auto"/>
            <w:hideMark/>
          </w:tcPr>
          <w:p w14:paraId="750A8DB1" w14:textId="77777777" w:rsidR="00B50B53" w:rsidRPr="00226C43" w:rsidRDefault="00B50B53" w:rsidP="00974E2F">
            <w:pPr>
              <w:suppressAutoHyphens w:val="0"/>
              <w:spacing w:after="0"/>
              <w:jc w:val="right"/>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31</w:t>
            </w:r>
          </w:p>
        </w:tc>
      </w:tr>
      <w:tr w:rsidR="00226C43" w:rsidRPr="00226C43" w14:paraId="03693E37" w14:textId="77777777" w:rsidTr="005801DC">
        <w:trPr>
          <w:jc w:val="center"/>
        </w:trPr>
        <w:tc>
          <w:tcPr>
            <w:tcW w:w="0" w:type="auto"/>
            <w:hideMark/>
          </w:tcPr>
          <w:p w14:paraId="3862ADF4" w14:textId="77777777" w:rsidR="00B50B53" w:rsidRPr="00226C43" w:rsidRDefault="00B50B53" w:rsidP="00163FD5">
            <w:pPr>
              <w:suppressAutoHyphens w:val="0"/>
              <w:spacing w:after="0"/>
              <w:rPr>
                <w:rFonts w:eastAsia="Times New Roman" w:cs="Segoe UI"/>
                <w:kern w:val="0"/>
                <w:sz w:val="20"/>
                <w:szCs w:val="20"/>
                <w:lang w:eastAsia="en-AU"/>
                <w14:ligatures w14:val="none"/>
              </w:rPr>
            </w:pPr>
            <w:r w:rsidRPr="00226C43">
              <w:rPr>
                <w:rFonts w:eastAsia="Times New Roman" w:cs="Segoe UI"/>
                <w:b/>
                <w:kern w:val="0"/>
                <w:sz w:val="20"/>
                <w:szCs w:val="20"/>
                <w:lang w:eastAsia="en-AU"/>
                <w14:ligatures w14:val="none"/>
              </w:rPr>
              <w:t>IP</w:t>
            </w:r>
          </w:p>
        </w:tc>
        <w:tc>
          <w:tcPr>
            <w:tcW w:w="0" w:type="auto"/>
            <w:hideMark/>
          </w:tcPr>
          <w:p w14:paraId="3CB83F82" w14:textId="77777777" w:rsidR="00B50B53" w:rsidRPr="00226C43" w:rsidRDefault="00B50B53" w:rsidP="00974E2F">
            <w:pPr>
              <w:suppressAutoHyphens w:val="0"/>
              <w:spacing w:after="0"/>
              <w:jc w:val="right"/>
              <w:rPr>
                <w:rFonts w:eastAsia="Times New Roman" w:cs="Segoe UI"/>
                <w:kern w:val="0"/>
                <w:sz w:val="20"/>
                <w:szCs w:val="20"/>
                <w:lang w:eastAsia="en-AU"/>
                <w14:ligatures w14:val="none"/>
              </w:rPr>
            </w:pPr>
            <w:r w:rsidRPr="00226C43">
              <w:rPr>
                <w:rFonts w:eastAsia="Times New Roman" w:cs="Segoe UI"/>
                <w:kern w:val="0"/>
                <w:sz w:val="20"/>
                <w:szCs w:val="20"/>
                <w:lang w:eastAsia="en-AU"/>
                <w14:ligatures w14:val="none"/>
              </w:rPr>
              <w:t>118</w:t>
            </w:r>
          </w:p>
        </w:tc>
      </w:tr>
    </w:tbl>
    <w:p w14:paraId="1FF5F0AD" w14:textId="77777777" w:rsidR="00742F7B" w:rsidRPr="00226C43" w:rsidRDefault="00742F7B" w:rsidP="00BD0344">
      <w:pPr>
        <w:spacing w:after="0"/>
        <w:jc w:val="center"/>
        <w:rPr>
          <w:b/>
          <w:sz w:val="20"/>
          <w:szCs w:val="20"/>
        </w:rPr>
      </w:pPr>
    </w:p>
    <w:p w14:paraId="7B3B1AA2" w14:textId="14CD384F" w:rsidR="00DB19E7" w:rsidRPr="00226C43" w:rsidRDefault="00DB19E7" w:rsidP="00BD0344">
      <w:pPr>
        <w:spacing w:after="0"/>
        <w:jc w:val="center"/>
        <w:rPr>
          <w:b/>
          <w:sz w:val="20"/>
          <w:szCs w:val="20"/>
        </w:rPr>
      </w:pPr>
      <w:r w:rsidRPr="00226C43">
        <w:rPr>
          <w:b/>
          <w:sz w:val="20"/>
          <w:szCs w:val="20"/>
        </w:rPr>
        <w:t>Number of Alumni by Area of Expertise</w:t>
      </w:r>
    </w:p>
    <w:tbl>
      <w:tblPr>
        <w:tblStyle w:val="TableGrid"/>
        <w:tblW w:w="0" w:type="auto"/>
        <w:jc w:val="center"/>
        <w:tblLook w:val="06A0" w:firstRow="1" w:lastRow="0" w:firstColumn="1" w:lastColumn="0" w:noHBand="1" w:noVBand="1"/>
      </w:tblPr>
      <w:tblGrid>
        <w:gridCol w:w="7252"/>
        <w:gridCol w:w="701"/>
      </w:tblGrid>
      <w:tr w:rsidR="00226C43" w:rsidRPr="00226C43" w14:paraId="43875C0A" w14:textId="77777777" w:rsidTr="00610A3E">
        <w:trPr>
          <w:tblHeader/>
          <w:jc w:val="center"/>
        </w:trPr>
        <w:tc>
          <w:tcPr>
            <w:tcW w:w="0" w:type="auto"/>
            <w:shd w:val="clear" w:color="auto" w:fill="E3DED1" w:themeFill="background2"/>
            <w:hideMark/>
          </w:tcPr>
          <w:p w14:paraId="5C890BD9" w14:textId="77777777" w:rsidR="00BD0344" w:rsidRPr="00226C43" w:rsidRDefault="00BD0344" w:rsidP="00BD0344">
            <w:pPr>
              <w:spacing w:after="0"/>
              <w:rPr>
                <w:b/>
                <w:sz w:val="20"/>
                <w:szCs w:val="20"/>
              </w:rPr>
            </w:pPr>
            <w:r w:rsidRPr="00226C43">
              <w:rPr>
                <w:b/>
                <w:sz w:val="20"/>
                <w:szCs w:val="20"/>
              </w:rPr>
              <w:t>Priority Area</w:t>
            </w:r>
          </w:p>
        </w:tc>
        <w:tc>
          <w:tcPr>
            <w:tcW w:w="0" w:type="auto"/>
            <w:shd w:val="clear" w:color="auto" w:fill="E3DED1" w:themeFill="background2"/>
            <w:hideMark/>
          </w:tcPr>
          <w:p w14:paraId="1098732E" w14:textId="77777777" w:rsidR="00BD0344" w:rsidRPr="00226C43" w:rsidRDefault="00BD0344" w:rsidP="00BD0344">
            <w:pPr>
              <w:spacing w:after="0"/>
              <w:jc w:val="right"/>
              <w:rPr>
                <w:b/>
                <w:sz w:val="20"/>
                <w:szCs w:val="20"/>
              </w:rPr>
            </w:pPr>
            <w:r w:rsidRPr="00226C43">
              <w:rPr>
                <w:b/>
                <w:sz w:val="20"/>
                <w:szCs w:val="20"/>
              </w:rPr>
              <w:t>Total</w:t>
            </w:r>
          </w:p>
        </w:tc>
      </w:tr>
      <w:tr w:rsidR="00226C43" w:rsidRPr="00226C43" w14:paraId="143A6F06" w14:textId="77777777" w:rsidTr="005801DC">
        <w:trPr>
          <w:jc w:val="center"/>
        </w:trPr>
        <w:tc>
          <w:tcPr>
            <w:tcW w:w="0" w:type="auto"/>
            <w:hideMark/>
          </w:tcPr>
          <w:p w14:paraId="3AE2CB8B" w14:textId="77777777" w:rsidR="00BD0344" w:rsidRPr="00226C43" w:rsidRDefault="00BD0344" w:rsidP="00BD0344">
            <w:pPr>
              <w:spacing w:after="0"/>
              <w:rPr>
                <w:sz w:val="20"/>
                <w:szCs w:val="20"/>
              </w:rPr>
            </w:pPr>
            <w:r w:rsidRPr="00226C43">
              <w:rPr>
                <w:sz w:val="20"/>
                <w:szCs w:val="20"/>
              </w:rPr>
              <w:t>Agriculture and Rural Systems</w:t>
            </w:r>
          </w:p>
        </w:tc>
        <w:tc>
          <w:tcPr>
            <w:tcW w:w="0" w:type="auto"/>
            <w:hideMark/>
          </w:tcPr>
          <w:p w14:paraId="29A75A28" w14:textId="77777777" w:rsidR="00BD0344" w:rsidRPr="00226C43" w:rsidRDefault="00BD0344" w:rsidP="00BD0344">
            <w:pPr>
              <w:spacing w:after="0"/>
              <w:jc w:val="right"/>
              <w:rPr>
                <w:sz w:val="20"/>
                <w:szCs w:val="20"/>
              </w:rPr>
            </w:pPr>
            <w:r w:rsidRPr="00226C43">
              <w:rPr>
                <w:sz w:val="20"/>
                <w:szCs w:val="20"/>
              </w:rPr>
              <w:t>58</w:t>
            </w:r>
          </w:p>
        </w:tc>
      </w:tr>
      <w:tr w:rsidR="00226C43" w:rsidRPr="00226C43" w14:paraId="43EACD72" w14:textId="77777777" w:rsidTr="005801DC">
        <w:trPr>
          <w:jc w:val="center"/>
        </w:trPr>
        <w:tc>
          <w:tcPr>
            <w:tcW w:w="0" w:type="auto"/>
            <w:hideMark/>
          </w:tcPr>
          <w:p w14:paraId="20C1FF64" w14:textId="77777777" w:rsidR="00BD0344" w:rsidRPr="00226C43" w:rsidRDefault="00BD0344" w:rsidP="00BD0344">
            <w:pPr>
              <w:spacing w:after="0"/>
              <w:rPr>
                <w:sz w:val="20"/>
                <w:szCs w:val="20"/>
              </w:rPr>
            </w:pPr>
            <w:r w:rsidRPr="00226C43">
              <w:rPr>
                <w:sz w:val="20"/>
                <w:szCs w:val="20"/>
              </w:rPr>
              <w:t>Development Studies</w:t>
            </w:r>
          </w:p>
        </w:tc>
        <w:tc>
          <w:tcPr>
            <w:tcW w:w="0" w:type="auto"/>
            <w:hideMark/>
          </w:tcPr>
          <w:p w14:paraId="4D6F5A5F" w14:textId="77777777" w:rsidR="00BD0344" w:rsidRPr="00226C43" w:rsidRDefault="00BD0344" w:rsidP="00BD0344">
            <w:pPr>
              <w:spacing w:after="0"/>
              <w:jc w:val="right"/>
              <w:rPr>
                <w:sz w:val="20"/>
                <w:szCs w:val="20"/>
              </w:rPr>
            </w:pPr>
            <w:r w:rsidRPr="00226C43">
              <w:rPr>
                <w:sz w:val="20"/>
                <w:szCs w:val="20"/>
              </w:rPr>
              <w:t>47</w:t>
            </w:r>
          </w:p>
        </w:tc>
      </w:tr>
      <w:tr w:rsidR="00226C43" w:rsidRPr="00226C43" w14:paraId="50BCC325" w14:textId="77777777" w:rsidTr="005801DC">
        <w:trPr>
          <w:jc w:val="center"/>
        </w:trPr>
        <w:tc>
          <w:tcPr>
            <w:tcW w:w="0" w:type="auto"/>
            <w:hideMark/>
          </w:tcPr>
          <w:p w14:paraId="21D86D93" w14:textId="77777777" w:rsidR="00BD0344" w:rsidRPr="00226C43" w:rsidRDefault="00BD0344" w:rsidP="00BD0344">
            <w:pPr>
              <w:spacing w:after="0"/>
              <w:rPr>
                <w:sz w:val="20"/>
                <w:szCs w:val="20"/>
              </w:rPr>
            </w:pPr>
            <w:r w:rsidRPr="00226C43">
              <w:rPr>
                <w:sz w:val="20"/>
                <w:szCs w:val="20"/>
              </w:rPr>
              <w:t>Education</w:t>
            </w:r>
          </w:p>
        </w:tc>
        <w:tc>
          <w:tcPr>
            <w:tcW w:w="0" w:type="auto"/>
            <w:hideMark/>
          </w:tcPr>
          <w:p w14:paraId="06F06E1B" w14:textId="77777777" w:rsidR="00BD0344" w:rsidRPr="00226C43" w:rsidRDefault="00BD0344" w:rsidP="00BD0344">
            <w:pPr>
              <w:spacing w:after="0"/>
              <w:jc w:val="right"/>
              <w:rPr>
                <w:sz w:val="20"/>
                <w:szCs w:val="20"/>
              </w:rPr>
            </w:pPr>
            <w:r w:rsidRPr="00226C43">
              <w:rPr>
                <w:sz w:val="20"/>
                <w:szCs w:val="20"/>
              </w:rPr>
              <w:t>496</w:t>
            </w:r>
          </w:p>
        </w:tc>
      </w:tr>
      <w:tr w:rsidR="00226C43" w:rsidRPr="00226C43" w14:paraId="10CEC3B1" w14:textId="77777777" w:rsidTr="005801DC">
        <w:trPr>
          <w:jc w:val="center"/>
        </w:trPr>
        <w:tc>
          <w:tcPr>
            <w:tcW w:w="0" w:type="auto"/>
            <w:hideMark/>
          </w:tcPr>
          <w:p w14:paraId="74974B43" w14:textId="77777777" w:rsidR="00BD0344" w:rsidRPr="00226C43" w:rsidRDefault="00BD0344" w:rsidP="00BD0344">
            <w:pPr>
              <w:spacing w:after="0"/>
              <w:rPr>
                <w:sz w:val="20"/>
                <w:szCs w:val="20"/>
              </w:rPr>
            </w:pPr>
            <w:r w:rsidRPr="00226C43">
              <w:rPr>
                <w:sz w:val="20"/>
                <w:szCs w:val="20"/>
              </w:rPr>
              <w:t>Engineering (engineering management, civil, transport)</w:t>
            </w:r>
          </w:p>
        </w:tc>
        <w:tc>
          <w:tcPr>
            <w:tcW w:w="0" w:type="auto"/>
            <w:hideMark/>
          </w:tcPr>
          <w:p w14:paraId="6B2F4DF6" w14:textId="77777777" w:rsidR="00BD0344" w:rsidRPr="00226C43" w:rsidRDefault="00BD0344" w:rsidP="00BD0344">
            <w:pPr>
              <w:spacing w:after="0"/>
              <w:jc w:val="right"/>
              <w:rPr>
                <w:sz w:val="20"/>
                <w:szCs w:val="20"/>
              </w:rPr>
            </w:pPr>
            <w:r w:rsidRPr="00226C43">
              <w:rPr>
                <w:sz w:val="20"/>
                <w:szCs w:val="20"/>
              </w:rPr>
              <w:t>14</w:t>
            </w:r>
          </w:p>
        </w:tc>
      </w:tr>
      <w:tr w:rsidR="00226C43" w:rsidRPr="00226C43" w14:paraId="2356F33F" w14:textId="77777777" w:rsidTr="005801DC">
        <w:trPr>
          <w:jc w:val="center"/>
        </w:trPr>
        <w:tc>
          <w:tcPr>
            <w:tcW w:w="0" w:type="auto"/>
            <w:hideMark/>
          </w:tcPr>
          <w:p w14:paraId="67361160" w14:textId="77777777" w:rsidR="00BD0344" w:rsidRPr="00226C43" w:rsidRDefault="00BD0344" w:rsidP="00BD0344">
            <w:pPr>
              <w:spacing w:after="0"/>
              <w:rPr>
                <w:sz w:val="20"/>
                <w:szCs w:val="20"/>
              </w:rPr>
            </w:pPr>
            <w:r w:rsidRPr="00226C43">
              <w:rPr>
                <w:sz w:val="20"/>
                <w:szCs w:val="20"/>
              </w:rPr>
              <w:t>Environment (DRR, CCA, Environmental Management)</w:t>
            </w:r>
          </w:p>
        </w:tc>
        <w:tc>
          <w:tcPr>
            <w:tcW w:w="0" w:type="auto"/>
            <w:hideMark/>
          </w:tcPr>
          <w:p w14:paraId="204572EF" w14:textId="77777777" w:rsidR="00BD0344" w:rsidRPr="00226C43" w:rsidRDefault="00BD0344" w:rsidP="00BD0344">
            <w:pPr>
              <w:spacing w:after="0"/>
              <w:jc w:val="right"/>
              <w:rPr>
                <w:sz w:val="20"/>
                <w:szCs w:val="20"/>
              </w:rPr>
            </w:pPr>
            <w:r w:rsidRPr="00226C43">
              <w:rPr>
                <w:sz w:val="20"/>
                <w:szCs w:val="20"/>
              </w:rPr>
              <w:t>131</w:t>
            </w:r>
          </w:p>
        </w:tc>
      </w:tr>
      <w:tr w:rsidR="00226C43" w:rsidRPr="00226C43" w14:paraId="502FB87C" w14:textId="77777777" w:rsidTr="005801DC">
        <w:trPr>
          <w:jc w:val="center"/>
        </w:trPr>
        <w:tc>
          <w:tcPr>
            <w:tcW w:w="0" w:type="auto"/>
            <w:hideMark/>
          </w:tcPr>
          <w:p w14:paraId="59BE891C" w14:textId="77777777" w:rsidR="00BD0344" w:rsidRPr="00226C43" w:rsidRDefault="00BD0344" w:rsidP="00BD0344">
            <w:pPr>
              <w:spacing w:after="0"/>
              <w:rPr>
                <w:sz w:val="20"/>
                <w:szCs w:val="20"/>
              </w:rPr>
            </w:pPr>
            <w:r w:rsidRPr="00226C43">
              <w:rPr>
                <w:sz w:val="20"/>
                <w:szCs w:val="20"/>
              </w:rPr>
              <w:lastRenderedPageBreak/>
              <w:t>Foreign relations and public diplomacy</w:t>
            </w:r>
          </w:p>
        </w:tc>
        <w:tc>
          <w:tcPr>
            <w:tcW w:w="0" w:type="auto"/>
            <w:hideMark/>
          </w:tcPr>
          <w:p w14:paraId="7D9ECD1C" w14:textId="77777777" w:rsidR="00BD0344" w:rsidRPr="00226C43" w:rsidRDefault="00BD0344" w:rsidP="00BD0344">
            <w:pPr>
              <w:spacing w:after="0"/>
              <w:jc w:val="right"/>
              <w:rPr>
                <w:sz w:val="20"/>
                <w:szCs w:val="20"/>
              </w:rPr>
            </w:pPr>
            <w:r w:rsidRPr="00226C43">
              <w:rPr>
                <w:sz w:val="20"/>
                <w:szCs w:val="20"/>
              </w:rPr>
              <w:t>178</w:t>
            </w:r>
          </w:p>
        </w:tc>
      </w:tr>
      <w:tr w:rsidR="00226C43" w:rsidRPr="00226C43" w14:paraId="02D63BBF" w14:textId="77777777" w:rsidTr="005801DC">
        <w:trPr>
          <w:jc w:val="center"/>
        </w:trPr>
        <w:tc>
          <w:tcPr>
            <w:tcW w:w="0" w:type="auto"/>
            <w:hideMark/>
          </w:tcPr>
          <w:p w14:paraId="51C55D10" w14:textId="77777777" w:rsidR="00BD0344" w:rsidRPr="00226C43" w:rsidRDefault="00BD0344" w:rsidP="00BD0344">
            <w:pPr>
              <w:spacing w:after="0"/>
              <w:rPr>
                <w:sz w:val="20"/>
                <w:szCs w:val="20"/>
              </w:rPr>
            </w:pPr>
            <w:r w:rsidRPr="00226C43">
              <w:rPr>
                <w:sz w:val="20"/>
                <w:szCs w:val="20"/>
              </w:rPr>
              <w:t>Governance and Public Policy, including Civil Society, Media and Foreign Relations</w:t>
            </w:r>
          </w:p>
        </w:tc>
        <w:tc>
          <w:tcPr>
            <w:tcW w:w="0" w:type="auto"/>
            <w:hideMark/>
          </w:tcPr>
          <w:p w14:paraId="1B901DDC" w14:textId="77777777" w:rsidR="00BD0344" w:rsidRPr="00226C43" w:rsidRDefault="00BD0344" w:rsidP="00BD0344">
            <w:pPr>
              <w:spacing w:after="0"/>
              <w:jc w:val="right"/>
              <w:rPr>
                <w:sz w:val="20"/>
                <w:szCs w:val="20"/>
              </w:rPr>
            </w:pPr>
            <w:r w:rsidRPr="00226C43">
              <w:rPr>
                <w:sz w:val="20"/>
                <w:szCs w:val="20"/>
              </w:rPr>
              <w:t>1,919</w:t>
            </w:r>
          </w:p>
        </w:tc>
      </w:tr>
      <w:tr w:rsidR="00226C43" w:rsidRPr="00226C43" w14:paraId="7894BC77" w14:textId="77777777" w:rsidTr="005801DC">
        <w:trPr>
          <w:jc w:val="center"/>
        </w:trPr>
        <w:tc>
          <w:tcPr>
            <w:tcW w:w="0" w:type="auto"/>
            <w:hideMark/>
          </w:tcPr>
          <w:p w14:paraId="6FBEB20D" w14:textId="77777777" w:rsidR="00BD0344" w:rsidRPr="00226C43" w:rsidRDefault="00BD0344" w:rsidP="00BD0344">
            <w:pPr>
              <w:spacing w:after="0"/>
              <w:rPr>
                <w:sz w:val="20"/>
                <w:szCs w:val="20"/>
              </w:rPr>
            </w:pPr>
            <w:r w:rsidRPr="00226C43">
              <w:rPr>
                <w:sz w:val="20"/>
                <w:szCs w:val="20"/>
              </w:rPr>
              <w:t>Health (Public Health and Social Protection)</w:t>
            </w:r>
          </w:p>
        </w:tc>
        <w:tc>
          <w:tcPr>
            <w:tcW w:w="0" w:type="auto"/>
            <w:hideMark/>
          </w:tcPr>
          <w:p w14:paraId="01C18840" w14:textId="77777777" w:rsidR="00BD0344" w:rsidRPr="00226C43" w:rsidRDefault="00BD0344" w:rsidP="00BD0344">
            <w:pPr>
              <w:spacing w:after="0"/>
              <w:jc w:val="right"/>
              <w:rPr>
                <w:sz w:val="20"/>
                <w:szCs w:val="20"/>
              </w:rPr>
            </w:pPr>
            <w:r w:rsidRPr="00226C43">
              <w:rPr>
                <w:sz w:val="20"/>
                <w:szCs w:val="20"/>
              </w:rPr>
              <w:t>52</w:t>
            </w:r>
          </w:p>
        </w:tc>
      </w:tr>
      <w:tr w:rsidR="00226C43" w:rsidRPr="00226C43" w14:paraId="143A1BD7" w14:textId="77777777" w:rsidTr="005801DC">
        <w:trPr>
          <w:jc w:val="center"/>
        </w:trPr>
        <w:tc>
          <w:tcPr>
            <w:tcW w:w="0" w:type="auto"/>
            <w:hideMark/>
          </w:tcPr>
          <w:p w14:paraId="7D0F0A6E" w14:textId="77777777" w:rsidR="00BD0344" w:rsidRPr="00226C43" w:rsidRDefault="00BD0344" w:rsidP="00BD0344">
            <w:pPr>
              <w:spacing w:after="0"/>
              <w:rPr>
                <w:sz w:val="20"/>
                <w:szCs w:val="20"/>
              </w:rPr>
            </w:pPr>
            <w:r w:rsidRPr="00226C43">
              <w:rPr>
                <w:sz w:val="20"/>
                <w:szCs w:val="20"/>
              </w:rPr>
              <w:t>HR and OD</w:t>
            </w:r>
          </w:p>
        </w:tc>
        <w:tc>
          <w:tcPr>
            <w:tcW w:w="0" w:type="auto"/>
            <w:hideMark/>
          </w:tcPr>
          <w:p w14:paraId="45100FC7" w14:textId="77777777" w:rsidR="00BD0344" w:rsidRPr="00226C43" w:rsidRDefault="00BD0344" w:rsidP="00BD0344">
            <w:pPr>
              <w:spacing w:after="0"/>
              <w:jc w:val="right"/>
              <w:rPr>
                <w:sz w:val="20"/>
                <w:szCs w:val="20"/>
              </w:rPr>
            </w:pPr>
            <w:r w:rsidRPr="00226C43">
              <w:rPr>
                <w:sz w:val="20"/>
                <w:szCs w:val="20"/>
              </w:rPr>
              <w:t>251</w:t>
            </w:r>
          </w:p>
        </w:tc>
      </w:tr>
      <w:tr w:rsidR="00226C43" w:rsidRPr="00226C43" w14:paraId="538A9E57" w14:textId="77777777" w:rsidTr="005801DC">
        <w:trPr>
          <w:jc w:val="center"/>
        </w:trPr>
        <w:tc>
          <w:tcPr>
            <w:tcW w:w="0" w:type="auto"/>
            <w:hideMark/>
          </w:tcPr>
          <w:p w14:paraId="144AB2B7" w14:textId="77777777" w:rsidR="00BD0344" w:rsidRPr="00226C43" w:rsidRDefault="00BD0344" w:rsidP="00BD0344">
            <w:pPr>
              <w:spacing w:after="0"/>
              <w:rPr>
                <w:sz w:val="20"/>
                <w:szCs w:val="20"/>
              </w:rPr>
            </w:pPr>
            <w:r w:rsidRPr="00226C43">
              <w:rPr>
                <w:sz w:val="20"/>
                <w:szCs w:val="20"/>
              </w:rPr>
              <w:t>Information System or Technology</w:t>
            </w:r>
          </w:p>
        </w:tc>
        <w:tc>
          <w:tcPr>
            <w:tcW w:w="0" w:type="auto"/>
            <w:hideMark/>
          </w:tcPr>
          <w:p w14:paraId="10B6E562" w14:textId="77777777" w:rsidR="00BD0344" w:rsidRPr="00226C43" w:rsidRDefault="00BD0344" w:rsidP="00BD0344">
            <w:pPr>
              <w:spacing w:after="0"/>
              <w:jc w:val="right"/>
              <w:rPr>
                <w:sz w:val="20"/>
                <w:szCs w:val="20"/>
              </w:rPr>
            </w:pPr>
            <w:r w:rsidRPr="00226C43">
              <w:rPr>
                <w:sz w:val="20"/>
                <w:szCs w:val="20"/>
              </w:rPr>
              <w:t>96</w:t>
            </w:r>
          </w:p>
        </w:tc>
      </w:tr>
      <w:tr w:rsidR="00226C43" w:rsidRPr="00226C43" w14:paraId="7BE4ABC4" w14:textId="77777777" w:rsidTr="005801DC">
        <w:trPr>
          <w:jc w:val="center"/>
        </w:trPr>
        <w:tc>
          <w:tcPr>
            <w:tcW w:w="0" w:type="auto"/>
            <w:hideMark/>
          </w:tcPr>
          <w:p w14:paraId="07E96339" w14:textId="77777777" w:rsidR="00BD0344" w:rsidRPr="00226C43" w:rsidRDefault="00BD0344" w:rsidP="00BD0344">
            <w:pPr>
              <w:spacing w:after="0"/>
              <w:rPr>
                <w:sz w:val="20"/>
                <w:szCs w:val="20"/>
              </w:rPr>
            </w:pPr>
            <w:r w:rsidRPr="00226C43">
              <w:rPr>
                <w:sz w:val="20"/>
                <w:szCs w:val="20"/>
              </w:rPr>
              <w:t>Law</w:t>
            </w:r>
          </w:p>
        </w:tc>
        <w:tc>
          <w:tcPr>
            <w:tcW w:w="0" w:type="auto"/>
            <w:hideMark/>
          </w:tcPr>
          <w:p w14:paraId="1F903F9A" w14:textId="77777777" w:rsidR="00BD0344" w:rsidRPr="00226C43" w:rsidRDefault="00BD0344" w:rsidP="00BD0344">
            <w:pPr>
              <w:spacing w:after="0"/>
              <w:jc w:val="right"/>
              <w:rPr>
                <w:sz w:val="20"/>
                <w:szCs w:val="20"/>
              </w:rPr>
            </w:pPr>
            <w:r w:rsidRPr="00226C43">
              <w:rPr>
                <w:sz w:val="20"/>
                <w:szCs w:val="20"/>
              </w:rPr>
              <w:t>98</w:t>
            </w:r>
          </w:p>
        </w:tc>
      </w:tr>
      <w:tr w:rsidR="00226C43" w:rsidRPr="00226C43" w14:paraId="292A935C" w14:textId="77777777" w:rsidTr="005801DC">
        <w:trPr>
          <w:jc w:val="center"/>
        </w:trPr>
        <w:tc>
          <w:tcPr>
            <w:tcW w:w="0" w:type="auto"/>
            <w:hideMark/>
          </w:tcPr>
          <w:p w14:paraId="0E9E8095" w14:textId="77777777" w:rsidR="00BD0344" w:rsidRPr="00226C43" w:rsidRDefault="00BD0344" w:rsidP="00BD0344">
            <w:pPr>
              <w:spacing w:after="0"/>
              <w:rPr>
                <w:sz w:val="20"/>
                <w:szCs w:val="20"/>
              </w:rPr>
            </w:pPr>
            <w:r w:rsidRPr="00226C43">
              <w:rPr>
                <w:sz w:val="20"/>
                <w:szCs w:val="20"/>
              </w:rPr>
              <w:t>Natural Resource Management including mining and energy</w:t>
            </w:r>
          </w:p>
        </w:tc>
        <w:tc>
          <w:tcPr>
            <w:tcW w:w="0" w:type="auto"/>
            <w:hideMark/>
          </w:tcPr>
          <w:p w14:paraId="71B789B3" w14:textId="77777777" w:rsidR="00BD0344" w:rsidRPr="00226C43" w:rsidRDefault="00BD0344" w:rsidP="00BD0344">
            <w:pPr>
              <w:spacing w:after="0"/>
              <w:jc w:val="right"/>
              <w:rPr>
                <w:sz w:val="20"/>
                <w:szCs w:val="20"/>
              </w:rPr>
            </w:pPr>
            <w:r w:rsidRPr="00226C43">
              <w:rPr>
                <w:sz w:val="20"/>
                <w:szCs w:val="20"/>
              </w:rPr>
              <w:t>30</w:t>
            </w:r>
          </w:p>
        </w:tc>
      </w:tr>
      <w:tr w:rsidR="00226C43" w:rsidRPr="00226C43" w14:paraId="2DBDC35B" w14:textId="77777777" w:rsidTr="005801DC">
        <w:trPr>
          <w:jc w:val="center"/>
        </w:trPr>
        <w:tc>
          <w:tcPr>
            <w:tcW w:w="0" w:type="auto"/>
            <w:hideMark/>
          </w:tcPr>
          <w:p w14:paraId="616409A9" w14:textId="77777777" w:rsidR="00BD0344" w:rsidRPr="00226C43" w:rsidRDefault="00BD0344" w:rsidP="00BD0344">
            <w:pPr>
              <w:spacing w:after="0"/>
              <w:rPr>
                <w:sz w:val="20"/>
                <w:szCs w:val="20"/>
              </w:rPr>
            </w:pPr>
            <w:r w:rsidRPr="00226C43">
              <w:rPr>
                <w:sz w:val="20"/>
                <w:szCs w:val="20"/>
              </w:rPr>
              <w:t>Peace Studies, Peace and Development</w:t>
            </w:r>
          </w:p>
        </w:tc>
        <w:tc>
          <w:tcPr>
            <w:tcW w:w="0" w:type="auto"/>
            <w:hideMark/>
          </w:tcPr>
          <w:p w14:paraId="55D37F0C" w14:textId="77777777" w:rsidR="00BD0344" w:rsidRPr="00226C43" w:rsidRDefault="00BD0344" w:rsidP="00BD0344">
            <w:pPr>
              <w:spacing w:after="0"/>
              <w:jc w:val="right"/>
              <w:rPr>
                <w:sz w:val="20"/>
                <w:szCs w:val="20"/>
              </w:rPr>
            </w:pPr>
            <w:r w:rsidRPr="00226C43">
              <w:rPr>
                <w:sz w:val="20"/>
                <w:szCs w:val="20"/>
              </w:rPr>
              <w:t>147</w:t>
            </w:r>
          </w:p>
        </w:tc>
      </w:tr>
      <w:tr w:rsidR="00226C43" w:rsidRPr="00226C43" w14:paraId="37DA91C8" w14:textId="77777777" w:rsidTr="005801DC">
        <w:trPr>
          <w:jc w:val="center"/>
        </w:trPr>
        <w:tc>
          <w:tcPr>
            <w:tcW w:w="0" w:type="auto"/>
            <w:hideMark/>
          </w:tcPr>
          <w:p w14:paraId="63FC4549" w14:textId="77777777" w:rsidR="00BD0344" w:rsidRPr="00226C43" w:rsidRDefault="00BD0344" w:rsidP="00BD0344">
            <w:pPr>
              <w:spacing w:after="0"/>
              <w:rPr>
                <w:sz w:val="20"/>
                <w:szCs w:val="20"/>
              </w:rPr>
            </w:pPr>
            <w:r w:rsidRPr="00226C43">
              <w:rPr>
                <w:sz w:val="20"/>
                <w:szCs w:val="20"/>
              </w:rPr>
              <w:t>Social Work</w:t>
            </w:r>
          </w:p>
        </w:tc>
        <w:tc>
          <w:tcPr>
            <w:tcW w:w="0" w:type="auto"/>
            <w:hideMark/>
          </w:tcPr>
          <w:p w14:paraId="5FFAE972" w14:textId="77777777" w:rsidR="00BD0344" w:rsidRPr="00226C43" w:rsidRDefault="00BD0344" w:rsidP="00BD0344">
            <w:pPr>
              <w:spacing w:after="0"/>
              <w:jc w:val="right"/>
              <w:rPr>
                <w:sz w:val="20"/>
                <w:szCs w:val="20"/>
              </w:rPr>
            </w:pPr>
            <w:r w:rsidRPr="00226C43">
              <w:rPr>
                <w:sz w:val="20"/>
                <w:szCs w:val="20"/>
              </w:rPr>
              <w:t>17</w:t>
            </w:r>
          </w:p>
        </w:tc>
      </w:tr>
      <w:tr w:rsidR="00226C43" w:rsidRPr="00226C43" w14:paraId="0201922F" w14:textId="77777777" w:rsidTr="005801DC">
        <w:trPr>
          <w:jc w:val="center"/>
        </w:trPr>
        <w:tc>
          <w:tcPr>
            <w:tcW w:w="0" w:type="auto"/>
            <w:hideMark/>
          </w:tcPr>
          <w:p w14:paraId="5717778D" w14:textId="77777777" w:rsidR="00BD0344" w:rsidRPr="00226C43" w:rsidRDefault="00BD0344" w:rsidP="00BD0344">
            <w:pPr>
              <w:spacing w:after="0"/>
              <w:rPr>
                <w:sz w:val="20"/>
                <w:szCs w:val="20"/>
              </w:rPr>
            </w:pPr>
            <w:r w:rsidRPr="00226C43">
              <w:rPr>
                <w:sz w:val="20"/>
                <w:szCs w:val="20"/>
              </w:rPr>
              <w:t>Trade and Economics, Business, and Finance</w:t>
            </w:r>
          </w:p>
        </w:tc>
        <w:tc>
          <w:tcPr>
            <w:tcW w:w="0" w:type="auto"/>
            <w:hideMark/>
          </w:tcPr>
          <w:p w14:paraId="3A524A85" w14:textId="77777777" w:rsidR="00BD0344" w:rsidRPr="00226C43" w:rsidRDefault="00BD0344" w:rsidP="00BD0344">
            <w:pPr>
              <w:spacing w:after="0"/>
              <w:jc w:val="right"/>
              <w:rPr>
                <w:sz w:val="20"/>
                <w:szCs w:val="20"/>
              </w:rPr>
            </w:pPr>
            <w:r w:rsidRPr="00226C43">
              <w:rPr>
                <w:sz w:val="20"/>
                <w:szCs w:val="20"/>
              </w:rPr>
              <w:t>300</w:t>
            </w:r>
          </w:p>
        </w:tc>
      </w:tr>
      <w:tr w:rsidR="00226C43" w:rsidRPr="00226C43" w14:paraId="2CB8A480" w14:textId="77777777" w:rsidTr="005801DC">
        <w:trPr>
          <w:jc w:val="center"/>
        </w:trPr>
        <w:tc>
          <w:tcPr>
            <w:tcW w:w="0" w:type="auto"/>
            <w:hideMark/>
          </w:tcPr>
          <w:p w14:paraId="1151BB97" w14:textId="77777777" w:rsidR="00BD0344" w:rsidRPr="00226C43" w:rsidRDefault="00BD0344" w:rsidP="00BD0344">
            <w:pPr>
              <w:spacing w:after="0"/>
              <w:rPr>
                <w:sz w:val="20"/>
                <w:szCs w:val="20"/>
              </w:rPr>
            </w:pPr>
            <w:r w:rsidRPr="00226C43">
              <w:rPr>
                <w:sz w:val="20"/>
                <w:szCs w:val="20"/>
              </w:rPr>
              <w:t>Urban and Regional Planning</w:t>
            </w:r>
          </w:p>
        </w:tc>
        <w:tc>
          <w:tcPr>
            <w:tcW w:w="0" w:type="auto"/>
            <w:hideMark/>
          </w:tcPr>
          <w:p w14:paraId="07965146" w14:textId="77777777" w:rsidR="00BD0344" w:rsidRPr="00226C43" w:rsidRDefault="00BD0344" w:rsidP="00BD0344">
            <w:pPr>
              <w:spacing w:after="0"/>
              <w:jc w:val="right"/>
              <w:rPr>
                <w:sz w:val="20"/>
                <w:szCs w:val="20"/>
              </w:rPr>
            </w:pPr>
            <w:r w:rsidRPr="00226C43">
              <w:rPr>
                <w:sz w:val="20"/>
                <w:szCs w:val="20"/>
              </w:rPr>
              <w:t>14</w:t>
            </w:r>
          </w:p>
        </w:tc>
      </w:tr>
      <w:tr w:rsidR="00226C43" w:rsidRPr="00226C43" w14:paraId="199922FA" w14:textId="77777777" w:rsidTr="005801DC">
        <w:trPr>
          <w:jc w:val="center"/>
        </w:trPr>
        <w:tc>
          <w:tcPr>
            <w:tcW w:w="0" w:type="auto"/>
            <w:hideMark/>
          </w:tcPr>
          <w:p w14:paraId="428B9393" w14:textId="77777777" w:rsidR="00BD0344" w:rsidRPr="00226C43" w:rsidRDefault="00BD0344" w:rsidP="00BD0344">
            <w:pPr>
              <w:spacing w:after="0"/>
              <w:rPr>
                <w:sz w:val="20"/>
                <w:szCs w:val="20"/>
              </w:rPr>
            </w:pPr>
            <w:r w:rsidRPr="00226C43">
              <w:rPr>
                <w:sz w:val="20"/>
                <w:szCs w:val="20"/>
              </w:rPr>
              <w:t>Others</w:t>
            </w:r>
          </w:p>
        </w:tc>
        <w:tc>
          <w:tcPr>
            <w:tcW w:w="0" w:type="auto"/>
            <w:hideMark/>
          </w:tcPr>
          <w:p w14:paraId="7FA93668" w14:textId="77777777" w:rsidR="00BD0344" w:rsidRPr="00226C43" w:rsidRDefault="00BD0344" w:rsidP="00BD0344">
            <w:pPr>
              <w:spacing w:after="0"/>
              <w:jc w:val="right"/>
              <w:rPr>
                <w:sz w:val="20"/>
                <w:szCs w:val="20"/>
              </w:rPr>
            </w:pPr>
            <w:r w:rsidRPr="00226C43">
              <w:rPr>
                <w:sz w:val="20"/>
                <w:szCs w:val="20"/>
              </w:rPr>
              <w:t>61</w:t>
            </w:r>
          </w:p>
        </w:tc>
      </w:tr>
    </w:tbl>
    <w:p w14:paraId="6C372380" w14:textId="77777777" w:rsidR="00B50B53" w:rsidRPr="00226C43" w:rsidRDefault="00B50B53" w:rsidP="00974E2F">
      <w:pPr>
        <w:spacing w:after="0"/>
        <w:jc w:val="center"/>
        <w:rPr>
          <w:b/>
          <w:sz w:val="20"/>
          <w:szCs w:val="20"/>
        </w:rPr>
      </w:pPr>
    </w:p>
    <w:p w14:paraId="54D33256" w14:textId="2C32AA1B" w:rsidR="00CB3DC4" w:rsidRPr="00226C43" w:rsidRDefault="00CB3DC4" w:rsidP="008A699D">
      <w:r w:rsidRPr="00226C43">
        <w:t xml:space="preserve">The Alumni Engagement Strategy underscores the significant contributions alumni make to Australia’s public diplomacy objectives, strengthening diplomatic access, promoting trade and business links, advancing education and research, and showcasing Australia as a modern, innovative society. With an impressive 3,907 alumni </w:t>
      </w:r>
      <w:r w:rsidR="00F22773" w:rsidRPr="00226C43">
        <w:t xml:space="preserve">in the database </w:t>
      </w:r>
      <w:r w:rsidRPr="00226C43">
        <w:t>as of August 2023</w:t>
      </w:r>
      <w:r w:rsidR="0043681B" w:rsidRPr="00226C43">
        <w:rPr>
          <w:rStyle w:val="FootnoteReference"/>
        </w:rPr>
        <w:footnoteReference w:id="18"/>
      </w:r>
      <w:r w:rsidRPr="00226C43">
        <w:t xml:space="preserve">, the program </w:t>
      </w:r>
      <w:r w:rsidR="0043681B" w:rsidRPr="00226C43">
        <w:t xml:space="preserve">continues to </w:t>
      </w:r>
      <w:r w:rsidRPr="00226C43">
        <w:t>buil</w:t>
      </w:r>
      <w:r w:rsidR="0043681B" w:rsidRPr="00226C43">
        <w:t>d</w:t>
      </w:r>
      <w:r w:rsidRPr="00226C43">
        <w:t xml:space="preserve"> a diverse and inclusive network, demonstrating its expansive reach.</w:t>
      </w:r>
    </w:p>
    <w:p w14:paraId="453EEBA7" w14:textId="49D3136A" w:rsidR="00CB3DC4" w:rsidRPr="00226C43" w:rsidRDefault="00CB3DC4" w:rsidP="00CB3DC4">
      <w:r w:rsidRPr="00226C43">
        <w:t xml:space="preserve">The alumni community reflects notable inclusivity, with 2,290 female alumni compared to 1,609 male alumni, and commendable participation from 31 persons with disabilities and 118 Indigenous </w:t>
      </w:r>
      <w:r w:rsidR="00A067C9" w:rsidRPr="00226C43">
        <w:t xml:space="preserve">Persons </w:t>
      </w:r>
      <w:r w:rsidRPr="00226C43">
        <w:t>(IP). This highlights the program's alignment with GEDSI principles, fostering equity and representation.</w:t>
      </w:r>
    </w:p>
    <w:p w14:paraId="19E33A6A" w14:textId="5B06F717" w:rsidR="00CB3DC4" w:rsidRPr="00226C43" w:rsidRDefault="00CB3DC4" w:rsidP="00CB3DC4">
      <w:r w:rsidRPr="00226C43">
        <w:t xml:space="preserve">Alumni expertise spans a wide range of priority areas, demonstrating the program's strategic alignment with national and regional development needs. Key areas include </w:t>
      </w:r>
      <w:r w:rsidR="006D7A73" w:rsidRPr="00226C43">
        <w:t>education with 496 alumni, governance and public policy (including civil society, media, and foreign relations) leading with 1,919 alumni, and trade and economics, business, and finance with 300 alumni</w:t>
      </w:r>
      <w:r w:rsidRPr="00226C43">
        <w:t xml:space="preserve">. Other notable areas </w:t>
      </w:r>
      <w:r w:rsidR="006D7A73" w:rsidRPr="00226C43">
        <w:t>include environment (131 alumni), health</w:t>
      </w:r>
      <w:r w:rsidRPr="00226C43">
        <w:t xml:space="preserve"> (52 alumni), and </w:t>
      </w:r>
      <w:r w:rsidR="006D7A73" w:rsidRPr="00226C43">
        <w:t xml:space="preserve">human resources and organisational development </w:t>
      </w:r>
      <w:r w:rsidRPr="00226C43">
        <w:t xml:space="preserve">with 251 alumni. Additionally, expertise in </w:t>
      </w:r>
      <w:r w:rsidR="006D7A73" w:rsidRPr="00226C43">
        <w:t>emerging areas such as peace and development (147 alumni) and information technology (96 alumni) showcase the breadth of skills contributing to global priorities.</w:t>
      </w:r>
    </w:p>
    <w:p w14:paraId="2FA7F48E" w14:textId="595DB40A" w:rsidR="00724927" w:rsidRDefault="00CB3DC4" w:rsidP="00724927">
      <w:r w:rsidRPr="00226C43">
        <w:t>The alumni network’s diversity and specialised knowledge create a robust platform for collaboration, capacity-building, and policy influence, advancing both Australia’s diplomatic priorities and the development goals of partner countries. The program's inclusive engagement ensures that alumni remain valuable ambassadors and contributors to key sectors, solidifying Australia’s position as a trusted partner in education and innovation.</w:t>
      </w:r>
      <w:r w:rsidR="00724927">
        <w:br w:type="page"/>
      </w:r>
    </w:p>
    <w:p w14:paraId="40C84FE3" w14:textId="5841BCD5" w:rsidR="4DD21A85" w:rsidRPr="00226C43" w:rsidRDefault="4DD21A85" w:rsidP="00BF0FC1">
      <w:pPr>
        <w:pStyle w:val="Heading4"/>
        <w:rPr>
          <w:rFonts w:asciiTheme="minorHAnsi" w:hAnsiTheme="minorHAnsi"/>
          <w:color w:val="auto"/>
        </w:rPr>
      </w:pPr>
      <w:r w:rsidRPr="00226C43">
        <w:rPr>
          <w:rFonts w:asciiTheme="minorHAnsi" w:hAnsiTheme="minorHAnsi"/>
          <w:color w:val="auto"/>
        </w:rPr>
        <w:lastRenderedPageBreak/>
        <w:t>Tracer Study</w:t>
      </w:r>
    </w:p>
    <w:p w14:paraId="0C95BBD0" w14:textId="2B4B3E2A" w:rsidR="00F7490A" w:rsidRDefault="00F7490A" w:rsidP="00307206">
      <w:pPr>
        <w:spacing w:after="0"/>
      </w:pPr>
      <w:r w:rsidRPr="00226C43">
        <w:t>The 2023 Tracer Study highlighted the following key findings regarding REAPs:</w:t>
      </w:r>
    </w:p>
    <w:p w14:paraId="6B606326" w14:textId="23734561" w:rsidR="00AF5A7A" w:rsidRPr="00226C43" w:rsidRDefault="00EC6E4D" w:rsidP="00742F7B">
      <w:pPr>
        <w:pStyle w:val="Caption"/>
        <w:spacing w:after="0"/>
        <w:rPr>
          <w:color w:val="auto"/>
        </w:rPr>
      </w:pPr>
      <w:bookmarkStart w:id="30" w:name="_Toc190939910"/>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003735AF" w:rsidRPr="00226C43">
        <w:rPr>
          <w:noProof/>
          <w:color w:val="auto"/>
        </w:rPr>
        <w:t>12</w:t>
      </w:r>
      <w:r w:rsidR="000113F9" w:rsidRPr="00226C43">
        <w:rPr>
          <w:noProof/>
          <w:color w:val="auto"/>
        </w:rPr>
        <w:fldChar w:fldCharType="end"/>
      </w:r>
      <w:r w:rsidRPr="00226C43">
        <w:rPr>
          <w:color w:val="auto"/>
        </w:rPr>
        <w:t>: Tracer Study Findings on REAPs</w:t>
      </w:r>
      <w:bookmarkEnd w:id="30"/>
    </w:p>
    <w:p w14:paraId="4F814AE8" w14:textId="77777777" w:rsidR="00724927" w:rsidRPr="00226C43" w:rsidRDefault="00724927" w:rsidP="00974E2F">
      <w:pPr>
        <w:spacing w:after="0"/>
        <w:rPr>
          <w:b/>
          <w:sz w:val="20"/>
          <w:szCs w:val="20"/>
        </w:rPr>
      </w:pPr>
      <w:r w:rsidRPr="00226C43">
        <w:rPr>
          <w:b/>
          <w:sz w:val="20"/>
          <w:szCs w:val="20"/>
        </w:rPr>
        <w:t>Findings from the 2023 Tracer Study revealed that:</w:t>
      </w:r>
    </w:p>
    <w:p w14:paraId="2E2377F4" w14:textId="77777777" w:rsidR="00724927" w:rsidRPr="00724927" w:rsidRDefault="00724927" w:rsidP="00724927">
      <w:pPr>
        <w:pStyle w:val="ListParagraph"/>
        <w:numPr>
          <w:ilvl w:val="0"/>
          <w:numId w:val="71"/>
        </w:numPr>
        <w:spacing w:after="0"/>
        <w:rPr>
          <w:sz w:val="20"/>
          <w:szCs w:val="20"/>
        </w:rPr>
      </w:pPr>
      <w:r w:rsidRPr="00724927">
        <w:rPr>
          <w:sz w:val="20"/>
          <w:szCs w:val="20"/>
        </w:rPr>
        <w:t>80% reported that their REAPs or initiatives have significantly contributed to the improvement in their work units/organisational capacity and staff competency including organisational goals.</w:t>
      </w:r>
    </w:p>
    <w:p w14:paraId="21BDA508" w14:textId="77777777" w:rsidR="00724927" w:rsidRPr="00724927" w:rsidRDefault="00724927" w:rsidP="00724927">
      <w:pPr>
        <w:pStyle w:val="ListParagraph"/>
        <w:numPr>
          <w:ilvl w:val="0"/>
          <w:numId w:val="71"/>
        </w:numPr>
        <w:spacing w:after="0"/>
        <w:rPr>
          <w:sz w:val="20"/>
          <w:szCs w:val="20"/>
        </w:rPr>
      </w:pPr>
      <w:r w:rsidRPr="00724927">
        <w:rPr>
          <w:sz w:val="20"/>
          <w:szCs w:val="20"/>
        </w:rPr>
        <w:t>60% reported that their REAPs or initiatives have contributed to Australian interests (e.g., investment and business linkages, promoting capabilities and credentials of Australians), education/institution, promoting Australia as an open and innovative society.</w:t>
      </w:r>
    </w:p>
    <w:p w14:paraId="0370F223" w14:textId="77777777" w:rsidR="00724927" w:rsidRPr="00724927" w:rsidRDefault="00724927" w:rsidP="00724927">
      <w:pPr>
        <w:pStyle w:val="ListParagraph"/>
        <w:numPr>
          <w:ilvl w:val="0"/>
          <w:numId w:val="71"/>
        </w:numPr>
        <w:spacing w:after="0"/>
        <w:rPr>
          <w:sz w:val="20"/>
          <w:szCs w:val="20"/>
        </w:rPr>
      </w:pPr>
      <w:r w:rsidRPr="00724927">
        <w:rPr>
          <w:sz w:val="20"/>
          <w:szCs w:val="20"/>
        </w:rPr>
        <w:t>62% reported that their REAPs or initiatives have significantly contributed to the Philippine Development Plan or DFAT’s Australia’s AIP (2015–2018).</w:t>
      </w:r>
    </w:p>
    <w:p w14:paraId="1F05CE1B" w14:textId="77777777" w:rsidR="00724927" w:rsidRPr="00724927" w:rsidRDefault="00724927" w:rsidP="00724927">
      <w:pPr>
        <w:pStyle w:val="ListParagraph"/>
        <w:numPr>
          <w:ilvl w:val="0"/>
          <w:numId w:val="71"/>
        </w:numPr>
        <w:spacing w:after="0"/>
        <w:rPr>
          <w:sz w:val="20"/>
          <w:szCs w:val="20"/>
        </w:rPr>
      </w:pPr>
      <w:r w:rsidRPr="00724927">
        <w:rPr>
          <w:sz w:val="20"/>
          <w:szCs w:val="20"/>
        </w:rPr>
        <w:t>55% reported that their REAP contributed to GEDSI.</w:t>
      </w:r>
    </w:p>
    <w:p w14:paraId="3CC0ADC9" w14:textId="77777777" w:rsidR="00724927" w:rsidRPr="00724927" w:rsidRDefault="00724927" w:rsidP="00724927">
      <w:pPr>
        <w:pStyle w:val="ListParagraph"/>
        <w:numPr>
          <w:ilvl w:val="0"/>
          <w:numId w:val="71"/>
        </w:numPr>
        <w:spacing w:after="0"/>
        <w:rPr>
          <w:sz w:val="20"/>
          <w:szCs w:val="20"/>
        </w:rPr>
      </w:pPr>
      <w:r w:rsidRPr="00724927">
        <w:rPr>
          <w:sz w:val="20"/>
          <w:szCs w:val="20"/>
        </w:rPr>
        <w:t>50% reported that their REAPs contributed to COVID recovery initiatives.</w:t>
      </w:r>
    </w:p>
    <w:p w14:paraId="2B74AD75" w14:textId="49BD4AD1" w:rsidR="00732CB5" w:rsidRPr="00610A3E" w:rsidRDefault="00C422C0" w:rsidP="00732CB5">
      <w:pPr>
        <w:pStyle w:val="Heading5"/>
        <w:rPr>
          <w:rFonts w:asciiTheme="minorHAnsi" w:hAnsiTheme="minorHAnsi"/>
          <w:color w:val="auto"/>
        </w:rPr>
      </w:pPr>
      <w:r w:rsidRPr="00226C43">
        <w:rPr>
          <w:rFonts w:asciiTheme="minorHAnsi" w:hAnsiTheme="minorHAnsi"/>
          <w:color w:val="auto"/>
        </w:rPr>
        <w:t>Stakeholders’ perceptions</w:t>
      </w:r>
    </w:p>
    <w:p w14:paraId="7A2DC825" w14:textId="77777777" w:rsidR="00732CB5" w:rsidRDefault="00732CB5" w:rsidP="00732CB5">
      <w:pPr>
        <w:spacing w:after="0"/>
        <w:rPr>
          <w:b/>
          <w:bCs/>
          <w:sz w:val="20"/>
          <w:szCs w:val="20"/>
        </w:rPr>
      </w:pPr>
    </w:p>
    <w:p w14:paraId="7A31E21F" w14:textId="187FCED0" w:rsidR="00732CB5" w:rsidRPr="00610A3E" w:rsidRDefault="00732CB5" w:rsidP="00610A3E">
      <w:pPr>
        <w:spacing w:after="0"/>
        <w:rPr>
          <w:b/>
          <w:bCs/>
        </w:rPr>
      </w:pPr>
      <w:r w:rsidRPr="00610A3E">
        <w:rPr>
          <w:b/>
          <w:bCs/>
        </w:rPr>
        <w:t xml:space="preserve">2.1 </w:t>
      </w:r>
      <w:r w:rsidR="0036658C" w:rsidRPr="00610A3E">
        <w:rPr>
          <w:b/>
          <w:bCs/>
        </w:rPr>
        <w:t>What do key informants think about AAAEP–P’s effectiveness?</w:t>
      </w:r>
    </w:p>
    <w:p w14:paraId="185851D9" w14:textId="5F166BC9" w:rsidR="0036658C" w:rsidRPr="00610A3E" w:rsidRDefault="0036658C" w:rsidP="00610A3E">
      <w:pPr>
        <w:spacing w:after="0"/>
        <w:rPr>
          <w:b/>
          <w:bCs/>
        </w:rPr>
      </w:pPr>
      <w:r w:rsidRPr="00610A3E">
        <w:t xml:space="preserve">The key themes that interviewees spoke about regarding the </w:t>
      </w:r>
      <w:r w:rsidRPr="00610A3E">
        <w:rPr>
          <w:i/>
          <w:iCs/>
        </w:rPr>
        <w:t>effectiveness</w:t>
      </w:r>
      <w:r w:rsidRPr="00610A3E">
        <w:t xml:space="preserve"> of the program underscored how well it equipped participants with practical skills and tools that have directly translated into tangible improvements across various sectors. </w:t>
      </w:r>
    </w:p>
    <w:p w14:paraId="0F48B32C" w14:textId="77777777" w:rsidR="0036658C" w:rsidRPr="00610A3E" w:rsidRDefault="0036658C" w:rsidP="0036658C">
      <w:r w:rsidRPr="00610A3E">
        <w:t>R1 applied her Australia Awards short course learnings to improve her work at the Department of Public Works and Highways (DPWH), particularly in policy formulation and training facilitation. Through courses such as Training of Trainers, Coaching and Mentoring, and Policy Research and Development, she enhanced her ability to deliver training, engage in evidence-based policymaking, and implement structured coaching and mentoring within her department. These skills were particularly beneficial as she progressed to a section chief role, enabling her to support personnel development, optimise policy implementation, and enhance governance processes. The impact of her learning extended beyond personal career growth to institutional improvements. Her REAP, which focused on optimising fund utilisation and addressing the increasing number of orders at DPWH, was recognized as one of the best proposals and was endorsed for further review. She also played a role in developing a policy template for regional and district offices, ensuring a structured, evidence-based approach to policy drafting.</w:t>
      </w:r>
    </w:p>
    <w:p w14:paraId="730E6171" w14:textId="77777777" w:rsidR="0036658C" w:rsidRPr="00610A3E" w:rsidRDefault="0036658C" w:rsidP="0036658C">
      <w:r w:rsidRPr="00610A3E">
        <w:t>Many highlighted the significant impact of REAPs, which enabled them to implement targeted initiatives aligned with their organisational and community priorities. The program’s focus on leadership training and technical skills was felt to have empowered alumni to establish new programs, improve service delivery and create systemic changes, such as modernising governance systems and enhancing public health outcomes. Additionally, the strong alumni networks were seen to have facilitated ongoing collaboration and knowledge-sharing, ensuring the sustainability and amplification of these outcomes. Overall, the program was perceived as effective in fostering leadership, streamlining operations and driving measurable improvements across governance, education, health and community development. Detailed quotes from Key Informant Interviews (KIIs) on effectiveness are set out in Appendix G.</w:t>
      </w:r>
    </w:p>
    <w:p w14:paraId="09BD30AD" w14:textId="77777777" w:rsidR="0036658C" w:rsidRPr="00610A3E" w:rsidRDefault="0036658C" w:rsidP="00610A3E">
      <w:pPr>
        <w:pStyle w:val="Quote"/>
        <w:spacing w:before="0"/>
        <w:ind w:left="0"/>
        <w:rPr>
          <w:color w:val="auto"/>
          <w:sz w:val="24"/>
        </w:rPr>
      </w:pPr>
      <w:r w:rsidRPr="00610A3E">
        <w:rPr>
          <w:color w:val="auto"/>
          <w:sz w:val="24"/>
        </w:rPr>
        <w:lastRenderedPageBreak/>
        <w:t>‘The training allowed me to create climate-smart policies that directly addressed the needs of vulnerable populations, making a tangible difference in my work.’ R4.</w:t>
      </w:r>
    </w:p>
    <w:p w14:paraId="5BD6772D" w14:textId="3A0123CE" w:rsidR="0036658C" w:rsidRPr="00F05BE1" w:rsidRDefault="0036658C" w:rsidP="00610A3E">
      <w:pPr>
        <w:rPr>
          <w:bCs/>
        </w:rPr>
      </w:pPr>
      <w:r w:rsidRPr="00610A3E">
        <w:t>‘The leadership training provided tools that improved service delivery within my office, allowing us to apply agile methods to streamline processes and enhance customer satisfaction.’ R5.</w:t>
      </w:r>
    </w:p>
    <w:p w14:paraId="5ECD6892" w14:textId="77777777" w:rsidR="00FA62F3" w:rsidRPr="00FA62F3" w:rsidRDefault="00FA62F3" w:rsidP="00FA62F3">
      <w:pPr>
        <w:spacing w:after="0"/>
      </w:pPr>
    </w:p>
    <w:p w14:paraId="694E709A" w14:textId="7A394E72" w:rsidR="00271A22" w:rsidRPr="00226C43" w:rsidRDefault="00B80FCC" w:rsidP="00CC5099">
      <w:pPr>
        <w:pStyle w:val="Heading5"/>
        <w:spacing w:before="0"/>
        <w:rPr>
          <w:rFonts w:asciiTheme="minorHAnsi" w:hAnsiTheme="minorHAnsi"/>
          <w:i/>
          <w:iCs/>
          <w:color w:val="auto"/>
        </w:rPr>
      </w:pPr>
      <w:r w:rsidRPr="00226C43">
        <w:rPr>
          <w:rFonts w:asciiTheme="minorHAnsi" w:hAnsiTheme="minorHAnsi"/>
          <w:color w:val="auto"/>
        </w:rPr>
        <w:t xml:space="preserve">2.2 </w:t>
      </w:r>
      <w:r w:rsidR="4DD21A85" w:rsidRPr="00226C43">
        <w:rPr>
          <w:rFonts w:asciiTheme="minorHAnsi" w:hAnsiTheme="minorHAnsi"/>
          <w:color w:val="auto"/>
        </w:rPr>
        <w:t xml:space="preserve">What factors were crucial for the achievement or failure to achieve AAAEP–P outcomes? </w:t>
      </w:r>
    </w:p>
    <w:p w14:paraId="0D019FFF" w14:textId="7E751535" w:rsidR="00BE60F1" w:rsidRPr="00226C43" w:rsidRDefault="4DD21A85" w:rsidP="4DD21A85">
      <w:r w:rsidRPr="00226C43">
        <w:t>The program’s knowledge, history and relationships in this space, particularly those facilitated by the managing contractor</w:t>
      </w:r>
      <w:r w:rsidR="001C5235" w:rsidRPr="00226C43">
        <w:t>’s implementation team</w:t>
      </w:r>
      <w:r w:rsidRPr="00226C43">
        <w:t>, are a key factor to the effective delivery of AAAEP–P.</w:t>
      </w:r>
    </w:p>
    <w:p w14:paraId="1263B775" w14:textId="3CE1DBE4" w:rsidR="00BE60F1" w:rsidRPr="00226C43" w:rsidRDefault="4DD21A85" w:rsidP="4DD21A85">
      <w:r w:rsidRPr="00226C43">
        <w:t xml:space="preserve">The focus on developing and strengthening capacity among participants (being a higher education program) was an effective contribution to achieving the </w:t>
      </w:r>
      <w:r w:rsidR="5C0C26A8" w:rsidRPr="00226C43">
        <w:t>p</w:t>
      </w:r>
      <w:r w:rsidRPr="00226C43">
        <w:t>rogram’s EOPOs and goal. This was particularly noted in the government sector, where trained individuals were applying their new skills to improve institutional processes and outcomes. Good examples were also noted in the private sector.</w:t>
      </w:r>
    </w:p>
    <w:p w14:paraId="659093CA" w14:textId="11D5A8FB" w:rsidR="4DD21A85" w:rsidRPr="00226C43" w:rsidRDefault="4DD21A85" w:rsidP="00061D40">
      <w:r w:rsidRPr="00226C43">
        <w:t xml:space="preserve">Alumni demonstrated high-calibre impact on GPH and the Embassy’s objectives, especially through </w:t>
      </w:r>
      <w:r w:rsidR="00184010" w:rsidRPr="00226C43">
        <w:t xml:space="preserve">implementation of their REAPs, </w:t>
      </w:r>
      <w:r w:rsidR="008D354E" w:rsidRPr="00226C43">
        <w:t xml:space="preserve">through application of the skills and knowledge that they gained while on award, or </w:t>
      </w:r>
      <w:r w:rsidR="004C487F" w:rsidRPr="00226C43">
        <w:t>by leveraging individuals and resources</w:t>
      </w:r>
      <w:r w:rsidR="007412D8" w:rsidRPr="00226C43">
        <w:t xml:space="preserve"> they accessed via </w:t>
      </w:r>
      <w:r w:rsidRPr="00226C43">
        <w:t>the Alumni Network</w:t>
      </w:r>
      <w:r w:rsidR="007412D8" w:rsidRPr="00226C43">
        <w:t xml:space="preserve"> and the communities of practice.</w:t>
      </w:r>
      <w:r w:rsidRPr="00226C43">
        <w:t xml:space="preserve"> Investment in alumni networks significantly amplified the Embassy’s influence and outcomes. </w:t>
      </w:r>
      <w:r w:rsidR="00970A73" w:rsidRPr="00226C43">
        <w:t>Despite occasional confusion about alumni branding, f</w:t>
      </w:r>
      <w:r w:rsidRPr="00226C43">
        <w:t xml:space="preserve">or alumni, these networks provided valued platforms for knowledge sharing and career support. </w:t>
      </w:r>
    </w:p>
    <w:p w14:paraId="087DF68F" w14:textId="534D918F" w:rsidR="00BE60F1" w:rsidRPr="00226C43" w:rsidRDefault="4DD21A85" w:rsidP="00061D40">
      <w:r w:rsidRPr="00226C43">
        <w:t>The selection processes for scholarships, ICSP and short courses were well set up, focussing on transparency and established through the Targeted and Open processes. Some nomination processes within GPH agencies were individually critiqued, but these operated within a political economy outside the program</w:t>
      </w:r>
      <w:r w:rsidR="00FA302B" w:rsidRPr="00226C43">
        <w:t>’s sphere of influence</w:t>
      </w:r>
      <w:r w:rsidRPr="00226C43">
        <w:t xml:space="preserve">. </w:t>
      </w:r>
      <w:r w:rsidR="00063778" w:rsidRPr="00226C43">
        <w:t xml:space="preserve">Opportunities exist to </w:t>
      </w:r>
      <w:r w:rsidR="000A454A" w:rsidRPr="00226C43">
        <w:t xml:space="preserve">build on </w:t>
      </w:r>
      <w:r w:rsidRPr="00226C43">
        <w:rPr>
          <w:rFonts w:eastAsia="Aptos" w:cs="Aptos"/>
        </w:rPr>
        <w:t xml:space="preserve">the </w:t>
      </w:r>
      <w:r w:rsidR="00E97664" w:rsidRPr="00226C43">
        <w:rPr>
          <w:rFonts w:eastAsia="Aptos" w:cs="Aptos"/>
        </w:rPr>
        <w:t xml:space="preserve">program’s </w:t>
      </w:r>
      <w:r w:rsidRPr="00226C43">
        <w:rPr>
          <w:rFonts w:eastAsia="Aptos" w:cs="Aptos"/>
        </w:rPr>
        <w:t xml:space="preserve">agreed </w:t>
      </w:r>
      <w:r w:rsidR="000A454A" w:rsidRPr="00226C43">
        <w:rPr>
          <w:rFonts w:eastAsia="Aptos" w:cs="Aptos"/>
        </w:rPr>
        <w:t>merit-based</w:t>
      </w:r>
      <w:r w:rsidR="00CE2951" w:rsidRPr="00226C43">
        <w:rPr>
          <w:rFonts w:eastAsia="Aptos" w:cs="Aptos"/>
        </w:rPr>
        <w:t xml:space="preserve"> </w:t>
      </w:r>
      <w:r w:rsidRPr="00226C43">
        <w:rPr>
          <w:rFonts w:eastAsia="Aptos" w:cs="Aptos"/>
        </w:rPr>
        <w:t xml:space="preserve">selection process </w:t>
      </w:r>
      <w:r w:rsidR="000A454A" w:rsidRPr="00226C43">
        <w:rPr>
          <w:rFonts w:eastAsia="Aptos" w:cs="Aptos"/>
        </w:rPr>
        <w:t>and ensure that any deviations are</w:t>
      </w:r>
      <w:r w:rsidRPr="00226C43">
        <w:rPr>
          <w:rFonts w:eastAsia="Aptos" w:cs="Aptos"/>
        </w:rPr>
        <w:t xml:space="preserve"> clearly communicate</w:t>
      </w:r>
      <w:r w:rsidR="000A454A" w:rsidRPr="00226C43">
        <w:rPr>
          <w:rFonts w:eastAsia="Aptos" w:cs="Aptos"/>
        </w:rPr>
        <w:t xml:space="preserve">d to stakeholders, particularly </w:t>
      </w:r>
      <w:r w:rsidR="000A1881" w:rsidRPr="00226C43">
        <w:rPr>
          <w:rFonts w:eastAsia="Aptos" w:cs="Aptos"/>
        </w:rPr>
        <w:t xml:space="preserve">the </w:t>
      </w:r>
      <w:r w:rsidR="006D1DB8" w:rsidRPr="00226C43">
        <w:rPr>
          <w:rFonts w:eastAsia="Aptos" w:cs="Aptos"/>
        </w:rPr>
        <w:t>PCC</w:t>
      </w:r>
      <w:r w:rsidRPr="00226C43">
        <w:rPr>
          <w:rFonts w:eastAsia="Aptos" w:cs="Aptos"/>
        </w:rPr>
        <w:t xml:space="preserve"> members who also serve</w:t>
      </w:r>
      <w:r w:rsidR="006D1DB8" w:rsidRPr="00226C43">
        <w:rPr>
          <w:rFonts w:eastAsia="Aptos" w:cs="Aptos"/>
        </w:rPr>
        <w:t>d</w:t>
      </w:r>
      <w:r w:rsidRPr="00226C43">
        <w:rPr>
          <w:rFonts w:eastAsia="Aptos" w:cs="Aptos"/>
        </w:rPr>
        <w:t xml:space="preserve"> on the selection committee</w:t>
      </w:r>
      <w:r w:rsidR="006D1DB8" w:rsidRPr="00226C43">
        <w:rPr>
          <w:rStyle w:val="FootnoteReference"/>
          <w:rFonts w:eastAsia="Aptos" w:cs="Aptos"/>
        </w:rPr>
        <w:footnoteReference w:id="19"/>
      </w:r>
      <w:r w:rsidR="006A0084" w:rsidRPr="00226C43">
        <w:rPr>
          <w:rFonts w:eastAsia="Aptos" w:cs="Aptos"/>
        </w:rPr>
        <w:t xml:space="preserve">. This </w:t>
      </w:r>
      <w:r w:rsidR="00C32645" w:rsidRPr="00226C43">
        <w:rPr>
          <w:rFonts w:eastAsia="Aptos" w:cs="Aptos"/>
        </w:rPr>
        <w:t>would help</w:t>
      </w:r>
      <w:r w:rsidRPr="00226C43">
        <w:rPr>
          <w:rFonts w:eastAsia="Aptos" w:cs="Aptos"/>
        </w:rPr>
        <w:t xml:space="preserve"> to minimise risks to integrity and reputation</w:t>
      </w:r>
      <w:r w:rsidRPr="00226C43">
        <w:t>.</w:t>
      </w:r>
      <w:r w:rsidR="0078429F" w:rsidRPr="00226C43">
        <w:t xml:space="preserve"> </w:t>
      </w:r>
    </w:p>
    <w:p w14:paraId="63688125" w14:textId="56D92BF8" w:rsidR="00BE60F1" w:rsidRPr="00226C43" w:rsidRDefault="00C32645" w:rsidP="4DD21A85">
      <w:r w:rsidRPr="00226C43">
        <w:t>The program’s g</w:t>
      </w:r>
      <w:r w:rsidR="4DD21A85" w:rsidRPr="00226C43">
        <w:t>overnance arrangements</w:t>
      </w:r>
      <w:r w:rsidRPr="00226C43">
        <w:t>, however,</w:t>
      </w:r>
      <w:r w:rsidR="4DD21A85" w:rsidRPr="00226C43">
        <w:t xml:space="preserve"> were less effective, particularly in the latter phase of the </w:t>
      </w:r>
      <w:r w:rsidR="0D87F3D8" w:rsidRPr="00226C43">
        <w:t>program</w:t>
      </w:r>
      <w:r w:rsidR="4DD21A85" w:rsidRPr="00226C43">
        <w:t>, with fewer PCC and Board meetings.</w:t>
      </w:r>
      <w:r w:rsidR="0078429F" w:rsidRPr="00226C43">
        <w:t xml:space="preserve"> </w:t>
      </w:r>
      <w:r w:rsidR="004A5471" w:rsidRPr="00226C43">
        <w:rPr>
          <w:rFonts w:eastAsia="Aptos" w:cs="Aptos"/>
        </w:rPr>
        <w:t>These limited opportunities</w:t>
      </w:r>
      <w:r w:rsidR="4DD21A85" w:rsidRPr="00226C43">
        <w:rPr>
          <w:rFonts w:eastAsia="Aptos" w:cs="Aptos"/>
        </w:rPr>
        <w:t xml:space="preserve"> for Embassy engagement and restricted governance mechanisms from effectively addressing program divergences, particularly those related to the work plan</w:t>
      </w:r>
      <w:r w:rsidR="4DD21A85" w:rsidRPr="00226C43">
        <w:t xml:space="preserve">. To its credit, the managing contractor delivered a high-quality and impactful program within </w:t>
      </w:r>
      <w:r w:rsidR="007B48A1" w:rsidRPr="00226C43">
        <w:t>this</w:t>
      </w:r>
      <w:r w:rsidR="4DD21A85" w:rsidRPr="00226C43">
        <w:t xml:space="preserve"> weak</w:t>
      </w:r>
      <w:r w:rsidR="007B48A1" w:rsidRPr="00226C43">
        <w:t>ened</w:t>
      </w:r>
      <w:r w:rsidR="4DD21A85" w:rsidRPr="00226C43">
        <w:t xml:space="preserve"> governance context.</w:t>
      </w:r>
    </w:p>
    <w:p w14:paraId="3B2F674C" w14:textId="076DAA31" w:rsidR="00BE60F1" w:rsidRPr="00226C43" w:rsidRDefault="4DD21A85" w:rsidP="00061D40">
      <w:r w:rsidRPr="00226C43">
        <w:lastRenderedPageBreak/>
        <w:t>The program’s use of MEL tools, such as competency scorecards and REAPs provided valuable insights into the effectiveness of the training programs and allowed for continuous improvement. Robust data collection and analysis</w:t>
      </w:r>
      <w:r w:rsidR="0078429F" w:rsidRPr="00226C43">
        <w:t xml:space="preserve"> </w:t>
      </w:r>
      <w:r w:rsidR="1EDFABE5" w:rsidRPr="00226C43">
        <w:t>w</w:t>
      </w:r>
      <w:r w:rsidR="007412D8" w:rsidRPr="00226C43">
        <w:t>ere</w:t>
      </w:r>
      <w:r w:rsidR="1EDFABE5" w:rsidRPr="00226C43">
        <w:t xml:space="preserve"> important</w:t>
      </w:r>
      <w:r w:rsidRPr="00226C43">
        <w:t xml:space="preserve"> for tracking the program’s outcomes. While the qualitative feedback was important, there was also a strong emphasis on gathering quantitative data to support the program's success stories.</w:t>
      </w:r>
    </w:p>
    <w:p w14:paraId="44FEC86B" w14:textId="119DF42B" w:rsidR="003A3F5A" w:rsidRPr="00226C43" w:rsidRDefault="4DD21A85" w:rsidP="00EE25B1">
      <w:pPr>
        <w:spacing w:after="0"/>
      </w:pPr>
      <w:r w:rsidRPr="00226C43">
        <w:t xml:space="preserve">Finally, the program’s </w:t>
      </w:r>
      <w:r w:rsidRPr="00226C43">
        <w:rPr>
          <w:i/>
          <w:iCs/>
        </w:rPr>
        <w:t>Communications and Public Diplomacy Strategy</w:t>
      </w:r>
      <w:r w:rsidRPr="00226C43">
        <w:t xml:space="preserve"> was a key factor which supported the program’s achievement of its objectives. The </w:t>
      </w:r>
      <w:r w:rsidR="3C53FC1E" w:rsidRPr="00226C43">
        <w:t>strategy</w:t>
      </w:r>
      <w:r w:rsidRPr="00226C43">
        <w:t xml:space="preserve"> included several communications goals including </w:t>
      </w:r>
      <w:r w:rsidRPr="00226C43">
        <w:rPr>
          <w:i/>
          <w:iCs/>
        </w:rPr>
        <w:t>inter alia</w:t>
      </w:r>
      <w:r w:rsidRPr="00226C43">
        <w:t xml:space="preserve">: </w:t>
      </w:r>
    </w:p>
    <w:p w14:paraId="0BDD4B11" w14:textId="1411AA58" w:rsidR="00151F62" w:rsidRPr="00226C43" w:rsidRDefault="4DD21A85" w:rsidP="00925CC1">
      <w:pPr>
        <w:pStyle w:val="ListParagraph"/>
        <w:numPr>
          <w:ilvl w:val="0"/>
          <w:numId w:val="32"/>
        </w:numPr>
        <w:rPr>
          <w:rFonts w:cs="Times New Roman"/>
          <w:lang w:eastAsia="en-US"/>
        </w:rPr>
      </w:pPr>
      <w:r w:rsidRPr="00226C43">
        <w:rPr>
          <w:rFonts w:cs="Times New Roman"/>
          <w:lang w:eastAsia="en-US"/>
        </w:rPr>
        <w:t>Stories on diverse alumni and their organisations that showcase how they use their skills, knowledge, and networks to contribute to sustainable development are captured, produced in different formats, and promoted through appropriate channels,</w:t>
      </w:r>
    </w:p>
    <w:p w14:paraId="1BD25CA9" w14:textId="133DB3D9" w:rsidR="00180807" w:rsidRPr="00226C43" w:rsidRDefault="4DD21A85" w:rsidP="00925CC1">
      <w:pPr>
        <w:pStyle w:val="ListParagraph"/>
        <w:numPr>
          <w:ilvl w:val="0"/>
          <w:numId w:val="32"/>
        </w:numPr>
        <w:spacing w:line="259" w:lineRule="auto"/>
        <w:rPr>
          <w:rFonts w:cs="Times New Roman"/>
          <w:lang w:eastAsia="en-US"/>
        </w:rPr>
      </w:pPr>
      <w:r w:rsidRPr="00226C43">
        <w:rPr>
          <w:rFonts w:cs="Times New Roman"/>
          <w:lang w:eastAsia="en-US"/>
        </w:rPr>
        <w:t xml:space="preserve">Information about </w:t>
      </w:r>
      <w:r w:rsidR="7FA9405E" w:rsidRPr="00226C43">
        <w:t>Australia Awards Scholarships (</w:t>
      </w:r>
      <w:r w:rsidRPr="00226C43">
        <w:rPr>
          <w:rFonts w:cs="Times New Roman"/>
          <w:lang w:eastAsia="en-US"/>
        </w:rPr>
        <w:t>AA</w:t>
      </w:r>
      <w:r w:rsidR="00D426E5" w:rsidRPr="00226C43">
        <w:rPr>
          <w:rFonts w:cs="Times New Roman"/>
          <w:lang w:eastAsia="en-US"/>
        </w:rPr>
        <w:t>S</w:t>
      </w:r>
      <w:r w:rsidR="7FA9405E" w:rsidRPr="00226C43">
        <w:rPr>
          <w:rFonts w:cs="Times New Roman"/>
          <w:lang w:eastAsia="en-US"/>
        </w:rPr>
        <w:t>)</w:t>
      </w:r>
      <w:r w:rsidRPr="00226C43">
        <w:rPr>
          <w:rFonts w:cs="Times New Roman"/>
          <w:lang w:eastAsia="en-US"/>
        </w:rPr>
        <w:t xml:space="preserve"> and other learning modalities of AAAEP–P that provide opportunities for a positive experience with Australia, Australians and Australian expertise, promoted to Filipinos in key sectors and positions, especially to women and disadvantaged groups, and</w:t>
      </w:r>
    </w:p>
    <w:p w14:paraId="0118BD3E" w14:textId="7E7666AF" w:rsidR="00847216" w:rsidRPr="00226C43" w:rsidRDefault="4DD21A85" w:rsidP="00925CC1">
      <w:pPr>
        <w:pStyle w:val="ListParagraph"/>
        <w:numPr>
          <w:ilvl w:val="0"/>
          <w:numId w:val="32"/>
        </w:numPr>
        <w:spacing w:before="40" w:after="40"/>
      </w:pPr>
      <w:r w:rsidRPr="00226C43">
        <w:t>Information, key messages and stories about alumni engagement activities are strategically communicated to diverse alumni.</w:t>
      </w:r>
    </w:p>
    <w:p w14:paraId="41C015FF" w14:textId="556E9244" w:rsidR="00847216" w:rsidRPr="00226C43" w:rsidRDefault="4DD21A85" w:rsidP="00EE25B1">
      <w:pPr>
        <w:spacing w:before="240" w:after="0"/>
        <w:rPr>
          <w:rFonts w:eastAsia="Calibri Light" w:cs="Calibri Light"/>
        </w:rPr>
      </w:pPr>
      <w:r w:rsidRPr="00226C43">
        <w:rPr>
          <w:rFonts w:eastAsia="Aptos" w:cs="Aptos"/>
        </w:rPr>
        <w:t xml:space="preserve">The </w:t>
      </w:r>
      <w:r w:rsidR="2837D189" w:rsidRPr="00226C43">
        <w:rPr>
          <w:rFonts w:eastAsia="Aptos" w:cs="Aptos"/>
        </w:rPr>
        <w:t>strategy</w:t>
      </w:r>
      <w:r w:rsidRPr="00226C43">
        <w:rPr>
          <w:rFonts w:eastAsia="Aptos" w:cs="Aptos"/>
        </w:rPr>
        <w:t xml:space="preserve"> guided the program in developing and disseminating various communications products, which contributed to advancing its higher-level objectives</w:t>
      </w:r>
      <w:r w:rsidRPr="00226C43">
        <w:rPr>
          <w:rFonts w:eastAsia="Calibri Light" w:cs="Calibri Light"/>
        </w:rPr>
        <w:t>:</w:t>
      </w:r>
    </w:p>
    <w:p w14:paraId="2D3C7F24" w14:textId="5302223E" w:rsidR="00E54512" w:rsidRPr="00226C43" w:rsidRDefault="4DD21A85" w:rsidP="00925CC1">
      <w:pPr>
        <w:pStyle w:val="ListParagraph"/>
        <w:numPr>
          <w:ilvl w:val="0"/>
          <w:numId w:val="32"/>
        </w:numPr>
        <w:spacing w:before="40" w:after="40"/>
      </w:pPr>
      <w:r w:rsidRPr="00226C43">
        <w:t xml:space="preserve">A story bank </w:t>
      </w:r>
      <w:r w:rsidR="0034405E" w:rsidRPr="00226C43">
        <w:t xml:space="preserve">of </w:t>
      </w:r>
      <w:r w:rsidRPr="00226C43">
        <w:t>alumni profile stories, alumni contributions and achievements, and alumni’s REAPs,</w:t>
      </w:r>
    </w:p>
    <w:p w14:paraId="190FC4E7" w14:textId="20523453" w:rsidR="00BE60F1" w:rsidRPr="00226C43" w:rsidRDefault="4DD21A85" w:rsidP="00925CC1">
      <w:pPr>
        <w:pStyle w:val="ListParagraph"/>
        <w:numPr>
          <w:ilvl w:val="0"/>
          <w:numId w:val="32"/>
        </w:numPr>
        <w:spacing w:before="40" w:after="40" w:line="259" w:lineRule="auto"/>
      </w:pPr>
      <w:r w:rsidRPr="00226C43">
        <w:t>Case studies and video documentaries on</w:t>
      </w:r>
      <w:r w:rsidR="00DF22FC" w:rsidRPr="00226C43">
        <w:t xml:space="preserve"> </w:t>
      </w:r>
      <w:r w:rsidRPr="00226C43">
        <w:t>alumni’s successful REAP implementation,</w:t>
      </w:r>
    </w:p>
    <w:p w14:paraId="35061EE7" w14:textId="648A2F5B" w:rsidR="006B1374" w:rsidRPr="00226C43" w:rsidRDefault="00DF22FC" w:rsidP="00925CC1">
      <w:pPr>
        <w:pStyle w:val="ListParagraph"/>
        <w:numPr>
          <w:ilvl w:val="0"/>
          <w:numId w:val="32"/>
        </w:numPr>
        <w:spacing w:before="40" w:after="40" w:line="259" w:lineRule="auto"/>
      </w:pPr>
      <w:r w:rsidRPr="00226C43">
        <w:t xml:space="preserve">A </w:t>
      </w:r>
      <w:r w:rsidR="4DD21A85" w:rsidRPr="00226C43">
        <w:t>restructured and redesigned</w:t>
      </w:r>
      <w:r w:rsidRPr="00226C43">
        <w:t xml:space="preserve"> website</w:t>
      </w:r>
      <w:r w:rsidR="4DD21A85" w:rsidRPr="00226C43">
        <w:t xml:space="preserve"> to improve user experience, and</w:t>
      </w:r>
    </w:p>
    <w:p w14:paraId="0A7B906D" w14:textId="1526D4FF" w:rsidR="00FF3458" w:rsidRPr="00226C43" w:rsidRDefault="4DD21A85" w:rsidP="00925CC1">
      <w:pPr>
        <w:pStyle w:val="ListParagraph"/>
        <w:numPr>
          <w:ilvl w:val="0"/>
          <w:numId w:val="32"/>
        </w:numPr>
        <w:spacing w:before="40" w:after="40" w:line="259" w:lineRule="auto"/>
      </w:pPr>
      <w:r w:rsidRPr="00226C43">
        <w:t xml:space="preserve">Stories about awardee and alumni’s positive experience in Australia are produced and shared in </w:t>
      </w:r>
      <w:r w:rsidR="0064432C" w:rsidRPr="00226C43">
        <w:t>AAAEP–P</w:t>
      </w:r>
      <w:r w:rsidRPr="00226C43">
        <w:t xml:space="preserve"> Facebook page.</w:t>
      </w:r>
    </w:p>
    <w:p w14:paraId="4F7178A9" w14:textId="0DC60126" w:rsidR="00335951" w:rsidRPr="00226C43" w:rsidRDefault="00335951" w:rsidP="00974E2F">
      <w:pPr>
        <w:spacing w:before="240"/>
      </w:pPr>
      <w:r w:rsidRPr="00226C43">
        <w:t xml:space="preserve">Finally, </w:t>
      </w:r>
      <w:r w:rsidR="00B43290" w:rsidRPr="00226C43">
        <w:t xml:space="preserve">despite </w:t>
      </w:r>
      <w:r w:rsidRPr="00226C43">
        <w:t>the COVID-19 pandemic</w:t>
      </w:r>
      <w:r w:rsidR="00B43290" w:rsidRPr="00226C43">
        <w:t xml:space="preserve"> the program was able to retain a high degree of effectiveness by applying several strategies including:</w:t>
      </w:r>
      <w:r w:rsidR="0078429F" w:rsidRPr="00226C43">
        <w:t xml:space="preserve"> </w:t>
      </w:r>
      <w:r w:rsidR="00B43290" w:rsidRPr="00226C43">
        <w:t>transition to virtual learning</w:t>
      </w:r>
      <w:r w:rsidR="00492CFE" w:rsidRPr="00226C43">
        <w:t xml:space="preserve">, application of new digital tools, </w:t>
      </w:r>
      <w:r w:rsidR="008F7F10" w:rsidRPr="00226C43">
        <w:t xml:space="preserve">adaptation of </w:t>
      </w:r>
      <w:r w:rsidR="00492CFE" w:rsidRPr="00226C43">
        <w:t xml:space="preserve">short course content to cover </w:t>
      </w:r>
      <w:r w:rsidR="00FA34BE" w:rsidRPr="00226C43">
        <w:t>c</w:t>
      </w:r>
      <w:r w:rsidR="008F7F10" w:rsidRPr="00226C43">
        <w:t>risis management, digital governance, and public health responses,</w:t>
      </w:r>
      <w:r w:rsidR="00FA34BE" w:rsidRPr="00226C43">
        <w:t xml:space="preserve"> reorienting REAPs to be feasible in remote working environments, </w:t>
      </w:r>
      <w:r w:rsidR="00037108" w:rsidRPr="00226C43">
        <w:t>online peer learning and alumni events, and ensuring GEDSI and inclusion considerations were integrated into remote learning.</w:t>
      </w:r>
      <w:r w:rsidR="008F7F10" w:rsidRPr="00226C43">
        <w:t xml:space="preserve"> </w:t>
      </w:r>
      <w:r w:rsidR="00037108" w:rsidRPr="00226C43">
        <w:t>These strategies helped the program to pivot</w:t>
      </w:r>
      <w:r w:rsidR="00C62C45" w:rsidRPr="00226C43">
        <w:t>, minimise disruptions, and engage in flexible, demand-driven learning in a challenging context.</w:t>
      </w:r>
    </w:p>
    <w:p w14:paraId="68B5BD23" w14:textId="0026BF5D" w:rsidR="00516BAF" w:rsidRPr="00226C43" w:rsidRDefault="00B80FCC" w:rsidP="00623F17">
      <w:pPr>
        <w:pStyle w:val="Heading5"/>
        <w:rPr>
          <w:rFonts w:asciiTheme="minorHAnsi" w:hAnsiTheme="minorHAnsi"/>
          <w:color w:val="auto"/>
        </w:rPr>
      </w:pPr>
      <w:r w:rsidRPr="00226C43">
        <w:rPr>
          <w:rFonts w:asciiTheme="minorHAnsi" w:hAnsiTheme="minorHAnsi"/>
          <w:color w:val="auto"/>
        </w:rPr>
        <w:t xml:space="preserve">2.3 </w:t>
      </w:r>
      <w:r w:rsidR="4DD21A85" w:rsidRPr="00226C43">
        <w:rPr>
          <w:rFonts w:asciiTheme="minorHAnsi" w:hAnsiTheme="minorHAnsi"/>
          <w:color w:val="auto"/>
        </w:rPr>
        <w:t>Was AAAEP–P’s reach (e.g., number of long–term scholarship slots and short course participants, etc.) sufficient to realise the required scale of change?</w:t>
      </w:r>
      <w:r w:rsidR="0078429F" w:rsidRPr="00226C43">
        <w:rPr>
          <w:rFonts w:asciiTheme="minorHAnsi" w:hAnsiTheme="minorHAnsi"/>
          <w:color w:val="auto"/>
        </w:rPr>
        <w:t xml:space="preserve"> </w:t>
      </w:r>
      <w:r w:rsidR="4DD21A85" w:rsidRPr="00226C43">
        <w:rPr>
          <w:rFonts w:asciiTheme="minorHAnsi" w:hAnsiTheme="minorHAnsi"/>
          <w:color w:val="auto"/>
        </w:rPr>
        <w:t>Including women, LGBTQI</w:t>
      </w:r>
      <w:r w:rsidR="00181670" w:rsidRPr="00226C43">
        <w:rPr>
          <w:rFonts w:asciiTheme="minorHAnsi" w:hAnsiTheme="minorHAnsi"/>
          <w:color w:val="auto"/>
        </w:rPr>
        <w:t>A</w:t>
      </w:r>
      <w:r w:rsidR="4DD21A85" w:rsidRPr="00226C43">
        <w:rPr>
          <w:rFonts w:asciiTheme="minorHAnsi" w:hAnsiTheme="minorHAnsi"/>
          <w:color w:val="auto"/>
        </w:rPr>
        <w:t xml:space="preserve">+, persons with disabilities and indigenous people's priorities. </w:t>
      </w:r>
    </w:p>
    <w:p w14:paraId="062B0CC2" w14:textId="35F1622F" w:rsidR="00DA307D" w:rsidRPr="00226C43" w:rsidRDefault="4DD21A85" w:rsidP="4DD21A85">
      <w:r w:rsidRPr="00226C43">
        <w:t xml:space="preserve">The program demonstrated strong outcomes in advancing gender equality </w:t>
      </w:r>
      <w:r w:rsidR="000C34D0" w:rsidRPr="00226C43">
        <w:t xml:space="preserve">– </w:t>
      </w:r>
      <w:proofErr w:type="gramStart"/>
      <w:r w:rsidR="000C34D0" w:rsidRPr="00226C43">
        <w:t>the majority of</w:t>
      </w:r>
      <w:proofErr w:type="gramEnd"/>
      <w:r w:rsidR="000C34D0" w:rsidRPr="00226C43">
        <w:t xml:space="preserve"> the alumni is female</w:t>
      </w:r>
      <w:r w:rsidR="000D7F9F" w:rsidRPr="00226C43">
        <w:t xml:space="preserve"> due to proactive targeting by the program</w:t>
      </w:r>
      <w:r w:rsidR="006C42E3" w:rsidRPr="00226C43">
        <w:t>—</w:t>
      </w:r>
      <w:r w:rsidRPr="00226C43">
        <w:t>and promoting GEDSI principles</w:t>
      </w:r>
      <w:r w:rsidR="000C34D0" w:rsidRPr="00226C43">
        <w:t xml:space="preserve"> – targeted efforts to ensure inclusion of people with disabilities </w:t>
      </w:r>
      <w:r w:rsidR="000D7F9F" w:rsidRPr="00226C43">
        <w:t xml:space="preserve">were </w:t>
      </w:r>
      <w:r w:rsidR="000D7F9F" w:rsidRPr="00226C43">
        <w:lastRenderedPageBreak/>
        <w:t>conducted</w:t>
      </w:r>
      <w:r w:rsidR="000C34D0" w:rsidRPr="00226C43">
        <w:t>-</w:t>
      </w:r>
      <w:r w:rsidR="0078429F" w:rsidRPr="00226C43">
        <w:t xml:space="preserve"> </w:t>
      </w:r>
      <w:r w:rsidRPr="00226C43">
        <w:t>which are central to Australia’s development strategy. However, there has been comparatively less emphasis on LGBTQI</w:t>
      </w:r>
      <w:r w:rsidR="00181670" w:rsidRPr="00226C43">
        <w:t>A</w:t>
      </w:r>
      <w:r w:rsidRPr="00226C43">
        <w:t xml:space="preserve">+ inclusion. Additionally, challenges were identified in relation to supply chain service providers, including during the </w:t>
      </w:r>
      <w:r w:rsidR="00AE6B4A" w:rsidRPr="00226C43">
        <w:t xml:space="preserve">2024 </w:t>
      </w:r>
      <w:r w:rsidRPr="00226C43">
        <w:t xml:space="preserve">GEDSI Summit </w:t>
      </w:r>
      <w:r w:rsidR="00664BDD" w:rsidRPr="00226C43">
        <w:rPr>
          <w:rStyle w:val="FootnoteReference"/>
        </w:rPr>
        <w:footnoteReference w:id="20"/>
      </w:r>
      <w:r w:rsidR="00664BDD" w:rsidRPr="00226C43">
        <w:t>.</w:t>
      </w:r>
      <w:r w:rsidR="0078429F" w:rsidRPr="00226C43">
        <w:t xml:space="preserve"> </w:t>
      </w:r>
      <w:r w:rsidR="00AE6B4A" w:rsidRPr="00226C43">
        <w:t xml:space="preserve">It was noted that the attitudes </w:t>
      </w:r>
      <w:r w:rsidR="003535E3" w:rsidRPr="00226C43">
        <w:t xml:space="preserve">and facilities </w:t>
      </w:r>
      <w:r w:rsidR="00AE11FB" w:rsidRPr="00226C43">
        <w:t xml:space="preserve">of </w:t>
      </w:r>
      <w:r w:rsidR="00AE6B4A" w:rsidRPr="00226C43">
        <w:t xml:space="preserve">some downstream service providers were </w:t>
      </w:r>
      <w:r w:rsidR="003535E3" w:rsidRPr="00226C43">
        <w:t>not in line with the program’s strong commitment to GEDSI</w:t>
      </w:r>
      <w:r w:rsidR="007911BC" w:rsidRPr="00226C43">
        <w:t>.</w:t>
      </w:r>
      <w:r w:rsidR="0078429F" w:rsidRPr="00226C43">
        <w:t xml:space="preserve"> </w:t>
      </w:r>
      <w:r w:rsidR="007911BC" w:rsidRPr="00226C43">
        <w:t xml:space="preserve">Further due diligence of downstream service providers is needed to ensure </w:t>
      </w:r>
      <w:r w:rsidR="007B6996" w:rsidRPr="00226C43">
        <w:t>the program’s GEDSI efforts are honoured.</w:t>
      </w:r>
    </w:p>
    <w:p w14:paraId="225FD26B" w14:textId="0652268B" w:rsidR="00833481" w:rsidRPr="00226C43" w:rsidRDefault="4DD21A85" w:rsidP="4DD21A85">
      <w:r w:rsidRPr="00226C43">
        <w:t xml:space="preserve">AAAEP–P had remarkable success with an impressive number of scholars processed across diverse scholarship offerings. This mix of scholarships, targeting individuals with high potential, and its strong focus on HRD significantly contributed to building capacity within key GPH agencies and at subnational levels. As of August 2023 (most recent figures) 2,199 were from Luzon, 773 Mindanao, and 773 from Visayas. </w:t>
      </w:r>
      <w:r w:rsidR="00DF4581" w:rsidRPr="00226C43">
        <w:t>Again, this is likely due to population density and</w:t>
      </w:r>
      <w:r w:rsidR="003C489B" w:rsidRPr="00226C43">
        <w:t xml:space="preserve"> structural issues, such as the concentration of government and business organisations on Luzon. </w:t>
      </w:r>
      <w:r w:rsidRPr="00226C43">
        <w:t>From an organisational HRD perspective investing in people’s skills and strengthening their networks is a developmentally sound approach to building human capital necessary to realise higher level objectives.</w:t>
      </w:r>
    </w:p>
    <w:p w14:paraId="257B4AAF" w14:textId="08508450" w:rsidR="00833481" w:rsidRPr="00226C43" w:rsidRDefault="4DD21A85" w:rsidP="00A067C9">
      <w:r w:rsidRPr="00226C43">
        <w:rPr>
          <w:rFonts w:eastAsia="Aptos" w:cs="Aptos"/>
        </w:rPr>
        <w:t xml:space="preserve">Given its robust branding, well-established processes, and a multi-skilled implementation team, it is understandable that the Embassy consistently leveraged the </w:t>
      </w:r>
      <w:r w:rsidR="5C0C26A8" w:rsidRPr="00226C43">
        <w:rPr>
          <w:rFonts w:eastAsia="Aptos" w:cs="Aptos"/>
        </w:rPr>
        <w:t>p</w:t>
      </w:r>
      <w:r w:rsidRPr="00226C43">
        <w:rPr>
          <w:rFonts w:eastAsia="Aptos" w:cs="Aptos"/>
        </w:rPr>
        <w:t>rogram's resources to support strategic priorities, including emerging priorities that were not anticipated in the original investment concept</w:t>
      </w:r>
      <w:r w:rsidRPr="00226C43">
        <w:t>.</w:t>
      </w:r>
      <w:r w:rsidR="00A20EDD" w:rsidRPr="00226C43">
        <w:t xml:space="preserve"> </w:t>
      </w:r>
      <w:r w:rsidRPr="00226C43">
        <w:t xml:space="preserve">While AAAEP–P has achieved notable success in building individual capacity and contributing to organisational development, at both national and subnational level, </w:t>
      </w:r>
      <w:r w:rsidR="00D2339F" w:rsidRPr="00226C43">
        <w:t xml:space="preserve">in terms of reach </w:t>
      </w:r>
      <w:r w:rsidRPr="00226C43">
        <w:t>the program is out of step with the Embassy’s emerging increasingly flexible engagement strategy.</w:t>
      </w:r>
      <w:r w:rsidR="0078429F" w:rsidRPr="00226C43">
        <w:t xml:space="preserve"> </w:t>
      </w:r>
    </w:p>
    <w:p w14:paraId="05ECCF21" w14:textId="265C748B" w:rsidR="00833481" w:rsidRPr="00226C43" w:rsidRDefault="4DD21A85" w:rsidP="4DD21A85">
      <w:r w:rsidRPr="00226C43">
        <w:t xml:space="preserve">The program's </w:t>
      </w:r>
      <w:r w:rsidR="003810B6" w:rsidRPr="00226C43">
        <w:t xml:space="preserve">highly efficiency but largely </w:t>
      </w:r>
      <w:r w:rsidRPr="00226C43">
        <w:t xml:space="preserve">one-size-fits-all approach restricts its capacity to engage with and respond to emerging priorities and other ad hoc requests. This lack of flexibility has meant </w:t>
      </w:r>
      <w:r w:rsidR="00B2095C" w:rsidRPr="00226C43">
        <w:t>mis</w:t>
      </w:r>
      <w:r w:rsidRPr="00226C43">
        <w:t>align</w:t>
      </w:r>
      <w:r w:rsidR="00B2095C" w:rsidRPr="00226C43">
        <w:t>ment of</w:t>
      </w:r>
      <w:r w:rsidRPr="00226C43">
        <w:t xml:space="preserve"> the </w:t>
      </w:r>
      <w:r w:rsidR="72237275" w:rsidRPr="00226C43">
        <w:t>program</w:t>
      </w:r>
      <w:r w:rsidRPr="00226C43">
        <w:t xml:space="preserve"> with critical bilateral priorities and emerging sectors that require targeted and adaptive strategies</w:t>
      </w:r>
      <w:r w:rsidR="2D1DF777" w:rsidRPr="00226C43">
        <w:t>.</w:t>
      </w:r>
    </w:p>
    <w:p w14:paraId="68D2D743" w14:textId="13F09F5F" w:rsidR="00833481" w:rsidRPr="00226C43" w:rsidRDefault="4DD21A85" w:rsidP="00061D40">
      <w:r w:rsidRPr="00226C43">
        <w:t xml:space="preserve">One significant gap lies in the program's engagement with REAPs. These often have the potential to drive meaningful reform within GPH agencies, but their implementation under the current structure lacks the proactive analysis and collaboration necessary to position them within broader reform contexts. Without sufficient resources or strategic alignment, REAPs risk becoming siloed initiatives that fail to achieve their full impact. Furthermore, opportunities to use REAPs to advance high-priority reform issues and foster deeper </w:t>
      </w:r>
      <w:r w:rsidR="00A46041" w:rsidRPr="00226C43">
        <w:t xml:space="preserve">GPH </w:t>
      </w:r>
      <w:r w:rsidRPr="00226C43">
        <w:t>engagement remain underutilised.</w:t>
      </w:r>
      <w:r w:rsidRPr="00226C43">
        <w:rPr>
          <w:rFonts w:eastAsia="Aptos" w:cs="Aptos"/>
        </w:rPr>
        <w:t xml:space="preserve"> It would be unreasonable to place this responsibility solely on the current</w:t>
      </w:r>
      <w:r w:rsidR="00EF55C9" w:rsidRPr="00226C43">
        <w:rPr>
          <w:rFonts w:eastAsia="Aptos" w:cs="Aptos"/>
        </w:rPr>
        <w:t xml:space="preserve"> managing contractor’s</w:t>
      </w:r>
      <w:r w:rsidRPr="00226C43">
        <w:rPr>
          <w:rFonts w:eastAsia="Aptos" w:cs="Aptos"/>
        </w:rPr>
        <w:t xml:space="preserve"> implementation team. </w:t>
      </w:r>
      <w:r w:rsidR="00F03FFA" w:rsidRPr="00226C43">
        <w:rPr>
          <w:rFonts w:eastAsia="Aptos" w:cs="Aptos"/>
        </w:rPr>
        <w:t>S</w:t>
      </w:r>
      <w:r w:rsidRPr="00226C43">
        <w:rPr>
          <w:rFonts w:eastAsia="Aptos" w:cs="Aptos"/>
        </w:rPr>
        <w:t>upport</w:t>
      </w:r>
      <w:r w:rsidR="00F03FFA" w:rsidRPr="00226C43">
        <w:rPr>
          <w:rFonts w:eastAsia="Aptos" w:cs="Aptos"/>
        </w:rPr>
        <w:t>ing</w:t>
      </w:r>
      <w:r w:rsidRPr="00226C43">
        <w:rPr>
          <w:rFonts w:eastAsia="Aptos" w:cs="Aptos"/>
        </w:rPr>
        <w:t xml:space="preserve"> strategic analysis and effectively </w:t>
      </w:r>
      <w:r w:rsidR="00605C1E" w:rsidRPr="00226C43">
        <w:rPr>
          <w:rFonts w:eastAsia="Aptos" w:cs="Aptos"/>
        </w:rPr>
        <w:t>leveraging</w:t>
      </w:r>
      <w:r w:rsidRPr="00226C43">
        <w:rPr>
          <w:rFonts w:eastAsia="Aptos" w:cs="Aptos"/>
        </w:rPr>
        <w:t xml:space="preserve"> program resources to achieve these objectives necessitates dedicated </w:t>
      </w:r>
      <w:r w:rsidR="002464C7" w:rsidRPr="00226C43">
        <w:rPr>
          <w:rFonts w:eastAsia="Aptos" w:cs="Aptos"/>
        </w:rPr>
        <w:t>analytical resources</w:t>
      </w:r>
      <w:r w:rsidR="00605C1E" w:rsidRPr="00226C43">
        <w:rPr>
          <w:rFonts w:eastAsia="Aptos" w:cs="Aptos"/>
        </w:rPr>
        <w:t xml:space="preserve"> and </w:t>
      </w:r>
      <w:r w:rsidRPr="00226C43">
        <w:rPr>
          <w:rFonts w:eastAsia="Aptos" w:cs="Aptos"/>
        </w:rPr>
        <w:t>support</w:t>
      </w:r>
      <w:r w:rsidRPr="00226C43">
        <w:t>.</w:t>
      </w:r>
    </w:p>
    <w:p w14:paraId="7B9920F8" w14:textId="191F5417" w:rsidR="00833481" w:rsidRPr="00226C43" w:rsidRDefault="4DD21A85" w:rsidP="4DD21A85">
      <w:r w:rsidRPr="00226C43">
        <w:rPr>
          <w:rFonts w:eastAsia="Aptos" w:cs="Aptos"/>
        </w:rPr>
        <w:t>Another area of concern is the limited engagement with alumni networks. Alumni represent a valuable resource for advancing public diplomacy and development objectives, yet their potential remains underutilised</w:t>
      </w:r>
      <w:r w:rsidRPr="00226C43">
        <w:t xml:space="preserve">. Targeted engagement with groups </w:t>
      </w:r>
      <w:r w:rsidRPr="00226C43">
        <w:lastRenderedPageBreak/>
        <w:t xml:space="preserve">in critical areas such as defence, STEM and governance could create a powerful platform to support bilateral goals. However, without deeper investment in alumni analysis, resourcing and outreach, this network remains an underleveraged asset. Ensuring that alumni see tangible value in their continued participation is crucial to strengthening their role in advancing both governments' strategic priorities. </w:t>
      </w:r>
    </w:p>
    <w:p w14:paraId="3C92BF0F" w14:textId="633B14C5" w:rsidR="00833481" w:rsidRDefault="4DD21A85" w:rsidP="00061D40">
      <w:r w:rsidRPr="00226C43">
        <w:t xml:space="preserve">Finally, there is a conceptual tension between the integrity-founded reputation of the program’s selection and HRD focus, and the opportunity for </w:t>
      </w:r>
      <w:r w:rsidR="00AA49F6" w:rsidRPr="00226C43">
        <w:t>a successor pr</w:t>
      </w:r>
      <w:r w:rsidRPr="00226C43">
        <w:t>ogram</w:t>
      </w:r>
      <w:r w:rsidR="00AA49F6" w:rsidRPr="00226C43">
        <w:t>’s</w:t>
      </w:r>
      <w:r w:rsidRPr="00226C43">
        <w:t xml:space="preserve"> processes and resources to respond to the reigning political economy in the Philippines. Folding in an additional category with tailored selection criteria including increased weighting on leadership and potential influence of the candidate appear warranted. It remains important that </w:t>
      </w:r>
      <w:r w:rsidR="0064432C" w:rsidRPr="00226C43">
        <w:t>AAAEP–</w:t>
      </w:r>
      <w:r w:rsidR="00185056" w:rsidRPr="00226C43">
        <w:t>P</w:t>
      </w:r>
      <w:r w:rsidRPr="00226C43">
        <w:t>’s hard-won reputation for integrity is protected. Specific strategies would be needed to ensure that reputational damage is avoided, including clearly communicating any new selection processes to governance mechanisms (such as the Program Board) and to external stakeholders (e.g., GPH).</w:t>
      </w:r>
    </w:p>
    <w:p w14:paraId="64EE2639" w14:textId="77777777" w:rsidR="00241B1A" w:rsidRDefault="00241B1A" w:rsidP="00061D40"/>
    <w:p w14:paraId="164043D6" w14:textId="77777777" w:rsidR="00724927" w:rsidRPr="00E9573F" w:rsidRDefault="00724927" w:rsidP="00724927">
      <w:pPr>
        <w:pBdr>
          <w:top w:val="single" w:sz="4" w:space="1" w:color="auto"/>
          <w:left w:val="single" w:sz="4" w:space="4" w:color="auto"/>
          <w:bottom w:val="single" w:sz="4" w:space="1" w:color="auto"/>
          <w:right w:val="single" w:sz="4" w:space="4" w:color="auto"/>
        </w:pBdr>
        <w:shd w:val="clear" w:color="auto" w:fill="E9F5D2"/>
        <w:spacing w:after="0"/>
        <w:rPr>
          <w:b/>
          <w:i/>
          <w:sz w:val="20"/>
          <w:szCs w:val="20"/>
        </w:rPr>
      </w:pPr>
      <w:r w:rsidRPr="00226C43">
        <w:rPr>
          <w:b/>
          <w:i/>
          <w:sz w:val="20"/>
          <w:szCs w:val="20"/>
        </w:rPr>
        <w:t>A potential new workstream – for consideration</w:t>
      </w:r>
    </w:p>
    <w:p w14:paraId="3A7725CF" w14:textId="77777777" w:rsidR="00724927" w:rsidRPr="00226C43" w:rsidRDefault="00724927" w:rsidP="00724927">
      <w:pPr>
        <w:pBdr>
          <w:top w:val="single" w:sz="4" w:space="1" w:color="auto"/>
          <w:left w:val="single" w:sz="4" w:space="4" w:color="auto"/>
          <w:bottom w:val="single" w:sz="4" w:space="1" w:color="auto"/>
          <w:right w:val="single" w:sz="4" w:space="4" w:color="auto"/>
        </w:pBdr>
        <w:shd w:val="clear" w:color="auto" w:fill="E9F5D2"/>
        <w:rPr>
          <w:spacing w:val="-2"/>
          <w:sz w:val="20"/>
          <w:szCs w:val="20"/>
        </w:rPr>
      </w:pPr>
      <w:r w:rsidRPr="00226C43">
        <w:rPr>
          <w:spacing w:val="-2"/>
          <w:sz w:val="20"/>
          <w:szCs w:val="20"/>
        </w:rPr>
        <w:t>A future program could include a new workstream that builds on the strong AAAEP–P brand and focuses on targeted thematic areas and sectors. It would leverage the program’s proven processes while allowing flexibility to address emerging priorities. Key features of this workstream would include its own objectives, tailored selection criteria and resourced operations, avoiding perceptions of additional workload on the core program.</w:t>
      </w:r>
    </w:p>
    <w:p w14:paraId="07F25177" w14:textId="77777777" w:rsidR="00724927" w:rsidRPr="00E9573F" w:rsidRDefault="00724927" w:rsidP="00724927">
      <w:pPr>
        <w:pBdr>
          <w:top w:val="single" w:sz="4" w:space="1" w:color="auto"/>
          <w:left w:val="single" w:sz="4" w:space="4" w:color="auto"/>
          <w:bottom w:val="single" w:sz="4" w:space="1" w:color="auto"/>
          <w:right w:val="single" w:sz="4" w:space="4" w:color="auto"/>
        </w:pBdr>
        <w:shd w:val="clear" w:color="auto" w:fill="E9F5D2"/>
        <w:rPr>
          <w:sz w:val="20"/>
          <w:szCs w:val="20"/>
        </w:rPr>
      </w:pPr>
      <w:r w:rsidRPr="00226C43">
        <w:rPr>
          <w:sz w:val="20"/>
          <w:szCs w:val="20"/>
        </w:rPr>
        <w:t>This approach would enable the Embassy to develop a network of stakeholders in critical sectors, by offering sector-specific scholarships, fellowships and study visits. A Senior Advisor embedded at the Embassy would play a pivotal role in adapting AAAEP–P processes to suit these new contexts, ensuring alignment with both governments’ strategic priorities. Moreover, the advisor could strengthen TNE initiatives and engage Australian universities, capitalising on momentum from recent Austrade efforts.</w:t>
      </w:r>
    </w:p>
    <w:p w14:paraId="1ABDF06B" w14:textId="77777777" w:rsidR="00E9573F" w:rsidRDefault="00E9573F" w:rsidP="00E9573F">
      <w:pPr>
        <w:spacing w:after="0"/>
      </w:pPr>
    </w:p>
    <w:p w14:paraId="43EE46ED" w14:textId="77777777" w:rsidR="00724927" w:rsidRPr="00E9573F" w:rsidRDefault="00724927" w:rsidP="00724927">
      <w:pPr>
        <w:pBdr>
          <w:top w:val="single" w:sz="4" w:space="1" w:color="auto"/>
          <w:left w:val="single" w:sz="4" w:space="4" w:color="auto"/>
          <w:bottom w:val="single" w:sz="4" w:space="1" w:color="auto"/>
          <w:right w:val="single" w:sz="4" w:space="4" w:color="auto"/>
        </w:pBdr>
        <w:shd w:val="clear" w:color="auto" w:fill="E9F5D2"/>
        <w:spacing w:after="0"/>
        <w:rPr>
          <w:b/>
          <w:i/>
          <w:sz w:val="20"/>
          <w:szCs w:val="20"/>
        </w:rPr>
      </w:pPr>
      <w:r w:rsidRPr="00226C43">
        <w:rPr>
          <w:b/>
          <w:i/>
          <w:sz w:val="20"/>
          <w:szCs w:val="20"/>
        </w:rPr>
        <w:t>Enhanced Engagement with REAPs and Alumni Networks</w:t>
      </w:r>
    </w:p>
    <w:p w14:paraId="2723D322" w14:textId="77777777" w:rsidR="00724927" w:rsidRDefault="00724927" w:rsidP="00724927">
      <w:pPr>
        <w:pBdr>
          <w:top w:val="single" w:sz="4" w:space="1" w:color="auto"/>
          <w:left w:val="single" w:sz="4" w:space="4" w:color="auto"/>
          <w:bottom w:val="single" w:sz="4" w:space="1" w:color="auto"/>
          <w:right w:val="single" w:sz="4" w:space="4" w:color="auto"/>
        </w:pBdr>
        <w:shd w:val="clear" w:color="auto" w:fill="E9F5D2"/>
      </w:pPr>
      <w:r w:rsidRPr="00226C43">
        <w:rPr>
          <w:sz w:val="20"/>
          <w:szCs w:val="20"/>
        </w:rPr>
        <w:t>A proactive approach to REAPs under the proposed second workstream would amplify the program’s influence. By conducting upfront analysis and collaborating closely with GPH agencies, the program (in concert with existing sectoral teams at the Embassy) could position REAPs within broader reform contexts. This would enhance existing sectoral teams’ policy engagement through improved internal coordination and tracking of REAP-driven reform policy dialogue.  This would provide the Embassy with heightened opportunities to engage on high-priority reform issues, including those issues currently outside sectoral teams’ remit. An embedded Senior Advisor would facilitate identification of additional opportunities for Embassy involvement in REAP-driven policy reform.</w:t>
      </w:r>
    </w:p>
    <w:p w14:paraId="45CBDA6D" w14:textId="77777777" w:rsidR="00E9573F" w:rsidRDefault="00E9573F" w:rsidP="00E9573F">
      <w:pPr>
        <w:spacing w:after="0"/>
      </w:pPr>
    </w:p>
    <w:p w14:paraId="22FC8CD9" w14:textId="5165E8EE" w:rsidR="00C75879" w:rsidRPr="00226C43" w:rsidRDefault="4DD21A85" w:rsidP="4DD21A85">
      <w:r w:rsidRPr="00226C43">
        <w:t>Similarly, alumni engagement offers untapped potential for the Embassy to leverage its networks for public diplomacy and development objectives. Targeted engagement with alumni groups</w:t>
      </w:r>
      <w:r w:rsidR="0049577A" w:rsidRPr="00226C43">
        <w:t>—</w:t>
      </w:r>
      <w:r w:rsidRPr="00226C43">
        <w:t>such as those in defence, STEM, or governance</w:t>
      </w:r>
      <w:r w:rsidR="0049577A" w:rsidRPr="00226C43">
        <w:t>—</w:t>
      </w:r>
      <w:r w:rsidRPr="00226C43">
        <w:t>could create a powerful think tank supporting Embassy priorities. For this to succeed, alumni must see tangible value in participation, underpinned by political economy analysis and targeted resourcing. Strengthening these connections would deliver dividends for both governments, ensuring the program’s enduring legacy.</w:t>
      </w:r>
    </w:p>
    <w:p w14:paraId="0A256C3B" w14:textId="7CB1BDAD" w:rsidR="00516BAF" w:rsidRPr="00226C43" w:rsidRDefault="00CA43CF" w:rsidP="00623F17">
      <w:pPr>
        <w:pStyle w:val="Heading5"/>
        <w:rPr>
          <w:rFonts w:asciiTheme="minorHAnsi" w:hAnsiTheme="minorHAnsi"/>
          <w:color w:val="auto"/>
        </w:rPr>
      </w:pPr>
      <w:r w:rsidRPr="00226C43">
        <w:rPr>
          <w:rFonts w:asciiTheme="minorHAnsi" w:hAnsiTheme="minorHAnsi"/>
          <w:color w:val="auto"/>
        </w:rPr>
        <w:lastRenderedPageBreak/>
        <w:t xml:space="preserve">2.4 </w:t>
      </w:r>
      <w:r w:rsidR="4DD21A85" w:rsidRPr="00226C43">
        <w:rPr>
          <w:rFonts w:asciiTheme="minorHAnsi" w:hAnsiTheme="minorHAnsi"/>
          <w:color w:val="auto"/>
        </w:rPr>
        <w:t>To what extent has AAAEP–P changed norms or processes among its partner GPH agencies (i.e., the processes for utilising the benefits of alumni)?</w:t>
      </w:r>
    </w:p>
    <w:p w14:paraId="0532E9AB" w14:textId="3004BAEC" w:rsidR="4DD21A85" w:rsidRPr="00226C43" w:rsidRDefault="4DD21A85" w:rsidP="00061D40">
      <w:r w:rsidRPr="00226C43">
        <w:t>There are two perspectives to consider in addressing this question, linked to the lens through which the program is evaluated.</w:t>
      </w:r>
    </w:p>
    <w:p w14:paraId="1D6F7CD1" w14:textId="428EEE94" w:rsidR="00B949DC" w:rsidRPr="00226C43" w:rsidRDefault="4DD21A85" w:rsidP="00061D40">
      <w:r w:rsidRPr="00226C43">
        <w:t xml:space="preserve">From a HRD perspective, agency stakeholders indicated that the program aligned well with organisational needs. </w:t>
      </w:r>
      <w:r w:rsidR="3DB3B460" w:rsidRPr="00226C43">
        <w:t xml:space="preserve">The </w:t>
      </w:r>
      <w:r w:rsidR="005A7887" w:rsidRPr="00226C43">
        <w:t>OTNA</w:t>
      </w:r>
      <w:r w:rsidRPr="00226C43">
        <w:t xml:space="preserve"> process was regarded as useful, and the </w:t>
      </w:r>
      <w:r w:rsidR="00F66FB0" w:rsidRPr="00226C43">
        <w:t>REAPs were</w:t>
      </w:r>
      <w:r w:rsidRPr="00226C43">
        <w:t xml:space="preserve"> deemed highly relevant, despite some implementation challenges</w:t>
      </w:r>
      <w:r w:rsidR="0049577A" w:rsidRPr="00226C43">
        <w:t>—</w:t>
      </w:r>
      <w:r w:rsidRPr="00226C43">
        <w:t>particularly the changes in management between the departure and return of long-term scholars.</w:t>
      </w:r>
    </w:p>
    <w:p w14:paraId="227AEEF9" w14:textId="1D4F4E42" w:rsidR="00C82DAB" w:rsidRPr="00226C43" w:rsidRDefault="4DD21A85" w:rsidP="00061D40">
      <w:r w:rsidRPr="00226C43">
        <w:t>From a leadership and influence perspective, there may be opportunities to target specific reformers who could work within the system to accelerate the pace of reform. However, challenges associated with this approach include the risk of selected emerging leaders losing influence upon their return. There are also reputational risks as this ‘hand-picked’ approach is out of step with the merit-based selection process for which AAAEP–P and AA is known.</w:t>
      </w:r>
      <w:r w:rsidR="0078429F" w:rsidRPr="00226C43">
        <w:t xml:space="preserve"> </w:t>
      </w:r>
      <w:r w:rsidR="006979D9" w:rsidRPr="00226C43">
        <w:t>It might also be perceived as ‘tied</w:t>
      </w:r>
      <w:r w:rsidR="00211B8E" w:rsidRPr="00226C43">
        <w:t xml:space="preserve"> aid’ which Australia’s development assistance is not.</w:t>
      </w:r>
    </w:p>
    <w:p w14:paraId="510CC546" w14:textId="04FE0104" w:rsidR="00516BAF" w:rsidRPr="00226C43" w:rsidRDefault="00CA43CF" w:rsidP="00623F17">
      <w:pPr>
        <w:pStyle w:val="Heading5"/>
        <w:rPr>
          <w:rFonts w:asciiTheme="minorHAnsi" w:hAnsiTheme="minorHAnsi"/>
          <w:color w:val="auto"/>
        </w:rPr>
      </w:pPr>
      <w:r w:rsidRPr="00226C43">
        <w:rPr>
          <w:rFonts w:asciiTheme="minorHAnsi" w:hAnsiTheme="minorHAnsi"/>
          <w:color w:val="auto"/>
        </w:rPr>
        <w:t xml:space="preserve">2.5 </w:t>
      </w:r>
      <w:r w:rsidR="4DD21A85" w:rsidRPr="00226C43">
        <w:rPr>
          <w:rFonts w:asciiTheme="minorHAnsi" w:hAnsiTheme="minorHAnsi"/>
          <w:color w:val="auto"/>
        </w:rPr>
        <w:t>To what extent has AAAEP–P changed the lives of its beneficiaries (alumni) in the priority sectors?</w:t>
      </w:r>
    </w:p>
    <w:p w14:paraId="4A3A9A8D" w14:textId="6758700F" w:rsidR="00F17140" w:rsidRPr="00226C43" w:rsidRDefault="4DD21A85" w:rsidP="4DD21A85">
      <w:r w:rsidRPr="00226C43">
        <w:t>The evaluation team heard several cases where scholars who have participated in the program (or its predecessors) have had exponential impact on specific sectors in the Philippines.</w:t>
      </w:r>
      <w:r w:rsidR="00605200" w:rsidRPr="00226C43">
        <w:t xml:space="preserve"> Some evidence of this is illustrated in the case studies below.</w:t>
      </w:r>
    </w:p>
    <w:p w14:paraId="02A46145" w14:textId="77777777" w:rsidR="006440C2" w:rsidRPr="00226C43" w:rsidRDefault="00A56B18" w:rsidP="004274AB">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Program’s Value and Relevance</w:t>
      </w:r>
    </w:p>
    <w:p w14:paraId="004BCE70" w14:textId="3595E331" w:rsidR="00A56B18" w:rsidRPr="00226C43" w:rsidRDefault="00A56B18" w:rsidP="00A56B18">
      <w:r w:rsidRPr="00226C43">
        <w:t>The AAAEP</w:t>
      </w:r>
      <w:r w:rsidR="0049577A" w:rsidRPr="00226C43">
        <w:t>–</w:t>
      </w:r>
      <w:r w:rsidRPr="00226C43">
        <w:t>P’s tailored support for stakeholders through relevant short courses and degrees has proven essential for small and medium enterprises and government leaders. Participants consistently highlighted the program's logistical and psychological support, its inclusivity (e.g., gender diversity and support for people with disabilities), and its strong alumni network as critical to sustaining their impact. The program's structured approach to integrating learnings into actionable REAPs ensures long-term benefits for participants and their communities. The AAAEP</w:t>
      </w:r>
      <w:r w:rsidR="0049577A" w:rsidRPr="00226C43">
        <w:t>–</w:t>
      </w:r>
      <w:r w:rsidRPr="00226C43">
        <w:t>P has significantly impacted diverse stakeholders by enhancing professional capacities and fostering long-term relationships. Through scholarships, short courses, and alumni engagement, the program has contributed to individual growth and broader sectoral advancements in the Philippines, addressing critical areas such as agriculture, family enterprises, and human resource management.</w:t>
      </w:r>
    </w:p>
    <w:p w14:paraId="530B0D0D" w14:textId="0679EAFC" w:rsidR="00812D27" w:rsidRPr="00226C43" w:rsidRDefault="00812D27" w:rsidP="00A56B18">
      <w:r w:rsidRPr="00226C43">
        <w:t xml:space="preserve">The case studies below highlight achievements </w:t>
      </w:r>
      <w:r w:rsidR="00B0385E" w:rsidRPr="00226C43">
        <w:t>of two Australia Awards</w:t>
      </w:r>
      <w:r w:rsidRPr="00226C43">
        <w:t xml:space="preserve"> alumni</w:t>
      </w:r>
      <w:r w:rsidR="00B0385E" w:rsidRPr="00226C43">
        <w:t xml:space="preserve"> who continue to remain engaged </w:t>
      </w:r>
      <w:proofErr w:type="gramStart"/>
      <w:r w:rsidR="00B0385E" w:rsidRPr="00226C43">
        <w:t>as a result of</w:t>
      </w:r>
      <w:proofErr w:type="gramEnd"/>
      <w:r w:rsidR="00B0385E" w:rsidRPr="00226C43">
        <w:t xml:space="preserve"> the program’s alumni engagement activities</w:t>
      </w:r>
      <w:r w:rsidR="00C1742B" w:rsidRPr="00226C43">
        <w:t>.</w:t>
      </w:r>
      <w:r w:rsidR="0078429F" w:rsidRPr="00226C43">
        <w:t xml:space="preserve"> </w:t>
      </w:r>
      <w:r w:rsidR="00C1742B" w:rsidRPr="00226C43">
        <w:t>They provide useful snapshots of the value of alumni engagement, and the benefits which flow from Australia Awards Scholarships.</w:t>
      </w:r>
    </w:p>
    <w:p w14:paraId="246325C1" w14:textId="44E759FA" w:rsidR="00E9573F" w:rsidRPr="00E9573F" w:rsidRDefault="00A56B18" w:rsidP="00A70710">
      <w:pPr>
        <w:pStyle w:val="Heading3nonumber"/>
        <w:numPr>
          <w:ilvl w:val="0"/>
          <w:numId w:val="0"/>
        </w:numPr>
        <w:pBdr>
          <w:top w:val="single" w:sz="4" w:space="1" w:color="auto"/>
          <w:left w:val="single" w:sz="4" w:space="4" w:color="auto"/>
          <w:bottom w:val="single" w:sz="4" w:space="1" w:color="auto"/>
          <w:right w:val="single" w:sz="4" w:space="4" w:color="auto"/>
        </w:pBdr>
        <w:shd w:val="clear" w:color="auto" w:fill="E9F5D2" w:themeFill="accent2" w:themeFillTint="33"/>
        <w:ind w:left="720" w:hanging="720"/>
        <w:rPr>
          <w:rFonts w:asciiTheme="minorHAnsi" w:hAnsiTheme="minorHAnsi"/>
          <w:color w:val="auto"/>
        </w:rPr>
      </w:pPr>
      <w:r w:rsidRPr="00226C43">
        <w:rPr>
          <w:rFonts w:asciiTheme="minorHAnsi" w:hAnsiTheme="minorHAnsi"/>
          <w:color w:val="auto"/>
        </w:rPr>
        <w:t>Case Stud</w:t>
      </w:r>
      <w:r w:rsidR="0049577A" w:rsidRPr="00226C43">
        <w:rPr>
          <w:rFonts w:asciiTheme="minorHAnsi" w:hAnsiTheme="minorHAnsi"/>
          <w:color w:val="auto"/>
        </w:rPr>
        <w:t>ies</w:t>
      </w:r>
    </w:p>
    <w:p w14:paraId="4F95051E"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i/>
          <w:iCs/>
          <w:sz w:val="20"/>
          <w:szCs w:val="20"/>
        </w:rPr>
      </w:pPr>
      <w:r w:rsidRPr="00226C43">
        <w:rPr>
          <w:b/>
          <w:bCs/>
          <w:sz w:val="20"/>
          <w:szCs w:val="20"/>
        </w:rPr>
        <w:t xml:space="preserve">Case Study 1: Nerissa </w:t>
      </w:r>
      <w:proofErr w:type="spellStart"/>
      <w:r w:rsidRPr="00226C43">
        <w:rPr>
          <w:b/>
          <w:bCs/>
          <w:sz w:val="20"/>
          <w:szCs w:val="20"/>
        </w:rPr>
        <w:t>Canguilan</w:t>
      </w:r>
      <w:proofErr w:type="spellEnd"/>
      <w:r w:rsidRPr="00226C43">
        <w:rPr>
          <w:b/>
          <w:bCs/>
          <w:sz w:val="20"/>
          <w:szCs w:val="20"/>
        </w:rPr>
        <w:t xml:space="preserve">, </w:t>
      </w:r>
      <w:r w:rsidRPr="00226C43">
        <w:rPr>
          <w:sz w:val="20"/>
          <w:szCs w:val="20"/>
        </w:rPr>
        <w:br/>
      </w:r>
      <w:r w:rsidRPr="00226C43">
        <w:rPr>
          <w:i/>
          <w:iCs/>
          <w:sz w:val="20"/>
          <w:szCs w:val="20"/>
        </w:rPr>
        <w:t>Master of Social Change and Development, University of Newcastle, Australia</w:t>
      </w:r>
      <w:r w:rsidRPr="00226C43">
        <w:rPr>
          <w:i/>
          <w:iCs/>
          <w:sz w:val="20"/>
          <w:szCs w:val="20"/>
        </w:rPr>
        <w:br/>
      </w:r>
      <w:proofErr w:type="spellStart"/>
      <w:r w:rsidRPr="00226C43">
        <w:rPr>
          <w:i/>
          <w:iCs/>
          <w:sz w:val="20"/>
          <w:szCs w:val="20"/>
        </w:rPr>
        <w:t>Australia</w:t>
      </w:r>
      <w:proofErr w:type="spellEnd"/>
      <w:r w:rsidRPr="00226C43">
        <w:rPr>
          <w:i/>
          <w:iCs/>
          <w:sz w:val="20"/>
          <w:szCs w:val="20"/>
        </w:rPr>
        <w:t xml:space="preserve"> Awards Leadership Scholarship Recipient, Indigenous Person</w:t>
      </w:r>
    </w:p>
    <w:p w14:paraId="22F22325"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 xml:space="preserve">Assistant Commissioner (ASCOM) Nerissa </w:t>
      </w:r>
      <w:proofErr w:type="spellStart"/>
      <w:r w:rsidRPr="00226C43">
        <w:rPr>
          <w:sz w:val="20"/>
          <w:szCs w:val="20"/>
        </w:rPr>
        <w:t>Canguilan</w:t>
      </w:r>
      <w:proofErr w:type="spellEnd"/>
      <w:r w:rsidRPr="00226C43">
        <w:rPr>
          <w:sz w:val="20"/>
          <w:szCs w:val="20"/>
        </w:rPr>
        <w:t xml:space="preserve"> of the Philippine Civil Service Commission (CSC) embodies the transformative power of education and leadership. A graduate of the University of </w:t>
      </w:r>
      <w:r w:rsidRPr="00226C43">
        <w:rPr>
          <w:sz w:val="20"/>
          <w:szCs w:val="20"/>
        </w:rPr>
        <w:lastRenderedPageBreak/>
        <w:t xml:space="preserve">Newcastle under an Australia Awards Leadership Scholarship, </w:t>
      </w:r>
      <w:r w:rsidRPr="00226C43">
        <w:rPr>
          <w:b/>
          <w:bCs/>
          <w:sz w:val="20"/>
          <w:szCs w:val="20"/>
        </w:rPr>
        <w:t>she credits the preparatory programs and mentorship provided by AAAEP–P for equipping her with the skills to excel academically and socially</w:t>
      </w:r>
      <w:r w:rsidRPr="00226C43">
        <w:rPr>
          <w:sz w:val="20"/>
          <w:szCs w:val="20"/>
        </w:rPr>
        <w:t>. These programs, which covered practical and cultural aspects of studying in Australia, helped her transition smoothly into academic life.</w:t>
      </w:r>
    </w:p>
    <w:p w14:paraId="3E3B14B7"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During her studies, ASCOM Nerissa became an active leader in the Filipino student community, benefitting from a supportive network and cross-cultural experiences. She gained invaluable opportunities, including an internship with a global NGO, leadership training, and exposure to Australian parliamentary processes—experiences she fondly describes as a ‘mini–United Nations.’</w:t>
      </w:r>
    </w:p>
    <w:p w14:paraId="7B9674E3"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Professionally, ASCOM Nerissa has had a stellar career. Rising through the ranks from the Department of Environment and Natural Resources to becoming the only non-lawyer Assistant Commissioner of the CSC, she credits her Australia Awards scholarship for enhancing her confidence, leadership, and technical skills. A proud Indigenous Igorot woman and advocate of GEDSI, she integrates these principles into her work, driving systemic changes in human resource management and championing gender-responsive policies.</w:t>
      </w:r>
    </w:p>
    <w:p w14:paraId="560F2272"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Her advocacy extends to grassroots communities, where she educates on GEDSI and gender-responsive budgeting, delivering practical solutions like improved water systems to reduce women’s burdens. A working mother and family breadwinner, she inspires others by showcasing how education and resilience can lead to meaningful change.</w:t>
      </w:r>
    </w:p>
    <w:p w14:paraId="1DA96488"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ASCOM Nerissa’s journey is a powerful testament to the impact of education and leadership, Indigenous communities, and civil service professionals striving for inclusivity and equity.</w:t>
      </w:r>
    </w:p>
    <w:p w14:paraId="06826537"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spacing w:after="0"/>
        <w:rPr>
          <w:b/>
          <w:bCs/>
          <w:sz w:val="20"/>
          <w:szCs w:val="20"/>
        </w:rPr>
      </w:pPr>
      <w:r w:rsidRPr="00226C43">
        <w:rPr>
          <w:b/>
          <w:bCs/>
          <w:sz w:val="20"/>
          <w:szCs w:val="20"/>
        </w:rPr>
        <w:t>Case Study 2: Agricultural Development and Export Growth</w:t>
      </w:r>
    </w:p>
    <w:p w14:paraId="53719E1C"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i/>
          <w:iCs/>
          <w:sz w:val="20"/>
          <w:szCs w:val="20"/>
        </w:rPr>
        <w:t>A two-week study tour in Australia led to production of a national standards sustainable farming manual that has stimulated a durian export industry</w:t>
      </w:r>
    </w:p>
    <w:p w14:paraId="48CB7BAD"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 xml:space="preserve">Husband and wife Emmanuel and Mary Grace </w:t>
      </w:r>
      <w:proofErr w:type="spellStart"/>
      <w:r w:rsidRPr="00226C43">
        <w:rPr>
          <w:sz w:val="20"/>
          <w:szCs w:val="20"/>
        </w:rPr>
        <w:t>Belviz</w:t>
      </w:r>
      <w:proofErr w:type="spellEnd"/>
      <w:r w:rsidRPr="00226C43">
        <w:rPr>
          <w:sz w:val="20"/>
          <w:szCs w:val="20"/>
        </w:rPr>
        <w:t xml:space="preserve">, beneficiaries of several AAAEP–P training programs, have applied their learnings to revolutionise the durian farming industry in Davao City. </w:t>
      </w:r>
    </w:p>
    <w:p w14:paraId="41547E14"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 xml:space="preserve">Emmanuel's participation in a short course (including two weeks in Australia) on Good Agricultural Practices led to the creation of a manual that became instrumental in developing Philippine national standards for sustainable farming. These practices facilitated compliance with export requirements, culminating in the approval of durian exports to China. </w:t>
      </w:r>
    </w:p>
    <w:p w14:paraId="6175A420"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 xml:space="preserve">Emmanuel’s leadership as President of the Durian Industry Association continues to uplift local farmers by improving access to international markets. </w:t>
      </w:r>
    </w:p>
    <w:p w14:paraId="792637D0"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Similarly, Mary Grace’s training in family enterprise management has ensured the smooth succession and sustainability of their family business, contributing to long-term industry stability.</w:t>
      </w:r>
    </w:p>
    <w:p w14:paraId="4A381EBF"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b/>
          <w:bCs/>
          <w:sz w:val="20"/>
          <w:szCs w:val="20"/>
        </w:rPr>
        <w:t>Case Study 3: Organisational Development and Policy Impact</w:t>
      </w:r>
      <w:r w:rsidRPr="00226C43">
        <w:rPr>
          <w:sz w:val="20"/>
          <w:szCs w:val="20"/>
        </w:rPr>
        <w:br/>
      </w:r>
      <w:r w:rsidRPr="00226C43">
        <w:rPr>
          <w:i/>
          <w:iCs/>
          <w:sz w:val="20"/>
          <w:szCs w:val="20"/>
        </w:rPr>
        <w:t>A Masters in HRM has strengthened the Civil Service Commission’s training evaluation framework, achieving 90% implementation.</w:t>
      </w:r>
    </w:p>
    <w:p w14:paraId="66006CB6"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 xml:space="preserve">Erwin </w:t>
      </w:r>
      <w:proofErr w:type="spellStart"/>
      <w:r w:rsidRPr="00226C43">
        <w:rPr>
          <w:sz w:val="20"/>
          <w:szCs w:val="20"/>
        </w:rPr>
        <w:t>Cudis</w:t>
      </w:r>
      <w:proofErr w:type="spellEnd"/>
      <w:r w:rsidRPr="00226C43">
        <w:rPr>
          <w:sz w:val="20"/>
          <w:szCs w:val="20"/>
        </w:rPr>
        <w:t xml:space="preserve">, a </w:t>
      </w:r>
      <w:proofErr w:type="gramStart"/>
      <w:r w:rsidRPr="00226C43">
        <w:rPr>
          <w:sz w:val="20"/>
          <w:szCs w:val="20"/>
        </w:rPr>
        <w:t>Master’s</w:t>
      </w:r>
      <w:proofErr w:type="gramEnd"/>
      <w:r w:rsidRPr="00226C43">
        <w:rPr>
          <w:sz w:val="20"/>
          <w:szCs w:val="20"/>
        </w:rPr>
        <w:t xml:space="preserve"> graduate in Human Resource Management through the AAAEP–P, has leveraged his Australian education to drive systemic changes within Philippine organisations. </w:t>
      </w:r>
    </w:p>
    <w:p w14:paraId="39576E77"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 xml:space="preserve">His REAP focused on enhancing the Civil Service Commission’s training evaluation framework, achieving 90% implementation. </w:t>
      </w:r>
    </w:p>
    <w:p w14:paraId="6A3597BB"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Erwin’s expertise has also been pivotal in shaping national employee well-being policies and supporting mental health initiatives during the COVID-19 pandemic. His continued engagement with alumni networks fosters cross-sector collaborations that amplify the program’s developmental impact.</w:t>
      </w:r>
    </w:p>
    <w:p w14:paraId="250ACC3C"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spacing w:after="0"/>
        <w:rPr>
          <w:b/>
          <w:bCs/>
          <w:sz w:val="20"/>
          <w:szCs w:val="20"/>
        </w:rPr>
      </w:pPr>
      <w:r w:rsidRPr="00226C43">
        <w:rPr>
          <w:b/>
          <w:bCs/>
          <w:sz w:val="20"/>
          <w:szCs w:val="20"/>
        </w:rPr>
        <w:t>Case Study 4: Disability advocate forging ahead in the business world</w:t>
      </w:r>
    </w:p>
    <w:p w14:paraId="2A49D178"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proofErr w:type="spellStart"/>
      <w:r w:rsidRPr="00226C43">
        <w:rPr>
          <w:sz w:val="20"/>
          <w:szCs w:val="20"/>
        </w:rPr>
        <w:t>Naprey</w:t>
      </w:r>
      <w:proofErr w:type="spellEnd"/>
      <w:r w:rsidRPr="00226C43">
        <w:rPr>
          <w:sz w:val="20"/>
          <w:szCs w:val="20"/>
        </w:rPr>
        <w:t xml:space="preserve"> Almario, a 2018 Australia Awards scholar and Master of Information Systems graduate from Curtin University, exemplifies resilience, determination, and the power of education in transforming lives. Known to many as the “dancing, strong-wheeled” housemate on </w:t>
      </w:r>
      <w:r w:rsidRPr="00226C43">
        <w:rPr>
          <w:i/>
          <w:iCs/>
          <w:sz w:val="20"/>
          <w:szCs w:val="20"/>
        </w:rPr>
        <w:t>Pinoy Big Brother (PBB)</w:t>
      </w:r>
      <w:r w:rsidRPr="00226C43">
        <w:rPr>
          <w:sz w:val="20"/>
          <w:szCs w:val="20"/>
        </w:rPr>
        <w:t xml:space="preserve"> in 2011, Nap has </w:t>
      </w:r>
      <w:r w:rsidRPr="00226C43">
        <w:rPr>
          <w:sz w:val="20"/>
          <w:szCs w:val="20"/>
        </w:rPr>
        <w:lastRenderedPageBreak/>
        <w:t>since become a prominent advocate for persons with disabilities (PWDs), championing accessibility and inclusion across the Philippines.</w:t>
      </w:r>
    </w:p>
    <w:p w14:paraId="6CF5C0DB"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As a child, Nap enjoyed an active lifestyle filled with outdoor play, dancing, and boundless energy. However, at the age of eight, his life changed dramatically when he contracted polio, leaving him paralysed from the waist down. Despite this setback, Nap's drive to succeed remained unwavering. Today, he runs a travel agency, teaches information technology part-time at universities in Davao, and serves as a private sector representative and PWD advocate in the city government of Davao.</w:t>
      </w:r>
    </w:p>
    <w:p w14:paraId="2AF490B7"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proofErr w:type="spellStart"/>
      <w:r w:rsidRPr="00226C43">
        <w:rPr>
          <w:sz w:val="20"/>
          <w:szCs w:val="20"/>
        </w:rPr>
        <w:t>Naprey’s</w:t>
      </w:r>
      <w:proofErr w:type="spellEnd"/>
      <w:r w:rsidRPr="00226C43">
        <w:rPr>
          <w:sz w:val="20"/>
          <w:szCs w:val="20"/>
        </w:rPr>
        <w:t xml:space="preserve"> Australia Awards journey began unexpectedly. Initially hesitant to apply, he was inspired by his involvement in a mentoring program for scholars with disabilities and the encouragement of his family, friends, and the Australia Awards team. Through their support, </w:t>
      </w:r>
      <w:proofErr w:type="spellStart"/>
      <w:r w:rsidRPr="00226C43">
        <w:rPr>
          <w:sz w:val="20"/>
          <w:szCs w:val="20"/>
        </w:rPr>
        <w:t>Naprey</w:t>
      </w:r>
      <w:proofErr w:type="spellEnd"/>
      <w:r w:rsidRPr="00226C43">
        <w:rPr>
          <w:sz w:val="20"/>
          <w:szCs w:val="20"/>
        </w:rPr>
        <w:t xml:space="preserve"> secured a scholarship to Curtin University, where he found an empowering environment that celebrated diversity and inclusion.</w:t>
      </w:r>
    </w:p>
    <w:p w14:paraId="03607967"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Nap described his experience in Australia as “amazing.” The program provided him with an electric wheelchair and swiftly addressed any accessibility challenges, such as replacing a missing cushion on his wheelchair during his flight. He emphasised how disability support extended beyond academic needs, ensuring he felt fully included and free from discrimination while studying and living in Australia.</w:t>
      </w:r>
    </w:p>
    <w:p w14:paraId="271E0B62"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 xml:space="preserve">Motivated by his exposure to GEDSI principles, </w:t>
      </w:r>
      <w:proofErr w:type="spellStart"/>
      <w:r w:rsidRPr="00226C43">
        <w:rPr>
          <w:sz w:val="20"/>
          <w:szCs w:val="20"/>
        </w:rPr>
        <w:t>Naprey</w:t>
      </w:r>
      <w:proofErr w:type="spellEnd"/>
      <w:r w:rsidRPr="00226C43">
        <w:rPr>
          <w:sz w:val="20"/>
          <w:szCs w:val="20"/>
        </w:rPr>
        <w:t xml:space="preserve"> sees himself as a bridge for advancing these values in government and the broader community. His REAP exemplifies this commitment, as he developed a comprehensive database of </w:t>
      </w:r>
      <w:proofErr w:type="gramStart"/>
      <w:r w:rsidRPr="00226C43">
        <w:rPr>
          <w:sz w:val="20"/>
          <w:szCs w:val="20"/>
        </w:rPr>
        <w:t>differently-abled</w:t>
      </w:r>
      <w:proofErr w:type="gramEnd"/>
      <w:r w:rsidRPr="00226C43">
        <w:rPr>
          <w:sz w:val="20"/>
          <w:szCs w:val="20"/>
        </w:rPr>
        <w:t xml:space="preserve"> persons within his organisation, a critical step toward better understanding and addressing their needs.</w:t>
      </w:r>
    </w:p>
    <w:p w14:paraId="46A77376"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proofErr w:type="spellStart"/>
      <w:r w:rsidRPr="00226C43">
        <w:rPr>
          <w:sz w:val="20"/>
          <w:szCs w:val="20"/>
        </w:rPr>
        <w:t>Naprey’s</w:t>
      </w:r>
      <w:proofErr w:type="spellEnd"/>
      <w:r w:rsidRPr="00226C43">
        <w:rPr>
          <w:sz w:val="20"/>
          <w:szCs w:val="20"/>
        </w:rPr>
        <w:t xml:space="preserve"> journey—from overcoming personal challenges to becoming a leader and advocate—is a testament to the transformative power of education and the Australia Awards program. His story inspires others to push boundaries and embrace inclusivity in all aspects of life.</w:t>
      </w:r>
    </w:p>
    <w:p w14:paraId="21054CF0"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 xml:space="preserve">His wish for Australia Awards and for </w:t>
      </w:r>
      <w:proofErr w:type="gramStart"/>
      <w:r w:rsidRPr="00226C43">
        <w:rPr>
          <w:sz w:val="20"/>
          <w:szCs w:val="20"/>
        </w:rPr>
        <w:t>all of</w:t>
      </w:r>
      <w:proofErr w:type="gramEnd"/>
      <w:r w:rsidRPr="00226C43">
        <w:rPr>
          <w:sz w:val="20"/>
          <w:szCs w:val="20"/>
        </w:rPr>
        <w:t xml:space="preserve"> its sub-contractors or suppliers to be strongly aligned with the GEDSI principles and standards that AAAEP–P promotes. “</w:t>
      </w:r>
      <w:r w:rsidRPr="00226C43">
        <w:rPr>
          <w:i/>
          <w:iCs/>
          <w:sz w:val="20"/>
          <w:szCs w:val="20"/>
        </w:rPr>
        <w:t xml:space="preserve">If we practice accessibility, then we should ensure that our service providers/suppliers like hotels and event organisers are also following suit and that they are sensitive to the needs of persons with disability. Sometimes, suppliers are just good with </w:t>
      </w:r>
      <w:proofErr w:type="gramStart"/>
      <w:r w:rsidRPr="00226C43">
        <w:rPr>
          <w:i/>
          <w:iCs/>
          <w:sz w:val="20"/>
          <w:szCs w:val="20"/>
        </w:rPr>
        <w:t>words, but</w:t>
      </w:r>
      <w:proofErr w:type="gramEnd"/>
      <w:r w:rsidRPr="00226C43">
        <w:rPr>
          <w:i/>
          <w:iCs/>
          <w:sz w:val="20"/>
          <w:szCs w:val="20"/>
        </w:rPr>
        <w:t xml:space="preserve"> fail at execution</w:t>
      </w:r>
      <w:r w:rsidRPr="00226C43">
        <w:rPr>
          <w:sz w:val="20"/>
          <w:szCs w:val="20"/>
        </w:rPr>
        <w:t>.”</w:t>
      </w:r>
    </w:p>
    <w:p w14:paraId="0C9D13D1"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spacing w:after="0"/>
        <w:rPr>
          <w:b/>
          <w:bCs/>
          <w:sz w:val="20"/>
          <w:szCs w:val="20"/>
        </w:rPr>
      </w:pPr>
      <w:r w:rsidRPr="00226C43">
        <w:rPr>
          <w:b/>
          <w:bCs/>
          <w:sz w:val="20"/>
          <w:szCs w:val="20"/>
        </w:rPr>
        <w:t>Case Study 5: Australia Awards Alumni leads establishment of paediatric oncology in the Philippines</w:t>
      </w:r>
    </w:p>
    <w:p w14:paraId="010E0009"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spacing w:after="0"/>
        <w:rPr>
          <w:i/>
          <w:iCs/>
          <w:sz w:val="20"/>
          <w:szCs w:val="20"/>
        </w:rPr>
      </w:pPr>
      <w:r w:rsidRPr="00226C43">
        <w:rPr>
          <w:i/>
          <w:iCs/>
          <w:sz w:val="20"/>
          <w:szCs w:val="20"/>
        </w:rPr>
        <w:t xml:space="preserve">Dr. Amy Dy, Paediatric Oncologist, </w:t>
      </w:r>
    </w:p>
    <w:p w14:paraId="11241B36"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spacing w:after="0"/>
        <w:rPr>
          <w:i/>
          <w:iCs/>
          <w:sz w:val="20"/>
          <w:szCs w:val="20"/>
        </w:rPr>
      </w:pPr>
      <w:r w:rsidRPr="00226C43">
        <w:rPr>
          <w:i/>
          <w:iCs/>
          <w:sz w:val="20"/>
          <w:szCs w:val="20"/>
        </w:rPr>
        <w:t>Executive Director of the Cancer Treatment and Support Foundation Inc.</w:t>
      </w:r>
    </w:p>
    <w:p w14:paraId="3134941A"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spacing w:after="0"/>
        <w:rPr>
          <w:i/>
          <w:iCs/>
          <w:sz w:val="20"/>
          <w:szCs w:val="20"/>
        </w:rPr>
      </w:pPr>
      <w:r w:rsidRPr="00226C43">
        <w:rPr>
          <w:i/>
          <w:iCs/>
          <w:sz w:val="20"/>
          <w:szCs w:val="20"/>
        </w:rPr>
        <w:t>Chairman Emeritus of the Philippine Board of Paediatric Oncology</w:t>
      </w:r>
    </w:p>
    <w:p w14:paraId="4922723D"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spacing w:after="0"/>
        <w:rPr>
          <w:i/>
          <w:iCs/>
          <w:sz w:val="20"/>
          <w:szCs w:val="20"/>
        </w:rPr>
      </w:pPr>
      <w:r w:rsidRPr="00226C43">
        <w:rPr>
          <w:i/>
          <w:iCs/>
          <w:sz w:val="20"/>
          <w:szCs w:val="20"/>
        </w:rPr>
        <w:t>Evaluator, Philippines Council for NGO Certification</w:t>
      </w:r>
    </w:p>
    <w:p w14:paraId="4985669D"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i/>
          <w:iCs/>
          <w:sz w:val="20"/>
          <w:szCs w:val="20"/>
        </w:rPr>
        <w:t>Royal Alexandra Hospital for Children Fellow, 1989.</w:t>
      </w:r>
    </w:p>
    <w:p w14:paraId="1DBE6C1B"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 xml:space="preserve">Dr. Amy Dy made history in 1999 as the founding chairman of the Philippine Board of Paediatric Oncology and contributed to the establishment of the Philippine Society of Paediatric Oncology as a founding trustee in 2000. This milestone followed her esteemed fellowship at The Royal Alexandra Hospital for Children, now known as The Children’s Hospital, in Sydney, Australia, in 1989 </w:t>
      </w:r>
      <w:r w:rsidRPr="00226C43">
        <w:rPr>
          <w:rStyle w:val="FootnoteReference"/>
          <w:sz w:val="20"/>
          <w:szCs w:val="20"/>
        </w:rPr>
        <w:footnoteReference w:id="21"/>
      </w:r>
      <w:r w:rsidRPr="00226C43">
        <w:rPr>
          <w:sz w:val="20"/>
          <w:szCs w:val="20"/>
        </w:rPr>
        <w:t>.</w:t>
      </w:r>
    </w:p>
    <w:p w14:paraId="2D45FDD5"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In 1989, Paediatric Oncology was not yet a field in the Philippines. Dr. Amelia Fernandez, chair of the Department of Paediatrics at UP-PGH, and Dr. Ernesto O. Domingo, chancellor of UP Manila, collaborated to send Dr. Dy to Australia through the AIDAB Colombo Plan scholarship. The goal was for Dr. Dy to become the first fully trained Paediatric Oncologist in the Philippines. After completing her fellowship at RAHC, Dr. Dy played a key role in training future paediatric oncologists at UP-PGH.</w:t>
      </w:r>
    </w:p>
    <w:p w14:paraId="7127ACCB"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After completing her fellowship in Paediatric Oncology at The Royal Alexandra Hospital for Children in Sydney, Dr. Dy maintained strong connections with the paediatric oncology unit and regularly engaged with Australian paediatric oncologists at international conferences. This helped expand her network and facilitated the exchange of knowledge between Australia and the Philippines.</w:t>
      </w:r>
    </w:p>
    <w:p w14:paraId="1A1CCE7A"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lastRenderedPageBreak/>
        <w:t>Dr. Dy played a key role in promoting knowledge exchange by inviting prominent Australian paediatric oncologists to deliver lectures at major conventions in the Philippines. These experts shared their insights and experiences with Filipino paediatricians.</w:t>
      </w:r>
    </w:p>
    <w:p w14:paraId="5E29D2FE"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Dr. Dy was also committed to capacity-building in the Philippines, exemplified by her sending a doctor for specialised training in neuro-oncology, addressing the lack of paediatric neuro-oncologists in the country. She also served as an important liaison for Filipino doctors seeking training in Australia, helping to validate information for those interested in furthering their expertise.</w:t>
      </w:r>
    </w:p>
    <w:p w14:paraId="05904EB7" w14:textId="77777777" w:rsidR="000C4CBA" w:rsidRPr="00226C43"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Additionally, Dr. Dy was actively involved in research, notably participating in the interview process for a translational research project led by Dr. Stewart Kellie, which focused on paediatric oncology in the Philippines. This demonstrated her dedication to advancing both research and professional development in the field.</w:t>
      </w:r>
    </w:p>
    <w:p w14:paraId="0B22A4EF" w14:textId="15EE5731" w:rsidR="000C4CBA" w:rsidRDefault="000C4CBA" w:rsidP="00A70710">
      <w:pPr>
        <w:pBdr>
          <w:top w:val="single" w:sz="4" w:space="1" w:color="auto"/>
          <w:left w:val="single" w:sz="4" w:space="4" w:color="auto"/>
          <w:bottom w:val="single" w:sz="4" w:space="1" w:color="auto"/>
          <w:right w:val="single" w:sz="4" w:space="4" w:color="auto"/>
        </w:pBdr>
        <w:shd w:val="clear" w:color="auto" w:fill="E9F5D2" w:themeFill="accent2" w:themeFillTint="33"/>
        <w:spacing w:after="0"/>
      </w:pPr>
      <w:r w:rsidRPr="00226C43">
        <w:rPr>
          <w:i/>
          <w:iCs/>
          <w:sz w:val="20"/>
          <w:szCs w:val="20"/>
        </w:rPr>
        <w:t xml:space="preserve">‘Patients with cancer, whether children or adults, are considered people with disability in our in our country. So, all of them, without exception, whether they are still being diagnosed, on therapy, or survivors, they are called persons </w:t>
      </w:r>
      <w:proofErr w:type="spellStart"/>
      <w:r w:rsidRPr="00226C43">
        <w:rPr>
          <w:i/>
          <w:iCs/>
          <w:sz w:val="20"/>
          <w:szCs w:val="20"/>
        </w:rPr>
        <w:t>withdisabilities</w:t>
      </w:r>
      <w:proofErr w:type="spellEnd"/>
      <w:r w:rsidRPr="00226C43">
        <w:rPr>
          <w:i/>
          <w:iCs/>
          <w:sz w:val="20"/>
          <w:szCs w:val="20"/>
        </w:rPr>
        <w:t xml:space="preserve">, and that is the main area in one’s indigency that we are concerned about. The disability of the children with cancer, regarding the gender, it doesn't have much effect on paediatric cancer, the gender equality, not so much. Because I mentioned earlier, many, majority of our patients are indigents, so we have several patients who can afford treatment, but many of them, majority are indigents, and so the programs of the foundation and our society includes support for those who cannot afford, for those who have no access, if they are not supported. So that's how my work promotes social inclusion.’ </w:t>
      </w:r>
      <w:r w:rsidRPr="00226C43">
        <w:rPr>
          <w:sz w:val="20"/>
          <w:szCs w:val="20"/>
        </w:rPr>
        <w:t>— Dr. Amy Dy</w:t>
      </w:r>
    </w:p>
    <w:p w14:paraId="0552C175" w14:textId="77777777" w:rsidR="00255130" w:rsidRDefault="00255130" w:rsidP="001F5829">
      <w:pPr>
        <w:spacing w:after="0"/>
      </w:pPr>
    </w:p>
    <w:p w14:paraId="60DF6106" w14:textId="7393B9FB" w:rsidR="00E210D2" w:rsidRPr="00226C43" w:rsidRDefault="00AC3610" w:rsidP="00061D40">
      <w:r w:rsidRPr="00226C43">
        <w:t>Al</w:t>
      </w:r>
      <w:r w:rsidR="4DD21A85" w:rsidRPr="00226C43">
        <w:t xml:space="preserve">umni survey responses on impact of various scholarship offerings on personal and professional lives, and on organisations, </w:t>
      </w:r>
      <w:r w:rsidRPr="00226C43">
        <w:t xml:space="preserve">are </w:t>
      </w:r>
      <w:r w:rsidR="4DD21A85" w:rsidRPr="00226C43">
        <w:t xml:space="preserve">set out in </w:t>
      </w:r>
      <w:r w:rsidR="18248CC7" w:rsidRPr="00226C43">
        <w:t>A</w:t>
      </w:r>
      <w:r w:rsidR="00C5548F" w:rsidRPr="00226C43">
        <w:t>ppendix</w:t>
      </w:r>
      <w:r w:rsidR="18248CC7" w:rsidRPr="00226C43">
        <w:t xml:space="preserve"> I.</w:t>
      </w:r>
      <w:r w:rsidR="4DD21A85" w:rsidRPr="00226C43">
        <w:t xml:space="preserve"> </w:t>
      </w:r>
      <w:r w:rsidR="00234AB5" w:rsidRPr="00226C43">
        <w:t xml:space="preserve">The figure below indicates that </w:t>
      </w:r>
      <w:r w:rsidR="00E20C10" w:rsidRPr="00226C43">
        <w:t xml:space="preserve">roughly 90% of respondents felt that </w:t>
      </w:r>
      <w:r w:rsidR="003C7CDC" w:rsidRPr="00226C43">
        <w:t>the program was effective in advancing GEDSI, in support their organisation, and in advancing the GPH’s priorities.</w:t>
      </w:r>
      <w:r w:rsidR="0078429F" w:rsidRPr="00226C43">
        <w:t xml:space="preserve"> </w:t>
      </w:r>
      <w:r w:rsidR="003C7CDC" w:rsidRPr="00226C43">
        <w:t>This is an impressive result.</w:t>
      </w:r>
    </w:p>
    <w:p w14:paraId="027C8B4A" w14:textId="5D20421F" w:rsidR="0036658C" w:rsidRPr="00F05BE1" w:rsidRDefault="00EC6E4D" w:rsidP="00610A3E">
      <w:pPr>
        <w:pStyle w:val="Caption"/>
        <w:spacing w:after="0"/>
      </w:pPr>
      <w:r w:rsidRPr="00226C43">
        <w:rPr>
          <w:color w:val="auto"/>
        </w:rPr>
        <w:t xml:space="preserve">Figure </w:t>
      </w:r>
      <w:r w:rsidR="000113F9" w:rsidRPr="00226C43">
        <w:rPr>
          <w:color w:val="auto"/>
        </w:rPr>
        <w:fldChar w:fldCharType="begin"/>
      </w:r>
      <w:r w:rsidR="000113F9" w:rsidRPr="00226C43">
        <w:rPr>
          <w:color w:val="auto"/>
        </w:rPr>
        <w:instrText xml:space="preserve"> SEQ Figure \* ARABIC </w:instrText>
      </w:r>
      <w:r w:rsidR="000113F9" w:rsidRPr="00226C43">
        <w:rPr>
          <w:color w:val="auto"/>
        </w:rPr>
        <w:fldChar w:fldCharType="separate"/>
      </w:r>
      <w:r w:rsidRPr="00226C43">
        <w:rPr>
          <w:noProof/>
          <w:color w:val="auto"/>
        </w:rPr>
        <w:t>1</w:t>
      </w:r>
      <w:r w:rsidR="000113F9" w:rsidRPr="00226C43">
        <w:rPr>
          <w:noProof/>
          <w:color w:val="auto"/>
        </w:rPr>
        <w:fldChar w:fldCharType="end"/>
      </w:r>
      <w:r w:rsidRPr="00226C43">
        <w:rPr>
          <w:color w:val="auto"/>
        </w:rPr>
        <w:t xml:space="preserve">: </w:t>
      </w:r>
      <w:r w:rsidR="0064432C" w:rsidRPr="00226C43">
        <w:rPr>
          <w:color w:val="auto"/>
        </w:rPr>
        <w:t>AAAEP–</w:t>
      </w:r>
      <w:r w:rsidRPr="00226C43">
        <w:rPr>
          <w:color w:val="auto"/>
        </w:rPr>
        <w:t xml:space="preserve">P’s Effectiveness </w:t>
      </w:r>
      <w:proofErr w:type="gramStart"/>
      <w:r w:rsidR="00FF21C6" w:rsidRPr="00226C43">
        <w:rPr>
          <w:color w:val="auto"/>
        </w:rPr>
        <w:t>to:</w:t>
      </w:r>
      <w:proofErr w:type="gramEnd"/>
      <w:r w:rsidR="00FF21C6" w:rsidRPr="00226C43">
        <w:rPr>
          <w:color w:val="auto"/>
        </w:rPr>
        <w:t xml:space="preserve"> advancing GEDSI, respondent’s organisation and GPH priorities</w:t>
      </w:r>
    </w:p>
    <w:p w14:paraId="473B4A88" w14:textId="6513D3CD" w:rsidR="00C61BCA" w:rsidRPr="00226C43" w:rsidRDefault="0036658C" w:rsidP="00610A3E">
      <w:r w:rsidRPr="0036658C">
        <w:rPr>
          <w:noProof/>
        </w:rPr>
        <w:drawing>
          <wp:inline distT="0" distB="0" distL="0" distR="0" wp14:anchorId="75152A7A" wp14:editId="1D7002C8">
            <wp:extent cx="5731510" cy="2134870"/>
            <wp:effectExtent l="0" t="0" r="2540" b="0"/>
            <wp:docPr id="239065289" name="Picture 1" descr="Bar chart showing that most respondents found the AAAEP-P effective in three areas: advancing GEDSI in the Philippines, supporting their organisations, and aligning with Philippine Government priorities. The majority rated it as &quot;very effective&quot; or &quot;quite effective&quot;, with very few rated it as ineff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65289" name="Picture 1" descr="Bar chart showing that most respondents found the AAAEP-P effective in three areas: advancing GEDSI in the Philippines, supporting their organisations, and aligning with Philippine Government priorities. The majority rated it as &quot;very effective&quot; or &quot;quite effective&quot;, with very few rated it as ineffective. "/>
                    <pic:cNvPicPr/>
                  </pic:nvPicPr>
                  <pic:blipFill>
                    <a:blip r:embed="rId20"/>
                    <a:stretch>
                      <a:fillRect/>
                    </a:stretch>
                  </pic:blipFill>
                  <pic:spPr>
                    <a:xfrm>
                      <a:off x="0" y="0"/>
                      <a:ext cx="5731510" cy="2134870"/>
                    </a:xfrm>
                    <a:prstGeom prst="rect">
                      <a:avLst/>
                    </a:prstGeom>
                  </pic:spPr>
                </pic:pic>
              </a:graphicData>
            </a:graphic>
          </wp:inline>
        </w:drawing>
      </w:r>
    </w:p>
    <w:p w14:paraId="73CB5E0E" w14:textId="752509ED" w:rsidR="00516BAF" w:rsidRPr="00226C43" w:rsidRDefault="00CA43CF" w:rsidP="00623F17">
      <w:pPr>
        <w:pStyle w:val="Heading5"/>
        <w:rPr>
          <w:rFonts w:asciiTheme="minorHAnsi" w:hAnsiTheme="minorHAnsi"/>
          <w:color w:val="auto"/>
        </w:rPr>
      </w:pPr>
      <w:r w:rsidRPr="00226C43">
        <w:rPr>
          <w:rFonts w:asciiTheme="minorHAnsi" w:hAnsiTheme="minorHAnsi"/>
          <w:color w:val="auto"/>
        </w:rPr>
        <w:t xml:space="preserve">2.6 </w:t>
      </w:r>
      <w:r w:rsidR="4DD21A85" w:rsidRPr="00226C43">
        <w:rPr>
          <w:rFonts w:asciiTheme="minorHAnsi" w:hAnsiTheme="minorHAnsi"/>
          <w:color w:val="auto"/>
        </w:rPr>
        <w:t xml:space="preserve">How well does AAAEP–P routinely collect and use MEL data and reports, including for management </w:t>
      </w:r>
      <w:r w:rsidR="0049577A" w:rsidRPr="00226C43">
        <w:rPr>
          <w:rFonts w:asciiTheme="minorHAnsi" w:hAnsiTheme="minorHAnsi"/>
          <w:color w:val="auto"/>
        </w:rPr>
        <w:t>decision-making</w:t>
      </w:r>
      <w:r w:rsidR="4DD21A85" w:rsidRPr="00226C43">
        <w:rPr>
          <w:rFonts w:asciiTheme="minorHAnsi" w:hAnsiTheme="minorHAnsi"/>
          <w:color w:val="auto"/>
        </w:rPr>
        <w:t xml:space="preserve">, learning and accountability purposes? </w:t>
      </w:r>
    </w:p>
    <w:p w14:paraId="4012F7F7" w14:textId="175E4245" w:rsidR="00937FBF" w:rsidRPr="00226C43" w:rsidRDefault="4DD21A85" w:rsidP="00045414">
      <w:pPr>
        <w:spacing w:after="120" w:line="259" w:lineRule="auto"/>
      </w:pPr>
      <w:r w:rsidRPr="00226C43">
        <w:t xml:space="preserve">The program implemented a comprehensive </w:t>
      </w:r>
      <w:r w:rsidR="18248CC7" w:rsidRPr="00226C43">
        <w:t>MEL</w:t>
      </w:r>
      <w:r w:rsidRPr="00226C43">
        <w:t xml:space="preserve"> Strategy, most recently updated in March 2023. </w:t>
      </w:r>
    </w:p>
    <w:p w14:paraId="7C74FD63" w14:textId="29BD1939" w:rsidR="00937FBF" w:rsidRPr="00226C43" w:rsidRDefault="005619A8" w:rsidP="00061D40">
      <w:r w:rsidRPr="00226C43">
        <w:lastRenderedPageBreak/>
        <w:t xml:space="preserve">AAAEP–P applied a ‘before-and-after design’ </w:t>
      </w:r>
      <w:r w:rsidRPr="00226C43">
        <w:rPr>
          <w:rStyle w:val="FootnoteReference"/>
        </w:rPr>
        <w:footnoteReference w:id="22"/>
      </w:r>
      <w:r w:rsidRPr="00226C43">
        <w:t xml:space="preserve"> for its MEL activities</w:t>
      </w:r>
      <w:r w:rsidR="00BD4FDE" w:rsidRPr="00226C43">
        <w:t xml:space="preserve">, which </w:t>
      </w:r>
      <w:r w:rsidRPr="00226C43">
        <w:t>compar</w:t>
      </w:r>
      <w:r w:rsidR="00BD4FDE" w:rsidRPr="00226C43">
        <w:t xml:space="preserve">ed </w:t>
      </w:r>
      <w:r w:rsidRPr="00226C43">
        <w:t xml:space="preserve">baseline levels </w:t>
      </w:r>
      <w:r w:rsidR="00BD4FDE" w:rsidRPr="00226C43">
        <w:t>and</w:t>
      </w:r>
      <w:r w:rsidRPr="00226C43">
        <w:t xml:space="preserve"> </w:t>
      </w:r>
      <w:r w:rsidR="00BD4FDE" w:rsidRPr="00226C43">
        <w:t>data generated against</w:t>
      </w:r>
      <w:r w:rsidRPr="00226C43">
        <w:t xml:space="preserve"> outcome indicators at different stages of implementation.</w:t>
      </w:r>
      <w:r w:rsidR="00FC3C2B" w:rsidRPr="00226C43">
        <w:t xml:space="preserve"> </w:t>
      </w:r>
      <w:r w:rsidR="17894B40" w:rsidRPr="00226C43">
        <w:rPr>
          <w:rFonts w:eastAsia="Aptos" w:cs="Aptos"/>
        </w:rPr>
        <w:t>The MEL</w:t>
      </w:r>
      <w:r w:rsidR="4DD21A85" w:rsidRPr="00226C43">
        <w:rPr>
          <w:rFonts w:eastAsia="Aptos" w:cs="Aptos"/>
        </w:rPr>
        <w:t xml:space="preserve"> Strategy employed a mixed-methods approach, incorporating quantitative data derived from desk research, the alumni and AAAEP–P activity participant databases, and the quantitative sections of various beneficiary and key partner surveys</w:t>
      </w:r>
      <w:r w:rsidR="002E64BA" w:rsidRPr="00226C43">
        <w:t xml:space="preserve">. The </w:t>
      </w:r>
      <w:r w:rsidR="7B8194BC" w:rsidRPr="00226C43">
        <w:t>p</w:t>
      </w:r>
      <w:r w:rsidR="002E64BA" w:rsidRPr="00226C43">
        <w:t>rogram generated qualitative information from focus group discussions (FGDs), KIIs, updates on the risk registry, and the qualitative sections of surveys.</w:t>
      </w:r>
      <w:r w:rsidR="002E64BA" w:rsidRPr="00226C43">
        <w:rPr>
          <w:rStyle w:val="FootnoteReference"/>
        </w:rPr>
        <w:footnoteReference w:id="23"/>
      </w:r>
    </w:p>
    <w:p w14:paraId="7CADE07D" w14:textId="7EEB8816" w:rsidR="006B63AA" w:rsidRPr="00226C43" w:rsidRDefault="4DD21A85" w:rsidP="4DD21A85">
      <w:r w:rsidRPr="00226C43">
        <w:t>The program produced semi-annual monitoring reports (SAMRs), Annual Monitoring Reports (AMRs), Thematic Reports, Investment Monitoring Reports, Rapid Midterm Assessment, and a Rapid End-of-Program Assessment. The</w:t>
      </w:r>
      <w:r w:rsidR="00045414" w:rsidRPr="00226C43">
        <w:t xml:space="preserve"> monitoring and evaluation system (</w:t>
      </w:r>
      <w:r w:rsidRPr="00226C43">
        <w:t>MES</w:t>
      </w:r>
      <w:r w:rsidR="00045414" w:rsidRPr="00226C43">
        <w:t>)</w:t>
      </w:r>
      <w:r w:rsidRPr="00226C43">
        <w:t xml:space="preserve"> therefore was a core element of the program’s implementation, with responsibilities spread across the implementation team, the Embassy, and the PCC. The AAAEP–P Team was responsible for developing, updating and maintaining the MES. DFAT, the Program Board and the Program Coordinating Committee were the intended primary recipients of </w:t>
      </w:r>
      <w:r w:rsidR="51F8BBA7" w:rsidRPr="00226C43">
        <w:t>MEL</w:t>
      </w:r>
      <w:r w:rsidRPr="00226C43">
        <w:t xml:space="preserve"> outputs using the information to perform their decision-making and management functions.</w:t>
      </w:r>
    </w:p>
    <w:p w14:paraId="16EBED40" w14:textId="18A40FF1" w:rsidR="00F17140" w:rsidRPr="00226C43" w:rsidRDefault="0088326A" w:rsidP="4DD21A85">
      <w:r w:rsidRPr="00226C43">
        <w:t>AAAEP</w:t>
      </w:r>
      <w:r w:rsidR="0049577A" w:rsidRPr="00226C43">
        <w:t>–</w:t>
      </w:r>
      <w:r w:rsidRPr="00226C43">
        <w:t xml:space="preserve">P </w:t>
      </w:r>
      <w:r w:rsidR="4DD21A85" w:rsidRPr="00226C43">
        <w:t xml:space="preserve">has a </w:t>
      </w:r>
      <w:r w:rsidR="0049577A" w:rsidRPr="00226C43">
        <w:t>well-established</w:t>
      </w:r>
      <w:r w:rsidR="4DD21A85" w:rsidRPr="00226C43">
        <w:t xml:space="preserve"> MEL mechanism, which collects detailed reports in line with AA requirements.</w:t>
      </w:r>
      <w:r w:rsidR="00241523" w:rsidRPr="00226C43">
        <w:t xml:space="preserve"> The </w:t>
      </w:r>
      <w:r w:rsidR="0064432C" w:rsidRPr="00226C43">
        <w:t>AAAEP–</w:t>
      </w:r>
      <w:r w:rsidR="00241523" w:rsidRPr="00226C43">
        <w:t>P MEL framework aligns closely with Australia Awards requirements, demonstrating compliance with DFAT’s MEL standards while incorporating localized adaptations to address the specific context of the Philippines.</w:t>
      </w:r>
    </w:p>
    <w:p w14:paraId="691C573E" w14:textId="6A8333FC" w:rsidR="00031407" w:rsidRPr="00226C43" w:rsidRDefault="00031407" w:rsidP="4DD21A85">
      <w:r w:rsidRPr="00226C43">
        <w:t>Key features of the MEL system include:</w:t>
      </w:r>
    </w:p>
    <w:p w14:paraId="5A3CD9BE" w14:textId="77777777" w:rsidR="0088326A" w:rsidRPr="00226C43" w:rsidRDefault="0088326A" w:rsidP="00623F17">
      <w:pPr>
        <w:pStyle w:val="Heading7"/>
        <w:rPr>
          <w:rFonts w:asciiTheme="minorHAnsi" w:hAnsiTheme="minorHAnsi"/>
          <w:color w:val="auto"/>
        </w:rPr>
      </w:pPr>
      <w:r w:rsidRPr="00226C43">
        <w:rPr>
          <w:rFonts w:asciiTheme="minorHAnsi" w:hAnsiTheme="minorHAnsi"/>
          <w:color w:val="auto"/>
        </w:rPr>
        <w:t>Alignment with DFAT’s MEL Standards</w:t>
      </w:r>
    </w:p>
    <w:p w14:paraId="7A7151CA" w14:textId="485F04BA" w:rsidR="00031407" w:rsidRPr="00226C43" w:rsidRDefault="00031407" w:rsidP="00031407">
      <w:r w:rsidRPr="00226C43">
        <w:rPr>
          <w:i/>
          <w:iCs/>
        </w:rPr>
        <w:t>EOPO-focused evaluation</w:t>
      </w:r>
      <w:r w:rsidRPr="00226C43">
        <w:t xml:space="preserve">: The MEL framework is designed to monitor progress against </w:t>
      </w:r>
      <w:r w:rsidRPr="00226C43">
        <w:rPr>
          <w:b/>
          <w:bCs/>
        </w:rPr>
        <w:t>End of Program Outcomes (EOPOs)</w:t>
      </w:r>
      <w:r w:rsidRPr="00226C43">
        <w:t>, consistent with</w:t>
      </w:r>
      <w:r w:rsidR="00375029" w:rsidRPr="00226C43">
        <w:t xml:space="preserve"> </w:t>
      </w:r>
      <w:r w:rsidR="00C10D1C" w:rsidRPr="00226C43">
        <w:t>key</w:t>
      </w:r>
      <w:r w:rsidR="00D36BB8" w:rsidRPr="00226C43">
        <w:t xml:space="preserve"> </w:t>
      </w:r>
      <w:r w:rsidRPr="00226C43">
        <w:t xml:space="preserve">Australia Awards </w:t>
      </w:r>
      <w:r w:rsidR="009277A5" w:rsidRPr="00226C43">
        <w:t xml:space="preserve">global program </w:t>
      </w:r>
      <w:r w:rsidRPr="00226C43">
        <w:t>objectives</w:t>
      </w:r>
      <w:r w:rsidR="00D36BB8" w:rsidRPr="00226C43">
        <w:t>, including</w:t>
      </w:r>
      <w:r w:rsidRPr="00226C43">
        <w:t xml:space="preserve"> fostering skills development and building strong alumni networks.</w:t>
      </w:r>
    </w:p>
    <w:p w14:paraId="685BACAA" w14:textId="77777777" w:rsidR="00031407" w:rsidRPr="00226C43" w:rsidRDefault="00031407" w:rsidP="00031407">
      <w:r w:rsidRPr="00226C43">
        <w:rPr>
          <w:i/>
          <w:iCs/>
        </w:rPr>
        <w:t>Data-driven insights</w:t>
      </w:r>
      <w:r w:rsidRPr="00226C43">
        <w:rPr>
          <w:b/>
          <w:bCs/>
        </w:rPr>
        <w:t>:</w:t>
      </w:r>
      <w:r w:rsidRPr="00226C43">
        <w:t xml:space="preserve"> Regular collection and analysis of qualitative and quantitative data are aligned with Australia Awards requirements to ensure evidence-based program improvements.</w:t>
      </w:r>
    </w:p>
    <w:p w14:paraId="1FFBE062" w14:textId="135698D4" w:rsidR="00031407" w:rsidRPr="00226C43" w:rsidRDefault="00031407" w:rsidP="00623F17">
      <w:pPr>
        <w:pStyle w:val="Heading7"/>
        <w:rPr>
          <w:rFonts w:asciiTheme="minorHAnsi" w:hAnsiTheme="minorHAnsi"/>
          <w:color w:val="auto"/>
        </w:rPr>
      </w:pPr>
      <w:r w:rsidRPr="00226C43">
        <w:rPr>
          <w:rFonts w:asciiTheme="minorHAnsi" w:hAnsiTheme="minorHAnsi"/>
          <w:color w:val="auto"/>
        </w:rPr>
        <w:t>Contribution to Australia Awards Objectives</w:t>
      </w:r>
    </w:p>
    <w:p w14:paraId="1CDBD54A" w14:textId="7B7B4954" w:rsidR="00031407" w:rsidRPr="00226C43" w:rsidRDefault="0064432C" w:rsidP="006440C2">
      <w:r w:rsidRPr="00226C43">
        <w:t>AAAEP–</w:t>
      </w:r>
      <w:r w:rsidR="00031407" w:rsidRPr="00226C43">
        <w:t>P's MEL framework supports the core objectives of Australia Awards:</w:t>
      </w:r>
    </w:p>
    <w:p w14:paraId="38922883" w14:textId="5F357DA1" w:rsidR="00031407" w:rsidRPr="00226C43" w:rsidRDefault="00031407" w:rsidP="006440C2">
      <w:r w:rsidRPr="00226C43">
        <w:rPr>
          <w:i/>
          <w:iCs/>
        </w:rPr>
        <w:t>Capacity-building outcomes</w:t>
      </w:r>
      <w:r w:rsidRPr="00226C43">
        <w:rPr>
          <w:b/>
          <w:bCs/>
        </w:rPr>
        <w:t>:</w:t>
      </w:r>
      <w:r w:rsidRPr="00226C43">
        <w:t xml:space="preserve"> Tracks participants’ professional and organi</w:t>
      </w:r>
      <w:r w:rsidR="004A57AC" w:rsidRPr="00226C43">
        <w:t>s</w:t>
      </w:r>
      <w:r w:rsidRPr="00226C43">
        <w:t>ational performance improvements</w:t>
      </w:r>
      <w:r w:rsidR="00E133EC" w:rsidRPr="00226C43">
        <w:t xml:space="preserve"> to ensure</w:t>
      </w:r>
      <w:r w:rsidRPr="00226C43">
        <w:t xml:space="preserve"> alignment with DFAT’s focus on skills and knowledge transfer.</w:t>
      </w:r>
    </w:p>
    <w:p w14:paraId="5A28FF02" w14:textId="5B47295C" w:rsidR="00031407" w:rsidRPr="00226C43" w:rsidRDefault="00031407" w:rsidP="006440C2">
      <w:r w:rsidRPr="00226C43">
        <w:rPr>
          <w:i/>
          <w:iCs/>
        </w:rPr>
        <w:t>Alumni engagement and impact</w:t>
      </w:r>
      <w:r w:rsidRPr="00226C43">
        <w:rPr>
          <w:b/>
          <w:bCs/>
        </w:rPr>
        <w:t>:</w:t>
      </w:r>
      <w:r w:rsidRPr="00226C43">
        <w:t xml:space="preserve"> Measures the contribution of alumni to development priorities</w:t>
      </w:r>
      <w:r w:rsidR="00E133EC" w:rsidRPr="00226C43">
        <w:t xml:space="preserve"> to </w:t>
      </w:r>
      <w:r w:rsidRPr="00226C43">
        <w:t>address the Australia Awards goal of sustaining long-term development partnerships.</w:t>
      </w:r>
    </w:p>
    <w:p w14:paraId="71CBCC43" w14:textId="149196DA" w:rsidR="00031407" w:rsidRPr="00226C43" w:rsidRDefault="00031407" w:rsidP="006440C2">
      <w:r w:rsidRPr="00226C43">
        <w:rPr>
          <w:i/>
          <w:iCs/>
        </w:rPr>
        <w:lastRenderedPageBreak/>
        <w:t>Inclusivity metrics</w:t>
      </w:r>
      <w:r w:rsidRPr="00226C43">
        <w:rPr>
          <w:b/>
          <w:bCs/>
        </w:rPr>
        <w:t>:</w:t>
      </w:r>
      <w:r w:rsidRPr="00226C43">
        <w:t xml:space="preserve"> Evaluates outcomes related </w:t>
      </w:r>
      <w:r w:rsidR="004A57AC" w:rsidRPr="00226C43">
        <w:t>GEDSI</w:t>
      </w:r>
      <w:r w:rsidR="00E133EC" w:rsidRPr="00226C43">
        <w:t xml:space="preserve"> which </w:t>
      </w:r>
      <w:r w:rsidR="0010766D" w:rsidRPr="00226C43">
        <w:t>aligns with</w:t>
      </w:r>
      <w:r w:rsidRPr="00226C43">
        <w:t xml:space="preserve"> DFAT’s commitment to inclusive development.</w:t>
      </w:r>
    </w:p>
    <w:p w14:paraId="32680CB1" w14:textId="68393E53" w:rsidR="00031407" w:rsidRPr="00226C43" w:rsidRDefault="00031407" w:rsidP="00623F17">
      <w:pPr>
        <w:pStyle w:val="Heading7"/>
        <w:rPr>
          <w:rFonts w:asciiTheme="minorHAnsi" w:hAnsiTheme="minorHAnsi"/>
          <w:color w:val="auto"/>
        </w:rPr>
      </w:pPr>
      <w:r w:rsidRPr="00226C43">
        <w:rPr>
          <w:rFonts w:asciiTheme="minorHAnsi" w:hAnsiTheme="minorHAnsi"/>
          <w:color w:val="auto"/>
        </w:rPr>
        <w:t>Program-Specific Adaptations</w:t>
      </w:r>
    </w:p>
    <w:p w14:paraId="5CBBC0EF" w14:textId="2C83A358" w:rsidR="00031407" w:rsidRPr="00226C43" w:rsidRDefault="00031407" w:rsidP="00031407">
      <w:r w:rsidRPr="00226C43">
        <w:t xml:space="preserve">While aligned with Australia Awards, </w:t>
      </w:r>
      <w:r w:rsidR="0064432C" w:rsidRPr="00226C43">
        <w:t>AAAEP–</w:t>
      </w:r>
      <w:r w:rsidRPr="00226C43">
        <w:t>P’s MEL framework also integrates program-specific adaptations, such as:</w:t>
      </w:r>
    </w:p>
    <w:p w14:paraId="29E57A7A" w14:textId="6D5E78E8" w:rsidR="00031407" w:rsidRPr="00226C43" w:rsidRDefault="0010766D" w:rsidP="0088326A">
      <w:r w:rsidRPr="00226C43">
        <w:rPr>
          <w:i/>
          <w:iCs/>
        </w:rPr>
        <w:t xml:space="preserve">A </w:t>
      </w:r>
      <w:r w:rsidR="00031407" w:rsidRPr="00226C43">
        <w:rPr>
          <w:i/>
          <w:iCs/>
        </w:rPr>
        <w:t>Focus on Philippine development priorities</w:t>
      </w:r>
      <w:r w:rsidR="00031407" w:rsidRPr="00226C43">
        <w:rPr>
          <w:b/>
          <w:bCs/>
        </w:rPr>
        <w:t>:</w:t>
      </w:r>
      <w:r w:rsidR="00031407" w:rsidRPr="00226C43">
        <w:t xml:space="preserve"> Ensures MEL indicators are relevant to local contexts while reflecting Australia Awards’ overarching objectives.</w:t>
      </w:r>
    </w:p>
    <w:p w14:paraId="63985224" w14:textId="45F07B76" w:rsidR="00031407" w:rsidRPr="00226C43" w:rsidRDefault="00031407" w:rsidP="0088326A">
      <w:r w:rsidRPr="00226C43">
        <w:rPr>
          <w:i/>
          <w:iCs/>
        </w:rPr>
        <w:t>Collaborative reporting</w:t>
      </w:r>
      <w:r w:rsidRPr="00226C43">
        <w:rPr>
          <w:b/>
          <w:bCs/>
        </w:rPr>
        <w:t>:</w:t>
      </w:r>
      <w:r w:rsidRPr="00226C43">
        <w:t xml:space="preserve"> Engages stakeholders like </w:t>
      </w:r>
      <w:r w:rsidR="004A57AC" w:rsidRPr="00226C43">
        <w:t>GPH</w:t>
      </w:r>
      <w:r w:rsidRPr="00226C43">
        <w:t xml:space="preserve"> agencies and alumni networks in MEL processes</w:t>
      </w:r>
      <w:r w:rsidR="00E133EC" w:rsidRPr="00226C43">
        <w:t xml:space="preserve"> to </w:t>
      </w:r>
      <w:r w:rsidRPr="00226C43">
        <w:t>strengthen alignment with bilateral goals.</w:t>
      </w:r>
    </w:p>
    <w:p w14:paraId="6C03FA4F" w14:textId="50D7A806" w:rsidR="00516BAF" w:rsidRPr="00226C43" w:rsidRDefault="00CA43CF" w:rsidP="00623F17">
      <w:pPr>
        <w:pStyle w:val="Heading5"/>
        <w:rPr>
          <w:rFonts w:asciiTheme="minorHAnsi" w:hAnsiTheme="minorHAnsi"/>
          <w:color w:val="auto"/>
        </w:rPr>
      </w:pPr>
      <w:r w:rsidRPr="00226C43">
        <w:rPr>
          <w:rFonts w:asciiTheme="minorHAnsi" w:hAnsiTheme="minorHAnsi"/>
          <w:color w:val="auto"/>
        </w:rPr>
        <w:t xml:space="preserve">2.7 </w:t>
      </w:r>
      <w:r w:rsidR="4DD21A85" w:rsidRPr="00226C43">
        <w:rPr>
          <w:rFonts w:asciiTheme="minorHAnsi" w:hAnsiTheme="minorHAnsi"/>
          <w:color w:val="auto"/>
        </w:rPr>
        <w:t>How well does AAAEP–P manage risk and to what extent are risk management policies and practices (including in relation to fraud control and safeguards) followed?</w:t>
      </w:r>
    </w:p>
    <w:p w14:paraId="3A277922" w14:textId="511E3797" w:rsidR="009D2283" w:rsidRDefault="4DD21A85" w:rsidP="4DD21A85">
      <w:r w:rsidRPr="00226C43">
        <w:t xml:space="preserve">The program has well-established risk management </w:t>
      </w:r>
      <w:r w:rsidR="174BD946" w:rsidRPr="00226C43">
        <w:t>processes</w:t>
      </w:r>
      <w:r w:rsidRPr="00226C43">
        <w:t xml:space="preserve"> in place. Risk is reported and reviewed by DFAT </w:t>
      </w:r>
      <w:r w:rsidR="000F7A9D" w:rsidRPr="00226C43">
        <w:t xml:space="preserve">quarterly in a Risk Management Report. Significant or emerging risks are reported immediately or as needed, depending on their urgency and potential impact on program delivery. This approach ensures that DFAT remains informed of ongoing and new risks, allowing for timely mitigation measures to be implemented collaboratively. </w:t>
      </w:r>
      <w:r w:rsidRPr="00226C43">
        <w:t xml:space="preserve">Risk management for fraud control and safeguards </w:t>
      </w:r>
      <w:r w:rsidR="00F36214" w:rsidRPr="00226C43">
        <w:t>is</w:t>
      </w:r>
      <w:r w:rsidRPr="00226C43">
        <w:t xml:space="preserve"> implemented well.</w:t>
      </w:r>
      <w:r w:rsidR="0078429F" w:rsidRPr="00226C43">
        <w:t xml:space="preserve"> </w:t>
      </w:r>
    </w:p>
    <w:p w14:paraId="724F3C45" w14:textId="7EBA124F" w:rsidR="005460CE" w:rsidRDefault="005460CE" w:rsidP="005460CE">
      <w:r>
        <w:t>Part of AAAEP–P’s process is the handover of the scholars to the universities,</w:t>
      </w:r>
      <w:r w:rsidR="00366906">
        <w:rPr>
          <w:rStyle w:val="FootnoteReference"/>
        </w:rPr>
        <w:footnoteReference w:id="24"/>
      </w:r>
      <w:r>
        <w:t xml:space="preserve"> once their settle-in procedures are done. In one of the Alumni interviews conducted, an incident of </w:t>
      </w:r>
      <w:r w:rsidR="00FF0E69">
        <w:t>“</w:t>
      </w:r>
      <w:r>
        <w:t>bullying</w:t>
      </w:r>
      <w:r w:rsidR="00FF0E69">
        <w:t>”</w:t>
      </w:r>
      <w:r>
        <w:t xml:space="preserve"> involving a few scholars was shared (in confidence). In fear of negative news reaching AAAEP–P, the scholar dealt with this incident with support from the University Coordinator.</w:t>
      </w:r>
    </w:p>
    <w:p w14:paraId="64C82A63" w14:textId="668D5E86" w:rsidR="005460CE" w:rsidRDefault="005460CE" w:rsidP="005460CE">
      <w:r>
        <w:t>Information was also shared on scholars taking on cleaning jobs to earn extra money to support family members who are either staying with them or back in the Philippines. While this may be appropriate, the AAAEP–P could encourage scholars who need to work to take on jobs that would aid their intellectual or education journey like technical or research-related tasks. Care would need to be taken to ensure such work does not adversely affect time available for study.</w:t>
      </w:r>
    </w:p>
    <w:p w14:paraId="248E9009" w14:textId="25C87453" w:rsidR="005C3128" w:rsidRPr="00226C43" w:rsidRDefault="005460CE" w:rsidP="005460CE">
      <w:r>
        <w:t>Sub-cultures between the targeted and open categories were also observed, with the scholars from the open category perceived to be more elite due to the more highly competitive process they went through. While this is not a popular sentiment, AAAEP–P could deepen or diversify their relationship building strategies with the scholars to ensure fairness and equity.</w:t>
      </w:r>
    </w:p>
    <w:p w14:paraId="0D875855" w14:textId="4033064F" w:rsidR="00E25FB3" w:rsidRPr="00226C43" w:rsidRDefault="00717060" w:rsidP="004E3950">
      <w:pPr>
        <w:pStyle w:val="Heading5"/>
        <w:rPr>
          <w:rFonts w:asciiTheme="minorHAnsi" w:hAnsiTheme="minorHAnsi"/>
          <w:color w:val="auto"/>
        </w:rPr>
      </w:pPr>
      <w:r w:rsidRPr="00226C43">
        <w:rPr>
          <w:rFonts w:asciiTheme="minorHAnsi" w:hAnsiTheme="minorHAnsi"/>
          <w:color w:val="auto"/>
        </w:rPr>
        <w:t xml:space="preserve">2.8 </w:t>
      </w:r>
      <w:r w:rsidR="4DD21A85" w:rsidRPr="00226C43">
        <w:rPr>
          <w:rFonts w:asciiTheme="minorHAnsi" w:hAnsiTheme="minorHAnsi"/>
          <w:color w:val="auto"/>
        </w:rPr>
        <w:t>To what extent has the AAAEP–P achieved its GEDSI (mainstreaming) targets with reference to Post’s Gender/GEDSI Action Plan and the AAAEP–P's specific GEDSI targets?</w:t>
      </w:r>
      <w:r w:rsidR="0078429F" w:rsidRPr="00226C43">
        <w:rPr>
          <w:rFonts w:asciiTheme="minorHAnsi" w:hAnsiTheme="minorHAnsi"/>
          <w:color w:val="auto"/>
        </w:rPr>
        <w:t xml:space="preserve"> </w:t>
      </w:r>
    </w:p>
    <w:p w14:paraId="1BC98D06" w14:textId="54CB8926" w:rsidR="00CF5FED" w:rsidRPr="00226C43" w:rsidRDefault="4DD21A85" w:rsidP="000012A5">
      <w:pPr>
        <w:spacing w:after="240"/>
      </w:pPr>
      <w:r w:rsidRPr="00226C43">
        <w:t xml:space="preserve">The </w:t>
      </w:r>
      <w:r w:rsidR="2D02460C" w:rsidRPr="00226C43">
        <w:t>p</w:t>
      </w:r>
      <w:r w:rsidRPr="00226C43">
        <w:t xml:space="preserve">rogram guaranteed that women, men, and people of diverse identities have equal opportunities to obtain awards to acquire, advance, and utilise new skills and to contribute to development and gender equality in the Philippines. Through Alumni </w:t>
      </w:r>
      <w:r w:rsidRPr="00226C43">
        <w:lastRenderedPageBreak/>
        <w:t xml:space="preserve">learning events, AAAEP–P has discussed the risks to gender equality and how these barriers can be addressed. The </w:t>
      </w:r>
      <w:r w:rsidR="2D02460C" w:rsidRPr="00226C43">
        <w:t>p</w:t>
      </w:r>
      <w:r w:rsidRPr="00226C43">
        <w:t xml:space="preserve">rogram also referred to the standards set out in the Australia Awards Global Strategy and has developed their own GEDSI Strategy that outlines the framework used in the planning, selection, implementation and monitoring of the </w:t>
      </w:r>
      <w:r w:rsidR="760F462F" w:rsidRPr="00226C43">
        <w:t>p</w:t>
      </w:r>
      <w:r w:rsidRPr="00226C43">
        <w:t>rogram’s activities. </w:t>
      </w:r>
    </w:p>
    <w:p w14:paraId="476CCE73" w14:textId="61FCF840" w:rsidR="00CF5FED" w:rsidRPr="00226C43" w:rsidRDefault="4DD21A85" w:rsidP="000012A5">
      <w:pPr>
        <w:spacing w:after="240"/>
      </w:pPr>
      <w:r w:rsidRPr="00226C43">
        <w:t xml:space="preserve">Scholars in the targeted category were encouraged to address and implement perceived GAD issues in their REAPs for their respective organisations and were mentored by the </w:t>
      </w:r>
      <w:r w:rsidR="72B66936" w:rsidRPr="00226C43">
        <w:t>p</w:t>
      </w:r>
      <w:r w:rsidRPr="00226C43">
        <w:t>rogram to tap the Philippine government-mandated 5% budget on GAD.</w:t>
      </w:r>
      <w:r w:rsidR="00AB2A70" w:rsidRPr="00226C43">
        <w:t xml:space="preserve"> </w:t>
      </w:r>
      <w:r w:rsidRPr="00226C43">
        <w:t xml:space="preserve">The </w:t>
      </w:r>
      <w:r w:rsidR="72B66936" w:rsidRPr="00226C43">
        <w:t>p</w:t>
      </w:r>
      <w:r w:rsidRPr="00226C43">
        <w:t>rogram also allocates a set percentage of the total budget to address gender and inclusion issues. Under the previous facility, one of the risks to the program was government agencies not proposing female candidates in the targeted category or not sufficiently valuing their experience on their return. AAAEP</w:t>
      </w:r>
      <w:r w:rsidR="00855E4C" w:rsidRPr="00226C43">
        <w:t>–</w:t>
      </w:r>
      <w:r w:rsidRPr="00226C43">
        <w:t xml:space="preserve">P managed these risks by providing gender and inclusion training to targeted agencies and gender training to participants and mentors to ensure gender does not act as a barrier for returning scholars. The evaluation team’s interviews confirmed that agencies valued and incorporated this training into their policies and procedures. The scholars also demonstrated their evolving interest on </w:t>
      </w:r>
      <w:r w:rsidR="097F9FD8" w:rsidRPr="00226C43">
        <w:t>GEDSI</w:t>
      </w:r>
      <w:r w:rsidRPr="00226C43">
        <w:t xml:space="preserve"> by designing learning events that deepen their understanding as a community of government and private practitioners.</w:t>
      </w:r>
    </w:p>
    <w:p w14:paraId="3438F296" w14:textId="7D01D12B" w:rsidR="00CF5FED" w:rsidRPr="00226C43" w:rsidRDefault="4DD21A85" w:rsidP="000012A5">
      <w:pPr>
        <w:spacing w:after="240"/>
      </w:pPr>
      <w:r w:rsidRPr="00226C43">
        <w:t>All AAAEP–P efforts contribute to DFAT’s priority on gender equality even while the Department’s International Gender Equality Strategy is yet to be finalised, including the Mission’s GEDSI Strategy. In the Philippines, the AAAEP–P has continuously supported the development program through capacity building of partners in DFAT’s longstanding focus on education, peace and security, including in Muslim Mindanao, and disaster and climate resilience, with a focus on gender and social inclusion. Over the years, the AAAEP–P has also widened its support to the broader needs of the Mission in the Philippines, especially towards public diplomacy and trade.</w:t>
      </w:r>
    </w:p>
    <w:p w14:paraId="4AD3D22F" w14:textId="68EAEC21" w:rsidR="00943E84" w:rsidRPr="00226C43" w:rsidRDefault="4DD21A85" w:rsidP="000012A5">
      <w:pPr>
        <w:spacing w:after="240"/>
      </w:pPr>
      <w:r w:rsidRPr="00226C43">
        <w:t>It has to be noted too, that despite the lack of clear GEDSI targets at the Mission level, the program logic of AAAEP–P was updated in 2023 reflecting and weaving GEDSI into all outcomes to ensure that the program benefits diverse sets of scholars and alumni (men and women, Indigenous peoples, people with disabilities, marginalised groups and people in all their diversity).</w:t>
      </w:r>
    </w:p>
    <w:p w14:paraId="3FAD4CA6" w14:textId="77777777" w:rsidR="00CA43CF" w:rsidRPr="00226C43" w:rsidRDefault="00CA43CF" w:rsidP="00E6722F">
      <w:pPr>
        <w:pStyle w:val="Heading5"/>
        <w:spacing w:before="0"/>
        <w:rPr>
          <w:rFonts w:asciiTheme="minorHAnsi" w:hAnsiTheme="minorHAnsi"/>
          <w:color w:val="auto"/>
        </w:rPr>
      </w:pPr>
      <w:r w:rsidRPr="00226C43">
        <w:rPr>
          <w:rFonts w:asciiTheme="minorHAnsi" w:hAnsiTheme="minorHAnsi"/>
          <w:color w:val="auto"/>
        </w:rPr>
        <w:t>2.9 Were the target outcomes appropriate and related to the program objectives?</w:t>
      </w:r>
    </w:p>
    <w:p w14:paraId="28FB531F" w14:textId="29023977" w:rsidR="002A71E7" w:rsidRPr="00226C43" w:rsidRDefault="0064432C" w:rsidP="000012A5">
      <w:pPr>
        <w:spacing w:after="240"/>
      </w:pPr>
      <w:r w:rsidRPr="00226C43">
        <w:t>AAAEP–</w:t>
      </w:r>
      <w:r w:rsidR="002A71E7" w:rsidRPr="00226C43">
        <w:t>P’s target outcomes map onto its higher-level objectives. The program aimed to achieve several key target outcomes that aligned with the higher-level objective of building the capacity of professionals and institutions in the Philippines to drive national development. The program’s key outcomes included strengthening human capital through scholarships and short courses, enhancing institutional capacity by organisations benefiting from returning scholars’ expertise, and effective alumni engagement which foster</w:t>
      </w:r>
      <w:r w:rsidR="00E14D28" w:rsidRPr="00226C43">
        <w:t>ed</w:t>
      </w:r>
      <w:r w:rsidR="002A71E7" w:rsidRPr="00226C43">
        <w:t xml:space="preserve"> and develop</w:t>
      </w:r>
      <w:r w:rsidR="00E14D28" w:rsidRPr="00226C43">
        <w:t>ed</w:t>
      </w:r>
      <w:r w:rsidR="002A71E7" w:rsidRPr="00226C43">
        <w:t xml:space="preserve"> collaborative networks of professionals committed to ongoing development. Integration of GEDSI principles ensured that the program’s impact was inclusive and far-reaching</w:t>
      </w:r>
      <w:r w:rsidR="00DA2FF6" w:rsidRPr="00226C43">
        <w:t>, aligning with its higher-level inclusive development objective through inclusion of groups experiencing marginalisation in capacity-building activities.</w:t>
      </w:r>
    </w:p>
    <w:p w14:paraId="4CB0A14E" w14:textId="556349D8" w:rsidR="002A71E7" w:rsidRPr="00226C43" w:rsidRDefault="002A71E7" w:rsidP="000012A5">
      <w:pPr>
        <w:spacing w:after="240"/>
      </w:pPr>
      <w:r w:rsidRPr="00226C43">
        <w:lastRenderedPageBreak/>
        <w:t xml:space="preserve">These outcomes were aligned with the program's broader strategic objective of supporting the Philippines’ socio-economic growth and governance reforms. In developing batches of well-trained professionals, </w:t>
      </w:r>
      <w:r w:rsidR="0064432C" w:rsidRPr="00226C43">
        <w:t>AAAEP–P</w:t>
      </w:r>
      <w:r w:rsidRPr="00226C43">
        <w:t xml:space="preserve"> directly contributed to workforce development, equipping individuals with the skills necessary to address </w:t>
      </w:r>
      <w:r w:rsidR="00E14D28" w:rsidRPr="00226C43">
        <w:t>the socio-economic growth and governance reform</w:t>
      </w:r>
      <w:r w:rsidR="00441C56" w:rsidRPr="00226C43">
        <w:t xml:space="preserve"> </w:t>
      </w:r>
      <w:r w:rsidRPr="00226C43">
        <w:t xml:space="preserve">development challenges. </w:t>
      </w:r>
      <w:r w:rsidR="00441C56" w:rsidRPr="00226C43">
        <w:t>R</w:t>
      </w:r>
      <w:r w:rsidRPr="00226C43">
        <w:t xml:space="preserve">eturning scholars </w:t>
      </w:r>
      <w:r w:rsidR="00441C56" w:rsidRPr="00226C43">
        <w:t>were able to</w:t>
      </w:r>
      <w:r w:rsidRPr="00226C43">
        <w:t xml:space="preserve"> apply new skills and approaches to innovate and strengthen their organisations’ efficiency. The program’s alumni engagement (and alumni networks) through platforms for shared learning, mentorship, and engaging on policy dialogue further amplified this</w:t>
      </w:r>
      <w:r w:rsidR="00DA2FF6" w:rsidRPr="00226C43">
        <w:t xml:space="preserve">, with the </w:t>
      </w:r>
      <w:r w:rsidR="008E1592" w:rsidRPr="00226C43">
        <w:t>p</w:t>
      </w:r>
      <w:r w:rsidRPr="00226C43">
        <w:t xml:space="preserve">rogram’s benefits </w:t>
      </w:r>
      <w:r w:rsidR="008E1592" w:rsidRPr="00226C43">
        <w:t xml:space="preserve">expected to </w:t>
      </w:r>
      <w:r w:rsidRPr="00226C43">
        <w:t>extend well beyond its term.</w:t>
      </w:r>
    </w:p>
    <w:p w14:paraId="54F3B049" w14:textId="1AFEADA1" w:rsidR="002A71E7" w:rsidRDefault="002A71E7" w:rsidP="000012A5">
      <w:pPr>
        <w:spacing w:after="240"/>
      </w:pPr>
      <w:r w:rsidRPr="00226C43">
        <w:t xml:space="preserve">The </w:t>
      </w:r>
      <w:r w:rsidR="00C51943" w:rsidRPr="00226C43">
        <w:t>target outcomes were well aligned with the overarching program objectives,</w:t>
      </w:r>
      <w:r w:rsidRPr="00226C43">
        <w:t xml:space="preserve"> supported Australia's development assistance priorities </w:t>
      </w:r>
      <w:proofErr w:type="gramStart"/>
      <w:r w:rsidRPr="00226C43">
        <w:t>and also</w:t>
      </w:r>
      <w:proofErr w:type="gramEnd"/>
      <w:r w:rsidRPr="00226C43">
        <w:t xml:space="preserve"> reinforc</w:t>
      </w:r>
      <w:r w:rsidR="00C51943" w:rsidRPr="00226C43">
        <w:t>ing</w:t>
      </w:r>
      <w:r w:rsidRPr="00226C43">
        <w:t xml:space="preserve"> bilateral relations through a shared commitment to education and professional development </w:t>
      </w:r>
      <w:r w:rsidR="00C51943" w:rsidRPr="00226C43">
        <w:t xml:space="preserve">to drive </w:t>
      </w:r>
      <w:r w:rsidRPr="00226C43">
        <w:t xml:space="preserve">development impact and </w:t>
      </w:r>
      <w:r w:rsidR="00C51943" w:rsidRPr="00226C43">
        <w:t xml:space="preserve">closer economic and </w:t>
      </w:r>
      <w:r w:rsidRPr="00226C43">
        <w:t xml:space="preserve">strategic </w:t>
      </w:r>
      <w:r w:rsidR="00C51943" w:rsidRPr="00226C43">
        <w:t>ties</w:t>
      </w:r>
      <w:r w:rsidRPr="00226C43">
        <w:t xml:space="preserve">. </w:t>
      </w:r>
    </w:p>
    <w:p w14:paraId="20FA50F1" w14:textId="77777777" w:rsidR="00326D37" w:rsidRPr="00226C43" w:rsidRDefault="00326D37" w:rsidP="000012A5">
      <w:pPr>
        <w:spacing w:after="240"/>
      </w:pPr>
    </w:p>
    <w:p w14:paraId="5FF180EA" w14:textId="66A5C157" w:rsidR="00333563" w:rsidRPr="00226C43" w:rsidRDefault="4DD21A85" w:rsidP="4DD21A85">
      <w:pPr>
        <w:pStyle w:val="Heading2"/>
        <w:rPr>
          <w:rFonts w:asciiTheme="minorHAnsi" w:hAnsiTheme="minorHAnsi"/>
          <w:color w:val="auto"/>
        </w:rPr>
      </w:pPr>
      <w:bookmarkStart w:id="31" w:name="_Toc190195420"/>
      <w:bookmarkStart w:id="32" w:name="_Toc190248317"/>
      <w:r w:rsidRPr="00226C43">
        <w:rPr>
          <w:rFonts w:asciiTheme="minorHAnsi" w:hAnsiTheme="minorHAnsi"/>
          <w:color w:val="auto"/>
        </w:rPr>
        <w:t>Efficiency</w:t>
      </w:r>
      <w:bookmarkEnd w:id="31"/>
      <w:bookmarkEnd w:id="32"/>
    </w:p>
    <w:p w14:paraId="5A23CA12" w14:textId="77777777" w:rsidR="00325829" w:rsidRPr="00226C43" w:rsidRDefault="4DD21A85" w:rsidP="00061D40">
      <w:pPr>
        <w:pStyle w:val="Box"/>
        <w:spacing w:after="0"/>
      </w:pPr>
      <w:r w:rsidRPr="00226C43">
        <w:rPr>
          <w:u w:val="single"/>
        </w:rPr>
        <w:t xml:space="preserve">Key </w:t>
      </w:r>
      <w:r w:rsidR="00623F17" w:rsidRPr="00226C43">
        <w:rPr>
          <w:u w:val="single"/>
        </w:rPr>
        <w:t>Evaluation</w:t>
      </w:r>
      <w:r w:rsidRPr="00226C43">
        <w:rPr>
          <w:u w:val="single"/>
        </w:rPr>
        <w:t xml:space="preserve"> Question 3</w:t>
      </w:r>
      <w:r w:rsidRPr="00226C43">
        <w:t xml:space="preserve">: </w:t>
      </w:r>
    </w:p>
    <w:p w14:paraId="74943DEA" w14:textId="5C69991D" w:rsidR="005703A8" w:rsidRPr="00226C43" w:rsidRDefault="4DD21A85" w:rsidP="00061D40">
      <w:pPr>
        <w:pStyle w:val="Box"/>
        <w:spacing w:before="0"/>
      </w:pPr>
      <w:r w:rsidRPr="00226C43">
        <w:t xml:space="preserve">To what extent was AAAEP–P administered and delivered efficiently? </w:t>
      </w:r>
    </w:p>
    <w:p w14:paraId="17461EB0" w14:textId="77777777" w:rsidR="007021A6" w:rsidRPr="00226C43" w:rsidRDefault="4DD21A85" w:rsidP="004274AB">
      <w:pPr>
        <w:pStyle w:val="Heading3nonumber"/>
        <w:numPr>
          <w:ilvl w:val="0"/>
          <w:numId w:val="0"/>
        </w:numPr>
        <w:ind w:left="720" w:hanging="720"/>
        <w:rPr>
          <w:rFonts w:asciiTheme="minorHAnsi" w:hAnsiTheme="minorHAnsi"/>
          <w:bCs/>
          <w:color w:val="auto"/>
        </w:rPr>
      </w:pPr>
      <w:r w:rsidRPr="00226C43">
        <w:rPr>
          <w:rFonts w:asciiTheme="minorHAnsi" w:hAnsiTheme="minorHAnsi"/>
          <w:color w:val="auto"/>
        </w:rPr>
        <w:t>Resource Allocation and Staffing</w:t>
      </w:r>
    </w:p>
    <w:p w14:paraId="10138B8B" w14:textId="02A1DF64" w:rsidR="00583895" w:rsidRPr="00226C43" w:rsidRDefault="4DD21A85" w:rsidP="00583895">
      <w:r w:rsidRPr="00226C43">
        <w:t xml:space="preserve">AAAEP–P consistently demonstrated efficient use of its resources, balancing a relatively small number of staff with its broad mandate. </w:t>
      </w:r>
      <w:r w:rsidR="00583895" w:rsidRPr="00226C43">
        <w:t>With 14 technical staff members the program successfully managed hundreds of scholars and alumni annually.</w:t>
      </w:r>
      <w:r w:rsidR="0078429F" w:rsidRPr="00226C43">
        <w:t xml:space="preserve"> </w:t>
      </w:r>
      <w:r w:rsidR="00583895" w:rsidRPr="00226C43">
        <w:t>The program managed over 2664 alumni (post-graduate scholars from 2015 to 2024 intakes on their REAPs and short course participants since 2017).</w:t>
      </w:r>
      <w:r w:rsidR="0078429F" w:rsidRPr="00226C43">
        <w:t xml:space="preserve"> </w:t>
      </w:r>
      <w:r w:rsidR="00583895" w:rsidRPr="00226C43">
        <w:t>This brings the total to 4665</w:t>
      </w:r>
      <w:r w:rsidR="00F22925" w:rsidRPr="00226C43">
        <w:t xml:space="preserve"> </w:t>
      </w:r>
      <w:r w:rsidR="00583895" w:rsidRPr="00226C43">
        <w:t xml:space="preserve">alumni </w:t>
      </w:r>
      <w:r w:rsidR="00BA57F3" w:rsidRPr="00226C43">
        <w:t xml:space="preserve">that the program manages in its </w:t>
      </w:r>
      <w:r w:rsidR="003243FA" w:rsidRPr="00226C43">
        <w:t>alumni</w:t>
      </w:r>
      <w:r w:rsidR="00583895" w:rsidRPr="00226C43">
        <w:t xml:space="preserve"> database, across multiple categories, demonstrating the team’s capacity to handle significant workloads with limited human resources.</w:t>
      </w:r>
    </w:p>
    <w:p w14:paraId="25987776" w14:textId="64C14387" w:rsidR="007021A6" w:rsidRPr="00226C43" w:rsidRDefault="4DD21A85" w:rsidP="4DD21A85">
      <w:r w:rsidRPr="00226C43">
        <w:t>However, this efficiency sometimes came at a cost, particularly in monitoring REAPs and providing support to partner organisations. Delays in these areas were noted, especially during periods when the team redirected efforts to address emerging priorities within the context of constrained staffing levels.</w:t>
      </w:r>
    </w:p>
    <w:p w14:paraId="029784D4" w14:textId="77777777" w:rsidR="007021A6" w:rsidRPr="00226C43" w:rsidRDefault="4DD21A85" w:rsidP="004274AB">
      <w:pPr>
        <w:pStyle w:val="Heading3nonumber"/>
        <w:numPr>
          <w:ilvl w:val="0"/>
          <w:numId w:val="0"/>
        </w:numPr>
        <w:ind w:left="720" w:hanging="720"/>
        <w:rPr>
          <w:rFonts w:asciiTheme="minorHAnsi" w:hAnsiTheme="minorHAnsi"/>
          <w:bCs/>
          <w:color w:val="auto"/>
        </w:rPr>
      </w:pPr>
      <w:r w:rsidRPr="00226C43">
        <w:rPr>
          <w:rFonts w:asciiTheme="minorHAnsi" w:hAnsiTheme="minorHAnsi"/>
          <w:color w:val="auto"/>
        </w:rPr>
        <w:t>Budget Trends and Financial Management</w:t>
      </w:r>
    </w:p>
    <w:p w14:paraId="5DD5A5A7" w14:textId="614C1E49" w:rsidR="000F3482" w:rsidRPr="00226C43" w:rsidRDefault="4DD21A85" w:rsidP="4DD21A85">
      <w:r w:rsidRPr="00226C43">
        <w:t xml:space="preserve">AAAEP–P maintained a steady budget allocation over the review period, with annual funding around AUD 5 million. This provided financial stability for the program to sustain core activities. Notably, during the COVID-19 pandemic, the program adapted by reallocating funds to support virtual learning and hybrid engagement models. In 2021, approximately AUD 500,000 was redirected to develop online platforms and provide IT support for scholars. </w:t>
      </w:r>
    </w:p>
    <w:p w14:paraId="5DD4DD99" w14:textId="77777777" w:rsidR="00C3104B" w:rsidRPr="00226C43" w:rsidRDefault="4DD21A85" w:rsidP="4DD21A85">
      <w:r w:rsidRPr="00226C43">
        <w:lastRenderedPageBreak/>
        <w:t xml:space="preserve">The program delivered </w:t>
      </w:r>
      <w:r w:rsidR="00671AF0" w:rsidRPr="00226C43">
        <w:t>around 30</w:t>
      </w:r>
      <w:r w:rsidRPr="00226C43">
        <w:t xml:space="preserve"> short courses virtually in 2020-2021, reaching </w:t>
      </w:r>
      <w:r w:rsidR="00671AF0" w:rsidRPr="00226C43">
        <w:t xml:space="preserve">around 1,000 </w:t>
      </w:r>
      <w:r w:rsidRPr="00226C43">
        <w:t xml:space="preserve">participants despite travel restrictions. </w:t>
      </w:r>
    </w:p>
    <w:p w14:paraId="22C69EDE" w14:textId="43C9E2FB" w:rsidR="000A7CFF" w:rsidRPr="00226C43" w:rsidRDefault="000A7CFF" w:rsidP="004F1939">
      <w:pPr>
        <w:pStyle w:val="Caption"/>
        <w:spacing w:after="0"/>
        <w:rPr>
          <w:color w:val="auto"/>
        </w:rPr>
      </w:pPr>
      <w:bookmarkStart w:id="33" w:name="_Toc190939911"/>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Pr="00226C43">
        <w:rPr>
          <w:noProof/>
          <w:color w:val="auto"/>
        </w:rPr>
        <w:t>13</w:t>
      </w:r>
      <w:r w:rsidR="000113F9" w:rsidRPr="00226C43">
        <w:rPr>
          <w:noProof/>
          <w:color w:val="auto"/>
        </w:rPr>
        <w:fldChar w:fldCharType="end"/>
      </w:r>
      <w:r w:rsidRPr="00226C43">
        <w:rPr>
          <w:color w:val="auto"/>
        </w:rPr>
        <w:t>: Short Courses Implemented in 2020</w:t>
      </w:r>
      <w:r w:rsidR="00132FAD" w:rsidRPr="00226C43">
        <w:rPr>
          <w:color w:val="auto"/>
        </w:rPr>
        <w:t>-2021 (during Pandemic) and participant numbers</w:t>
      </w:r>
      <w:bookmarkEnd w:id="33"/>
      <w:r w:rsidR="00132FAD" w:rsidRPr="00226C43">
        <w:rPr>
          <w:color w:val="auto"/>
        </w:rPr>
        <w:t xml:space="preserve"> </w:t>
      </w:r>
    </w:p>
    <w:tbl>
      <w:tblPr>
        <w:tblStyle w:val="TableGrid"/>
        <w:tblW w:w="5000" w:type="pct"/>
        <w:tblLook w:val="04A0" w:firstRow="1" w:lastRow="0" w:firstColumn="1" w:lastColumn="0" w:noHBand="0" w:noVBand="1"/>
      </w:tblPr>
      <w:tblGrid>
        <w:gridCol w:w="8479"/>
        <w:gridCol w:w="537"/>
      </w:tblGrid>
      <w:tr w:rsidR="00226C43" w:rsidRPr="00226C43" w14:paraId="198A73CC" w14:textId="77777777" w:rsidTr="0089491D">
        <w:trPr>
          <w:tblHeader/>
        </w:trPr>
        <w:tc>
          <w:tcPr>
            <w:tcW w:w="4700" w:type="pct"/>
            <w:shd w:val="clear" w:color="auto" w:fill="E3DED1" w:themeFill="background2"/>
          </w:tcPr>
          <w:p w14:paraId="44375E62" w14:textId="1038391B" w:rsidR="00132FAD" w:rsidRPr="00226C43" w:rsidRDefault="00132FAD" w:rsidP="000A7CFF">
            <w:pPr>
              <w:spacing w:after="0"/>
              <w:rPr>
                <w:b/>
                <w:sz w:val="20"/>
                <w:szCs w:val="20"/>
              </w:rPr>
            </w:pPr>
            <w:r w:rsidRPr="00226C43">
              <w:rPr>
                <w:b/>
                <w:sz w:val="20"/>
                <w:szCs w:val="20"/>
              </w:rPr>
              <w:t>Course</w:t>
            </w:r>
          </w:p>
        </w:tc>
        <w:tc>
          <w:tcPr>
            <w:tcW w:w="218" w:type="pct"/>
            <w:shd w:val="clear" w:color="auto" w:fill="E3DED1" w:themeFill="background2"/>
          </w:tcPr>
          <w:p w14:paraId="1B2C9CDC" w14:textId="602F9EB7" w:rsidR="00132FAD" w:rsidRPr="00226C43" w:rsidRDefault="00132FAD" w:rsidP="00974E2F">
            <w:pPr>
              <w:spacing w:after="0"/>
              <w:jc w:val="center"/>
              <w:rPr>
                <w:b/>
                <w:sz w:val="20"/>
                <w:szCs w:val="20"/>
              </w:rPr>
            </w:pPr>
            <w:r w:rsidRPr="00226C43">
              <w:rPr>
                <w:b/>
                <w:sz w:val="20"/>
                <w:szCs w:val="20"/>
              </w:rPr>
              <w:t>No</w:t>
            </w:r>
          </w:p>
        </w:tc>
      </w:tr>
      <w:tr w:rsidR="00226C43" w:rsidRPr="00226C43" w14:paraId="69B9A3CD" w14:textId="77777777" w:rsidTr="0089491D">
        <w:tc>
          <w:tcPr>
            <w:tcW w:w="4700" w:type="pct"/>
            <w:hideMark/>
          </w:tcPr>
          <w:p w14:paraId="0C096874" w14:textId="4FA2151E" w:rsidR="000A7CFF" w:rsidRPr="00226C43" w:rsidRDefault="000A7CFF" w:rsidP="000A7CFF">
            <w:pPr>
              <w:spacing w:after="0"/>
              <w:rPr>
                <w:sz w:val="20"/>
                <w:szCs w:val="20"/>
              </w:rPr>
            </w:pPr>
            <w:r w:rsidRPr="00226C43">
              <w:rPr>
                <w:sz w:val="20"/>
                <w:szCs w:val="20"/>
              </w:rPr>
              <w:t>DTI Targeted Selection Interviewing</w:t>
            </w:r>
            <w:r w:rsidR="006C42E3" w:rsidRPr="00226C43">
              <w:rPr>
                <w:sz w:val="20"/>
                <w:szCs w:val="20"/>
              </w:rPr>
              <w:t xml:space="preserve"> – </w:t>
            </w:r>
            <w:r w:rsidRPr="00226C43">
              <w:rPr>
                <w:sz w:val="20"/>
                <w:szCs w:val="20"/>
              </w:rPr>
              <w:t>Batch 1 (Structured Interviewing)</w:t>
            </w:r>
          </w:p>
        </w:tc>
        <w:tc>
          <w:tcPr>
            <w:tcW w:w="218" w:type="pct"/>
            <w:hideMark/>
          </w:tcPr>
          <w:p w14:paraId="5FF8E016" w14:textId="77777777" w:rsidR="000A7CFF" w:rsidRPr="00226C43" w:rsidRDefault="000A7CFF" w:rsidP="00974E2F">
            <w:pPr>
              <w:spacing w:after="0"/>
              <w:jc w:val="right"/>
              <w:rPr>
                <w:sz w:val="20"/>
                <w:szCs w:val="20"/>
              </w:rPr>
            </w:pPr>
            <w:r w:rsidRPr="00226C43">
              <w:rPr>
                <w:sz w:val="20"/>
                <w:szCs w:val="20"/>
              </w:rPr>
              <w:t>15</w:t>
            </w:r>
          </w:p>
        </w:tc>
      </w:tr>
      <w:tr w:rsidR="00226C43" w:rsidRPr="00226C43" w14:paraId="492791DE" w14:textId="77777777" w:rsidTr="0089491D">
        <w:tc>
          <w:tcPr>
            <w:tcW w:w="4700" w:type="pct"/>
            <w:hideMark/>
          </w:tcPr>
          <w:p w14:paraId="11CDDA53" w14:textId="7F427A56" w:rsidR="000A7CFF" w:rsidRPr="00226C43" w:rsidRDefault="000A7CFF" w:rsidP="000A7CFF">
            <w:pPr>
              <w:spacing w:after="0"/>
              <w:rPr>
                <w:sz w:val="20"/>
                <w:szCs w:val="20"/>
              </w:rPr>
            </w:pPr>
            <w:r w:rsidRPr="00226C43">
              <w:rPr>
                <w:sz w:val="20"/>
                <w:szCs w:val="20"/>
              </w:rPr>
              <w:t>DTI Targeted Selection Interviewing</w:t>
            </w:r>
            <w:r w:rsidR="006C42E3" w:rsidRPr="00226C43">
              <w:rPr>
                <w:sz w:val="20"/>
                <w:szCs w:val="20"/>
              </w:rPr>
              <w:t xml:space="preserve"> –</w:t>
            </w:r>
            <w:r w:rsidRPr="00226C43">
              <w:rPr>
                <w:sz w:val="20"/>
                <w:szCs w:val="20"/>
              </w:rPr>
              <w:t xml:space="preserve"> Batch 2 (Structured Interviewing)</w:t>
            </w:r>
          </w:p>
        </w:tc>
        <w:tc>
          <w:tcPr>
            <w:tcW w:w="218" w:type="pct"/>
            <w:hideMark/>
          </w:tcPr>
          <w:p w14:paraId="213D5661" w14:textId="77777777" w:rsidR="000A7CFF" w:rsidRPr="00226C43" w:rsidRDefault="000A7CFF" w:rsidP="00974E2F">
            <w:pPr>
              <w:spacing w:after="0"/>
              <w:jc w:val="right"/>
              <w:rPr>
                <w:sz w:val="20"/>
                <w:szCs w:val="20"/>
              </w:rPr>
            </w:pPr>
            <w:r w:rsidRPr="00226C43">
              <w:rPr>
                <w:sz w:val="20"/>
                <w:szCs w:val="20"/>
              </w:rPr>
              <w:t>14</w:t>
            </w:r>
          </w:p>
        </w:tc>
      </w:tr>
      <w:tr w:rsidR="00226C43" w:rsidRPr="00226C43" w14:paraId="4FC367D4" w14:textId="77777777" w:rsidTr="0089491D">
        <w:tc>
          <w:tcPr>
            <w:tcW w:w="4700" w:type="pct"/>
            <w:hideMark/>
          </w:tcPr>
          <w:p w14:paraId="0E13C832" w14:textId="77777777" w:rsidR="000A7CFF" w:rsidRPr="00226C43" w:rsidRDefault="000A7CFF" w:rsidP="000A7CFF">
            <w:pPr>
              <w:spacing w:after="0"/>
              <w:rPr>
                <w:sz w:val="20"/>
                <w:szCs w:val="20"/>
              </w:rPr>
            </w:pPr>
            <w:r w:rsidRPr="00226C43">
              <w:rPr>
                <w:sz w:val="20"/>
                <w:szCs w:val="20"/>
              </w:rPr>
              <w:t>Short Course in Business Intelligence and Data Analytics Batch 2</w:t>
            </w:r>
          </w:p>
        </w:tc>
        <w:tc>
          <w:tcPr>
            <w:tcW w:w="218" w:type="pct"/>
            <w:hideMark/>
          </w:tcPr>
          <w:p w14:paraId="27F3D1C6" w14:textId="77777777" w:rsidR="000A7CFF" w:rsidRPr="00226C43" w:rsidRDefault="000A7CFF" w:rsidP="00974E2F">
            <w:pPr>
              <w:spacing w:after="0"/>
              <w:jc w:val="right"/>
              <w:rPr>
                <w:sz w:val="20"/>
                <w:szCs w:val="20"/>
              </w:rPr>
            </w:pPr>
            <w:r w:rsidRPr="00226C43">
              <w:rPr>
                <w:sz w:val="20"/>
                <w:szCs w:val="20"/>
              </w:rPr>
              <w:t>30</w:t>
            </w:r>
          </w:p>
        </w:tc>
      </w:tr>
      <w:tr w:rsidR="00226C43" w:rsidRPr="00226C43" w14:paraId="0981A3D9" w14:textId="77777777" w:rsidTr="0089491D">
        <w:tc>
          <w:tcPr>
            <w:tcW w:w="4700" w:type="pct"/>
            <w:hideMark/>
          </w:tcPr>
          <w:p w14:paraId="1673141F" w14:textId="345C3286" w:rsidR="000A7CFF" w:rsidRPr="00226C43" w:rsidRDefault="000A7CFF" w:rsidP="000A7CFF">
            <w:pPr>
              <w:spacing w:after="0"/>
              <w:rPr>
                <w:sz w:val="20"/>
                <w:szCs w:val="20"/>
              </w:rPr>
            </w:pPr>
            <w:r w:rsidRPr="00226C43">
              <w:rPr>
                <w:sz w:val="20"/>
                <w:szCs w:val="20"/>
              </w:rPr>
              <w:t>CSC</w:t>
            </w:r>
            <w:r w:rsidR="006C42E3" w:rsidRPr="00226C43">
              <w:rPr>
                <w:sz w:val="20"/>
                <w:szCs w:val="20"/>
              </w:rPr>
              <w:t xml:space="preserve"> – </w:t>
            </w:r>
            <w:r w:rsidRPr="00226C43">
              <w:rPr>
                <w:sz w:val="20"/>
                <w:szCs w:val="20"/>
              </w:rPr>
              <w:t>GEDSI Mainstreaming</w:t>
            </w:r>
          </w:p>
        </w:tc>
        <w:tc>
          <w:tcPr>
            <w:tcW w:w="218" w:type="pct"/>
            <w:hideMark/>
          </w:tcPr>
          <w:p w14:paraId="57D7B683" w14:textId="77777777" w:rsidR="000A7CFF" w:rsidRPr="00226C43" w:rsidRDefault="000A7CFF" w:rsidP="00974E2F">
            <w:pPr>
              <w:spacing w:after="0"/>
              <w:jc w:val="right"/>
              <w:rPr>
                <w:sz w:val="20"/>
                <w:szCs w:val="20"/>
              </w:rPr>
            </w:pPr>
            <w:r w:rsidRPr="00226C43">
              <w:rPr>
                <w:sz w:val="20"/>
                <w:szCs w:val="20"/>
              </w:rPr>
              <w:t>42</w:t>
            </w:r>
          </w:p>
        </w:tc>
      </w:tr>
      <w:tr w:rsidR="00226C43" w:rsidRPr="00226C43" w14:paraId="2DACB6EF" w14:textId="77777777" w:rsidTr="0089491D">
        <w:tc>
          <w:tcPr>
            <w:tcW w:w="4700" w:type="pct"/>
            <w:hideMark/>
          </w:tcPr>
          <w:p w14:paraId="4D7770A8" w14:textId="500B0D21" w:rsidR="000A7CFF" w:rsidRPr="00226C43" w:rsidRDefault="000A7CFF" w:rsidP="000A7CFF">
            <w:pPr>
              <w:spacing w:after="0"/>
              <w:rPr>
                <w:sz w:val="20"/>
                <w:szCs w:val="20"/>
              </w:rPr>
            </w:pPr>
            <w:r w:rsidRPr="00226C43">
              <w:rPr>
                <w:sz w:val="20"/>
                <w:szCs w:val="20"/>
              </w:rPr>
              <w:t>DILG</w:t>
            </w:r>
            <w:r w:rsidR="006C42E3" w:rsidRPr="00226C43">
              <w:rPr>
                <w:sz w:val="20"/>
                <w:szCs w:val="20"/>
              </w:rPr>
              <w:t xml:space="preserve"> – </w:t>
            </w:r>
            <w:r w:rsidRPr="00226C43">
              <w:rPr>
                <w:sz w:val="20"/>
                <w:szCs w:val="20"/>
              </w:rPr>
              <w:t>Peace Building</w:t>
            </w:r>
          </w:p>
        </w:tc>
        <w:tc>
          <w:tcPr>
            <w:tcW w:w="218" w:type="pct"/>
            <w:hideMark/>
          </w:tcPr>
          <w:p w14:paraId="7A29B90A" w14:textId="77777777" w:rsidR="000A7CFF" w:rsidRPr="00226C43" w:rsidRDefault="000A7CFF" w:rsidP="00974E2F">
            <w:pPr>
              <w:spacing w:after="0"/>
              <w:jc w:val="right"/>
              <w:rPr>
                <w:sz w:val="20"/>
                <w:szCs w:val="20"/>
              </w:rPr>
            </w:pPr>
            <w:r w:rsidRPr="00226C43">
              <w:rPr>
                <w:sz w:val="20"/>
                <w:szCs w:val="20"/>
              </w:rPr>
              <w:t>29</w:t>
            </w:r>
          </w:p>
        </w:tc>
      </w:tr>
      <w:tr w:rsidR="00226C43" w:rsidRPr="00226C43" w14:paraId="06D5235A" w14:textId="77777777" w:rsidTr="0089491D">
        <w:tc>
          <w:tcPr>
            <w:tcW w:w="4700" w:type="pct"/>
            <w:hideMark/>
          </w:tcPr>
          <w:p w14:paraId="55F2C3DE" w14:textId="53038BA5" w:rsidR="000A7CFF" w:rsidRPr="00226C43" w:rsidRDefault="000A7CFF" w:rsidP="000A7CFF">
            <w:pPr>
              <w:spacing w:after="0"/>
              <w:rPr>
                <w:sz w:val="20"/>
                <w:szCs w:val="20"/>
              </w:rPr>
            </w:pPr>
            <w:r w:rsidRPr="00226C43">
              <w:rPr>
                <w:sz w:val="20"/>
                <w:szCs w:val="20"/>
              </w:rPr>
              <w:t>DPWH</w:t>
            </w:r>
            <w:r w:rsidR="006C42E3" w:rsidRPr="00226C43">
              <w:rPr>
                <w:sz w:val="20"/>
                <w:szCs w:val="20"/>
              </w:rPr>
              <w:t xml:space="preserve"> – </w:t>
            </w:r>
            <w:r w:rsidRPr="00226C43">
              <w:rPr>
                <w:sz w:val="20"/>
                <w:szCs w:val="20"/>
              </w:rPr>
              <w:t>Coaching and Mentoring</w:t>
            </w:r>
          </w:p>
        </w:tc>
        <w:tc>
          <w:tcPr>
            <w:tcW w:w="218" w:type="pct"/>
            <w:hideMark/>
          </w:tcPr>
          <w:p w14:paraId="5D50FBB4" w14:textId="77777777" w:rsidR="000A7CFF" w:rsidRPr="00226C43" w:rsidRDefault="000A7CFF" w:rsidP="00974E2F">
            <w:pPr>
              <w:spacing w:after="0"/>
              <w:jc w:val="right"/>
              <w:rPr>
                <w:sz w:val="20"/>
                <w:szCs w:val="20"/>
              </w:rPr>
            </w:pPr>
            <w:r w:rsidRPr="00226C43">
              <w:rPr>
                <w:sz w:val="20"/>
                <w:szCs w:val="20"/>
              </w:rPr>
              <w:t>76</w:t>
            </w:r>
          </w:p>
        </w:tc>
      </w:tr>
      <w:tr w:rsidR="00226C43" w:rsidRPr="00226C43" w14:paraId="2E77D860" w14:textId="77777777" w:rsidTr="0089491D">
        <w:tc>
          <w:tcPr>
            <w:tcW w:w="4700" w:type="pct"/>
            <w:hideMark/>
          </w:tcPr>
          <w:p w14:paraId="39B9E9F2" w14:textId="4A111EEB" w:rsidR="000A7CFF" w:rsidRPr="00226C43" w:rsidRDefault="000A7CFF" w:rsidP="000A7CFF">
            <w:pPr>
              <w:spacing w:after="0"/>
              <w:rPr>
                <w:sz w:val="20"/>
                <w:szCs w:val="20"/>
              </w:rPr>
            </w:pPr>
            <w:r w:rsidRPr="00226C43">
              <w:rPr>
                <w:sz w:val="20"/>
                <w:szCs w:val="20"/>
              </w:rPr>
              <w:t>PPPC</w:t>
            </w:r>
            <w:r w:rsidR="006C42E3" w:rsidRPr="00226C43">
              <w:rPr>
                <w:sz w:val="20"/>
                <w:szCs w:val="20"/>
              </w:rPr>
              <w:t xml:space="preserve"> – </w:t>
            </w:r>
            <w:r w:rsidRPr="00226C43">
              <w:rPr>
                <w:sz w:val="20"/>
                <w:szCs w:val="20"/>
              </w:rPr>
              <w:t>Contract Management</w:t>
            </w:r>
          </w:p>
        </w:tc>
        <w:tc>
          <w:tcPr>
            <w:tcW w:w="218" w:type="pct"/>
            <w:hideMark/>
          </w:tcPr>
          <w:p w14:paraId="2C50AFDF" w14:textId="77777777" w:rsidR="000A7CFF" w:rsidRPr="00226C43" w:rsidRDefault="000A7CFF" w:rsidP="00974E2F">
            <w:pPr>
              <w:spacing w:after="0"/>
              <w:jc w:val="right"/>
              <w:rPr>
                <w:sz w:val="20"/>
                <w:szCs w:val="20"/>
              </w:rPr>
            </w:pPr>
            <w:r w:rsidRPr="00226C43">
              <w:rPr>
                <w:sz w:val="20"/>
                <w:szCs w:val="20"/>
              </w:rPr>
              <w:t>17</w:t>
            </w:r>
          </w:p>
        </w:tc>
      </w:tr>
      <w:tr w:rsidR="00226C43" w:rsidRPr="00226C43" w14:paraId="16EAF448" w14:textId="77777777" w:rsidTr="0089491D">
        <w:tc>
          <w:tcPr>
            <w:tcW w:w="4700" w:type="pct"/>
            <w:hideMark/>
          </w:tcPr>
          <w:p w14:paraId="46B4B6F6" w14:textId="77777777" w:rsidR="000A7CFF" w:rsidRPr="00226C43" w:rsidRDefault="000A7CFF" w:rsidP="000A7CFF">
            <w:pPr>
              <w:spacing w:after="0"/>
              <w:rPr>
                <w:sz w:val="20"/>
                <w:szCs w:val="20"/>
              </w:rPr>
            </w:pPr>
            <w:r w:rsidRPr="00226C43">
              <w:rPr>
                <w:sz w:val="20"/>
                <w:szCs w:val="20"/>
              </w:rPr>
              <w:t>Short Course on Law of the Sea Batch 4</w:t>
            </w:r>
          </w:p>
        </w:tc>
        <w:tc>
          <w:tcPr>
            <w:tcW w:w="218" w:type="pct"/>
            <w:hideMark/>
          </w:tcPr>
          <w:p w14:paraId="1DDBDE46" w14:textId="77777777" w:rsidR="000A7CFF" w:rsidRPr="00226C43" w:rsidRDefault="000A7CFF" w:rsidP="00974E2F">
            <w:pPr>
              <w:spacing w:after="0"/>
              <w:jc w:val="right"/>
              <w:rPr>
                <w:sz w:val="20"/>
                <w:szCs w:val="20"/>
              </w:rPr>
            </w:pPr>
            <w:r w:rsidRPr="00226C43">
              <w:rPr>
                <w:sz w:val="20"/>
                <w:szCs w:val="20"/>
              </w:rPr>
              <w:t>100</w:t>
            </w:r>
          </w:p>
        </w:tc>
      </w:tr>
      <w:tr w:rsidR="00226C43" w:rsidRPr="00226C43" w14:paraId="4EBB7D9E" w14:textId="77777777" w:rsidTr="0089491D">
        <w:tc>
          <w:tcPr>
            <w:tcW w:w="4700" w:type="pct"/>
            <w:hideMark/>
          </w:tcPr>
          <w:p w14:paraId="4EAA2142" w14:textId="0DDBFF61" w:rsidR="000A7CFF" w:rsidRPr="00226C43" w:rsidRDefault="000A7CFF" w:rsidP="000A7CFF">
            <w:pPr>
              <w:spacing w:after="0"/>
              <w:rPr>
                <w:sz w:val="20"/>
                <w:szCs w:val="20"/>
              </w:rPr>
            </w:pPr>
            <w:r w:rsidRPr="00226C43">
              <w:rPr>
                <w:sz w:val="20"/>
                <w:szCs w:val="20"/>
              </w:rPr>
              <w:t>DBM</w:t>
            </w:r>
            <w:r w:rsidR="006C42E3" w:rsidRPr="00226C43">
              <w:rPr>
                <w:sz w:val="20"/>
                <w:szCs w:val="20"/>
              </w:rPr>
              <w:t xml:space="preserve"> – </w:t>
            </w:r>
            <w:r w:rsidRPr="00226C43">
              <w:rPr>
                <w:sz w:val="20"/>
                <w:szCs w:val="20"/>
              </w:rPr>
              <w:t>IFMIS</w:t>
            </w:r>
          </w:p>
        </w:tc>
        <w:tc>
          <w:tcPr>
            <w:tcW w:w="218" w:type="pct"/>
            <w:hideMark/>
          </w:tcPr>
          <w:p w14:paraId="6FCAB62B" w14:textId="77777777" w:rsidR="000A7CFF" w:rsidRPr="00226C43" w:rsidRDefault="000A7CFF" w:rsidP="00974E2F">
            <w:pPr>
              <w:spacing w:after="0"/>
              <w:jc w:val="right"/>
              <w:rPr>
                <w:sz w:val="20"/>
                <w:szCs w:val="20"/>
              </w:rPr>
            </w:pPr>
            <w:r w:rsidRPr="00226C43">
              <w:rPr>
                <w:sz w:val="20"/>
                <w:szCs w:val="20"/>
              </w:rPr>
              <w:t>26</w:t>
            </w:r>
          </w:p>
        </w:tc>
      </w:tr>
      <w:tr w:rsidR="00226C43" w:rsidRPr="00226C43" w14:paraId="35ACC173" w14:textId="77777777" w:rsidTr="0089491D">
        <w:tc>
          <w:tcPr>
            <w:tcW w:w="4700" w:type="pct"/>
            <w:hideMark/>
          </w:tcPr>
          <w:p w14:paraId="09CEE2C1" w14:textId="77777777" w:rsidR="000A7CFF" w:rsidRPr="00226C43" w:rsidRDefault="000A7CFF" w:rsidP="000A7CFF">
            <w:pPr>
              <w:spacing w:after="0"/>
              <w:rPr>
                <w:sz w:val="20"/>
                <w:szCs w:val="20"/>
              </w:rPr>
            </w:pPr>
            <w:r w:rsidRPr="00226C43">
              <w:rPr>
                <w:sz w:val="20"/>
                <w:szCs w:val="20"/>
              </w:rPr>
              <w:t>Diploma in OD</w:t>
            </w:r>
          </w:p>
        </w:tc>
        <w:tc>
          <w:tcPr>
            <w:tcW w:w="218" w:type="pct"/>
            <w:hideMark/>
          </w:tcPr>
          <w:p w14:paraId="60DDBD1C" w14:textId="77777777" w:rsidR="000A7CFF" w:rsidRPr="00226C43" w:rsidRDefault="000A7CFF" w:rsidP="00974E2F">
            <w:pPr>
              <w:spacing w:after="0"/>
              <w:jc w:val="right"/>
              <w:rPr>
                <w:sz w:val="20"/>
                <w:szCs w:val="20"/>
              </w:rPr>
            </w:pPr>
            <w:r w:rsidRPr="00226C43">
              <w:rPr>
                <w:sz w:val="20"/>
                <w:szCs w:val="20"/>
              </w:rPr>
              <w:t>24</w:t>
            </w:r>
          </w:p>
        </w:tc>
      </w:tr>
      <w:tr w:rsidR="00226C43" w:rsidRPr="00226C43" w14:paraId="48EC1E51" w14:textId="77777777" w:rsidTr="0089491D">
        <w:tc>
          <w:tcPr>
            <w:tcW w:w="4700" w:type="pct"/>
            <w:hideMark/>
          </w:tcPr>
          <w:p w14:paraId="3F86304B" w14:textId="77777777" w:rsidR="000A7CFF" w:rsidRPr="00226C43" w:rsidRDefault="000A7CFF" w:rsidP="000A7CFF">
            <w:pPr>
              <w:spacing w:after="0"/>
              <w:rPr>
                <w:sz w:val="20"/>
                <w:szCs w:val="20"/>
              </w:rPr>
            </w:pPr>
            <w:r w:rsidRPr="00226C43">
              <w:rPr>
                <w:sz w:val="20"/>
                <w:szCs w:val="20"/>
              </w:rPr>
              <w:t>Facilitating Digital Learning</w:t>
            </w:r>
          </w:p>
        </w:tc>
        <w:tc>
          <w:tcPr>
            <w:tcW w:w="218" w:type="pct"/>
            <w:hideMark/>
          </w:tcPr>
          <w:p w14:paraId="19F78D15" w14:textId="77777777" w:rsidR="000A7CFF" w:rsidRPr="00226C43" w:rsidRDefault="000A7CFF" w:rsidP="00974E2F">
            <w:pPr>
              <w:spacing w:after="0"/>
              <w:jc w:val="right"/>
              <w:rPr>
                <w:sz w:val="20"/>
                <w:szCs w:val="20"/>
              </w:rPr>
            </w:pPr>
            <w:r w:rsidRPr="00226C43">
              <w:rPr>
                <w:sz w:val="20"/>
                <w:szCs w:val="20"/>
              </w:rPr>
              <w:t>19</w:t>
            </w:r>
          </w:p>
        </w:tc>
      </w:tr>
      <w:tr w:rsidR="00226C43" w:rsidRPr="00226C43" w14:paraId="7AC6BF2D" w14:textId="77777777" w:rsidTr="0089491D">
        <w:tc>
          <w:tcPr>
            <w:tcW w:w="4700" w:type="pct"/>
            <w:hideMark/>
          </w:tcPr>
          <w:p w14:paraId="2553F267" w14:textId="77777777" w:rsidR="000A7CFF" w:rsidRPr="00226C43" w:rsidRDefault="000A7CFF" w:rsidP="000A7CFF">
            <w:pPr>
              <w:spacing w:after="0"/>
              <w:rPr>
                <w:sz w:val="20"/>
                <w:szCs w:val="20"/>
              </w:rPr>
            </w:pPr>
            <w:r w:rsidRPr="00226C43">
              <w:rPr>
                <w:sz w:val="20"/>
                <w:szCs w:val="20"/>
              </w:rPr>
              <w:t>Designing E-Learning Short Course</w:t>
            </w:r>
          </w:p>
        </w:tc>
        <w:tc>
          <w:tcPr>
            <w:tcW w:w="218" w:type="pct"/>
            <w:hideMark/>
          </w:tcPr>
          <w:p w14:paraId="20871F41" w14:textId="77777777" w:rsidR="000A7CFF" w:rsidRPr="00226C43" w:rsidRDefault="000A7CFF" w:rsidP="00974E2F">
            <w:pPr>
              <w:spacing w:after="0"/>
              <w:jc w:val="right"/>
              <w:rPr>
                <w:sz w:val="20"/>
                <w:szCs w:val="20"/>
              </w:rPr>
            </w:pPr>
            <w:r w:rsidRPr="00226C43">
              <w:rPr>
                <w:sz w:val="20"/>
                <w:szCs w:val="20"/>
              </w:rPr>
              <w:t>32</w:t>
            </w:r>
          </w:p>
        </w:tc>
      </w:tr>
      <w:tr w:rsidR="00226C43" w:rsidRPr="00226C43" w14:paraId="63D9D5CC" w14:textId="77777777" w:rsidTr="0089491D">
        <w:tc>
          <w:tcPr>
            <w:tcW w:w="4700" w:type="pct"/>
            <w:hideMark/>
          </w:tcPr>
          <w:p w14:paraId="35A114E3" w14:textId="77777777" w:rsidR="000A7CFF" w:rsidRPr="00226C43" w:rsidRDefault="000A7CFF" w:rsidP="000A7CFF">
            <w:pPr>
              <w:spacing w:after="0"/>
              <w:rPr>
                <w:sz w:val="20"/>
                <w:szCs w:val="20"/>
              </w:rPr>
            </w:pPr>
            <w:r w:rsidRPr="00226C43">
              <w:rPr>
                <w:sz w:val="20"/>
                <w:szCs w:val="20"/>
              </w:rPr>
              <w:t>DBM Trainers Training on Business Process Management</w:t>
            </w:r>
          </w:p>
        </w:tc>
        <w:tc>
          <w:tcPr>
            <w:tcW w:w="218" w:type="pct"/>
            <w:hideMark/>
          </w:tcPr>
          <w:p w14:paraId="7FAB25E6" w14:textId="77777777" w:rsidR="000A7CFF" w:rsidRPr="00226C43" w:rsidRDefault="000A7CFF" w:rsidP="00974E2F">
            <w:pPr>
              <w:spacing w:after="0"/>
              <w:jc w:val="right"/>
              <w:rPr>
                <w:sz w:val="20"/>
                <w:szCs w:val="20"/>
              </w:rPr>
            </w:pPr>
            <w:r w:rsidRPr="00226C43">
              <w:rPr>
                <w:sz w:val="20"/>
                <w:szCs w:val="20"/>
              </w:rPr>
              <w:t>35</w:t>
            </w:r>
          </w:p>
        </w:tc>
      </w:tr>
      <w:tr w:rsidR="00226C43" w:rsidRPr="00226C43" w14:paraId="114DE7E0" w14:textId="77777777" w:rsidTr="0089491D">
        <w:tc>
          <w:tcPr>
            <w:tcW w:w="4700" w:type="pct"/>
            <w:hideMark/>
          </w:tcPr>
          <w:p w14:paraId="36EBED05" w14:textId="77777777" w:rsidR="000A7CFF" w:rsidRPr="00226C43" w:rsidRDefault="000A7CFF" w:rsidP="000A7CFF">
            <w:pPr>
              <w:spacing w:after="0"/>
              <w:rPr>
                <w:sz w:val="20"/>
                <w:szCs w:val="20"/>
              </w:rPr>
            </w:pPr>
            <w:r w:rsidRPr="00226C43">
              <w:rPr>
                <w:sz w:val="20"/>
                <w:szCs w:val="20"/>
              </w:rPr>
              <w:t>Senior Leaders’ Session on Design Thinking Batch 1</w:t>
            </w:r>
          </w:p>
        </w:tc>
        <w:tc>
          <w:tcPr>
            <w:tcW w:w="218" w:type="pct"/>
            <w:hideMark/>
          </w:tcPr>
          <w:p w14:paraId="13F0A09A" w14:textId="77777777" w:rsidR="000A7CFF" w:rsidRPr="00226C43" w:rsidRDefault="000A7CFF" w:rsidP="00974E2F">
            <w:pPr>
              <w:spacing w:after="0"/>
              <w:jc w:val="right"/>
              <w:rPr>
                <w:sz w:val="20"/>
                <w:szCs w:val="20"/>
              </w:rPr>
            </w:pPr>
            <w:r w:rsidRPr="00226C43">
              <w:rPr>
                <w:sz w:val="20"/>
                <w:szCs w:val="20"/>
              </w:rPr>
              <w:t>40</w:t>
            </w:r>
          </w:p>
        </w:tc>
      </w:tr>
      <w:tr w:rsidR="00226C43" w:rsidRPr="00226C43" w14:paraId="6B4D0200" w14:textId="77777777" w:rsidTr="0089491D">
        <w:tc>
          <w:tcPr>
            <w:tcW w:w="4700" w:type="pct"/>
            <w:hideMark/>
          </w:tcPr>
          <w:p w14:paraId="74C52B21" w14:textId="77777777" w:rsidR="000A7CFF" w:rsidRPr="00226C43" w:rsidRDefault="000A7CFF" w:rsidP="000A7CFF">
            <w:pPr>
              <w:spacing w:after="0"/>
              <w:rPr>
                <w:sz w:val="20"/>
                <w:szCs w:val="20"/>
              </w:rPr>
            </w:pPr>
            <w:r w:rsidRPr="00226C43">
              <w:rPr>
                <w:sz w:val="20"/>
                <w:szCs w:val="20"/>
              </w:rPr>
              <w:t>Short Course in Business Intelligence and Data Analytics Batch 3</w:t>
            </w:r>
          </w:p>
        </w:tc>
        <w:tc>
          <w:tcPr>
            <w:tcW w:w="218" w:type="pct"/>
            <w:hideMark/>
          </w:tcPr>
          <w:p w14:paraId="4B147804" w14:textId="77777777" w:rsidR="000A7CFF" w:rsidRPr="00226C43" w:rsidRDefault="000A7CFF" w:rsidP="00974E2F">
            <w:pPr>
              <w:spacing w:after="0"/>
              <w:jc w:val="right"/>
              <w:rPr>
                <w:sz w:val="20"/>
                <w:szCs w:val="20"/>
              </w:rPr>
            </w:pPr>
            <w:r w:rsidRPr="00226C43">
              <w:rPr>
                <w:sz w:val="20"/>
                <w:szCs w:val="20"/>
              </w:rPr>
              <w:t>29</w:t>
            </w:r>
          </w:p>
        </w:tc>
      </w:tr>
      <w:tr w:rsidR="00226C43" w:rsidRPr="00226C43" w14:paraId="5960F2A9" w14:textId="77777777" w:rsidTr="0089491D">
        <w:tc>
          <w:tcPr>
            <w:tcW w:w="4700" w:type="pct"/>
            <w:hideMark/>
          </w:tcPr>
          <w:p w14:paraId="04529DF5" w14:textId="77777777" w:rsidR="000A7CFF" w:rsidRPr="00226C43" w:rsidRDefault="000A7CFF" w:rsidP="000A7CFF">
            <w:pPr>
              <w:spacing w:after="0"/>
              <w:rPr>
                <w:sz w:val="20"/>
                <w:szCs w:val="20"/>
              </w:rPr>
            </w:pPr>
            <w:r w:rsidRPr="00226C43">
              <w:rPr>
                <w:sz w:val="20"/>
                <w:szCs w:val="20"/>
              </w:rPr>
              <w:t>Digital Learning Design &amp; Facilitation</w:t>
            </w:r>
          </w:p>
        </w:tc>
        <w:tc>
          <w:tcPr>
            <w:tcW w:w="218" w:type="pct"/>
            <w:hideMark/>
          </w:tcPr>
          <w:p w14:paraId="70827F77" w14:textId="77777777" w:rsidR="000A7CFF" w:rsidRPr="00226C43" w:rsidRDefault="000A7CFF" w:rsidP="00974E2F">
            <w:pPr>
              <w:spacing w:after="0"/>
              <w:jc w:val="right"/>
              <w:rPr>
                <w:sz w:val="20"/>
                <w:szCs w:val="20"/>
              </w:rPr>
            </w:pPr>
            <w:r w:rsidRPr="00226C43">
              <w:rPr>
                <w:sz w:val="20"/>
                <w:szCs w:val="20"/>
              </w:rPr>
              <w:t>11</w:t>
            </w:r>
          </w:p>
        </w:tc>
      </w:tr>
      <w:tr w:rsidR="00226C43" w:rsidRPr="00226C43" w14:paraId="2D3E8216" w14:textId="77777777" w:rsidTr="0089491D">
        <w:tc>
          <w:tcPr>
            <w:tcW w:w="4700" w:type="pct"/>
            <w:hideMark/>
          </w:tcPr>
          <w:p w14:paraId="774A361A" w14:textId="77777777" w:rsidR="000A7CFF" w:rsidRPr="00226C43" w:rsidRDefault="000A7CFF" w:rsidP="000A7CFF">
            <w:pPr>
              <w:spacing w:after="0"/>
              <w:rPr>
                <w:sz w:val="20"/>
                <w:szCs w:val="20"/>
              </w:rPr>
            </w:pPr>
            <w:r w:rsidRPr="00226C43">
              <w:rPr>
                <w:sz w:val="20"/>
                <w:szCs w:val="20"/>
              </w:rPr>
              <w:t>Short Course on Law of the Sea Batch 5</w:t>
            </w:r>
          </w:p>
        </w:tc>
        <w:tc>
          <w:tcPr>
            <w:tcW w:w="218" w:type="pct"/>
            <w:hideMark/>
          </w:tcPr>
          <w:p w14:paraId="750A752F" w14:textId="77777777" w:rsidR="000A7CFF" w:rsidRPr="00226C43" w:rsidRDefault="000A7CFF" w:rsidP="00974E2F">
            <w:pPr>
              <w:spacing w:after="0"/>
              <w:jc w:val="right"/>
              <w:rPr>
                <w:sz w:val="20"/>
                <w:szCs w:val="20"/>
              </w:rPr>
            </w:pPr>
            <w:r w:rsidRPr="00226C43">
              <w:rPr>
                <w:sz w:val="20"/>
                <w:szCs w:val="20"/>
              </w:rPr>
              <w:t>88</w:t>
            </w:r>
          </w:p>
        </w:tc>
      </w:tr>
      <w:tr w:rsidR="00226C43" w:rsidRPr="00226C43" w14:paraId="363E3F4D" w14:textId="77777777" w:rsidTr="0089491D">
        <w:tc>
          <w:tcPr>
            <w:tcW w:w="4700" w:type="pct"/>
            <w:hideMark/>
          </w:tcPr>
          <w:p w14:paraId="52116321" w14:textId="77777777" w:rsidR="000A7CFF" w:rsidRPr="00226C43" w:rsidRDefault="000A7CFF" w:rsidP="000A7CFF">
            <w:pPr>
              <w:spacing w:after="0"/>
              <w:rPr>
                <w:sz w:val="20"/>
                <w:szCs w:val="20"/>
              </w:rPr>
            </w:pPr>
            <w:r w:rsidRPr="00226C43">
              <w:rPr>
                <w:sz w:val="20"/>
                <w:szCs w:val="20"/>
              </w:rPr>
              <w:t>Public Sector Project Management (Batch 2)</w:t>
            </w:r>
          </w:p>
        </w:tc>
        <w:tc>
          <w:tcPr>
            <w:tcW w:w="218" w:type="pct"/>
            <w:hideMark/>
          </w:tcPr>
          <w:p w14:paraId="0014BA5D" w14:textId="77777777" w:rsidR="000A7CFF" w:rsidRPr="00226C43" w:rsidRDefault="000A7CFF" w:rsidP="00974E2F">
            <w:pPr>
              <w:spacing w:after="0"/>
              <w:jc w:val="right"/>
              <w:rPr>
                <w:sz w:val="20"/>
                <w:szCs w:val="20"/>
              </w:rPr>
            </w:pPr>
            <w:r w:rsidRPr="00226C43">
              <w:rPr>
                <w:sz w:val="20"/>
                <w:szCs w:val="20"/>
              </w:rPr>
              <w:t>39</w:t>
            </w:r>
          </w:p>
        </w:tc>
      </w:tr>
      <w:tr w:rsidR="00226C43" w:rsidRPr="00226C43" w14:paraId="4536C18B" w14:textId="77777777" w:rsidTr="0089491D">
        <w:tc>
          <w:tcPr>
            <w:tcW w:w="4700" w:type="pct"/>
            <w:hideMark/>
          </w:tcPr>
          <w:p w14:paraId="0D0F4BB0" w14:textId="4BE0F631" w:rsidR="000A7CFF" w:rsidRPr="00226C43" w:rsidRDefault="000A7CFF" w:rsidP="000A7CFF">
            <w:pPr>
              <w:spacing w:after="0"/>
              <w:rPr>
                <w:sz w:val="20"/>
                <w:szCs w:val="20"/>
              </w:rPr>
            </w:pPr>
            <w:r w:rsidRPr="00226C43">
              <w:rPr>
                <w:sz w:val="20"/>
                <w:szCs w:val="20"/>
              </w:rPr>
              <w:t>Policy Research and Development (Batch 2)</w:t>
            </w:r>
            <w:r w:rsidR="006C42E3" w:rsidRPr="00226C43">
              <w:rPr>
                <w:sz w:val="20"/>
                <w:szCs w:val="20"/>
              </w:rPr>
              <w:t xml:space="preserve"> – </w:t>
            </w:r>
            <w:r w:rsidRPr="00226C43">
              <w:rPr>
                <w:sz w:val="20"/>
                <w:szCs w:val="20"/>
              </w:rPr>
              <w:t>Public Policy Leadership and Management</w:t>
            </w:r>
          </w:p>
        </w:tc>
        <w:tc>
          <w:tcPr>
            <w:tcW w:w="218" w:type="pct"/>
            <w:hideMark/>
          </w:tcPr>
          <w:p w14:paraId="1ED75078" w14:textId="77777777" w:rsidR="000A7CFF" w:rsidRPr="00226C43" w:rsidRDefault="000A7CFF" w:rsidP="00974E2F">
            <w:pPr>
              <w:spacing w:after="0"/>
              <w:jc w:val="right"/>
              <w:rPr>
                <w:sz w:val="20"/>
                <w:szCs w:val="20"/>
              </w:rPr>
            </w:pPr>
            <w:r w:rsidRPr="00226C43">
              <w:rPr>
                <w:sz w:val="20"/>
                <w:szCs w:val="20"/>
              </w:rPr>
              <w:t>33</w:t>
            </w:r>
          </w:p>
        </w:tc>
      </w:tr>
      <w:tr w:rsidR="00226C43" w:rsidRPr="00226C43" w14:paraId="36315DA5" w14:textId="77777777" w:rsidTr="0089491D">
        <w:tc>
          <w:tcPr>
            <w:tcW w:w="4700" w:type="pct"/>
            <w:hideMark/>
          </w:tcPr>
          <w:p w14:paraId="60ABC2F1" w14:textId="77777777" w:rsidR="000A7CFF" w:rsidRPr="00226C43" w:rsidRDefault="000A7CFF" w:rsidP="000A7CFF">
            <w:pPr>
              <w:spacing w:after="0"/>
              <w:rPr>
                <w:sz w:val="20"/>
                <w:szCs w:val="20"/>
              </w:rPr>
            </w:pPr>
            <w:r w:rsidRPr="00226C43">
              <w:rPr>
                <w:sz w:val="20"/>
                <w:szCs w:val="20"/>
              </w:rPr>
              <w:t>NEDA Workshop Series</w:t>
            </w:r>
          </w:p>
        </w:tc>
        <w:tc>
          <w:tcPr>
            <w:tcW w:w="218" w:type="pct"/>
            <w:hideMark/>
          </w:tcPr>
          <w:p w14:paraId="38628266" w14:textId="77777777" w:rsidR="000A7CFF" w:rsidRPr="00226C43" w:rsidRDefault="000A7CFF" w:rsidP="00974E2F">
            <w:pPr>
              <w:spacing w:after="0"/>
              <w:jc w:val="right"/>
              <w:rPr>
                <w:sz w:val="20"/>
                <w:szCs w:val="20"/>
              </w:rPr>
            </w:pPr>
            <w:r w:rsidRPr="00226C43">
              <w:rPr>
                <w:sz w:val="20"/>
                <w:szCs w:val="20"/>
              </w:rPr>
              <w:t>72</w:t>
            </w:r>
          </w:p>
        </w:tc>
      </w:tr>
      <w:tr w:rsidR="00226C43" w:rsidRPr="00226C43" w14:paraId="63711619" w14:textId="77777777" w:rsidTr="0089491D">
        <w:tc>
          <w:tcPr>
            <w:tcW w:w="4700" w:type="pct"/>
            <w:hideMark/>
          </w:tcPr>
          <w:p w14:paraId="1EE24D93" w14:textId="77777777" w:rsidR="000A7CFF" w:rsidRPr="00226C43" w:rsidRDefault="000A7CFF" w:rsidP="000A7CFF">
            <w:pPr>
              <w:spacing w:after="0"/>
              <w:rPr>
                <w:sz w:val="20"/>
                <w:szCs w:val="20"/>
              </w:rPr>
            </w:pPr>
            <w:r w:rsidRPr="00226C43">
              <w:rPr>
                <w:sz w:val="20"/>
                <w:szCs w:val="20"/>
              </w:rPr>
              <w:t>DTI Market and Business Intelligence and Financing</w:t>
            </w:r>
          </w:p>
        </w:tc>
        <w:tc>
          <w:tcPr>
            <w:tcW w:w="218" w:type="pct"/>
            <w:hideMark/>
          </w:tcPr>
          <w:p w14:paraId="6AC6B094" w14:textId="77777777" w:rsidR="000A7CFF" w:rsidRPr="00226C43" w:rsidRDefault="000A7CFF" w:rsidP="00974E2F">
            <w:pPr>
              <w:spacing w:after="0"/>
              <w:jc w:val="right"/>
              <w:rPr>
                <w:sz w:val="20"/>
                <w:szCs w:val="20"/>
              </w:rPr>
            </w:pPr>
            <w:r w:rsidRPr="00226C43">
              <w:rPr>
                <w:sz w:val="20"/>
                <w:szCs w:val="20"/>
              </w:rPr>
              <w:t>63</w:t>
            </w:r>
          </w:p>
        </w:tc>
      </w:tr>
      <w:tr w:rsidR="00226C43" w:rsidRPr="00226C43" w14:paraId="7C747FEE" w14:textId="77777777" w:rsidTr="0089491D">
        <w:tc>
          <w:tcPr>
            <w:tcW w:w="4700" w:type="pct"/>
            <w:hideMark/>
          </w:tcPr>
          <w:p w14:paraId="0469B280" w14:textId="10519A5C" w:rsidR="000A7CFF" w:rsidRPr="00226C43" w:rsidRDefault="000A7CFF" w:rsidP="000A7CFF">
            <w:pPr>
              <w:spacing w:after="0"/>
              <w:rPr>
                <w:sz w:val="20"/>
                <w:szCs w:val="20"/>
              </w:rPr>
            </w:pPr>
            <w:r w:rsidRPr="00226C43">
              <w:rPr>
                <w:sz w:val="20"/>
                <w:szCs w:val="20"/>
              </w:rPr>
              <w:t>DBM</w:t>
            </w:r>
            <w:r w:rsidR="006C42E3" w:rsidRPr="00226C43">
              <w:rPr>
                <w:sz w:val="20"/>
                <w:szCs w:val="20"/>
              </w:rPr>
              <w:t xml:space="preserve"> – </w:t>
            </w:r>
            <w:r w:rsidRPr="00226C43">
              <w:rPr>
                <w:sz w:val="20"/>
                <w:szCs w:val="20"/>
              </w:rPr>
              <w:t>Public Policy and Management</w:t>
            </w:r>
          </w:p>
        </w:tc>
        <w:tc>
          <w:tcPr>
            <w:tcW w:w="218" w:type="pct"/>
            <w:hideMark/>
          </w:tcPr>
          <w:p w14:paraId="65F17DD0" w14:textId="77777777" w:rsidR="000A7CFF" w:rsidRPr="00226C43" w:rsidRDefault="000A7CFF" w:rsidP="00974E2F">
            <w:pPr>
              <w:spacing w:after="0"/>
              <w:jc w:val="right"/>
              <w:rPr>
                <w:sz w:val="20"/>
                <w:szCs w:val="20"/>
              </w:rPr>
            </w:pPr>
            <w:r w:rsidRPr="00226C43">
              <w:rPr>
                <w:sz w:val="20"/>
                <w:szCs w:val="20"/>
              </w:rPr>
              <w:t>4</w:t>
            </w:r>
          </w:p>
        </w:tc>
      </w:tr>
      <w:tr w:rsidR="00226C43" w:rsidRPr="00226C43" w14:paraId="115A2B10" w14:textId="77777777" w:rsidTr="0089491D">
        <w:tc>
          <w:tcPr>
            <w:tcW w:w="4700" w:type="pct"/>
            <w:hideMark/>
          </w:tcPr>
          <w:p w14:paraId="1C5CD8D4" w14:textId="559B8F01" w:rsidR="000A7CFF" w:rsidRPr="00226C43" w:rsidRDefault="000A7CFF" w:rsidP="000A7CFF">
            <w:pPr>
              <w:spacing w:after="0"/>
              <w:rPr>
                <w:sz w:val="20"/>
                <w:szCs w:val="20"/>
              </w:rPr>
            </w:pPr>
            <w:r w:rsidRPr="00226C43">
              <w:rPr>
                <w:sz w:val="20"/>
                <w:szCs w:val="20"/>
              </w:rPr>
              <w:t>CSC</w:t>
            </w:r>
            <w:r w:rsidR="006C42E3" w:rsidRPr="00226C43">
              <w:rPr>
                <w:sz w:val="20"/>
                <w:szCs w:val="20"/>
              </w:rPr>
              <w:t xml:space="preserve"> – </w:t>
            </w:r>
            <w:r w:rsidRPr="00226C43">
              <w:rPr>
                <w:sz w:val="20"/>
                <w:szCs w:val="20"/>
              </w:rPr>
              <w:t xml:space="preserve">Short </w:t>
            </w:r>
            <w:r w:rsidR="0059333D" w:rsidRPr="00226C43">
              <w:rPr>
                <w:sz w:val="20"/>
                <w:szCs w:val="20"/>
              </w:rPr>
              <w:t>Course</w:t>
            </w:r>
            <w:r w:rsidRPr="00226C43">
              <w:rPr>
                <w:sz w:val="20"/>
                <w:szCs w:val="20"/>
              </w:rPr>
              <w:t xml:space="preserve"> on Design Thinking</w:t>
            </w:r>
          </w:p>
        </w:tc>
        <w:tc>
          <w:tcPr>
            <w:tcW w:w="218" w:type="pct"/>
            <w:hideMark/>
          </w:tcPr>
          <w:p w14:paraId="30F71129" w14:textId="77777777" w:rsidR="000A7CFF" w:rsidRPr="00226C43" w:rsidRDefault="000A7CFF" w:rsidP="00974E2F">
            <w:pPr>
              <w:spacing w:after="0"/>
              <w:jc w:val="right"/>
              <w:rPr>
                <w:sz w:val="20"/>
                <w:szCs w:val="20"/>
              </w:rPr>
            </w:pPr>
            <w:r w:rsidRPr="00226C43">
              <w:rPr>
                <w:sz w:val="20"/>
                <w:szCs w:val="20"/>
              </w:rPr>
              <w:t>47</w:t>
            </w:r>
          </w:p>
        </w:tc>
      </w:tr>
      <w:tr w:rsidR="00226C43" w:rsidRPr="00226C43" w14:paraId="5D602472" w14:textId="77777777" w:rsidTr="0089491D">
        <w:tc>
          <w:tcPr>
            <w:tcW w:w="4700" w:type="pct"/>
            <w:hideMark/>
          </w:tcPr>
          <w:p w14:paraId="4B32BE22" w14:textId="4BC9F6CC" w:rsidR="000A7CFF" w:rsidRPr="00226C43" w:rsidRDefault="000A7CFF" w:rsidP="000A7CFF">
            <w:pPr>
              <w:spacing w:after="0"/>
              <w:rPr>
                <w:sz w:val="20"/>
                <w:szCs w:val="20"/>
              </w:rPr>
            </w:pPr>
            <w:r w:rsidRPr="00226C43">
              <w:rPr>
                <w:sz w:val="20"/>
                <w:szCs w:val="20"/>
              </w:rPr>
              <w:t>BOI</w:t>
            </w:r>
            <w:r w:rsidR="006C42E3" w:rsidRPr="00226C43">
              <w:rPr>
                <w:sz w:val="20"/>
                <w:szCs w:val="20"/>
              </w:rPr>
              <w:t xml:space="preserve"> – </w:t>
            </w:r>
            <w:r w:rsidRPr="00226C43">
              <w:rPr>
                <w:sz w:val="20"/>
                <w:szCs w:val="20"/>
              </w:rPr>
              <w:t>Short Course on Design Thinking</w:t>
            </w:r>
          </w:p>
        </w:tc>
        <w:tc>
          <w:tcPr>
            <w:tcW w:w="218" w:type="pct"/>
            <w:hideMark/>
          </w:tcPr>
          <w:p w14:paraId="74B4F677" w14:textId="77777777" w:rsidR="000A7CFF" w:rsidRPr="00226C43" w:rsidRDefault="000A7CFF" w:rsidP="00974E2F">
            <w:pPr>
              <w:spacing w:after="0"/>
              <w:jc w:val="right"/>
              <w:rPr>
                <w:sz w:val="20"/>
                <w:szCs w:val="20"/>
              </w:rPr>
            </w:pPr>
            <w:r w:rsidRPr="00226C43">
              <w:rPr>
                <w:sz w:val="20"/>
                <w:szCs w:val="20"/>
              </w:rPr>
              <w:t>14</w:t>
            </w:r>
          </w:p>
        </w:tc>
      </w:tr>
      <w:tr w:rsidR="00226C43" w:rsidRPr="00226C43" w14:paraId="4461B61B" w14:textId="77777777" w:rsidTr="0089491D">
        <w:tc>
          <w:tcPr>
            <w:tcW w:w="4700" w:type="pct"/>
            <w:hideMark/>
          </w:tcPr>
          <w:p w14:paraId="4C6314F0" w14:textId="1E0DDD5B" w:rsidR="000A7CFF" w:rsidRPr="00226C43" w:rsidRDefault="000A7CFF" w:rsidP="000A7CFF">
            <w:pPr>
              <w:spacing w:after="0"/>
              <w:rPr>
                <w:sz w:val="20"/>
                <w:szCs w:val="20"/>
              </w:rPr>
            </w:pPr>
            <w:r w:rsidRPr="00226C43">
              <w:rPr>
                <w:sz w:val="20"/>
                <w:szCs w:val="20"/>
              </w:rPr>
              <w:t>DTI</w:t>
            </w:r>
            <w:r w:rsidR="006C42E3" w:rsidRPr="00226C43">
              <w:rPr>
                <w:sz w:val="20"/>
                <w:szCs w:val="20"/>
              </w:rPr>
              <w:t xml:space="preserve"> – </w:t>
            </w:r>
            <w:r w:rsidRPr="00226C43">
              <w:rPr>
                <w:sz w:val="20"/>
                <w:szCs w:val="20"/>
              </w:rPr>
              <w:t>Short Course on Design Thinking</w:t>
            </w:r>
          </w:p>
        </w:tc>
        <w:tc>
          <w:tcPr>
            <w:tcW w:w="218" w:type="pct"/>
            <w:hideMark/>
          </w:tcPr>
          <w:p w14:paraId="102707C4" w14:textId="77777777" w:rsidR="000A7CFF" w:rsidRPr="00226C43" w:rsidRDefault="000A7CFF" w:rsidP="00974E2F">
            <w:pPr>
              <w:spacing w:after="0"/>
              <w:jc w:val="right"/>
              <w:rPr>
                <w:sz w:val="20"/>
                <w:szCs w:val="20"/>
              </w:rPr>
            </w:pPr>
            <w:r w:rsidRPr="00226C43">
              <w:rPr>
                <w:sz w:val="20"/>
                <w:szCs w:val="20"/>
              </w:rPr>
              <w:t>138</w:t>
            </w:r>
          </w:p>
        </w:tc>
      </w:tr>
      <w:tr w:rsidR="00226C43" w:rsidRPr="00226C43" w14:paraId="40DD622D" w14:textId="77777777" w:rsidTr="0089491D">
        <w:tc>
          <w:tcPr>
            <w:tcW w:w="4700" w:type="pct"/>
            <w:hideMark/>
          </w:tcPr>
          <w:p w14:paraId="739403B8" w14:textId="77777777" w:rsidR="000A7CFF" w:rsidRPr="00226C43" w:rsidRDefault="000A7CFF" w:rsidP="000A7CFF">
            <w:pPr>
              <w:spacing w:after="0"/>
              <w:rPr>
                <w:sz w:val="20"/>
                <w:szCs w:val="20"/>
              </w:rPr>
            </w:pPr>
            <w:r w:rsidRPr="00226C43">
              <w:rPr>
                <w:sz w:val="20"/>
                <w:szCs w:val="20"/>
              </w:rPr>
              <w:t>GEDSI Mainstreaming Batch 2</w:t>
            </w:r>
          </w:p>
        </w:tc>
        <w:tc>
          <w:tcPr>
            <w:tcW w:w="218" w:type="pct"/>
            <w:hideMark/>
          </w:tcPr>
          <w:p w14:paraId="105FA8DA" w14:textId="77777777" w:rsidR="000A7CFF" w:rsidRPr="00226C43" w:rsidRDefault="000A7CFF" w:rsidP="00974E2F">
            <w:pPr>
              <w:spacing w:after="0"/>
              <w:jc w:val="right"/>
              <w:rPr>
                <w:sz w:val="20"/>
                <w:szCs w:val="20"/>
              </w:rPr>
            </w:pPr>
            <w:r w:rsidRPr="00226C43">
              <w:rPr>
                <w:sz w:val="20"/>
                <w:szCs w:val="20"/>
              </w:rPr>
              <w:t>17</w:t>
            </w:r>
          </w:p>
        </w:tc>
      </w:tr>
      <w:tr w:rsidR="00226C43" w:rsidRPr="00226C43" w14:paraId="7C97D0CA" w14:textId="77777777" w:rsidTr="0089491D">
        <w:tc>
          <w:tcPr>
            <w:tcW w:w="4700" w:type="pct"/>
            <w:hideMark/>
          </w:tcPr>
          <w:p w14:paraId="080C2DEB" w14:textId="77777777" w:rsidR="000A7CFF" w:rsidRPr="00226C43" w:rsidRDefault="000A7CFF" w:rsidP="000A7CFF">
            <w:pPr>
              <w:spacing w:after="0"/>
              <w:rPr>
                <w:sz w:val="20"/>
                <w:szCs w:val="20"/>
              </w:rPr>
            </w:pPr>
            <w:r w:rsidRPr="00226C43">
              <w:rPr>
                <w:sz w:val="20"/>
                <w:szCs w:val="20"/>
              </w:rPr>
              <w:t>MAFAR Training on Strategic Planning</w:t>
            </w:r>
          </w:p>
        </w:tc>
        <w:tc>
          <w:tcPr>
            <w:tcW w:w="218" w:type="pct"/>
            <w:hideMark/>
          </w:tcPr>
          <w:p w14:paraId="564A547B" w14:textId="77777777" w:rsidR="000A7CFF" w:rsidRPr="00226C43" w:rsidRDefault="000A7CFF" w:rsidP="00974E2F">
            <w:pPr>
              <w:spacing w:after="0"/>
              <w:jc w:val="right"/>
              <w:rPr>
                <w:sz w:val="20"/>
                <w:szCs w:val="20"/>
              </w:rPr>
            </w:pPr>
            <w:r w:rsidRPr="00226C43">
              <w:rPr>
                <w:sz w:val="20"/>
                <w:szCs w:val="20"/>
              </w:rPr>
              <w:t>41</w:t>
            </w:r>
          </w:p>
        </w:tc>
      </w:tr>
      <w:tr w:rsidR="00226C43" w:rsidRPr="00226C43" w14:paraId="735FA5A5" w14:textId="77777777" w:rsidTr="0089491D">
        <w:tc>
          <w:tcPr>
            <w:tcW w:w="4700" w:type="pct"/>
            <w:hideMark/>
          </w:tcPr>
          <w:p w14:paraId="6731DAFA" w14:textId="77777777" w:rsidR="000A7CFF" w:rsidRPr="00226C43" w:rsidRDefault="000A7CFF" w:rsidP="000A7CFF">
            <w:pPr>
              <w:spacing w:after="0"/>
              <w:rPr>
                <w:sz w:val="20"/>
                <w:szCs w:val="20"/>
              </w:rPr>
            </w:pPr>
            <w:r w:rsidRPr="00226C43">
              <w:rPr>
                <w:sz w:val="20"/>
                <w:szCs w:val="20"/>
              </w:rPr>
              <w:t>Law of the Sea Batch 6</w:t>
            </w:r>
          </w:p>
        </w:tc>
        <w:tc>
          <w:tcPr>
            <w:tcW w:w="218" w:type="pct"/>
            <w:hideMark/>
          </w:tcPr>
          <w:p w14:paraId="7EAAA3ED" w14:textId="77777777" w:rsidR="000A7CFF" w:rsidRPr="00226C43" w:rsidRDefault="000A7CFF" w:rsidP="00974E2F">
            <w:pPr>
              <w:spacing w:after="0"/>
              <w:jc w:val="right"/>
              <w:rPr>
                <w:sz w:val="20"/>
                <w:szCs w:val="20"/>
              </w:rPr>
            </w:pPr>
            <w:r w:rsidRPr="00226C43">
              <w:rPr>
                <w:sz w:val="20"/>
                <w:szCs w:val="20"/>
              </w:rPr>
              <w:t>41</w:t>
            </w:r>
          </w:p>
        </w:tc>
      </w:tr>
      <w:tr w:rsidR="00226C43" w:rsidRPr="00226C43" w14:paraId="01403529" w14:textId="77777777" w:rsidTr="0089491D">
        <w:tc>
          <w:tcPr>
            <w:tcW w:w="4700" w:type="pct"/>
            <w:hideMark/>
          </w:tcPr>
          <w:p w14:paraId="3762902C" w14:textId="77777777" w:rsidR="000A7CFF" w:rsidRPr="00226C43" w:rsidRDefault="000A7CFF" w:rsidP="000A7CFF">
            <w:pPr>
              <w:spacing w:after="0"/>
              <w:rPr>
                <w:sz w:val="20"/>
                <w:szCs w:val="20"/>
              </w:rPr>
            </w:pPr>
            <w:r w:rsidRPr="00226C43">
              <w:rPr>
                <w:sz w:val="20"/>
                <w:szCs w:val="20"/>
              </w:rPr>
              <w:t>Designing E-Learning Batch 2</w:t>
            </w:r>
          </w:p>
        </w:tc>
        <w:tc>
          <w:tcPr>
            <w:tcW w:w="218" w:type="pct"/>
            <w:hideMark/>
          </w:tcPr>
          <w:p w14:paraId="5B41AABF" w14:textId="77777777" w:rsidR="000A7CFF" w:rsidRPr="00226C43" w:rsidRDefault="000A7CFF" w:rsidP="00974E2F">
            <w:pPr>
              <w:spacing w:after="0"/>
              <w:jc w:val="right"/>
              <w:rPr>
                <w:sz w:val="20"/>
                <w:szCs w:val="20"/>
              </w:rPr>
            </w:pPr>
            <w:r w:rsidRPr="00226C43">
              <w:rPr>
                <w:sz w:val="20"/>
                <w:szCs w:val="20"/>
              </w:rPr>
              <w:t>23</w:t>
            </w:r>
          </w:p>
        </w:tc>
      </w:tr>
    </w:tbl>
    <w:p w14:paraId="0869168A" w14:textId="77777777" w:rsidR="00C3104B" w:rsidRPr="00226C43" w:rsidRDefault="00C3104B" w:rsidP="004F1939">
      <w:pPr>
        <w:spacing w:after="0"/>
      </w:pPr>
    </w:p>
    <w:p w14:paraId="652BA1B0" w14:textId="333B639C" w:rsidR="007021A6" w:rsidRPr="00226C43" w:rsidRDefault="4DD21A85" w:rsidP="4DD21A85">
      <w:r w:rsidRPr="00226C43">
        <w:t xml:space="preserve">The program also managed logistical support efficiently during this period, with a notable reduction in administrative costs due to the shift to virtual platforms. Transitioning to online delivery and hybrid engagement methods, ensured uninterrupted service delivery for scholar support and learning activities. </w:t>
      </w:r>
    </w:p>
    <w:p w14:paraId="0E9ED79E" w14:textId="5CE2075D" w:rsidR="000B0CAD" w:rsidRPr="00226C43" w:rsidRDefault="4DD21A85" w:rsidP="4DD21A85">
      <w:r w:rsidRPr="00226C43">
        <w:t xml:space="preserve">Sound financial management, efficient use of resources, and adaptability to external challenges meant that the </w:t>
      </w:r>
      <w:r w:rsidR="67098A8D" w:rsidRPr="00226C43">
        <w:t>p</w:t>
      </w:r>
      <w:r w:rsidRPr="00226C43">
        <w:t>rogram met most of its 2018 to 2023 objectives. Contingency planning and flexible budgeting remain ongoing challenges for the program.</w:t>
      </w:r>
    </w:p>
    <w:p w14:paraId="47BD62EE" w14:textId="060E0FBE" w:rsidR="00A11F5D" w:rsidRPr="00226C43" w:rsidRDefault="00A11F5D" w:rsidP="4DD21A85">
      <w:r w:rsidRPr="00226C43">
        <w:t>Anecdotally, feedback was received from the MC that some scholars felt that the stipends they receive fell short of covering their living expenses, as they have not kept pace with inflation.</w:t>
      </w:r>
      <w:r w:rsidR="0078429F" w:rsidRPr="00226C43">
        <w:t xml:space="preserve"> </w:t>
      </w:r>
      <w:r w:rsidRPr="00226C43">
        <w:t>Scholars therefore took up manual labour work/cleaning to support their living expenses.</w:t>
      </w:r>
      <w:r w:rsidR="0078429F" w:rsidRPr="00226C43">
        <w:t xml:space="preserve"> </w:t>
      </w:r>
      <w:r w:rsidR="00EB01DC" w:rsidRPr="00226C43">
        <w:t>There may be a need to re-evaluate stipend amounts for in Australia scholars.</w:t>
      </w:r>
    </w:p>
    <w:p w14:paraId="1702E375" w14:textId="1A7F59B1" w:rsidR="005703A8" w:rsidRPr="00226C43" w:rsidRDefault="00A87289" w:rsidP="00623F17">
      <w:pPr>
        <w:pStyle w:val="Heading5"/>
        <w:rPr>
          <w:rFonts w:asciiTheme="minorHAnsi" w:hAnsiTheme="minorHAnsi"/>
          <w:color w:val="auto"/>
        </w:rPr>
      </w:pPr>
      <w:r w:rsidRPr="00226C43">
        <w:rPr>
          <w:rFonts w:asciiTheme="minorHAnsi" w:hAnsiTheme="minorHAnsi"/>
          <w:color w:val="auto"/>
        </w:rPr>
        <w:lastRenderedPageBreak/>
        <w:t xml:space="preserve">3.1 </w:t>
      </w:r>
      <w:r w:rsidR="4DD21A85" w:rsidRPr="00226C43">
        <w:rPr>
          <w:rFonts w:asciiTheme="minorHAnsi" w:hAnsiTheme="minorHAnsi"/>
          <w:color w:val="auto"/>
        </w:rPr>
        <w:t xml:space="preserve">What, if any, significant administrative constraints or unexpected costs were experienced, and how were they managed? </w:t>
      </w:r>
    </w:p>
    <w:p w14:paraId="419198ED" w14:textId="385E424B" w:rsidR="00326D37" w:rsidRPr="00226C43" w:rsidRDefault="4DD21A85" w:rsidP="4DD21A85">
      <w:r w:rsidRPr="00226C43">
        <w:t>The administration demands associated with several different scholarship offerings are significant.</w:t>
      </w:r>
      <w:r w:rsidR="0078429F" w:rsidRPr="00226C43">
        <w:t xml:space="preserve"> </w:t>
      </w:r>
      <w:r w:rsidRPr="00226C43">
        <w:t>They include advertising rounds, selecting candidates, course preparation activities, pre-departure briefings, on award support, re-entry and reorientation and alumni activities.</w:t>
      </w:r>
      <w:r w:rsidR="0078429F" w:rsidRPr="00226C43">
        <w:t xml:space="preserve"> </w:t>
      </w:r>
      <w:r w:rsidRPr="00226C43">
        <w:t>Inevitably, logistics can go wrong and AAAEP–P is not immune to this phenomenon. Routine interruptions and delays undoubtedly occurred.</w:t>
      </w:r>
      <w:r w:rsidR="0078429F" w:rsidRPr="00226C43">
        <w:t xml:space="preserve"> </w:t>
      </w:r>
      <w:r w:rsidRPr="00226C43">
        <w:t xml:space="preserve">The evaluation team is not aware of significant logistics hurdles, and the implementation team appears to be </w:t>
      </w:r>
      <w:proofErr w:type="gramStart"/>
      <w:r w:rsidRPr="00226C43">
        <w:t>on the whole</w:t>
      </w:r>
      <w:proofErr w:type="gramEnd"/>
      <w:r w:rsidRPr="00226C43">
        <w:t xml:space="preserve"> a well-oiled machine.</w:t>
      </w:r>
    </w:p>
    <w:p w14:paraId="0C21FE19" w14:textId="11FB2BDF" w:rsidR="008C35D9" w:rsidRPr="00226C43" w:rsidRDefault="00C53644" w:rsidP="00630ED5">
      <w:pPr>
        <w:pStyle w:val="Caption"/>
        <w:keepNext w:val="0"/>
        <w:spacing w:after="0"/>
        <w:rPr>
          <w:noProof/>
          <w:color w:val="auto"/>
        </w:rPr>
      </w:pPr>
      <w:bookmarkStart w:id="34" w:name="_Toc190939912"/>
      <w:r w:rsidRPr="00226C43">
        <w:rPr>
          <w:color w:val="auto"/>
        </w:rPr>
        <w:t xml:space="preserve">Table </w:t>
      </w:r>
      <w:r w:rsidR="00243243" w:rsidRPr="00226C43">
        <w:rPr>
          <w:b w:val="0"/>
          <w:color w:val="auto"/>
        </w:rPr>
        <w:fldChar w:fldCharType="begin"/>
      </w:r>
      <w:r w:rsidR="00243243" w:rsidRPr="00226C43">
        <w:rPr>
          <w:b w:val="0"/>
          <w:color w:val="auto"/>
        </w:rPr>
        <w:instrText xml:space="preserve"> SEQ Table \* ARABIC </w:instrText>
      </w:r>
      <w:r w:rsidR="00243243" w:rsidRPr="00226C43">
        <w:rPr>
          <w:b w:val="0"/>
          <w:color w:val="auto"/>
        </w:rPr>
        <w:fldChar w:fldCharType="separate"/>
      </w:r>
      <w:r w:rsidR="003735AF" w:rsidRPr="00226C43">
        <w:rPr>
          <w:b w:val="0"/>
          <w:noProof/>
          <w:color w:val="auto"/>
        </w:rPr>
        <w:t>13</w:t>
      </w:r>
      <w:r w:rsidR="00243243" w:rsidRPr="00226C43">
        <w:rPr>
          <w:b w:val="0"/>
          <w:color w:val="auto"/>
        </w:rPr>
        <w:fldChar w:fldCharType="end"/>
      </w:r>
      <w:r w:rsidRPr="00226C43">
        <w:rPr>
          <w:color w:val="auto"/>
        </w:rPr>
        <w:t>: Number of Program Participants by Sex from the Start of the Program</w:t>
      </w:r>
      <w:r w:rsidR="00677DD4" w:rsidRPr="00226C43">
        <w:rPr>
          <w:rStyle w:val="FootnoteReference"/>
          <w:color w:val="auto"/>
        </w:rPr>
        <w:footnoteReference w:id="25"/>
      </w:r>
      <w:bookmarkEnd w:id="34"/>
    </w:p>
    <w:tbl>
      <w:tblPr>
        <w:tblStyle w:val="TableGrid"/>
        <w:tblW w:w="0" w:type="auto"/>
        <w:jc w:val="center"/>
        <w:tblLook w:val="06A0" w:firstRow="1" w:lastRow="0" w:firstColumn="1" w:lastColumn="0" w:noHBand="1" w:noVBand="1"/>
      </w:tblPr>
      <w:tblGrid>
        <w:gridCol w:w="1346"/>
        <w:gridCol w:w="892"/>
        <w:gridCol w:w="704"/>
        <w:gridCol w:w="704"/>
        <w:gridCol w:w="906"/>
        <w:gridCol w:w="895"/>
        <w:gridCol w:w="664"/>
        <w:gridCol w:w="660"/>
        <w:gridCol w:w="899"/>
        <w:gridCol w:w="673"/>
        <w:gridCol w:w="673"/>
      </w:tblGrid>
      <w:tr w:rsidR="00226C43" w:rsidRPr="00226C43" w14:paraId="0BB0E760" w14:textId="77777777" w:rsidTr="00117212">
        <w:trPr>
          <w:tblHeader/>
          <w:jc w:val="center"/>
        </w:trPr>
        <w:tc>
          <w:tcPr>
            <w:tcW w:w="0" w:type="auto"/>
            <w:shd w:val="clear" w:color="auto" w:fill="E3DED1" w:themeFill="background2"/>
            <w:hideMark/>
          </w:tcPr>
          <w:p w14:paraId="7B6E6214" w14:textId="77777777" w:rsidR="00630ED5" w:rsidRPr="00630ED5" w:rsidRDefault="00630ED5" w:rsidP="00630ED5">
            <w:pPr>
              <w:tabs>
                <w:tab w:val="left" w:pos="1605"/>
              </w:tabs>
              <w:spacing w:after="0"/>
              <w:rPr>
                <w:b/>
                <w:bCs/>
                <w:sz w:val="20"/>
                <w:szCs w:val="20"/>
              </w:rPr>
            </w:pPr>
            <w:r w:rsidRPr="00630ED5">
              <w:rPr>
                <w:b/>
                <w:bCs/>
                <w:sz w:val="20"/>
                <w:szCs w:val="20"/>
              </w:rPr>
              <w:t>Subprogram</w:t>
            </w:r>
          </w:p>
        </w:tc>
        <w:tc>
          <w:tcPr>
            <w:tcW w:w="0" w:type="auto"/>
            <w:shd w:val="clear" w:color="auto" w:fill="E3DED1" w:themeFill="background2"/>
            <w:hideMark/>
          </w:tcPr>
          <w:p w14:paraId="54B59785" w14:textId="77777777" w:rsidR="00630ED5" w:rsidRPr="00630ED5" w:rsidRDefault="00630ED5" w:rsidP="00630ED5">
            <w:pPr>
              <w:tabs>
                <w:tab w:val="left" w:pos="1605"/>
              </w:tabs>
              <w:spacing w:after="0"/>
              <w:jc w:val="center"/>
              <w:rPr>
                <w:b/>
                <w:bCs/>
                <w:sz w:val="20"/>
                <w:szCs w:val="20"/>
              </w:rPr>
            </w:pPr>
            <w:r w:rsidRPr="00630ED5">
              <w:rPr>
                <w:b/>
                <w:bCs/>
                <w:sz w:val="20"/>
                <w:szCs w:val="20"/>
              </w:rPr>
              <w:t>Female</w:t>
            </w:r>
          </w:p>
        </w:tc>
        <w:tc>
          <w:tcPr>
            <w:tcW w:w="0" w:type="auto"/>
            <w:shd w:val="clear" w:color="auto" w:fill="E3DED1" w:themeFill="background2"/>
            <w:hideMark/>
          </w:tcPr>
          <w:p w14:paraId="5582A5B4" w14:textId="77777777" w:rsidR="00630ED5" w:rsidRPr="00630ED5" w:rsidRDefault="00630ED5" w:rsidP="00630ED5">
            <w:pPr>
              <w:tabs>
                <w:tab w:val="left" w:pos="1605"/>
              </w:tabs>
              <w:spacing w:after="0"/>
              <w:jc w:val="center"/>
              <w:rPr>
                <w:b/>
                <w:bCs/>
                <w:sz w:val="20"/>
                <w:szCs w:val="20"/>
              </w:rPr>
            </w:pPr>
            <w:r w:rsidRPr="00630ED5">
              <w:rPr>
                <w:b/>
                <w:bCs/>
                <w:sz w:val="20"/>
                <w:szCs w:val="20"/>
              </w:rPr>
              <w:t>Male</w:t>
            </w:r>
          </w:p>
        </w:tc>
        <w:tc>
          <w:tcPr>
            <w:tcW w:w="0" w:type="auto"/>
            <w:shd w:val="clear" w:color="auto" w:fill="E3DED1" w:themeFill="background2"/>
            <w:hideMark/>
          </w:tcPr>
          <w:p w14:paraId="101BC2CF" w14:textId="77777777" w:rsidR="00630ED5" w:rsidRPr="00630ED5" w:rsidRDefault="00630ED5" w:rsidP="00630ED5">
            <w:pPr>
              <w:tabs>
                <w:tab w:val="left" w:pos="1605"/>
              </w:tabs>
              <w:spacing w:after="0"/>
              <w:jc w:val="center"/>
              <w:rPr>
                <w:b/>
                <w:bCs/>
                <w:sz w:val="20"/>
                <w:szCs w:val="20"/>
              </w:rPr>
            </w:pPr>
            <w:r w:rsidRPr="00630ED5">
              <w:rPr>
                <w:b/>
                <w:bCs/>
                <w:sz w:val="20"/>
                <w:szCs w:val="20"/>
              </w:rPr>
              <w:t>Total</w:t>
            </w:r>
          </w:p>
        </w:tc>
        <w:tc>
          <w:tcPr>
            <w:tcW w:w="0" w:type="auto"/>
            <w:shd w:val="clear" w:color="auto" w:fill="E3DED1" w:themeFill="background2"/>
            <w:hideMark/>
          </w:tcPr>
          <w:p w14:paraId="140D3F91" w14:textId="77777777" w:rsidR="00630ED5" w:rsidRPr="00630ED5" w:rsidRDefault="00630ED5" w:rsidP="00630ED5">
            <w:pPr>
              <w:tabs>
                <w:tab w:val="left" w:pos="1605"/>
              </w:tabs>
              <w:spacing w:after="0"/>
              <w:jc w:val="center"/>
              <w:rPr>
                <w:b/>
                <w:bCs/>
                <w:sz w:val="20"/>
                <w:szCs w:val="20"/>
              </w:rPr>
            </w:pPr>
            <w:r w:rsidRPr="00630ED5">
              <w:rPr>
                <w:b/>
                <w:bCs/>
                <w:sz w:val="20"/>
                <w:szCs w:val="20"/>
              </w:rPr>
              <w:t>% Female to Total</w:t>
            </w:r>
          </w:p>
        </w:tc>
        <w:tc>
          <w:tcPr>
            <w:tcW w:w="0" w:type="auto"/>
            <w:shd w:val="clear" w:color="auto" w:fill="E3DED1" w:themeFill="background2"/>
            <w:hideMark/>
          </w:tcPr>
          <w:p w14:paraId="5B4C5246" w14:textId="77777777" w:rsidR="00630ED5" w:rsidRPr="00630ED5" w:rsidRDefault="00630ED5" w:rsidP="00630ED5">
            <w:pPr>
              <w:tabs>
                <w:tab w:val="left" w:pos="1605"/>
              </w:tabs>
              <w:spacing w:after="0"/>
              <w:jc w:val="center"/>
              <w:rPr>
                <w:b/>
                <w:bCs/>
                <w:sz w:val="20"/>
                <w:szCs w:val="20"/>
              </w:rPr>
            </w:pPr>
            <w:r w:rsidRPr="00630ED5">
              <w:rPr>
                <w:b/>
                <w:bCs/>
                <w:sz w:val="20"/>
                <w:szCs w:val="20"/>
              </w:rPr>
              <w:t>IP Female</w:t>
            </w:r>
          </w:p>
        </w:tc>
        <w:tc>
          <w:tcPr>
            <w:tcW w:w="0" w:type="auto"/>
            <w:shd w:val="clear" w:color="auto" w:fill="E3DED1" w:themeFill="background2"/>
            <w:hideMark/>
          </w:tcPr>
          <w:p w14:paraId="19FD34E7" w14:textId="77777777" w:rsidR="00630ED5" w:rsidRPr="00630ED5" w:rsidRDefault="00630ED5" w:rsidP="00630ED5">
            <w:pPr>
              <w:tabs>
                <w:tab w:val="left" w:pos="1605"/>
              </w:tabs>
              <w:spacing w:after="0"/>
              <w:jc w:val="center"/>
              <w:rPr>
                <w:b/>
                <w:bCs/>
                <w:sz w:val="20"/>
                <w:szCs w:val="20"/>
              </w:rPr>
            </w:pPr>
            <w:r w:rsidRPr="00630ED5">
              <w:rPr>
                <w:b/>
                <w:bCs/>
                <w:sz w:val="20"/>
                <w:szCs w:val="20"/>
              </w:rPr>
              <w:t>IP Male</w:t>
            </w:r>
          </w:p>
        </w:tc>
        <w:tc>
          <w:tcPr>
            <w:tcW w:w="0" w:type="auto"/>
            <w:shd w:val="clear" w:color="auto" w:fill="E3DED1" w:themeFill="background2"/>
            <w:hideMark/>
          </w:tcPr>
          <w:p w14:paraId="21E343DB" w14:textId="77777777" w:rsidR="00630ED5" w:rsidRPr="00630ED5" w:rsidRDefault="00630ED5" w:rsidP="00630ED5">
            <w:pPr>
              <w:tabs>
                <w:tab w:val="left" w:pos="1605"/>
              </w:tabs>
              <w:spacing w:after="0"/>
              <w:jc w:val="center"/>
              <w:rPr>
                <w:b/>
                <w:bCs/>
                <w:sz w:val="20"/>
                <w:szCs w:val="20"/>
              </w:rPr>
            </w:pPr>
            <w:r w:rsidRPr="00630ED5">
              <w:rPr>
                <w:b/>
                <w:bCs/>
                <w:sz w:val="20"/>
                <w:szCs w:val="20"/>
              </w:rPr>
              <w:t>IP Total</w:t>
            </w:r>
          </w:p>
        </w:tc>
        <w:tc>
          <w:tcPr>
            <w:tcW w:w="0" w:type="auto"/>
            <w:shd w:val="clear" w:color="auto" w:fill="E3DED1" w:themeFill="background2"/>
            <w:hideMark/>
          </w:tcPr>
          <w:p w14:paraId="26AEFC68" w14:textId="77777777" w:rsidR="00630ED5" w:rsidRPr="00630ED5" w:rsidRDefault="00630ED5" w:rsidP="00630ED5">
            <w:pPr>
              <w:tabs>
                <w:tab w:val="left" w:pos="1605"/>
              </w:tabs>
              <w:spacing w:after="0"/>
              <w:jc w:val="center"/>
              <w:rPr>
                <w:b/>
                <w:bCs/>
                <w:sz w:val="20"/>
                <w:szCs w:val="20"/>
              </w:rPr>
            </w:pPr>
            <w:r w:rsidRPr="00630ED5">
              <w:rPr>
                <w:b/>
                <w:bCs/>
                <w:sz w:val="20"/>
                <w:szCs w:val="20"/>
              </w:rPr>
              <w:t>PWD Female</w:t>
            </w:r>
          </w:p>
        </w:tc>
        <w:tc>
          <w:tcPr>
            <w:tcW w:w="0" w:type="auto"/>
            <w:shd w:val="clear" w:color="auto" w:fill="E3DED1" w:themeFill="background2"/>
            <w:hideMark/>
          </w:tcPr>
          <w:p w14:paraId="2215DF13" w14:textId="77777777" w:rsidR="00630ED5" w:rsidRPr="00630ED5" w:rsidRDefault="00630ED5" w:rsidP="00630ED5">
            <w:pPr>
              <w:tabs>
                <w:tab w:val="left" w:pos="1605"/>
              </w:tabs>
              <w:spacing w:after="0"/>
              <w:jc w:val="center"/>
              <w:rPr>
                <w:b/>
                <w:bCs/>
                <w:sz w:val="20"/>
                <w:szCs w:val="20"/>
              </w:rPr>
            </w:pPr>
            <w:r w:rsidRPr="00630ED5">
              <w:rPr>
                <w:b/>
                <w:bCs/>
                <w:sz w:val="20"/>
                <w:szCs w:val="20"/>
              </w:rPr>
              <w:t>PWD Male</w:t>
            </w:r>
          </w:p>
        </w:tc>
        <w:tc>
          <w:tcPr>
            <w:tcW w:w="0" w:type="auto"/>
            <w:shd w:val="clear" w:color="auto" w:fill="E3DED1" w:themeFill="background2"/>
            <w:hideMark/>
          </w:tcPr>
          <w:p w14:paraId="3C1BA5B5" w14:textId="77777777" w:rsidR="00630ED5" w:rsidRPr="00630ED5" w:rsidRDefault="00630ED5" w:rsidP="00630ED5">
            <w:pPr>
              <w:tabs>
                <w:tab w:val="left" w:pos="1605"/>
              </w:tabs>
              <w:spacing w:after="0"/>
              <w:jc w:val="center"/>
              <w:rPr>
                <w:b/>
                <w:bCs/>
                <w:sz w:val="20"/>
                <w:szCs w:val="20"/>
              </w:rPr>
            </w:pPr>
            <w:r w:rsidRPr="00630ED5">
              <w:rPr>
                <w:b/>
                <w:bCs/>
                <w:sz w:val="20"/>
                <w:szCs w:val="20"/>
              </w:rPr>
              <w:t>PWD Total</w:t>
            </w:r>
          </w:p>
        </w:tc>
      </w:tr>
      <w:tr w:rsidR="00226C43" w:rsidRPr="00226C43" w14:paraId="16C8D3D0" w14:textId="77777777" w:rsidTr="006440A0">
        <w:trPr>
          <w:jc w:val="center"/>
        </w:trPr>
        <w:tc>
          <w:tcPr>
            <w:tcW w:w="0" w:type="auto"/>
            <w:hideMark/>
          </w:tcPr>
          <w:p w14:paraId="1CA90074" w14:textId="77777777" w:rsidR="00630ED5" w:rsidRPr="00630ED5" w:rsidRDefault="00630ED5" w:rsidP="00630ED5">
            <w:pPr>
              <w:tabs>
                <w:tab w:val="left" w:pos="1605"/>
              </w:tabs>
              <w:spacing w:after="0"/>
              <w:rPr>
                <w:sz w:val="20"/>
                <w:szCs w:val="20"/>
              </w:rPr>
            </w:pPr>
            <w:r w:rsidRPr="00630ED5">
              <w:rPr>
                <w:sz w:val="20"/>
                <w:szCs w:val="20"/>
              </w:rPr>
              <w:t>Scholarships</w:t>
            </w:r>
          </w:p>
        </w:tc>
        <w:tc>
          <w:tcPr>
            <w:tcW w:w="0" w:type="auto"/>
            <w:hideMark/>
          </w:tcPr>
          <w:p w14:paraId="1A832CEC" w14:textId="77777777" w:rsidR="00630ED5" w:rsidRPr="00630ED5" w:rsidRDefault="00630ED5" w:rsidP="00630ED5">
            <w:pPr>
              <w:tabs>
                <w:tab w:val="left" w:pos="1605"/>
              </w:tabs>
              <w:spacing w:after="0"/>
              <w:jc w:val="right"/>
              <w:rPr>
                <w:sz w:val="20"/>
                <w:szCs w:val="20"/>
              </w:rPr>
            </w:pPr>
            <w:r w:rsidRPr="00630ED5">
              <w:rPr>
                <w:sz w:val="20"/>
                <w:szCs w:val="20"/>
              </w:rPr>
              <w:t>316</w:t>
            </w:r>
          </w:p>
        </w:tc>
        <w:tc>
          <w:tcPr>
            <w:tcW w:w="0" w:type="auto"/>
            <w:hideMark/>
          </w:tcPr>
          <w:p w14:paraId="355F17DA" w14:textId="77777777" w:rsidR="00630ED5" w:rsidRPr="00630ED5" w:rsidRDefault="00630ED5" w:rsidP="00630ED5">
            <w:pPr>
              <w:tabs>
                <w:tab w:val="left" w:pos="1605"/>
              </w:tabs>
              <w:spacing w:after="0"/>
              <w:jc w:val="right"/>
              <w:rPr>
                <w:sz w:val="20"/>
                <w:szCs w:val="20"/>
              </w:rPr>
            </w:pPr>
            <w:r w:rsidRPr="00630ED5">
              <w:rPr>
                <w:sz w:val="20"/>
                <w:szCs w:val="20"/>
              </w:rPr>
              <w:t>232</w:t>
            </w:r>
          </w:p>
        </w:tc>
        <w:tc>
          <w:tcPr>
            <w:tcW w:w="0" w:type="auto"/>
            <w:hideMark/>
          </w:tcPr>
          <w:p w14:paraId="1C22CFED" w14:textId="77777777" w:rsidR="00630ED5" w:rsidRPr="00630ED5" w:rsidRDefault="00630ED5" w:rsidP="00630ED5">
            <w:pPr>
              <w:tabs>
                <w:tab w:val="left" w:pos="1605"/>
              </w:tabs>
              <w:spacing w:after="0"/>
              <w:jc w:val="right"/>
              <w:rPr>
                <w:sz w:val="20"/>
                <w:szCs w:val="20"/>
              </w:rPr>
            </w:pPr>
            <w:r w:rsidRPr="00630ED5">
              <w:rPr>
                <w:sz w:val="20"/>
                <w:szCs w:val="20"/>
              </w:rPr>
              <w:t>548</w:t>
            </w:r>
          </w:p>
        </w:tc>
        <w:tc>
          <w:tcPr>
            <w:tcW w:w="0" w:type="auto"/>
            <w:hideMark/>
          </w:tcPr>
          <w:p w14:paraId="7E8F86BE" w14:textId="7C80BA6B" w:rsidR="00630ED5" w:rsidRPr="00630ED5" w:rsidRDefault="00630ED5" w:rsidP="00630ED5">
            <w:pPr>
              <w:tabs>
                <w:tab w:val="left" w:pos="1605"/>
              </w:tabs>
              <w:spacing w:after="0"/>
              <w:jc w:val="right"/>
              <w:rPr>
                <w:sz w:val="20"/>
                <w:szCs w:val="20"/>
              </w:rPr>
            </w:pPr>
            <w:r w:rsidRPr="00630ED5">
              <w:rPr>
                <w:sz w:val="20"/>
                <w:szCs w:val="20"/>
              </w:rPr>
              <w:t>58</w:t>
            </w:r>
          </w:p>
        </w:tc>
        <w:tc>
          <w:tcPr>
            <w:tcW w:w="0" w:type="auto"/>
            <w:hideMark/>
          </w:tcPr>
          <w:p w14:paraId="63312A72" w14:textId="77777777" w:rsidR="00630ED5" w:rsidRPr="00630ED5" w:rsidRDefault="00630ED5" w:rsidP="00630ED5">
            <w:pPr>
              <w:tabs>
                <w:tab w:val="left" w:pos="1605"/>
              </w:tabs>
              <w:spacing w:after="0"/>
              <w:jc w:val="right"/>
              <w:rPr>
                <w:sz w:val="20"/>
                <w:szCs w:val="20"/>
              </w:rPr>
            </w:pPr>
            <w:r w:rsidRPr="00630ED5">
              <w:rPr>
                <w:sz w:val="20"/>
                <w:szCs w:val="20"/>
              </w:rPr>
              <w:t>10</w:t>
            </w:r>
          </w:p>
        </w:tc>
        <w:tc>
          <w:tcPr>
            <w:tcW w:w="0" w:type="auto"/>
            <w:hideMark/>
          </w:tcPr>
          <w:p w14:paraId="70364854" w14:textId="77777777" w:rsidR="00630ED5" w:rsidRPr="00630ED5" w:rsidRDefault="00630ED5" w:rsidP="00630ED5">
            <w:pPr>
              <w:tabs>
                <w:tab w:val="left" w:pos="1605"/>
              </w:tabs>
              <w:spacing w:after="0"/>
              <w:jc w:val="right"/>
              <w:rPr>
                <w:sz w:val="20"/>
                <w:szCs w:val="20"/>
              </w:rPr>
            </w:pPr>
            <w:r w:rsidRPr="00630ED5">
              <w:rPr>
                <w:sz w:val="20"/>
                <w:szCs w:val="20"/>
              </w:rPr>
              <w:t>9</w:t>
            </w:r>
          </w:p>
        </w:tc>
        <w:tc>
          <w:tcPr>
            <w:tcW w:w="0" w:type="auto"/>
            <w:hideMark/>
          </w:tcPr>
          <w:p w14:paraId="6D81B473" w14:textId="77777777" w:rsidR="00630ED5" w:rsidRPr="00630ED5" w:rsidRDefault="00630ED5" w:rsidP="00630ED5">
            <w:pPr>
              <w:tabs>
                <w:tab w:val="left" w:pos="1605"/>
              </w:tabs>
              <w:spacing w:after="0"/>
              <w:jc w:val="right"/>
              <w:rPr>
                <w:sz w:val="20"/>
                <w:szCs w:val="20"/>
              </w:rPr>
            </w:pPr>
            <w:r w:rsidRPr="00630ED5">
              <w:rPr>
                <w:sz w:val="20"/>
                <w:szCs w:val="20"/>
              </w:rPr>
              <w:t>19</w:t>
            </w:r>
          </w:p>
        </w:tc>
        <w:tc>
          <w:tcPr>
            <w:tcW w:w="0" w:type="auto"/>
            <w:hideMark/>
          </w:tcPr>
          <w:p w14:paraId="23F49C63" w14:textId="77777777" w:rsidR="00630ED5" w:rsidRPr="00630ED5" w:rsidRDefault="00630ED5" w:rsidP="00630ED5">
            <w:pPr>
              <w:tabs>
                <w:tab w:val="left" w:pos="1605"/>
              </w:tabs>
              <w:spacing w:after="0"/>
              <w:jc w:val="right"/>
              <w:rPr>
                <w:sz w:val="20"/>
                <w:szCs w:val="20"/>
              </w:rPr>
            </w:pPr>
            <w:r w:rsidRPr="00630ED5">
              <w:rPr>
                <w:sz w:val="20"/>
                <w:szCs w:val="20"/>
              </w:rPr>
              <w:t>6</w:t>
            </w:r>
          </w:p>
        </w:tc>
        <w:tc>
          <w:tcPr>
            <w:tcW w:w="0" w:type="auto"/>
            <w:hideMark/>
          </w:tcPr>
          <w:p w14:paraId="7A203823" w14:textId="77777777" w:rsidR="00630ED5" w:rsidRPr="00630ED5" w:rsidRDefault="00630ED5" w:rsidP="00630ED5">
            <w:pPr>
              <w:tabs>
                <w:tab w:val="left" w:pos="1605"/>
              </w:tabs>
              <w:spacing w:after="0"/>
              <w:jc w:val="right"/>
              <w:rPr>
                <w:sz w:val="20"/>
                <w:szCs w:val="20"/>
              </w:rPr>
            </w:pPr>
            <w:r w:rsidRPr="00630ED5">
              <w:rPr>
                <w:sz w:val="20"/>
                <w:szCs w:val="20"/>
              </w:rPr>
              <w:t>7</w:t>
            </w:r>
          </w:p>
        </w:tc>
        <w:tc>
          <w:tcPr>
            <w:tcW w:w="0" w:type="auto"/>
            <w:hideMark/>
          </w:tcPr>
          <w:p w14:paraId="41167D11" w14:textId="77777777" w:rsidR="00630ED5" w:rsidRPr="00630ED5" w:rsidRDefault="00630ED5" w:rsidP="00630ED5">
            <w:pPr>
              <w:tabs>
                <w:tab w:val="left" w:pos="1605"/>
              </w:tabs>
              <w:spacing w:after="0"/>
              <w:jc w:val="right"/>
              <w:rPr>
                <w:sz w:val="20"/>
                <w:szCs w:val="20"/>
              </w:rPr>
            </w:pPr>
            <w:r w:rsidRPr="00630ED5">
              <w:rPr>
                <w:sz w:val="20"/>
                <w:szCs w:val="20"/>
              </w:rPr>
              <w:t>13</w:t>
            </w:r>
          </w:p>
        </w:tc>
      </w:tr>
      <w:tr w:rsidR="00226C43" w:rsidRPr="00226C43" w14:paraId="2C569733" w14:textId="77777777" w:rsidTr="006440A0">
        <w:trPr>
          <w:jc w:val="center"/>
        </w:trPr>
        <w:tc>
          <w:tcPr>
            <w:tcW w:w="0" w:type="auto"/>
            <w:hideMark/>
          </w:tcPr>
          <w:p w14:paraId="317295D9" w14:textId="77777777" w:rsidR="00630ED5" w:rsidRPr="00630ED5" w:rsidRDefault="00630ED5" w:rsidP="00630ED5">
            <w:pPr>
              <w:tabs>
                <w:tab w:val="left" w:pos="1605"/>
              </w:tabs>
              <w:spacing w:after="0"/>
              <w:rPr>
                <w:sz w:val="20"/>
                <w:szCs w:val="20"/>
              </w:rPr>
            </w:pPr>
            <w:r w:rsidRPr="00630ED5">
              <w:rPr>
                <w:sz w:val="20"/>
                <w:szCs w:val="20"/>
              </w:rPr>
              <w:t>ICSP</w:t>
            </w:r>
          </w:p>
        </w:tc>
        <w:tc>
          <w:tcPr>
            <w:tcW w:w="0" w:type="auto"/>
            <w:hideMark/>
          </w:tcPr>
          <w:p w14:paraId="13EB8405" w14:textId="77777777" w:rsidR="00630ED5" w:rsidRPr="00630ED5" w:rsidRDefault="00630ED5" w:rsidP="00630ED5">
            <w:pPr>
              <w:tabs>
                <w:tab w:val="left" w:pos="1605"/>
              </w:tabs>
              <w:spacing w:after="0"/>
              <w:jc w:val="right"/>
              <w:rPr>
                <w:sz w:val="20"/>
                <w:szCs w:val="20"/>
              </w:rPr>
            </w:pPr>
            <w:r w:rsidRPr="00630ED5">
              <w:rPr>
                <w:sz w:val="20"/>
                <w:szCs w:val="20"/>
              </w:rPr>
              <w:t>24</w:t>
            </w:r>
          </w:p>
        </w:tc>
        <w:tc>
          <w:tcPr>
            <w:tcW w:w="0" w:type="auto"/>
            <w:hideMark/>
          </w:tcPr>
          <w:p w14:paraId="4D3473A8" w14:textId="77777777" w:rsidR="00630ED5" w:rsidRPr="00630ED5" w:rsidRDefault="00630ED5" w:rsidP="00630ED5">
            <w:pPr>
              <w:tabs>
                <w:tab w:val="left" w:pos="1605"/>
              </w:tabs>
              <w:spacing w:after="0"/>
              <w:jc w:val="right"/>
              <w:rPr>
                <w:sz w:val="20"/>
                <w:szCs w:val="20"/>
              </w:rPr>
            </w:pPr>
            <w:r w:rsidRPr="00630ED5">
              <w:rPr>
                <w:sz w:val="20"/>
                <w:szCs w:val="20"/>
              </w:rPr>
              <w:t>12</w:t>
            </w:r>
          </w:p>
        </w:tc>
        <w:tc>
          <w:tcPr>
            <w:tcW w:w="0" w:type="auto"/>
            <w:hideMark/>
          </w:tcPr>
          <w:p w14:paraId="7045C494" w14:textId="77777777" w:rsidR="00630ED5" w:rsidRPr="00630ED5" w:rsidRDefault="00630ED5" w:rsidP="00630ED5">
            <w:pPr>
              <w:tabs>
                <w:tab w:val="left" w:pos="1605"/>
              </w:tabs>
              <w:spacing w:after="0"/>
              <w:jc w:val="right"/>
              <w:rPr>
                <w:sz w:val="20"/>
                <w:szCs w:val="20"/>
              </w:rPr>
            </w:pPr>
            <w:r w:rsidRPr="00630ED5">
              <w:rPr>
                <w:sz w:val="20"/>
                <w:szCs w:val="20"/>
              </w:rPr>
              <w:t>36</w:t>
            </w:r>
          </w:p>
        </w:tc>
        <w:tc>
          <w:tcPr>
            <w:tcW w:w="0" w:type="auto"/>
            <w:hideMark/>
          </w:tcPr>
          <w:p w14:paraId="3F9345B8" w14:textId="717C9381" w:rsidR="00630ED5" w:rsidRPr="00630ED5" w:rsidRDefault="00630ED5" w:rsidP="00630ED5">
            <w:pPr>
              <w:tabs>
                <w:tab w:val="left" w:pos="1605"/>
              </w:tabs>
              <w:spacing w:after="0"/>
              <w:jc w:val="right"/>
              <w:rPr>
                <w:sz w:val="20"/>
                <w:szCs w:val="20"/>
              </w:rPr>
            </w:pPr>
            <w:r w:rsidRPr="00630ED5">
              <w:rPr>
                <w:sz w:val="20"/>
                <w:szCs w:val="20"/>
              </w:rPr>
              <w:t>67</w:t>
            </w:r>
          </w:p>
        </w:tc>
        <w:tc>
          <w:tcPr>
            <w:tcW w:w="0" w:type="auto"/>
            <w:hideMark/>
          </w:tcPr>
          <w:p w14:paraId="0FE689AD" w14:textId="77777777" w:rsidR="00630ED5" w:rsidRPr="00630ED5" w:rsidRDefault="00630ED5" w:rsidP="00630ED5">
            <w:pPr>
              <w:tabs>
                <w:tab w:val="left" w:pos="1605"/>
              </w:tabs>
              <w:spacing w:after="0"/>
              <w:jc w:val="right"/>
              <w:rPr>
                <w:sz w:val="20"/>
                <w:szCs w:val="20"/>
              </w:rPr>
            </w:pPr>
            <w:r w:rsidRPr="00630ED5">
              <w:rPr>
                <w:sz w:val="20"/>
                <w:szCs w:val="20"/>
              </w:rPr>
              <w:t>22</w:t>
            </w:r>
          </w:p>
        </w:tc>
        <w:tc>
          <w:tcPr>
            <w:tcW w:w="0" w:type="auto"/>
            <w:hideMark/>
          </w:tcPr>
          <w:p w14:paraId="1A3C5F8E" w14:textId="77777777" w:rsidR="00630ED5" w:rsidRPr="00630ED5" w:rsidRDefault="00630ED5" w:rsidP="00630ED5">
            <w:pPr>
              <w:tabs>
                <w:tab w:val="left" w:pos="1605"/>
              </w:tabs>
              <w:spacing w:after="0"/>
              <w:jc w:val="right"/>
              <w:rPr>
                <w:sz w:val="20"/>
                <w:szCs w:val="20"/>
              </w:rPr>
            </w:pPr>
            <w:r w:rsidRPr="00630ED5">
              <w:rPr>
                <w:sz w:val="20"/>
                <w:szCs w:val="20"/>
              </w:rPr>
              <w:t>14</w:t>
            </w:r>
          </w:p>
        </w:tc>
        <w:tc>
          <w:tcPr>
            <w:tcW w:w="0" w:type="auto"/>
            <w:hideMark/>
          </w:tcPr>
          <w:p w14:paraId="192A9CC9" w14:textId="77777777" w:rsidR="00630ED5" w:rsidRPr="00630ED5" w:rsidRDefault="00630ED5" w:rsidP="00630ED5">
            <w:pPr>
              <w:tabs>
                <w:tab w:val="left" w:pos="1605"/>
              </w:tabs>
              <w:spacing w:after="0"/>
              <w:jc w:val="right"/>
              <w:rPr>
                <w:sz w:val="20"/>
                <w:szCs w:val="20"/>
              </w:rPr>
            </w:pPr>
            <w:r w:rsidRPr="00630ED5">
              <w:rPr>
                <w:sz w:val="20"/>
                <w:szCs w:val="20"/>
              </w:rPr>
              <w:t>36</w:t>
            </w:r>
          </w:p>
        </w:tc>
        <w:tc>
          <w:tcPr>
            <w:tcW w:w="0" w:type="auto"/>
            <w:hideMark/>
          </w:tcPr>
          <w:p w14:paraId="12CD8877" w14:textId="77777777" w:rsidR="00630ED5" w:rsidRPr="00630ED5" w:rsidRDefault="00630ED5" w:rsidP="00630ED5">
            <w:pPr>
              <w:tabs>
                <w:tab w:val="left" w:pos="1605"/>
              </w:tabs>
              <w:spacing w:after="0"/>
              <w:jc w:val="right"/>
              <w:rPr>
                <w:sz w:val="20"/>
                <w:szCs w:val="20"/>
              </w:rPr>
            </w:pPr>
            <w:r w:rsidRPr="00630ED5">
              <w:rPr>
                <w:sz w:val="20"/>
                <w:szCs w:val="20"/>
              </w:rPr>
              <w:t>0</w:t>
            </w:r>
          </w:p>
        </w:tc>
        <w:tc>
          <w:tcPr>
            <w:tcW w:w="0" w:type="auto"/>
            <w:hideMark/>
          </w:tcPr>
          <w:p w14:paraId="71F8EE9B" w14:textId="77777777" w:rsidR="00630ED5" w:rsidRPr="00630ED5" w:rsidRDefault="00630ED5" w:rsidP="00630ED5">
            <w:pPr>
              <w:tabs>
                <w:tab w:val="left" w:pos="1605"/>
              </w:tabs>
              <w:spacing w:after="0"/>
              <w:jc w:val="right"/>
              <w:rPr>
                <w:sz w:val="20"/>
                <w:szCs w:val="20"/>
              </w:rPr>
            </w:pPr>
            <w:r w:rsidRPr="00630ED5">
              <w:rPr>
                <w:sz w:val="20"/>
                <w:szCs w:val="20"/>
              </w:rPr>
              <w:t>0</w:t>
            </w:r>
          </w:p>
        </w:tc>
        <w:tc>
          <w:tcPr>
            <w:tcW w:w="0" w:type="auto"/>
            <w:hideMark/>
          </w:tcPr>
          <w:p w14:paraId="75E6A50B" w14:textId="77777777" w:rsidR="00630ED5" w:rsidRPr="00630ED5" w:rsidRDefault="00630ED5" w:rsidP="00630ED5">
            <w:pPr>
              <w:tabs>
                <w:tab w:val="left" w:pos="1605"/>
              </w:tabs>
              <w:spacing w:after="0"/>
              <w:jc w:val="right"/>
              <w:rPr>
                <w:sz w:val="20"/>
                <w:szCs w:val="20"/>
              </w:rPr>
            </w:pPr>
            <w:r w:rsidRPr="00630ED5">
              <w:rPr>
                <w:sz w:val="20"/>
                <w:szCs w:val="20"/>
              </w:rPr>
              <w:t>0</w:t>
            </w:r>
          </w:p>
        </w:tc>
      </w:tr>
      <w:tr w:rsidR="00226C43" w:rsidRPr="00226C43" w14:paraId="34F69A08" w14:textId="77777777" w:rsidTr="006440A0">
        <w:trPr>
          <w:jc w:val="center"/>
        </w:trPr>
        <w:tc>
          <w:tcPr>
            <w:tcW w:w="0" w:type="auto"/>
            <w:hideMark/>
          </w:tcPr>
          <w:p w14:paraId="10F35147" w14:textId="180B1712" w:rsidR="00630ED5" w:rsidRPr="00630ED5" w:rsidRDefault="00630ED5" w:rsidP="00630ED5">
            <w:pPr>
              <w:tabs>
                <w:tab w:val="left" w:pos="1605"/>
              </w:tabs>
              <w:spacing w:after="0"/>
              <w:rPr>
                <w:sz w:val="20"/>
                <w:szCs w:val="20"/>
              </w:rPr>
            </w:pPr>
            <w:r w:rsidRPr="00630ED5">
              <w:rPr>
                <w:sz w:val="20"/>
                <w:szCs w:val="20"/>
              </w:rPr>
              <w:t>Short</w:t>
            </w:r>
            <w:r w:rsidRPr="00226C43">
              <w:rPr>
                <w:sz w:val="20"/>
                <w:szCs w:val="20"/>
              </w:rPr>
              <w:t xml:space="preserve"> </w:t>
            </w:r>
            <w:r w:rsidRPr="00630ED5">
              <w:rPr>
                <w:sz w:val="20"/>
                <w:szCs w:val="20"/>
              </w:rPr>
              <w:t>Course</w:t>
            </w:r>
          </w:p>
        </w:tc>
        <w:tc>
          <w:tcPr>
            <w:tcW w:w="0" w:type="auto"/>
            <w:hideMark/>
          </w:tcPr>
          <w:p w14:paraId="6181CAC9" w14:textId="77777777" w:rsidR="00630ED5" w:rsidRPr="00630ED5" w:rsidRDefault="00630ED5" w:rsidP="00630ED5">
            <w:pPr>
              <w:tabs>
                <w:tab w:val="left" w:pos="1605"/>
              </w:tabs>
              <w:spacing w:after="0"/>
              <w:jc w:val="right"/>
              <w:rPr>
                <w:sz w:val="20"/>
                <w:szCs w:val="20"/>
              </w:rPr>
            </w:pPr>
            <w:r w:rsidRPr="00630ED5">
              <w:rPr>
                <w:sz w:val="20"/>
                <w:szCs w:val="20"/>
              </w:rPr>
              <w:t>1,223</w:t>
            </w:r>
          </w:p>
        </w:tc>
        <w:tc>
          <w:tcPr>
            <w:tcW w:w="0" w:type="auto"/>
            <w:hideMark/>
          </w:tcPr>
          <w:p w14:paraId="4B4D717D" w14:textId="77777777" w:rsidR="00630ED5" w:rsidRPr="00630ED5" w:rsidRDefault="00630ED5" w:rsidP="00630ED5">
            <w:pPr>
              <w:tabs>
                <w:tab w:val="left" w:pos="1605"/>
              </w:tabs>
              <w:spacing w:after="0"/>
              <w:jc w:val="right"/>
              <w:rPr>
                <w:sz w:val="20"/>
                <w:szCs w:val="20"/>
              </w:rPr>
            </w:pPr>
            <w:r w:rsidRPr="00630ED5">
              <w:rPr>
                <w:sz w:val="20"/>
                <w:szCs w:val="20"/>
              </w:rPr>
              <w:t>857</w:t>
            </w:r>
          </w:p>
        </w:tc>
        <w:tc>
          <w:tcPr>
            <w:tcW w:w="0" w:type="auto"/>
            <w:hideMark/>
          </w:tcPr>
          <w:p w14:paraId="75079489" w14:textId="77777777" w:rsidR="00630ED5" w:rsidRPr="00630ED5" w:rsidRDefault="00630ED5" w:rsidP="00630ED5">
            <w:pPr>
              <w:tabs>
                <w:tab w:val="left" w:pos="1605"/>
              </w:tabs>
              <w:spacing w:after="0"/>
              <w:jc w:val="right"/>
              <w:rPr>
                <w:sz w:val="20"/>
                <w:szCs w:val="20"/>
              </w:rPr>
            </w:pPr>
            <w:r w:rsidRPr="00630ED5">
              <w:rPr>
                <w:sz w:val="20"/>
                <w:szCs w:val="20"/>
              </w:rPr>
              <w:t>2,080</w:t>
            </w:r>
          </w:p>
        </w:tc>
        <w:tc>
          <w:tcPr>
            <w:tcW w:w="0" w:type="auto"/>
            <w:hideMark/>
          </w:tcPr>
          <w:p w14:paraId="3EDA3A97" w14:textId="5333A6C9" w:rsidR="00630ED5" w:rsidRPr="00630ED5" w:rsidRDefault="00630ED5" w:rsidP="00630ED5">
            <w:pPr>
              <w:tabs>
                <w:tab w:val="left" w:pos="1605"/>
              </w:tabs>
              <w:spacing w:after="0"/>
              <w:jc w:val="right"/>
              <w:rPr>
                <w:sz w:val="20"/>
                <w:szCs w:val="20"/>
              </w:rPr>
            </w:pPr>
            <w:r w:rsidRPr="00630ED5">
              <w:rPr>
                <w:sz w:val="20"/>
                <w:szCs w:val="20"/>
              </w:rPr>
              <w:t>59</w:t>
            </w:r>
          </w:p>
        </w:tc>
        <w:tc>
          <w:tcPr>
            <w:tcW w:w="0" w:type="auto"/>
            <w:hideMark/>
          </w:tcPr>
          <w:p w14:paraId="55067F35" w14:textId="77777777" w:rsidR="00630ED5" w:rsidRPr="00630ED5" w:rsidRDefault="00630ED5" w:rsidP="00630ED5">
            <w:pPr>
              <w:tabs>
                <w:tab w:val="left" w:pos="1605"/>
              </w:tabs>
              <w:spacing w:after="0"/>
              <w:jc w:val="right"/>
              <w:rPr>
                <w:sz w:val="20"/>
                <w:szCs w:val="20"/>
              </w:rPr>
            </w:pPr>
            <w:r w:rsidRPr="00630ED5">
              <w:rPr>
                <w:sz w:val="20"/>
                <w:szCs w:val="20"/>
              </w:rPr>
              <w:t>16</w:t>
            </w:r>
          </w:p>
        </w:tc>
        <w:tc>
          <w:tcPr>
            <w:tcW w:w="0" w:type="auto"/>
            <w:hideMark/>
          </w:tcPr>
          <w:p w14:paraId="754AF19D" w14:textId="77777777" w:rsidR="00630ED5" w:rsidRPr="00630ED5" w:rsidRDefault="00630ED5" w:rsidP="00630ED5">
            <w:pPr>
              <w:tabs>
                <w:tab w:val="left" w:pos="1605"/>
              </w:tabs>
              <w:spacing w:after="0"/>
              <w:jc w:val="right"/>
              <w:rPr>
                <w:sz w:val="20"/>
                <w:szCs w:val="20"/>
              </w:rPr>
            </w:pPr>
            <w:r w:rsidRPr="00630ED5">
              <w:rPr>
                <w:sz w:val="20"/>
                <w:szCs w:val="20"/>
              </w:rPr>
              <w:t>9</w:t>
            </w:r>
          </w:p>
        </w:tc>
        <w:tc>
          <w:tcPr>
            <w:tcW w:w="0" w:type="auto"/>
            <w:hideMark/>
          </w:tcPr>
          <w:p w14:paraId="5723FA50" w14:textId="77777777" w:rsidR="00630ED5" w:rsidRPr="00630ED5" w:rsidRDefault="00630ED5" w:rsidP="00630ED5">
            <w:pPr>
              <w:tabs>
                <w:tab w:val="left" w:pos="1605"/>
              </w:tabs>
              <w:spacing w:after="0"/>
              <w:jc w:val="right"/>
              <w:rPr>
                <w:sz w:val="20"/>
                <w:szCs w:val="20"/>
              </w:rPr>
            </w:pPr>
            <w:r w:rsidRPr="00630ED5">
              <w:rPr>
                <w:sz w:val="20"/>
                <w:szCs w:val="20"/>
              </w:rPr>
              <w:t>25</w:t>
            </w:r>
          </w:p>
        </w:tc>
        <w:tc>
          <w:tcPr>
            <w:tcW w:w="0" w:type="auto"/>
            <w:hideMark/>
          </w:tcPr>
          <w:p w14:paraId="1A46A6A8" w14:textId="77777777" w:rsidR="00630ED5" w:rsidRPr="00630ED5" w:rsidRDefault="00630ED5" w:rsidP="00630ED5">
            <w:pPr>
              <w:tabs>
                <w:tab w:val="left" w:pos="1605"/>
              </w:tabs>
              <w:spacing w:after="0"/>
              <w:jc w:val="right"/>
              <w:rPr>
                <w:sz w:val="20"/>
                <w:szCs w:val="20"/>
              </w:rPr>
            </w:pPr>
            <w:r w:rsidRPr="00630ED5">
              <w:rPr>
                <w:sz w:val="20"/>
                <w:szCs w:val="20"/>
              </w:rPr>
              <w:t>16</w:t>
            </w:r>
          </w:p>
        </w:tc>
        <w:tc>
          <w:tcPr>
            <w:tcW w:w="0" w:type="auto"/>
            <w:hideMark/>
          </w:tcPr>
          <w:p w14:paraId="23743B79" w14:textId="77777777" w:rsidR="00630ED5" w:rsidRPr="00630ED5" w:rsidRDefault="00630ED5" w:rsidP="00630ED5">
            <w:pPr>
              <w:tabs>
                <w:tab w:val="left" w:pos="1605"/>
              </w:tabs>
              <w:spacing w:after="0"/>
              <w:jc w:val="right"/>
              <w:rPr>
                <w:sz w:val="20"/>
                <w:szCs w:val="20"/>
              </w:rPr>
            </w:pPr>
            <w:r w:rsidRPr="00630ED5">
              <w:rPr>
                <w:sz w:val="20"/>
                <w:szCs w:val="20"/>
              </w:rPr>
              <w:t>24</w:t>
            </w:r>
          </w:p>
        </w:tc>
        <w:tc>
          <w:tcPr>
            <w:tcW w:w="0" w:type="auto"/>
            <w:hideMark/>
          </w:tcPr>
          <w:p w14:paraId="3D1A4C87" w14:textId="77777777" w:rsidR="00630ED5" w:rsidRPr="00630ED5" w:rsidRDefault="00630ED5" w:rsidP="00630ED5">
            <w:pPr>
              <w:tabs>
                <w:tab w:val="left" w:pos="1605"/>
              </w:tabs>
              <w:spacing w:after="0"/>
              <w:jc w:val="right"/>
              <w:rPr>
                <w:sz w:val="20"/>
                <w:szCs w:val="20"/>
              </w:rPr>
            </w:pPr>
            <w:r w:rsidRPr="00630ED5">
              <w:rPr>
                <w:sz w:val="20"/>
                <w:szCs w:val="20"/>
              </w:rPr>
              <w:t>40</w:t>
            </w:r>
          </w:p>
        </w:tc>
      </w:tr>
      <w:tr w:rsidR="00226C43" w:rsidRPr="00226C43" w14:paraId="7F15647C" w14:textId="77777777" w:rsidTr="006440A0">
        <w:trPr>
          <w:jc w:val="center"/>
        </w:trPr>
        <w:tc>
          <w:tcPr>
            <w:tcW w:w="0" w:type="auto"/>
            <w:hideMark/>
          </w:tcPr>
          <w:p w14:paraId="737FE737" w14:textId="77777777" w:rsidR="00630ED5" w:rsidRPr="00630ED5" w:rsidRDefault="00630ED5" w:rsidP="00630ED5">
            <w:pPr>
              <w:tabs>
                <w:tab w:val="left" w:pos="1605"/>
              </w:tabs>
              <w:spacing w:after="0"/>
              <w:rPr>
                <w:sz w:val="20"/>
                <w:szCs w:val="20"/>
              </w:rPr>
            </w:pPr>
            <w:r w:rsidRPr="00630ED5">
              <w:rPr>
                <w:b/>
                <w:bCs/>
                <w:sz w:val="20"/>
                <w:szCs w:val="20"/>
              </w:rPr>
              <w:t>Total</w:t>
            </w:r>
          </w:p>
        </w:tc>
        <w:tc>
          <w:tcPr>
            <w:tcW w:w="0" w:type="auto"/>
            <w:hideMark/>
          </w:tcPr>
          <w:p w14:paraId="0CD61FAC" w14:textId="77777777" w:rsidR="00630ED5" w:rsidRPr="00630ED5" w:rsidRDefault="00630ED5" w:rsidP="00630ED5">
            <w:pPr>
              <w:tabs>
                <w:tab w:val="left" w:pos="1605"/>
              </w:tabs>
              <w:spacing w:after="0"/>
              <w:jc w:val="right"/>
              <w:rPr>
                <w:sz w:val="20"/>
                <w:szCs w:val="20"/>
              </w:rPr>
            </w:pPr>
            <w:r w:rsidRPr="00630ED5">
              <w:rPr>
                <w:b/>
                <w:bCs/>
                <w:sz w:val="20"/>
                <w:szCs w:val="20"/>
              </w:rPr>
              <w:t>1,563</w:t>
            </w:r>
          </w:p>
        </w:tc>
        <w:tc>
          <w:tcPr>
            <w:tcW w:w="0" w:type="auto"/>
            <w:hideMark/>
          </w:tcPr>
          <w:p w14:paraId="0D89B22D" w14:textId="77777777" w:rsidR="00630ED5" w:rsidRPr="00630ED5" w:rsidRDefault="00630ED5" w:rsidP="00630ED5">
            <w:pPr>
              <w:tabs>
                <w:tab w:val="left" w:pos="1605"/>
              </w:tabs>
              <w:spacing w:after="0"/>
              <w:jc w:val="right"/>
              <w:rPr>
                <w:sz w:val="20"/>
                <w:szCs w:val="20"/>
              </w:rPr>
            </w:pPr>
            <w:r w:rsidRPr="00630ED5">
              <w:rPr>
                <w:b/>
                <w:bCs/>
                <w:sz w:val="20"/>
                <w:szCs w:val="20"/>
              </w:rPr>
              <w:t>1,101</w:t>
            </w:r>
          </w:p>
        </w:tc>
        <w:tc>
          <w:tcPr>
            <w:tcW w:w="0" w:type="auto"/>
            <w:hideMark/>
          </w:tcPr>
          <w:p w14:paraId="76850DA9" w14:textId="77777777" w:rsidR="00630ED5" w:rsidRPr="00630ED5" w:rsidRDefault="00630ED5" w:rsidP="00630ED5">
            <w:pPr>
              <w:tabs>
                <w:tab w:val="left" w:pos="1605"/>
              </w:tabs>
              <w:spacing w:after="0"/>
              <w:jc w:val="right"/>
              <w:rPr>
                <w:sz w:val="20"/>
                <w:szCs w:val="20"/>
              </w:rPr>
            </w:pPr>
            <w:r w:rsidRPr="00630ED5">
              <w:rPr>
                <w:b/>
                <w:bCs/>
                <w:sz w:val="20"/>
                <w:szCs w:val="20"/>
              </w:rPr>
              <w:t>2,664</w:t>
            </w:r>
          </w:p>
        </w:tc>
        <w:tc>
          <w:tcPr>
            <w:tcW w:w="0" w:type="auto"/>
            <w:hideMark/>
          </w:tcPr>
          <w:p w14:paraId="6969F7C4" w14:textId="7F924EA6" w:rsidR="00630ED5" w:rsidRPr="00630ED5" w:rsidRDefault="00630ED5" w:rsidP="00630ED5">
            <w:pPr>
              <w:tabs>
                <w:tab w:val="left" w:pos="1605"/>
              </w:tabs>
              <w:spacing w:after="0"/>
              <w:jc w:val="right"/>
              <w:rPr>
                <w:sz w:val="20"/>
                <w:szCs w:val="20"/>
              </w:rPr>
            </w:pPr>
            <w:r w:rsidRPr="00630ED5">
              <w:rPr>
                <w:b/>
                <w:bCs/>
                <w:sz w:val="20"/>
                <w:szCs w:val="20"/>
              </w:rPr>
              <w:t>59</w:t>
            </w:r>
          </w:p>
        </w:tc>
        <w:tc>
          <w:tcPr>
            <w:tcW w:w="0" w:type="auto"/>
            <w:hideMark/>
          </w:tcPr>
          <w:p w14:paraId="2152FF49" w14:textId="77777777" w:rsidR="00630ED5" w:rsidRPr="00630ED5" w:rsidRDefault="00630ED5" w:rsidP="00630ED5">
            <w:pPr>
              <w:tabs>
                <w:tab w:val="left" w:pos="1605"/>
              </w:tabs>
              <w:spacing w:after="0"/>
              <w:jc w:val="right"/>
              <w:rPr>
                <w:sz w:val="20"/>
                <w:szCs w:val="20"/>
              </w:rPr>
            </w:pPr>
            <w:r w:rsidRPr="00630ED5">
              <w:rPr>
                <w:b/>
                <w:bCs/>
                <w:sz w:val="20"/>
                <w:szCs w:val="20"/>
              </w:rPr>
              <w:t>48</w:t>
            </w:r>
          </w:p>
        </w:tc>
        <w:tc>
          <w:tcPr>
            <w:tcW w:w="0" w:type="auto"/>
            <w:hideMark/>
          </w:tcPr>
          <w:p w14:paraId="08184846" w14:textId="77777777" w:rsidR="00630ED5" w:rsidRPr="00630ED5" w:rsidRDefault="00630ED5" w:rsidP="00630ED5">
            <w:pPr>
              <w:tabs>
                <w:tab w:val="left" w:pos="1605"/>
              </w:tabs>
              <w:spacing w:after="0"/>
              <w:jc w:val="right"/>
              <w:rPr>
                <w:sz w:val="20"/>
                <w:szCs w:val="20"/>
              </w:rPr>
            </w:pPr>
            <w:r w:rsidRPr="00630ED5">
              <w:rPr>
                <w:b/>
                <w:bCs/>
                <w:sz w:val="20"/>
                <w:szCs w:val="20"/>
              </w:rPr>
              <w:t>32</w:t>
            </w:r>
          </w:p>
        </w:tc>
        <w:tc>
          <w:tcPr>
            <w:tcW w:w="0" w:type="auto"/>
            <w:hideMark/>
          </w:tcPr>
          <w:p w14:paraId="2699541D" w14:textId="77777777" w:rsidR="00630ED5" w:rsidRPr="00630ED5" w:rsidRDefault="00630ED5" w:rsidP="00630ED5">
            <w:pPr>
              <w:tabs>
                <w:tab w:val="left" w:pos="1605"/>
              </w:tabs>
              <w:spacing w:after="0"/>
              <w:jc w:val="right"/>
              <w:rPr>
                <w:sz w:val="20"/>
                <w:szCs w:val="20"/>
              </w:rPr>
            </w:pPr>
            <w:r w:rsidRPr="00630ED5">
              <w:rPr>
                <w:b/>
                <w:bCs/>
                <w:sz w:val="20"/>
                <w:szCs w:val="20"/>
              </w:rPr>
              <w:t>80</w:t>
            </w:r>
          </w:p>
        </w:tc>
        <w:tc>
          <w:tcPr>
            <w:tcW w:w="0" w:type="auto"/>
            <w:hideMark/>
          </w:tcPr>
          <w:p w14:paraId="633C963A" w14:textId="77777777" w:rsidR="00630ED5" w:rsidRPr="00630ED5" w:rsidRDefault="00630ED5" w:rsidP="00630ED5">
            <w:pPr>
              <w:tabs>
                <w:tab w:val="left" w:pos="1605"/>
              </w:tabs>
              <w:spacing w:after="0"/>
              <w:jc w:val="right"/>
              <w:rPr>
                <w:sz w:val="20"/>
                <w:szCs w:val="20"/>
              </w:rPr>
            </w:pPr>
            <w:r w:rsidRPr="00630ED5">
              <w:rPr>
                <w:b/>
                <w:bCs/>
                <w:sz w:val="20"/>
                <w:szCs w:val="20"/>
              </w:rPr>
              <w:t>22</w:t>
            </w:r>
          </w:p>
        </w:tc>
        <w:tc>
          <w:tcPr>
            <w:tcW w:w="0" w:type="auto"/>
            <w:hideMark/>
          </w:tcPr>
          <w:p w14:paraId="265C2A08" w14:textId="77777777" w:rsidR="00630ED5" w:rsidRPr="00630ED5" w:rsidRDefault="00630ED5" w:rsidP="00630ED5">
            <w:pPr>
              <w:tabs>
                <w:tab w:val="left" w:pos="1605"/>
              </w:tabs>
              <w:spacing w:after="0"/>
              <w:jc w:val="right"/>
              <w:rPr>
                <w:sz w:val="20"/>
                <w:szCs w:val="20"/>
              </w:rPr>
            </w:pPr>
            <w:r w:rsidRPr="00630ED5">
              <w:rPr>
                <w:b/>
                <w:bCs/>
                <w:sz w:val="20"/>
                <w:szCs w:val="20"/>
              </w:rPr>
              <w:t>31</w:t>
            </w:r>
          </w:p>
        </w:tc>
        <w:tc>
          <w:tcPr>
            <w:tcW w:w="0" w:type="auto"/>
            <w:hideMark/>
          </w:tcPr>
          <w:p w14:paraId="38C52B28" w14:textId="77777777" w:rsidR="00630ED5" w:rsidRPr="00630ED5" w:rsidRDefault="00630ED5" w:rsidP="00630ED5">
            <w:pPr>
              <w:tabs>
                <w:tab w:val="left" w:pos="1605"/>
              </w:tabs>
              <w:spacing w:after="0"/>
              <w:jc w:val="right"/>
              <w:rPr>
                <w:sz w:val="20"/>
                <w:szCs w:val="20"/>
              </w:rPr>
            </w:pPr>
            <w:r w:rsidRPr="00630ED5">
              <w:rPr>
                <w:b/>
                <w:bCs/>
                <w:sz w:val="20"/>
                <w:szCs w:val="20"/>
              </w:rPr>
              <w:t>53</w:t>
            </w:r>
          </w:p>
        </w:tc>
      </w:tr>
    </w:tbl>
    <w:p w14:paraId="08060100" w14:textId="77777777" w:rsidR="006440A0" w:rsidRDefault="006440A0" w:rsidP="00511F8A">
      <w:pPr>
        <w:pStyle w:val="Quote"/>
        <w:spacing w:before="0"/>
        <w:rPr>
          <w:color w:val="auto"/>
        </w:rPr>
      </w:pPr>
    </w:p>
    <w:p w14:paraId="63B125FA" w14:textId="4D13B4A5" w:rsidR="005F28B8" w:rsidRPr="00226C43" w:rsidRDefault="006440C2" w:rsidP="00511F8A">
      <w:pPr>
        <w:pStyle w:val="Quote"/>
        <w:spacing w:before="0"/>
        <w:rPr>
          <w:color w:val="auto"/>
        </w:rPr>
      </w:pPr>
      <w:r w:rsidRPr="00226C43">
        <w:rPr>
          <w:color w:val="auto"/>
        </w:rPr>
        <w:t>‘</w:t>
      </w:r>
      <w:r w:rsidR="4DD21A85" w:rsidRPr="00226C43">
        <w:rPr>
          <w:color w:val="auto"/>
        </w:rPr>
        <w:t>Visa processing delays were a major issue, but the support from the Australian Embassy helped mitigate these challenges.</w:t>
      </w:r>
      <w:r w:rsidRPr="00226C43">
        <w:rPr>
          <w:color w:val="auto"/>
        </w:rPr>
        <w:t>’</w:t>
      </w:r>
      <w:r w:rsidR="008750BF" w:rsidRPr="00226C43">
        <w:rPr>
          <w:color w:val="auto"/>
        </w:rPr>
        <w:t xml:space="preserve"> R2.</w:t>
      </w:r>
    </w:p>
    <w:p w14:paraId="14E20084" w14:textId="1A375023" w:rsidR="006456DE" w:rsidRPr="00226C43" w:rsidRDefault="4DD21A85" w:rsidP="004028A4">
      <w:pPr>
        <w:spacing w:after="0"/>
      </w:pPr>
      <w:r w:rsidRPr="00226C43">
        <w:t xml:space="preserve">The COVID-19 pandemic presented significant challenges for the program, particularly for </w:t>
      </w:r>
      <w:r w:rsidR="7A545B10" w:rsidRPr="00226C43">
        <w:t>AAS</w:t>
      </w:r>
      <w:r w:rsidRPr="00226C43">
        <w:t xml:space="preserve"> and for delivery of fellowships and Australian elements of </w:t>
      </w:r>
      <w:r w:rsidR="7AB24D62" w:rsidRPr="00226C43">
        <w:t>Short Course Awards (</w:t>
      </w:r>
      <w:r w:rsidRPr="00226C43">
        <w:t>SCAs</w:t>
      </w:r>
      <w:r w:rsidR="7AB24D62" w:rsidRPr="00226C43">
        <w:t>).</w:t>
      </w:r>
      <w:r w:rsidRPr="00226C43">
        <w:t xml:space="preserve"> The program responded by implementing several adjustments to ensure the continuity of its programs and activities while adhering to public health protocols. Key measures included:</w:t>
      </w:r>
    </w:p>
    <w:p w14:paraId="46704DE5" w14:textId="65397002" w:rsidR="006456DE" w:rsidRPr="00226C43" w:rsidRDefault="4DD21A85" w:rsidP="00925CC1">
      <w:pPr>
        <w:pStyle w:val="ListParagraph"/>
        <w:numPr>
          <w:ilvl w:val="0"/>
          <w:numId w:val="34"/>
        </w:numPr>
        <w:tabs>
          <w:tab w:val="num" w:pos="1440"/>
        </w:tabs>
        <w:spacing w:after="0"/>
        <w:ind w:left="284" w:hanging="284"/>
      </w:pPr>
      <w:r w:rsidRPr="00226C43">
        <w:rPr>
          <w:b/>
          <w:bCs/>
          <w:i/>
          <w:iCs/>
        </w:rPr>
        <w:t>Online Platforms</w:t>
      </w:r>
      <w:r w:rsidRPr="00226C43">
        <w:t>: this ensured that learning and development opportunities continued despite mobility restrictions. Online tools and technologies were used to deliver capacity-building initiatives and alumni engagement activities.</w:t>
      </w:r>
    </w:p>
    <w:p w14:paraId="2D4F7252" w14:textId="13657F23" w:rsidR="006456DE" w:rsidRPr="00226C43" w:rsidRDefault="4DD21A85" w:rsidP="00925CC1">
      <w:pPr>
        <w:pStyle w:val="ListParagraph"/>
        <w:numPr>
          <w:ilvl w:val="0"/>
          <w:numId w:val="34"/>
        </w:numPr>
        <w:tabs>
          <w:tab w:val="num" w:pos="1440"/>
        </w:tabs>
        <w:spacing w:before="240" w:after="0"/>
        <w:ind w:left="284" w:hanging="284"/>
      </w:pPr>
      <w:r w:rsidRPr="00226C43">
        <w:rPr>
          <w:b/>
          <w:bCs/>
          <w:i/>
          <w:iCs/>
        </w:rPr>
        <w:t>Enhanced Digital Infrastructure</w:t>
      </w:r>
      <w:r w:rsidRPr="00226C43">
        <w:t>: enhanced digital infrastructure and provision of technical support to participants facilitated online learning and engagement. Accessibility issues were addressed to ensure inclusivity in digital programs, particularly for individuals with limited internet access or technological resources.</w:t>
      </w:r>
    </w:p>
    <w:p w14:paraId="211C7001" w14:textId="7D3AA988" w:rsidR="006456DE" w:rsidRPr="00226C43" w:rsidRDefault="4DD21A85" w:rsidP="00925CC1">
      <w:pPr>
        <w:pStyle w:val="ListParagraph"/>
        <w:numPr>
          <w:ilvl w:val="0"/>
          <w:numId w:val="34"/>
        </w:numPr>
        <w:tabs>
          <w:tab w:val="num" w:pos="1440"/>
        </w:tabs>
        <w:spacing w:before="240" w:after="0"/>
        <w:ind w:left="284" w:hanging="284"/>
      </w:pPr>
      <w:r w:rsidRPr="00226C43">
        <w:rPr>
          <w:b/>
          <w:bCs/>
          <w:i/>
          <w:iCs/>
        </w:rPr>
        <w:t>Flexible Program Design</w:t>
      </w:r>
      <w:r w:rsidRPr="00226C43">
        <w:t>: Courses were adapted to shorter, modular formats to accommodate the challenges of remote learning and participants’ varying availability. Schedules were adjusted and flexible timelines were introduced to account for disruptions in participants’ professional and personal lives.</w:t>
      </w:r>
    </w:p>
    <w:p w14:paraId="0A3B6A53" w14:textId="055942D2" w:rsidR="006456DE" w:rsidRPr="00226C43" w:rsidRDefault="4DD21A85" w:rsidP="00925CC1">
      <w:pPr>
        <w:pStyle w:val="ListParagraph"/>
        <w:numPr>
          <w:ilvl w:val="0"/>
          <w:numId w:val="34"/>
        </w:numPr>
        <w:tabs>
          <w:tab w:val="num" w:pos="1440"/>
        </w:tabs>
        <w:spacing w:before="240" w:after="0" w:line="259" w:lineRule="auto"/>
        <w:ind w:left="284" w:hanging="284"/>
      </w:pPr>
      <w:r w:rsidRPr="00226C43">
        <w:rPr>
          <w:b/>
          <w:bCs/>
          <w:i/>
          <w:iCs/>
        </w:rPr>
        <w:t xml:space="preserve">Strengthened </w:t>
      </w:r>
      <w:r w:rsidR="351C9E31" w:rsidRPr="00226C43">
        <w:rPr>
          <w:b/>
          <w:bCs/>
          <w:i/>
          <w:iCs/>
        </w:rPr>
        <w:t>MEL</w:t>
      </w:r>
      <w:r w:rsidR="351C9E31" w:rsidRPr="00226C43">
        <w:rPr>
          <w:i/>
          <w:iCs/>
        </w:rPr>
        <w:t>:</w:t>
      </w:r>
      <w:r w:rsidR="351C9E31" w:rsidRPr="00226C43">
        <w:t xml:space="preserve"> MEL</w:t>
      </w:r>
      <w:r w:rsidRPr="00226C43">
        <w:t xml:space="preserve"> processes were adjusted to track progress and gather feedback on virtual implementations. Surveys and virtual focus group discussions were conducted to understand participants’ experiences and areas for improvement.</w:t>
      </w:r>
    </w:p>
    <w:p w14:paraId="55F28B5E" w14:textId="2BEF97E5" w:rsidR="006456DE" w:rsidRPr="00226C43" w:rsidRDefault="4DD21A85" w:rsidP="00925CC1">
      <w:pPr>
        <w:pStyle w:val="ListParagraph"/>
        <w:numPr>
          <w:ilvl w:val="0"/>
          <w:numId w:val="34"/>
        </w:numPr>
        <w:tabs>
          <w:tab w:val="num" w:pos="1440"/>
        </w:tabs>
        <w:spacing w:before="240" w:after="0"/>
        <w:ind w:left="284" w:hanging="284"/>
      </w:pPr>
      <w:r w:rsidRPr="00226C43">
        <w:rPr>
          <w:b/>
          <w:bCs/>
          <w:i/>
          <w:iCs/>
        </w:rPr>
        <w:t>Support for Scholars and Alumni</w:t>
      </w:r>
      <w:r w:rsidRPr="00226C43">
        <w:t>: Additional support such as mental health resources and peer-support networks were established to address the stresses of the pandemic. Alumni networks were activated to provide mutual support and share strategies for adapting to pandemic-related challenges.</w:t>
      </w:r>
    </w:p>
    <w:p w14:paraId="2DB203DC" w14:textId="21A2E417" w:rsidR="006456DE" w:rsidRPr="00226C43" w:rsidRDefault="4DD21A85" w:rsidP="00925CC1">
      <w:pPr>
        <w:pStyle w:val="ListParagraph"/>
        <w:numPr>
          <w:ilvl w:val="0"/>
          <w:numId w:val="34"/>
        </w:numPr>
        <w:tabs>
          <w:tab w:val="num" w:pos="1440"/>
        </w:tabs>
        <w:spacing w:before="240" w:after="0"/>
        <w:ind w:left="284" w:hanging="284"/>
      </w:pPr>
      <w:r w:rsidRPr="00226C43">
        <w:rPr>
          <w:b/>
          <w:bCs/>
          <w:i/>
          <w:iCs/>
        </w:rPr>
        <w:lastRenderedPageBreak/>
        <w:t>Maintaining Engagement and Communication</w:t>
      </w:r>
      <w:r w:rsidRPr="00226C43">
        <w:t xml:space="preserve">: Regular virtual meetings and events ensured continued engagement with scholars, alumni, and stakeholders. </w:t>
      </w:r>
    </w:p>
    <w:p w14:paraId="4EF9133B" w14:textId="01150D2B" w:rsidR="006456DE" w:rsidRPr="00226C43" w:rsidRDefault="4DD21A85" w:rsidP="00925CC1">
      <w:pPr>
        <w:pStyle w:val="ListParagraph"/>
        <w:numPr>
          <w:ilvl w:val="0"/>
          <w:numId w:val="34"/>
        </w:numPr>
        <w:tabs>
          <w:tab w:val="num" w:pos="1440"/>
        </w:tabs>
        <w:spacing w:before="240" w:after="0"/>
        <w:ind w:left="284" w:hanging="284"/>
      </w:pPr>
      <w:r w:rsidRPr="00226C43">
        <w:rPr>
          <w:b/>
          <w:bCs/>
          <w:i/>
          <w:iCs/>
        </w:rPr>
        <w:t>Integrating Pandemic-Relevant Content</w:t>
      </w:r>
      <w:r w:rsidRPr="00226C43">
        <w:t>: Training and workshops incorporated themes related to pandemic response, resilience, and recovery, ensuring that the program remained relevant to the evolving context.</w:t>
      </w:r>
    </w:p>
    <w:p w14:paraId="2B04F0AD" w14:textId="79044739" w:rsidR="00B52549" w:rsidRPr="00226C43" w:rsidRDefault="4DD21A85" w:rsidP="00511F8A">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Resourcing for emerging priorities/ad hoc requests</w:t>
      </w:r>
    </w:p>
    <w:p w14:paraId="2D7B0CAC" w14:textId="131C4758" w:rsidR="00361422" w:rsidRPr="00226C43" w:rsidRDefault="4DD21A85" w:rsidP="4DD21A85">
      <w:r w:rsidRPr="00226C43">
        <w:t>The AAAEP–P team, though small, has shown remarkable adaptability in responding to emerging priorities and ad hoc requests for support from the Embassy that arose during program implementation. The implementation team was initially contracted to fulfill specific roles based on their position descriptions, with the assumption that their efforts would contribute directly to achieving the program's EOPOs through implementing the annual work plan.</w:t>
      </w:r>
    </w:p>
    <w:p w14:paraId="64A1E4A5" w14:textId="02343171" w:rsidR="00361422" w:rsidRPr="00226C43" w:rsidRDefault="4DD21A85" w:rsidP="4DD21A85">
      <w:r w:rsidRPr="00226C43">
        <w:t>However, the dynamic nature of emerging priorities/ad hoc requests often required the involvement of multiple team members, leading to a necessary shift in focus. While this demonstrates the team’s flexibility and commitment, it has also resulted in delays in meeting some of the annual plan targets, particularly in areas such as REAP monitoring and in providing support to partner organisations—both critical components of the program's success.</w:t>
      </w:r>
    </w:p>
    <w:p w14:paraId="31CD76B1" w14:textId="4EC49887" w:rsidR="00361422" w:rsidRPr="00226C43" w:rsidRDefault="4DD21A85" w:rsidP="4DD21A85">
      <w:r w:rsidRPr="00226C43">
        <w:t>The design-refresh report contained a recommendation to allocate a flexible budget line of 5% to address emerging priorities/ad hoc requests.</w:t>
      </w:r>
      <w:r w:rsidR="0078429F" w:rsidRPr="00226C43">
        <w:t xml:space="preserve"> </w:t>
      </w:r>
      <w:r w:rsidRPr="00226C43">
        <w:t>It appears that this was never implemented. Currently, AAAEP–P engages additional short-term staff or select activities to support emerging priority/ad hoc requests. This is particularly to support administrative and alumni-related work. However, these measures are not sufficient to fully mitigate the strain on core program activities.</w:t>
      </w:r>
      <w:r w:rsidR="0078429F" w:rsidRPr="00226C43">
        <w:t xml:space="preserve"> </w:t>
      </w:r>
      <w:r w:rsidR="00736DD8" w:rsidRPr="00226C43">
        <w:t xml:space="preserve">It is understood that there was resistance to increasing </w:t>
      </w:r>
      <w:r w:rsidR="006D7EF3" w:rsidRPr="00226C43">
        <w:t>staffing for the MC from the Embassy</w:t>
      </w:r>
      <w:r w:rsidR="005F4E93" w:rsidRPr="00226C43">
        <w:t xml:space="preserve"> which considers the program to be well resourced</w:t>
      </w:r>
      <w:r w:rsidR="006D7EF3" w:rsidRPr="00226C43">
        <w:t>.</w:t>
      </w:r>
      <w:r w:rsidR="0078429F" w:rsidRPr="00226C43">
        <w:t xml:space="preserve"> </w:t>
      </w:r>
      <w:r w:rsidR="006D7EF3" w:rsidRPr="00226C43">
        <w:t xml:space="preserve">The current MC is aware that </w:t>
      </w:r>
      <w:r w:rsidR="005F4E93" w:rsidRPr="00226C43">
        <w:t>there are implications for staffing of the current workload.</w:t>
      </w:r>
      <w:r w:rsidR="0078429F" w:rsidRPr="00226C43">
        <w:t xml:space="preserve"> </w:t>
      </w:r>
      <w:r w:rsidR="005F4E93" w:rsidRPr="00226C43">
        <w:t xml:space="preserve">It can be assumed that </w:t>
      </w:r>
      <w:r w:rsidR="00EA336E" w:rsidRPr="00226C43">
        <w:t>a contracted was signed based on a commercial offering of the current staffing complement for implementation of the program.</w:t>
      </w:r>
      <w:r w:rsidR="0078429F" w:rsidRPr="00226C43">
        <w:t xml:space="preserve"> </w:t>
      </w:r>
    </w:p>
    <w:p w14:paraId="0C8E8F99" w14:textId="6B44C00A" w:rsidR="003822FA" w:rsidRPr="00226C43" w:rsidRDefault="00A87289" w:rsidP="00623F17">
      <w:pPr>
        <w:pStyle w:val="Heading5"/>
        <w:rPr>
          <w:rFonts w:asciiTheme="minorHAnsi" w:hAnsiTheme="minorHAnsi"/>
          <w:color w:val="auto"/>
        </w:rPr>
      </w:pPr>
      <w:r w:rsidRPr="00226C43">
        <w:rPr>
          <w:rFonts w:asciiTheme="minorHAnsi" w:hAnsiTheme="minorHAnsi"/>
          <w:color w:val="auto"/>
        </w:rPr>
        <w:t xml:space="preserve">3.2 </w:t>
      </w:r>
      <w:r w:rsidR="4DD21A85" w:rsidRPr="00226C43">
        <w:rPr>
          <w:rFonts w:asciiTheme="minorHAnsi" w:hAnsiTheme="minorHAnsi"/>
          <w:color w:val="auto"/>
        </w:rPr>
        <w:t xml:space="preserve">Were program resources used appropriately/proportionally to the results achieved? </w:t>
      </w:r>
    </w:p>
    <w:p w14:paraId="6512118B" w14:textId="77777777" w:rsidR="003A5C1B" w:rsidRPr="00226C43" w:rsidRDefault="4DD21A85" w:rsidP="4DD21A85">
      <w:r w:rsidRPr="00226C43">
        <w:t xml:space="preserve">Over the 2018–2024 period the program used resources effectively evidenced by the consistent delivery of outputs aligned with DFAT's strategic priorities. The program maintained a lean team structure with staff having strong multi-tasking capabilities and adaptability in response to emerging priorities and challenges such as the COVID-19 pandemic. </w:t>
      </w:r>
    </w:p>
    <w:p w14:paraId="0137F50A" w14:textId="06AFBE56" w:rsidR="003A5C1B" w:rsidRPr="00226C43" w:rsidRDefault="4DD21A85" w:rsidP="4DD21A85">
      <w:pPr>
        <w:rPr>
          <w:highlight w:val="yellow"/>
        </w:rPr>
      </w:pPr>
      <w:r w:rsidRPr="00226C43">
        <w:t>Despite resource constraints and the impact of COVID-19 pandemic, the program delivered high-quality outputs, including scholarship opportunities, short courses, and alumni engagement initiatives.</w:t>
      </w:r>
    </w:p>
    <w:p w14:paraId="32F71E25" w14:textId="07811697" w:rsidR="00ED4E39" w:rsidRPr="00226C43" w:rsidRDefault="00ED4E39" w:rsidP="4DD21A85">
      <w:pPr>
        <w:tabs>
          <w:tab w:val="num" w:pos="1440"/>
        </w:tabs>
      </w:pPr>
      <w:r w:rsidRPr="00226C43">
        <w:t xml:space="preserve">The program’s total agreement value was AUD 15.5 million, with consistent adherence to budget allocations across all reporting years. During 2020, DFAT approved additional resources to handle increased </w:t>
      </w:r>
      <w:r w:rsidRPr="00226C43">
        <w:rPr>
          <w:i/>
          <w:iCs/>
        </w:rPr>
        <w:t>ad hoc</w:t>
      </w:r>
      <w:r w:rsidRPr="00226C43">
        <w:t xml:space="preserve"> activities, reflecting the program’s ability to scale </w:t>
      </w:r>
      <w:r w:rsidRPr="00226C43">
        <w:lastRenderedPageBreak/>
        <w:t xml:space="preserve">effectively </w:t>
      </w:r>
      <w:r w:rsidRPr="00226C43">
        <w:rPr>
          <w:rStyle w:val="FootnoteReference"/>
        </w:rPr>
        <w:footnoteReference w:id="26"/>
      </w:r>
      <w:r w:rsidRPr="00226C43">
        <w:t>.</w:t>
      </w:r>
      <w:r w:rsidR="004222A3" w:rsidRPr="00226C43">
        <w:t xml:space="preserve"> </w:t>
      </w:r>
      <w:r w:rsidRPr="00226C43">
        <w:t>The Program maintained a lean team structure with staff having strong multi-tasking capabilities and adaptability in response to emerging priorities and challenges such as the COVID-19 pandemic. Despite resource constraints and the impact of COVID-19 pandemic, the Program delivered high-quality outputs, including scholarship opportunities, short courses, and alumni engagement initiatives.</w:t>
      </w:r>
    </w:p>
    <w:p w14:paraId="03B4520A" w14:textId="05B30A90" w:rsidR="00ED4E39" w:rsidRPr="00226C43" w:rsidRDefault="4DD21A85" w:rsidP="000031BD">
      <w:r w:rsidRPr="00226C43">
        <w:t xml:space="preserve">In terms of resource appropriateness and efficiency, the </w:t>
      </w:r>
      <w:r w:rsidR="16B99E1E" w:rsidRPr="00226C43">
        <w:t>p</w:t>
      </w:r>
      <w:r w:rsidRPr="00226C43">
        <w:t xml:space="preserve">rogram closely monitored budget allocation, with reports showing that the </w:t>
      </w:r>
      <w:r w:rsidR="16B99E1E" w:rsidRPr="00226C43">
        <w:t>p</w:t>
      </w:r>
      <w:r w:rsidRPr="00226C43">
        <w:t>rogram operated within its budget constraints.</w:t>
      </w:r>
      <w:r w:rsidR="0078429F" w:rsidRPr="00226C43">
        <w:t xml:space="preserve"> </w:t>
      </w:r>
      <w:r w:rsidRPr="00226C43">
        <w:t>Procurement used competitive bidding processes to achieve value for money, aligning with DFAT procurement rules. Innovations, such as electronic event management minimised operational overheads and increased efficiency. The MES also ensured that resources were aligned to activities with measurable outcomes (e.g., addressing partner organisations’ competency gaps).</w:t>
      </w:r>
    </w:p>
    <w:p w14:paraId="37BBF0F9" w14:textId="123E0431" w:rsidR="00ED4E39" w:rsidRPr="00226C43" w:rsidRDefault="4DD21A85" w:rsidP="4DD21A85">
      <w:pPr>
        <w:tabs>
          <w:tab w:val="num" w:pos="1440"/>
        </w:tabs>
      </w:pPr>
      <w:r w:rsidRPr="00226C43">
        <w:t xml:space="preserve">The </w:t>
      </w:r>
      <w:r w:rsidR="16B99E1E" w:rsidRPr="00226C43">
        <w:t>p</w:t>
      </w:r>
      <w:r w:rsidRPr="00226C43">
        <w:t xml:space="preserve">rogram’s use of resources was proportional to the results achieved, including the high quality and timely delivery. Over the reporting period, the </w:t>
      </w:r>
      <w:r w:rsidR="16B99E1E" w:rsidRPr="00226C43">
        <w:t>p</w:t>
      </w:r>
      <w:r w:rsidRPr="00226C43">
        <w:t>rogram completed key deliverables such as the OTNAs and monitored hundreds of REAPs. The small implementation team was also able to deliver a range of alumni engagement activities, such as the Knowledge Sharing Series, Alumni Grants Scheme, and most recently the GEDSI Summit. Finally, flexibility in resource deployment allowed the program to address emerging challenges, including DFAT’s ad hoc requests and evolving development needs.</w:t>
      </w:r>
    </w:p>
    <w:p w14:paraId="401841CB" w14:textId="1171F2B8" w:rsidR="00ED4E39" w:rsidRPr="00226C43" w:rsidRDefault="4DD21A85" w:rsidP="4DD21A85">
      <w:pPr>
        <w:tabs>
          <w:tab w:val="num" w:pos="720"/>
        </w:tabs>
        <w:rPr>
          <w:rFonts w:eastAsia="Aptos" w:cs="Aptos"/>
        </w:rPr>
      </w:pPr>
      <w:r w:rsidRPr="00226C43">
        <w:t xml:space="preserve">As can be expected, external factors and emerging priorities/ad hoc requests contributed to delays for certain activities, such as the OTNA and REAP monitoring. </w:t>
      </w:r>
      <w:r w:rsidRPr="00226C43">
        <w:rPr>
          <w:rFonts w:eastAsia="Aptos" w:cs="Aptos"/>
        </w:rPr>
        <w:t>While the program was occasionally required to divert resources from planned targets in response, flexible budgetary practices and the engagement of short-term staff helped mitigate the impact of these diversions. However, as noted, the absence of a dedicated budget line for emerging priorities was a key limitation.</w:t>
      </w:r>
    </w:p>
    <w:p w14:paraId="0482B990" w14:textId="0D133666" w:rsidR="005703A8" w:rsidRPr="00226C43" w:rsidRDefault="00A87289" w:rsidP="00623F17">
      <w:pPr>
        <w:pStyle w:val="Heading5"/>
        <w:rPr>
          <w:rFonts w:asciiTheme="minorHAnsi" w:hAnsiTheme="minorHAnsi"/>
          <w:color w:val="auto"/>
        </w:rPr>
      </w:pPr>
      <w:r w:rsidRPr="00226C43">
        <w:rPr>
          <w:rFonts w:asciiTheme="minorHAnsi" w:hAnsiTheme="minorHAnsi"/>
          <w:color w:val="auto"/>
        </w:rPr>
        <w:t xml:space="preserve">3.3 </w:t>
      </w:r>
      <w:r w:rsidR="4DD21A85" w:rsidRPr="00226C43">
        <w:rPr>
          <w:rFonts w:asciiTheme="minorHAnsi" w:hAnsiTheme="minorHAnsi"/>
          <w:color w:val="auto"/>
        </w:rPr>
        <w:t xml:space="preserve">Was AAAEP–P an efficient use of resources compared to similar programs or with alternative ways of achieving the same outcomes? </w:t>
      </w:r>
    </w:p>
    <w:p w14:paraId="22F24B37" w14:textId="29BC5657" w:rsidR="008C2A05" w:rsidRDefault="006A4A8F" w:rsidP="008C2A05">
      <w:r w:rsidRPr="00226C43">
        <w:t>The program’s implementing team was small compared to similar sized programs in other Southeast Asian countries (i.e., Vietnam). There are usually only two members with responsibility for each sub-component of the program</w:t>
      </w:r>
      <w:r w:rsidRPr="00226C43">
        <w:rPr>
          <w:rStyle w:val="FootnoteReference"/>
        </w:rPr>
        <w:footnoteReference w:id="27"/>
      </w:r>
      <w:r w:rsidRPr="00226C43">
        <w:t>. While this represented a cost efficiency dividend, it was possible in part due to the Team leader’s (and implementation team’s) experience gained over several years working in the program (and its predecessors). While such efficiencies provide a demonstration effect for similar-sized Australia Awards programs elsewhere, the current resourcing and program structure is not suited to support the Embassy’s emerging priorities, which fell outside the approved budget for the annual work plan. The program’s response to these emerging priorities had implications for the program in terms of time the impost on the team and presented challenges for the implementation team in absorbing unplanned work outside the agreed work plan.</w:t>
      </w:r>
      <w:r w:rsidR="0078429F" w:rsidRPr="00226C43">
        <w:t xml:space="preserve"> </w:t>
      </w:r>
      <w:bookmarkStart w:id="35" w:name="_Toc190939913"/>
    </w:p>
    <w:p w14:paraId="3B378482" w14:textId="77777777" w:rsidR="00326D37" w:rsidRDefault="00326D37" w:rsidP="008C2A05"/>
    <w:p w14:paraId="1E1D453D" w14:textId="77777777" w:rsidR="00326D37" w:rsidRDefault="00326D37" w:rsidP="008C2A05"/>
    <w:p w14:paraId="6E7149C9" w14:textId="77777777" w:rsidR="00326D37" w:rsidRDefault="00326D37" w:rsidP="008C2A05"/>
    <w:p w14:paraId="30259C8F" w14:textId="77777777" w:rsidR="00326D37" w:rsidRDefault="00326D37" w:rsidP="008C2A05"/>
    <w:p w14:paraId="7F13A9A2" w14:textId="77777777" w:rsidR="00326D37" w:rsidRPr="00226C43" w:rsidRDefault="00326D37" w:rsidP="008C2A05"/>
    <w:p w14:paraId="0B3E7EDC" w14:textId="6436BCB5" w:rsidR="006A4A8F" w:rsidRPr="00226C43" w:rsidRDefault="4DD21A85" w:rsidP="004F1939">
      <w:pPr>
        <w:pStyle w:val="Caption"/>
        <w:spacing w:after="0"/>
        <w:rPr>
          <w:color w:val="auto"/>
        </w:rPr>
      </w:pPr>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003735AF" w:rsidRPr="00226C43">
        <w:rPr>
          <w:noProof/>
          <w:color w:val="auto"/>
        </w:rPr>
        <w:t>14</w:t>
      </w:r>
      <w:r w:rsidR="000113F9" w:rsidRPr="00226C43">
        <w:rPr>
          <w:noProof/>
          <w:color w:val="auto"/>
        </w:rPr>
        <w:fldChar w:fldCharType="end"/>
      </w:r>
      <w:r w:rsidRPr="00226C43">
        <w:rPr>
          <w:color w:val="auto"/>
        </w:rPr>
        <w:t>: AAAEP–P staff resources compared to other scholarship programs</w:t>
      </w:r>
      <w:bookmarkEnd w:id="35"/>
    </w:p>
    <w:tbl>
      <w:tblPr>
        <w:tblStyle w:val="TableGrid"/>
        <w:tblW w:w="9016" w:type="dxa"/>
        <w:tblLook w:val="0620" w:firstRow="1" w:lastRow="0" w:firstColumn="0" w:lastColumn="0" w:noHBand="1" w:noVBand="1"/>
      </w:tblPr>
      <w:tblGrid>
        <w:gridCol w:w="1388"/>
        <w:gridCol w:w="667"/>
        <w:gridCol w:w="548"/>
        <w:gridCol w:w="833"/>
        <w:gridCol w:w="5580"/>
      </w:tblGrid>
      <w:tr w:rsidR="00226C43" w:rsidRPr="006440A0" w14:paraId="51714EAB" w14:textId="77777777" w:rsidTr="00117212">
        <w:trPr>
          <w:trHeight w:val="300"/>
          <w:tblHeader/>
        </w:trPr>
        <w:tc>
          <w:tcPr>
            <w:tcW w:w="1389" w:type="dxa"/>
            <w:shd w:val="clear" w:color="auto" w:fill="E3DED1" w:themeFill="background2"/>
            <w:hideMark/>
          </w:tcPr>
          <w:p w14:paraId="77956D6C" w14:textId="0869031B" w:rsidR="006A4A8F" w:rsidRPr="006440A0" w:rsidRDefault="006A4A8F" w:rsidP="006440A0">
            <w:pPr>
              <w:pStyle w:val="Tabletext"/>
              <w:spacing w:after="0"/>
              <w:jc w:val="center"/>
              <w:rPr>
                <w:b/>
                <w:bCs/>
                <w:sz w:val="20"/>
                <w:szCs w:val="20"/>
              </w:rPr>
            </w:pPr>
            <w:r w:rsidRPr="006440A0">
              <w:rPr>
                <w:b/>
                <w:bCs/>
                <w:sz w:val="20"/>
                <w:szCs w:val="20"/>
              </w:rPr>
              <w:t>Country</w:t>
            </w:r>
            <w:r w:rsidRPr="006440A0">
              <w:rPr>
                <w:b/>
                <w:bCs/>
                <w:sz w:val="20"/>
                <w:szCs w:val="20"/>
                <w:vertAlign w:val="superscript"/>
              </w:rPr>
              <w:footnoteReference w:id="28"/>
            </w:r>
          </w:p>
        </w:tc>
        <w:tc>
          <w:tcPr>
            <w:tcW w:w="668" w:type="dxa"/>
            <w:shd w:val="clear" w:color="auto" w:fill="E3DED1" w:themeFill="background2"/>
            <w:hideMark/>
          </w:tcPr>
          <w:p w14:paraId="3A93CE95" w14:textId="77777777" w:rsidR="006A4A8F" w:rsidRPr="006440A0" w:rsidRDefault="4DD21A85" w:rsidP="006440A0">
            <w:pPr>
              <w:pStyle w:val="Tabletext"/>
              <w:spacing w:after="0"/>
              <w:jc w:val="center"/>
              <w:rPr>
                <w:b/>
                <w:bCs/>
                <w:sz w:val="20"/>
                <w:szCs w:val="20"/>
              </w:rPr>
            </w:pPr>
            <w:r w:rsidRPr="006440A0">
              <w:rPr>
                <w:b/>
                <w:bCs/>
                <w:sz w:val="20"/>
                <w:szCs w:val="20"/>
              </w:rPr>
              <w:t>LTA</w:t>
            </w:r>
          </w:p>
        </w:tc>
        <w:tc>
          <w:tcPr>
            <w:tcW w:w="529" w:type="dxa"/>
            <w:shd w:val="clear" w:color="auto" w:fill="E3DED1" w:themeFill="background2"/>
            <w:hideMark/>
          </w:tcPr>
          <w:p w14:paraId="5368F7D4" w14:textId="77777777" w:rsidR="006A4A8F" w:rsidRPr="006440A0" w:rsidRDefault="4DD21A85" w:rsidP="006440A0">
            <w:pPr>
              <w:pStyle w:val="Tabletext"/>
              <w:spacing w:after="0"/>
              <w:jc w:val="center"/>
              <w:rPr>
                <w:b/>
                <w:bCs/>
                <w:sz w:val="20"/>
                <w:szCs w:val="20"/>
              </w:rPr>
            </w:pPr>
            <w:r w:rsidRPr="006440A0">
              <w:rPr>
                <w:b/>
                <w:bCs/>
                <w:sz w:val="20"/>
                <w:szCs w:val="20"/>
              </w:rPr>
              <w:t>STA</w:t>
            </w:r>
          </w:p>
        </w:tc>
        <w:tc>
          <w:tcPr>
            <w:tcW w:w="834" w:type="dxa"/>
            <w:shd w:val="clear" w:color="auto" w:fill="E3DED1" w:themeFill="background2"/>
            <w:hideMark/>
          </w:tcPr>
          <w:p w14:paraId="7CF867B7" w14:textId="77777777" w:rsidR="006A4A8F" w:rsidRPr="006440A0" w:rsidRDefault="4DD21A85" w:rsidP="006440A0">
            <w:pPr>
              <w:pStyle w:val="Tabletext"/>
              <w:spacing w:after="0"/>
              <w:jc w:val="center"/>
              <w:rPr>
                <w:b/>
                <w:bCs/>
                <w:sz w:val="20"/>
                <w:szCs w:val="20"/>
              </w:rPr>
            </w:pPr>
            <w:r w:rsidRPr="006440A0">
              <w:rPr>
                <w:b/>
                <w:bCs/>
                <w:sz w:val="20"/>
                <w:szCs w:val="20"/>
              </w:rPr>
              <w:t>LES</w:t>
            </w:r>
          </w:p>
        </w:tc>
        <w:tc>
          <w:tcPr>
            <w:tcW w:w="5596" w:type="dxa"/>
            <w:shd w:val="clear" w:color="auto" w:fill="E3DED1" w:themeFill="background2"/>
            <w:hideMark/>
          </w:tcPr>
          <w:p w14:paraId="60AFC04E" w14:textId="77777777" w:rsidR="006A4A8F" w:rsidRPr="006440A0" w:rsidRDefault="4DD21A85" w:rsidP="006440A0">
            <w:pPr>
              <w:pStyle w:val="Tabletext"/>
              <w:spacing w:after="0"/>
              <w:jc w:val="center"/>
              <w:rPr>
                <w:b/>
                <w:bCs/>
                <w:sz w:val="20"/>
                <w:szCs w:val="20"/>
              </w:rPr>
            </w:pPr>
            <w:r w:rsidRPr="006440A0">
              <w:rPr>
                <w:b/>
                <w:bCs/>
                <w:sz w:val="20"/>
                <w:szCs w:val="20"/>
              </w:rPr>
              <w:t>Program Features</w:t>
            </w:r>
          </w:p>
        </w:tc>
      </w:tr>
      <w:tr w:rsidR="00226C43" w:rsidRPr="006440A0" w14:paraId="1045543C" w14:textId="77777777" w:rsidTr="006440A0">
        <w:trPr>
          <w:trHeight w:val="300"/>
        </w:trPr>
        <w:tc>
          <w:tcPr>
            <w:tcW w:w="1389" w:type="dxa"/>
          </w:tcPr>
          <w:p w14:paraId="7526089B" w14:textId="1D50D1F0" w:rsidR="008C2A05" w:rsidRPr="006440A0" w:rsidRDefault="008C2A05" w:rsidP="008C2A05">
            <w:pPr>
              <w:pStyle w:val="Tabletext"/>
              <w:spacing w:after="0"/>
              <w:rPr>
                <w:sz w:val="20"/>
                <w:szCs w:val="20"/>
              </w:rPr>
            </w:pPr>
            <w:r w:rsidRPr="006440A0">
              <w:rPr>
                <w:sz w:val="20"/>
                <w:szCs w:val="20"/>
              </w:rPr>
              <w:t>Philippines</w:t>
            </w:r>
          </w:p>
        </w:tc>
        <w:tc>
          <w:tcPr>
            <w:tcW w:w="668" w:type="dxa"/>
          </w:tcPr>
          <w:p w14:paraId="4F252402" w14:textId="168F5F3B" w:rsidR="008C2A05" w:rsidRPr="006440A0" w:rsidRDefault="008C2A05" w:rsidP="006440A0">
            <w:pPr>
              <w:pStyle w:val="Tabletext"/>
              <w:spacing w:after="0"/>
              <w:jc w:val="right"/>
              <w:rPr>
                <w:sz w:val="20"/>
                <w:szCs w:val="20"/>
              </w:rPr>
            </w:pPr>
            <w:r w:rsidRPr="006440A0">
              <w:rPr>
                <w:sz w:val="20"/>
                <w:szCs w:val="20"/>
              </w:rPr>
              <w:t>1</w:t>
            </w:r>
          </w:p>
        </w:tc>
        <w:tc>
          <w:tcPr>
            <w:tcW w:w="529" w:type="dxa"/>
          </w:tcPr>
          <w:p w14:paraId="5EE34AC0" w14:textId="48DD0101" w:rsidR="008C2A05" w:rsidRPr="006440A0" w:rsidRDefault="008C2A05" w:rsidP="006440A0">
            <w:pPr>
              <w:pStyle w:val="Tabletext"/>
              <w:spacing w:after="0"/>
              <w:jc w:val="right"/>
              <w:rPr>
                <w:sz w:val="20"/>
                <w:szCs w:val="20"/>
              </w:rPr>
            </w:pPr>
            <w:r w:rsidRPr="006440A0">
              <w:rPr>
                <w:sz w:val="20"/>
                <w:szCs w:val="20"/>
              </w:rPr>
              <w:t>3</w:t>
            </w:r>
            <w:r w:rsidRPr="006440A0">
              <w:rPr>
                <w:sz w:val="20"/>
                <w:szCs w:val="20"/>
                <w:vertAlign w:val="superscript"/>
              </w:rPr>
              <w:footnoteReference w:id="29"/>
            </w:r>
          </w:p>
        </w:tc>
        <w:tc>
          <w:tcPr>
            <w:tcW w:w="834" w:type="dxa"/>
          </w:tcPr>
          <w:p w14:paraId="50B7826A" w14:textId="7B8EDFDE" w:rsidR="008C2A05" w:rsidRPr="006440A0" w:rsidRDefault="008C2A05" w:rsidP="006440A0">
            <w:pPr>
              <w:pStyle w:val="Tabletext"/>
              <w:spacing w:after="0"/>
              <w:jc w:val="right"/>
              <w:rPr>
                <w:sz w:val="20"/>
                <w:szCs w:val="20"/>
              </w:rPr>
            </w:pPr>
            <w:r w:rsidRPr="006440A0">
              <w:rPr>
                <w:sz w:val="20"/>
                <w:szCs w:val="20"/>
              </w:rPr>
              <w:t>18</w:t>
            </w:r>
            <w:r w:rsidRPr="006440A0">
              <w:rPr>
                <w:sz w:val="20"/>
                <w:szCs w:val="20"/>
                <w:vertAlign w:val="superscript"/>
              </w:rPr>
              <w:footnoteReference w:id="30"/>
            </w:r>
          </w:p>
        </w:tc>
        <w:tc>
          <w:tcPr>
            <w:tcW w:w="5596" w:type="dxa"/>
          </w:tcPr>
          <w:p w14:paraId="2B12EE1B" w14:textId="04843643" w:rsidR="008C2A05" w:rsidRPr="006440A0" w:rsidRDefault="008C2A05" w:rsidP="008C2A05">
            <w:pPr>
              <w:pStyle w:val="Tabletext"/>
              <w:spacing w:after="0"/>
              <w:rPr>
                <w:sz w:val="20"/>
                <w:szCs w:val="20"/>
              </w:rPr>
            </w:pPr>
            <w:r w:rsidRPr="006440A0">
              <w:rPr>
                <w:sz w:val="20"/>
                <w:szCs w:val="20"/>
              </w:rPr>
              <w:t>Bilateral program, AAS, SCA, ISCP, Alumni Activities</w:t>
            </w:r>
          </w:p>
        </w:tc>
      </w:tr>
      <w:tr w:rsidR="00226C43" w:rsidRPr="006440A0" w14:paraId="1720261B" w14:textId="77777777" w:rsidTr="006440A0">
        <w:trPr>
          <w:trHeight w:val="300"/>
        </w:trPr>
        <w:tc>
          <w:tcPr>
            <w:tcW w:w="1389" w:type="dxa"/>
            <w:hideMark/>
          </w:tcPr>
          <w:p w14:paraId="02E3EA44" w14:textId="77777777" w:rsidR="008C2A05" w:rsidRPr="006440A0" w:rsidRDefault="008C2A05" w:rsidP="008C2A05">
            <w:pPr>
              <w:pStyle w:val="Tabletext"/>
              <w:spacing w:after="0"/>
              <w:rPr>
                <w:sz w:val="20"/>
                <w:szCs w:val="20"/>
              </w:rPr>
            </w:pPr>
            <w:r w:rsidRPr="006440A0">
              <w:rPr>
                <w:sz w:val="20"/>
                <w:szCs w:val="20"/>
              </w:rPr>
              <w:t>PNG</w:t>
            </w:r>
          </w:p>
        </w:tc>
        <w:tc>
          <w:tcPr>
            <w:tcW w:w="668" w:type="dxa"/>
            <w:hideMark/>
          </w:tcPr>
          <w:p w14:paraId="7C9ED4A4" w14:textId="77777777" w:rsidR="008C2A05" w:rsidRPr="006440A0" w:rsidRDefault="008C2A05" w:rsidP="006440A0">
            <w:pPr>
              <w:pStyle w:val="Tabletext"/>
              <w:spacing w:after="0"/>
              <w:jc w:val="right"/>
              <w:rPr>
                <w:sz w:val="20"/>
                <w:szCs w:val="20"/>
              </w:rPr>
            </w:pPr>
            <w:r w:rsidRPr="006440A0">
              <w:rPr>
                <w:sz w:val="20"/>
                <w:szCs w:val="20"/>
              </w:rPr>
              <w:t>7</w:t>
            </w:r>
          </w:p>
        </w:tc>
        <w:tc>
          <w:tcPr>
            <w:tcW w:w="529" w:type="dxa"/>
            <w:hideMark/>
          </w:tcPr>
          <w:p w14:paraId="7450A2A5" w14:textId="77777777" w:rsidR="008C2A05" w:rsidRPr="006440A0" w:rsidRDefault="008C2A05" w:rsidP="006440A0">
            <w:pPr>
              <w:pStyle w:val="Tabletext"/>
              <w:spacing w:after="0"/>
              <w:jc w:val="right"/>
              <w:rPr>
                <w:sz w:val="20"/>
                <w:szCs w:val="20"/>
              </w:rPr>
            </w:pPr>
            <w:r w:rsidRPr="006440A0">
              <w:rPr>
                <w:sz w:val="20"/>
                <w:szCs w:val="20"/>
              </w:rPr>
              <w:t>11</w:t>
            </w:r>
          </w:p>
        </w:tc>
        <w:tc>
          <w:tcPr>
            <w:tcW w:w="834" w:type="dxa"/>
            <w:hideMark/>
          </w:tcPr>
          <w:p w14:paraId="547C89A7" w14:textId="77777777" w:rsidR="008C2A05" w:rsidRPr="006440A0" w:rsidRDefault="008C2A05" w:rsidP="006440A0">
            <w:pPr>
              <w:pStyle w:val="Tabletext"/>
              <w:spacing w:after="0"/>
              <w:jc w:val="right"/>
              <w:rPr>
                <w:sz w:val="20"/>
                <w:szCs w:val="20"/>
              </w:rPr>
            </w:pPr>
            <w:r w:rsidRPr="006440A0">
              <w:rPr>
                <w:sz w:val="20"/>
                <w:szCs w:val="20"/>
              </w:rPr>
              <w:t>56</w:t>
            </w:r>
          </w:p>
        </w:tc>
        <w:tc>
          <w:tcPr>
            <w:tcW w:w="5596" w:type="dxa"/>
            <w:hideMark/>
          </w:tcPr>
          <w:p w14:paraId="48B9B34B" w14:textId="77777777" w:rsidR="008C2A05" w:rsidRPr="006440A0" w:rsidRDefault="008C2A05" w:rsidP="008C2A05">
            <w:pPr>
              <w:pStyle w:val="Tabletext"/>
              <w:spacing w:after="0"/>
              <w:rPr>
                <w:sz w:val="20"/>
                <w:szCs w:val="20"/>
              </w:rPr>
            </w:pPr>
            <w:r w:rsidRPr="006440A0">
              <w:rPr>
                <w:sz w:val="20"/>
                <w:szCs w:val="20"/>
              </w:rPr>
              <w:t>Combination of in-country scholarships and AA scholars going to Australia and short courses.</w:t>
            </w:r>
          </w:p>
        </w:tc>
      </w:tr>
      <w:tr w:rsidR="00226C43" w:rsidRPr="006440A0" w14:paraId="218228EC" w14:textId="77777777" w:rsidTr="006440A0">
        <w:trPr>
          <w:trHeight w:val="300"/>
        </w:trPr>
        <w:tc>
          <w:tcPr>
            <w:tcW w:w="1389" w:type="dxa"/>
            <w:hideMark/>
          </w:tcPr>
          <w:p w14:paraId="476295D3" w14:textId="192D2153" w:rsidR="008C2A05" w:rsidRPr="006440A0" w:rsidRDefault="008C2A05" w:rsidP="008C2A05">
            <w:pPr>
              <w:pStyle w:val="Tabletext"/>
              <w:spacing w:after="0"/>
              <w:rPr>
                <w:sz w:val="20"/>
                <w:szCs w:val="20"/>
              </w:rPr>
            </w:pPr>
            <w:r w:rsidRPr="006440A0">
              <w:rPr>
                <w:sz w:val="20"/>
                <w:szCs w:val="20"/>
              </w:rPr>
              <w:t>Indonesia</w:t>
            </w:r>
          </w:p>
        </w:tc>
        <w:tc>
          <w:tcPr>
            <w:tcW w:w="668" w:type="dxa"/>
            <w:hideMark/>
          </w:tcPr>
          <w:p w14:paraId="2C1AAC73" w14:textId="77777777" w:rsidR="008C2A05" w:rsidRPr="006440A0" w:rsidRDefault="008C2A05" w:rsidP="006440A0">
            <w:pPr>
              <w:pStyle w:val="Tabletext"/>
              <w:spacing w:after="0"/>
              <w:jc w:val="right"/>
              <w:rPr>
                <w:sz w:val="20"/>
                <w:szCs w:val="20"/>
              </w:rPr>
            </w:pPr>
            <w:r w:rsidRPr="006440A0">
              <w:rPr>
                <w:sz w:val="20"/>
                <w:szCs w:val="20"/>
              </w:rPr>
              <w:t>3</w:t>
            </w:r>
          </w:p>
        </w:tc>
        <w:tc>
          <w:tcPr>
            <w:tcW w:w="529" w:type="dxa"/>
            <w:hideMark/>
          </w:tcPr>
          <w:p w14:paraId="165687BB" w14:textId="77777777" w:rsidR="008C2A05" w:rsidRPr="006440A0" w:rsidRDefault="008C2A05" w:rsidP="006440A0">
            <w:pPr>
              <w:pStyle w:val="Tabletext"/>
              <w:spacing w:after="0"/>
              <w:jc w:val="right"/>
              <w:rPr>
                <w:sz w:val="20"/>
                <w:szCs w:val="20"/>
              </w:rPr>
            </w:pPr>
            <w:r w:rsidRPr="006440A0">
              <w:rPr>
                <w:sz w:val="20"/>
                <w:szCs w:val="20"/>
              </w:rPr>
              <w:t>3</w:t>
            </w:r>
          </w:p>
        </w:tc>
        <w:tc>
          <w:tcPr>
            <w:tcW w:w="834" w:type="dxa"/>
            <w:hideMark/>
          </w:tcPr>
          <w:p w14:paraId="10A1BD25" w14:textId="77777777" w:rsidR="008C2A05" w:rsidRPr="006440A0" w:rsidRDefault="008C2A05" w:rsidP="006440A0">
            <w:pPr>
              <w:pStyle w:val="Tabletext"/>
              <w:spacing w:after="0"/>
              <w:jc w:val="right"/>
              <w:rPr>
                <w:sz w:val="20"/>
                <w:szCs w:val="20"/>
              </w:rPr>
            </w:pPr>
            <w:r w:rsidRPr="006440A0">
              <w:rPr>
                <w:sz w:val="20"/>
                <w:szCs w:val="20"/>
              </w:rPr>
              <w:t>45</w:t>
            </w:r>
          </w:p>
        </w:tc>
        <w:tc>
          <w:tcPr>
            <w:tcW w:w="5596" w:type="dxa"/>
            <w:hideMark/>
          </w:tcPr>
          <w:p w14:paraId="27E1EE5D" w14:textId="77777777" w:rsidR="008C2A05" w:rsidRPr="006440A0" w:rsidRDefault="008C2A05" w:rsidP="008C2A05">
            <w:pPr>
              <w:pStyle w:val="Tabletext"/>
              <w:spacing w:after="0"/>
              <w:rPr>
                <w:sz w:val="20"/>
                <w:szCs w:val="20"/>
              </w:rPr>
            </w:pPr>
            <w:r w:rsidRPr="006440A0">
              <w:rPr>
                <w:sz w:val="20"/>
                <w:szCs w:val="20"/>
              </w:rPr>
              <w:t xml:space="preserve">Combination of AA Indonesia program and AA Nusantara scholarships, support the management of the new LDPD scholarship, </w:t>
            </w:r>
            <w:proofErr w:type="gramStart"/>
            <w:r w:rsidRPr="006440A0">
              <w:rPr>
                <w:sz w:val="20"/>
                <w:szCs w:val="20"/>
              </w:rPr>
              <w:t>and also</w:t>
            </w:r>
            <w:proofErr w:type="gramEnd"/>
            <w:r w:rsidRPr="006440A0">
              <w:rPr>
                <w:sz w:val="20"/>
                <w:szCs w:val="20"/>
              </w:rPr>
              <w:t xml:space="preserve"> ASEAN scholarships as needed.</w:t>
            </w:r>
          </w:p>
        </w:tc>
      </w:tr>
      <w:tr w:rsidR="00226C43" w:rsidRPr="006440A0" w14:paraId="25CDD012" w14:textId="77777777" w:rsidTr="006440A0">
        <w:trPr>
          <w:trHeight w:val="300"/>
        </w:trPr>
        <w:tc>
          <w:tcPr>
            <w:tcW w:w="1389" w:type="dxa"/>
            <w:hideMark/>
          </w:tcPr>
          <w:p w14:paraId="1968B5FC" w14:textId="5DC91283" w:rsidR="008C2A05" w:rsidRPr="006440A0" w:rsidRDefault="008C2A05" w:rsidP="008C2A05">
            <w:pPr>
              <w:pStyle w:val="Tabletext"/>
              <w:spacing w:after="0"/>
              <w:rPr>
                <w:sz w:val="20"/>
                <w:szCs w:val="20"/>
              </w:rPr>
            </w:pPr>
            <w:r w:rsidRPr="006440A0">
              <w:rPr>
                <w:sz w:val="20"/>
                <w:szCs w:val="20"/>
              </w:rPr>
              <w:t>Africa</w:t>
            </w:r>
          </w:p>
        </w:tc>
        <w:tc>
          <w:tcPr>
            <w:tcW w:w="668" w:type="dxa"/>
            <w:hideMark/>
          </w:tcPr>
          <w:p w14:paraId="611A4CA0" w14:textId="77777777" w:rsidR="008C2A05" w:rsidRPr="006440A0" w:rsidRDefault="008C2A05" w:rsidP="006440A0">
            <w:pPr>
              <w:pStyle w:val="Tabletext"/>
              <w:spacing w:after="0"/>
              <w:jc w:val="right"/>
              <w:rPr>
                <w:sz w:val="20"/>
                <w:szCs w:val="20"/>
              </w:rPr>
            </w:pPr>
            <w:r w:rsidRPr="006440A0">
              <w:rPr>
                <w:sz w:val="20"/>
                <w:szCs w:val="20"/>
              </w:rPr>
              <w:t>8</w:t>
            </w:r>
          </w:p>
        </w:tc>
        <w:tc>
          <w:tcPr>
            <w:tcW w:w="529" w:type="dxa"/>
            <w:hideMark/>
          </w:tcPr>
          <w:p w14:paraId="48FA8C49" w14:textId="77777777" w:rsidR="008C2A05" w:rsidRPr="006440A0" w:rsidRDefault="008C2A05" w:rsidP="006440A0">
            <w:pPr>
              <w:pStyle w:val="Tabletext"/>
              <w:spacing w:after="0"/>
              <w:jc w:val="right"/>
              <w:rPr>
                <w:sz w:val="20"/>
                <w:szCs w:val="20"/>
              </w:rPr>
            </w:pPr>
            <w:r w:rsidRPr="006440A0">
              <w:rPr>
                <w:sz w:val="20"/>
                <w:szCs w:val="20"/>
              </w:rPr>
              <w:t>5</w:t>
            </w:r>
          </w:p>
        </w:tc>
        <w:tc>
          <w:tcPr>
            <w:tcW w:w="834" w:type="dxa"/>
            <w:hideMark/>
          </w:tcPr>
          <w:p w14:paraId="4EE4B784" w14:textId="77777777" w:rsidR="008C2A05" w:rsidRPr="006440A0" w:rsidRDefault="008C2A05" w:rsidP="006440A0">
            <w:pPr>
              <w:pStyle w:val="Tabletext"/>
              <w:spacing w:after="0"/>
              <w:jc w:val="right"/>
              <w:rPr>
                <w:sz w:val="20"/>
                <w:szCs w:val="20"/>
              </w:rPr>
            </w:pPr>
            <w:r w:rsidRPr="006440A0">
              <w:rPr>
                <w:sz w:val="20"/>
                <w:szCs w:val="20"/>
              </w:rPr>
              <w:t>0</w:t>
            </w:r>
          </w:p>
        </w:tc>
        <w:tc>
          <w:tcPr>
            <w:tcW w:w="5596" w:type="dxa"/>
            <w:hideMark/>
          </w:tcPr>
          <w:p w14:paraId="37612B7B" w14:textId="77777777" w:rsidR="008C2A05" w:rsidRPr="006440A0" w:rsidRDefault="008C2A05" w:rsidP="008C2A05">
            <w:pPr>
              <w:pStyle w:val="Tabletext"/>
              <w:spacing w:after="0"/>
              <w:rPr>
                <w:sz w:val="20"/>
                <w:szCs w:val="20"/>
              </w:rPr>
            </w:pPr>
            <w:r w:rsidRPr="006440A0">
              <w:rPr>
                <w:sz w:val="20"/>
                <w:szCs w:val="20"/>
              </w:rPr>
              <w:t>Regional program covering over 25 countries. No LES as all staff are from different African countries.</w:t>
            </w:r>
          </w:p>
        </w:tc>
      </w:tr>
    </w:tbl>
    <w:p w14:paraId="62E88502" w14:textId="77777777" w:rsidR="00623F17" w:rsidRPr="00226C43" w:rsidRDefault="00623F17" w:rsidP="00623F17">
      <w:pPr>
        <w:spacing w:after="0"/>
      </w:pPr>
    </w:p>
    <w:p w14:paraId="748E90D6" w14:textId="619A747A" w:rsidR="006A4A8F" w:rsidRPr="00226C43" w:rsidRDefault="00623F17" w:rsidP="00F078CC">
      <w:r w:rsidRPr="00226C43">
        <w:t xml:space="preserve">However, </w:t>
      </w:r>
      <w:proofErr w:type="gramStart"/>
      <w:r w:rsidRPr="00226C43">
        <w:t>o</w:t>
      </w:r>
      <w:r w:rsidR="4DD21A85" w:rsidRPr="00226C43">
        <w:t>verall</w:t>
      </w:r>
      <w:proofErr w:type="gramEnd"/>
      <w:r w:rsidR="4DD21A85" w:rsidRPr="00226C43">
        <w:t xml:space="preserve"> the program operated in a highly efficient manner appropriately deploying its resources to achieve objectives. It was noted that the program has a heavy administrative load but delivered on its work plan efficiently.</w:t>
      </w:r>
      <w:r w:rsidR="0078429F" w:rsidRPr="00226C43">
        <w:t xml:space="preserve"> </w:t>
      </w:r>
      <w:r w:rsidR="1B7B74CA" w:rsidRPr="00226C43">
        <w:t>MEL</w:t>
      </w:r>
      <w:r w:rsidR="4DD21A85" w:rsidRPr="00226C43">
        <w:t xml:space="preserve"> processes were used effectively to monitor performance and assure efficiency.</w:t>
      </w:r>
    </w:p>
    <w:p w14:paraId="02A00B95" w14:textId="7407E93C" w:rsidR="00D42FC6" w:rsidRPr="00226C43" w:rsidRDefault="4DD21A85" w:rsidP="4DD21A85">
      <w:r w:rsidRPr="00226C43">
        <w:t>The strong reputation that AAAEP–P has cultivated is an invaluable asset to the program. Despite having a relatively small team, the program has demonstrated remarkable efficiency by successfully managing and processing a substantial number of scholars across various categories. This underscores its effective utilisation of resources while maintaining high standards of delivery.</w:t>
      </w:r>
    </w:p>
    <w:p w14:paraId="2155A393" w14:textId="48DB00AC" w:rsidR="005703A8" w:rsidRPr="00226C43" w:rsidRDefault="00A87289" w:rsidP="00623F17">
      <w:pPr>
        <w:pStyle w:val="Heading5"/>
        <w:rPr>
          <w:rFonts w:asciiTheme="minorHAnsi" w:hAnsiTheme="minorHAnsi"/>
          <w:color w:val="auto"/>
        </w:rPr>
      </w:pPr>
      <w:r w:rsidRPr="00226C43">
        <w:rPr>
          <w:rFonts w:asciiTheme="minorHAnsi" w:hAnsiTheme="minorHAnsi"/>
          <w:color w:val="auto"/>
        </w:rPr>
        <w:t xml:space="preserve">3.4 </w:t>
      </w:r>
      <w:r w:rsidR="4DD21A85" w:rsidRPr="00226C43">
        <w:rPr>
          <w:rFonts w:asciiTheme="minorHAnsi" w:hAnsiTheme="minorHAnsi"/>
          <w:color w:val="auto"/>
        </w:rPr>
        <w:t>How did AAAEP–P allocate resources to achieve inclusive, equitable and gender– transformative (if not, responsive) results?</w:t>
      </w:r>
    </w:p>
    <w:p w14:paraId="74B0DEB9" w14:textId="287BA2E6" w:rsidR="007F7E1B" w:rsidRPr="00226C43" w:rsidRDefault="4DD21A85" w:rsidP="002569D9">
      <w:r w:rsidRPr="00226C43">
        <w:t xml:space="preserve">While AAAEP–P was strategic in mainstreaming GEDSI in its operations, events, and outputs, there was no intentional budget allocation for the </w:t>
      </w:r>
      <w:r w:rsidR="00EF703E" w:rsidRPr="00226C43">
        <w:t>‘</w:t>
      </w:r>
      <w:r w:rsidRPr="00226C43">
        <w:t>gender/GEDSI mainstreaming</w:t>
      </w:r>
      <w:r w:rsidR="00EF703E" w:rsidRPr="00226C43">
        <w:t>’</w:t>
      </w:r>
      <w:r w:rsidRPr="00226C43">
        <w:t xml:space="preserve"> of activities. However, the </w:t>
      </w:r>
      <w:r w:rsidR="414A4890" w:rsidRPr="00226C43">
        <w:t>p</w:t>
      </w:r>
      <w:r w:rsidRPr="00226C43">
        <w:t xml:space="preserve">rogram had budget for </w:t>
      </w:r>
      <w:r w:rsidRPr="00226C43">
        <w:rPr>
          <w:b/>
          <w:bCs/>
        </w:rPr>
        <w:t>specific</w:t>
      </w:r>
      <w:r w:rsidRPr="00226C43">
        <w:t xml:space="preserve"> </w:t>
      </w:r>
      <w:r w:rsidRPr="00226C43">
        <w:rPr>
          <w:b/>
          <w:bCs/>
        </w:rPr>
        <w:t>GEDSI events</w:t>
      </w:r>
      <w:r w:rsidRPr="00226C43">
        <w:t xml:space="preserve"> such as GEDSI Summits, </w:t>
      </w:r>
      <w:r w:rsidR="4FF4AC90" w:rsidRPr="00226C43">
        <w:t>CoPs</w:t>
      </w:r>
      <w:r w:rsidR="5D5EDC35" w:rsidRPr="00226C43">
        <w:t xml:space="preserve"> and</w:t>
      </w:r>
      <w:r w:rsidRPr="00226C43">
        <w:t xml:space="preserve"> short courses. The responsibilities of mainstreaming GEDSI were performed mostly by the </w:t>
      </w:r>
      <w:r w:rsidR="2CB632F0" w:rsidRPr="00226C43">
        <w:t>p</w:t>
      </w:r>
      <w:r w:rsidRPr="00226C43">
        <w:t xml:space="preserve">rogram Team’s Director, as these </w:t>
      </w:r>
      <w:r w:rsidRPr="00226C43">
        <w:lastRenderedPageBreak/>
        <w:t>are part of her innate expertise and interests, as opposed to having a program dedicated GEDSI resource. Other members of the team like the MEL Specialist and other select staff also help in GEDSI mainstreaming as GEDSI has become an additional fit for their role and core tasks.</w:t>
      </w:r>
    </w:p>
    <w:p w14:paraId="4AC0E738" w14:textId="44C94E68" w:rsidR="00462750" w:rsidRPr="00226C43" w:rsidRDefault="4DD21A85" w:rsidP="002569D9">
      <w:r w:rsidRPr="00226C43">
        <w:t>DFAT’s approval of the updated Program Logic in 2023 could have been the best time also to have resource allocation for GEDSI. This would demonstrate (to the scholarships, public diplomacy, and development communities) that GEDSI is a significant objective of AAAEP–P by weaving GEDSI into all outcomes and with proper resource allocation for execution of GEDSI activities and operations.</w:t>
      </w:r>
    </w:p>
    <w:p w14:paraId="6EECFE31" w14:textId="77777777" w:rsidR="005B0208" w:rsidRDefault="005B0208" w:rsidP="00623F17">
      <w:pPr>
        <w:pStyle w:val="Heading5"/>
        <w:rPr>
          <w:rFonts w:asciiTheme="minorHAnsi" w:hAnsiTheme="minorHAnsi"/>
          <w:color w:val="auto"/>
        </w:rPr>
      </w:pPr>
      <w:r w:rsidRPr="00226C43">
        <w:rPr>
          <w:rFonts w:asciiTheme="minorHAnsi" w:hAnsiTheme="minorHAnsi"/>
          <w:color w:val="auto"/>
        </w:rPr>
        <w:t>Stakeholders Perceptions</w:t>
      </w:r>
    </w:p>
    <w:p w14:paraId="1E761766" w14:textId="77777777" w:rsidR="006440A0" w:rsidRPr="00226C43" w:rsidRDefault="006440A0" w:rsidP="006440A0">
      <w:pPr>
        <w:pStyle w:val="Heading5"/>
        <w:pBdr>
          <w:top w:val="single" w:sz="4" w:space="1" w:color="auto"/>
          <w:left w:val="single" w:sz="4" w:space="4" w:color="auto"/>
          <w:bottom w:val="single" w:sz="4" w:space="1" w:color="auto"/>
          <w:right w:val="single" w:sz="4" w:space="4" w:color="auto"/>
        </w:pBdr>
        <w:shd w:val="clear" w:color="auto" w:fill="E9F5D2" w:themeFill="accent2" w:themeFillTint="33"/>
        <w:rPr>
          <w:rFonts w:asciiTheme="minorHAnsi" w:hAnsiTheme="minorHAnsi"/>
          <w:color w:val="auto"/>
          <w:sz w:val="20"/>
          <w:szCs w:val="20"/>
        </w:rPr>
      </w:pPr>
      <w:r w:rsidRPr="00226C43">
        <w:rPr>
          <w:rFonts w:asciiTheme="minorHAnsi" w:hAnsiTheme="minorHAnsi"/>
          <w:color w:val="auto"/>
          <w:sz w:val="20"/>
          <w:szCs w:val="20"/>
        </w:rPr>
        <w:t>What do key informants think about the program’s efficiency?</w:t>
      </w:r>
    </w:p>
    <w:p w14:paraId="49B42180" w14:textId="336C6D1C" w:rsidR="006440A0" w:rsidRPr="006440A0" w:rsidRDefault="006440A0" w:rsidP="006440A0">
      <w:pPr>
        <w:pBdr>
          <w:top w:val="single" w:sz="4" w:space="1" w:color="auto"/>
          <w:left w:val="single" w:sz="4" w:space="4" w:color="auto"/>
          <w:bottom w:val="single" w:sz="4" w:space="1" w:color="auto"/>
          <w:right w:val="single" w:sz="4" w:space="4" w:color="auto"/>
        </w:pBdr>
        <w:shd w:val="clear" w:color="auto" w:fill="E9F5D2" w:themeFill="accent2" w:themeFillTint="33"/>
      </w:pPr>
      <w:r w:rsidRPr="00226C43">
        <w:rPr>
          <w:sz w:val="20"/>
          <w:szCs w:val="20"/>
        </w:rPr>
        <w:t xml:space="preserve">The key themes that interviewees spoke about regarding the </w:t>
      </w:r>
      <w:r w:rsidRPr="00226C43">
        <w:rPr>
          <w:i/>
          <w:iCs/>
          <w:sz w:val="20"/>
          <w:szCs w:val="20"/>
        </w:rPr>
        <w:t>efficiency</w:t>
      </w:r>
      <w:r w:rsidRPr="00226C43">
        <w:rPr>
          <w:sz w:val="20"/>
          <w:szCs w:val="20"/>
        </w:rPr>
        <w:t xml:space="preserve"> of the program highlight its ability to deliver impactful outcomes despite resource constraints and logistical challenges. Participants consistently noted the streamlined processes, such as course counselling, visa assistance, and the use of centralised management systems, which minimised overhead costs and ensured timely support for scholars. The program's hybrid approach to learning, combining online and face-to-face sessions, was praised for maximising learning while accommodating professional commitments. Logistical support, including pre-departure briefings and real-time adjustments, ensured a smooth experience for participants, even amid challenges like government transitions and the pandemic. Additionally, the program's tailored use of local coaches and templates enabled effective project implementation and knowledge transfer. These factors collectively demonstrate the program's efficiency in delivering quality education, fostering professional development, and achieving value for money. Detailed quotes from KIIs on efficiency are set out in Appendix G.</w:t>
      </w:r>
    </w:p>
    <w:p w14:paraId="0351E7CA" w14:textId="6E2D30EA" w:rsidR="00B83C9F" w:rsidRPr="00226C43" w:rsidRDefault="4DD21A85" w:rsidP="4DD21A85">
      <w:pPr>
        <w:pStyle w:val="Heading2"/>
        <w:rPr>
          <w:rFonts w:asciiTheme="minorHAnsi" w:hAnsiTheme="minorHAnsi"/>
          <w:color w:val="auto"/>
        </w:rPr>
      </w:pPr>
      <w:bookmarkStart w:id="36" w:name="_Toc190195421"/>
      <w:bookmarkStart w:id="37" w:name="_Toc190248318"/>
      <w:r w:rsidRPr="00226C43">
        <w:rPr>
          <w:rFonts w:asciiTheme="minorHAnsi" w:hAnsiTheme="minorHAnsi"/>
          <w:color w:val="auto"/>
        </w:rPr>
        <w:t>Sustainability</w:t>
      </w:r>
      <w:bookmarkEnd w:id="36"/>
      <w:bookmarkEnd w:id="37"/>
    </w:p>
    <w:p w14:paraId="6B128953" w14:textId="00220DD5" w:rsidR="0078615C" w:rsidRPr="00226C43" w:rsidRDefault="4DD21A85" w:rsidP="00181670">
      <w:pPr>
        <w:pStyle w:val="Box"/>
      </w:pPr>
      <w:r w:rsidRPr="00226C43">
        <w:rPr>
          <w:u w:val="single"/>
        </w:rPr>
        <w:t xml:space="preserve">Key </w:t>
      </w:r>
      <w:r w:rsidR="00623F17" w:rsidRPr="00226C43">
        <w:rPr>
          <w:u w:val="single"/>
        </w:rPr>
        <w:t>Evaluation</w:t>
      </w:r>
      <w:r w:rsidRPr="00226C43">
        <w:rPr>
          <w:u w:val="single"/>
        </w:rPr>
        <w:t xml:space="preserve"> Question 4</w:t>
      </w:r>
      <w:r w:rsidRPr="00226C43">
        <w:t xml:space="preserve">: To what extent are AAAEP–P stakeholders (e.g., partner organisations and alumni communities, etc.) capable and prepared to continue the positive effects of the program without support in the long term (e.g., influencing a GPH enabling environment that supports GEDSI)? </w:t>
      </w:r>
    </w:p>
    <w:p w14:paraId="08048294" w14:textId="7E597255" w:rsidR="00623F17" w:rsidRPr="00226C43" w:rsidRDefault="005B0208" w:rsidP="00623F17">
      <w:pPr>
        <w:pStyle w:val="Heading5"/>
        <w:rPr>
          <w:rFonts w:asciiTheme="minorHAnsi" w:hAnsiTheme="minorHAnsi"/>
          <w:color w:val="auto"/>
        </w:rPr>
      </w:pPr>
      <w:r w:rsidRPr="00226C43">
        <w:rPr>
          <w:rFonts w:asciiTheme="minorHAnsi" w:hAnsiTheme="minorHAnsi"/>
          <w:color w:val="auto"/>
        </w:rPr>
        <w:t xml:space="preserve">4.1 </w:t>
      </w:r>
      <w:r w:rsidR="00623F17" w:rsidRPr="00226C43">
        <w:rPr>
          <w:rFonts w:asciiTheme="minorHAnsi" w:hAnsiTheme="minorHAnsi"/>
          <w:color w:val="auto"/>
        </w:rPr>
        <w:t>How will formal community of practice alumni groups continue to conduct activities without sustained funding from the Australian Government?</w:t>
      </w:r>
    </w:p>
    <w:p w14:paraId="292FF24B" w14:textId="2AC892E7" w:rsidR="00900F0F" w:rsidRPr="00226C43" w:rsidRDefault="4DD21A85" w:rsidP="00623F17">
      <w:r w:rsidRPr="00226C43">
        <w:t>Alumni interviewed were enthusiastic about the benefits of participating in alumni activities where those activities matched their own interests and needs.</w:t>
      </w:r>
      <w:r w:rsidR="0078429F" w:rsidRPr="00226C43">
        <w:t xml:space="preserve"> </w:t>
      </w:r>
      <w:r w:rsidRPr="00226C43">
        <w:t>Although anecdotally, several alumni valued the opportunity to engage with the Embassy, the greater interest for alumni was access to networks of Filipinos who because of the shared Australia Awards experience provided an easier entrée.</w:t>
      </w:r>
      <w:r w:rsidR="0078429F" w:rsidRPr="00226C43">
        <w:t xml:space="preserve"> </w:t>
      </w:r>
      <w:r w:rsidRPr="00226C43">
        <w:t xml:space="preserve">Essentially, the alumni activities and CoPs are vehicles for Filipinos establishing networks and resource people that they can ‘tap’ when needed. This is an interesting and highly valuable unintended consequence of the program, and a great credit to the </w:t>
      </w:r>
      <w:r w:rsidR="2CB632F0" w:rsidRPr="00226C43">
        <w:t>p</w:t>
      </w:r>
      <w:r w:rsidRPr="00226C43">
        <w:t>rogram’s ambition in that it is sufficiently flexible to be locally interpreted.</w:t>
      </w:r>
    </w:p>
    <w:p w14:paraId="61207AB4" w14:textId="1E2BFA1C" w:rsidR="00477D2E" w:rsidRPr="00226C43" w:rsidRDefault="4DD21A85" w:rsidP="4DD21A85">
      <w:r w:rsidRPr="00226C43">
        <w:t>While these networks are inherently valuable, it is unlikely that they would be sustained at the current pace and scale were funding to be withdrawn. The investment in CoPs is value for money on two counts:</w:t>
      </w:r>
      <w:r w:rsidR="0078429F" w:rsidRPr="00226C43">
        <w:t xml:space="preserve"> </w:t>
      </w:r>
      <w:r w:rsidRPr="00226C43">
        <w:t xml:space="preserve">it is incubatory for knowledge exchange and network building; and it provides the Embassy with access to a source of highly skilled strategic </w:t>
      </w:r>
      <w:r w:rsidRPr="00226C43">
        <w:lastRenderedPageBreak/>
        <w:t>thinkers (a think tank).</w:t>
      </w:r>
      <w:r w:rsidR="0078429F" w:rsidRPr="00226C43">
        <w:t xml:space="preserve"> </w:t>
      </w:r>
      <w:r w:rsidRPr="00226C43">
        <w:t>Opportunities exist to more closely leverage this expertise and thinking, particularly through alignment with the priority investment areas of the Australian aid program in the Philippines – essentially drawing on these networks to more purposefully support the mutually agreed priorities of both governments. Ongoing financial support from the Embassy, a level of continuity in CoP leadership, and consistency in coordination will be required.</w:t>
      </w:r>
    </w:p>
    <w:p w14:paraId="01A1DC31" w14:textId="1826D360" w:rsidR="000F59F3" w:rsidRPr="00226C43" w:rsidRDefault="4DD21A85" w:rsidP="00061D40">
      <w:r w:rsidRPr="00226C43">
        <w:t xml:space="preserve">More generally on sustainability, AAAEP–P delivered high quality educational outcomes to a group of highly talented and motivated individuals, building sustainability through skills development (including leadership) within </w:t>
      </w:r>
      <w:r w:rsidR="0BCFD835" w:rsidRPr="00226C43">
        <w:t>GPH</w:t>
      </w:r>
      <w:r w:rsidRPr="00226C43">
        <w:t xml:space="preserve"> and the private sector.</w:t>
      </w:r>
      <w:r w:rsidR="0078429F" w:rsidRPr="00226C43">
        <w:t xml:space="preserve"> </w:t>
      </w:r>
      <w:r w:rsidRPr="00226C43">
        <w:t>REAPs contributed to the program’s sustainability outcomes, with several individuals interviewed becoming leaders in their field citing the focus achieved through REAPs as the incubator for their work.</w:t>
      </w:r>
    </w:p>
    <w:p w14:paraId="3988E3B9" w14:textId="21AB03BD" w:rsidR="000F59F3" w:rsidRPr="00226C43" w:rsidRDefault="4DD21A85" w:rsidP="000031BD">
      <w:r w:rsidRPr="00226C43">
        <w:t xml:space="preserve">Changes in the program’s governance arrangements’ membership, </w:t>
      </w:r>
      <w:r w:rsidRPr="00226C43">
        <w:rPr>
          <w:rFonts w:eastAsia="Aptos" w:cs="Aptos"/>
        </w:rPr>
        <w:t>including shifts in membership, impacted the program’s strategic influence and sustainability</w:t>
      </w:r>
      <w:r w:rsidRPr="00226C43">
        <w:t xml:space="preserve">. The pandemic, turnovers in </w:t>
      </w:r>
      <w:r w:rsidR="763F2F9C" w:rsidRPr="00226C43">
        <w:t xml:space="preserve">GPH </w:t>
      </w:r>
      <w:r w:rsidRPr="00226C43">
        <w:t>members of governance mechanisms (PCC and Board),</w:t>
      </w:r>
      <w:r w:rsidRPr="00226C43">
        <w:rPr>
          <w:rFonts w:eastAsia="Aptos" w:cs="Aptos"/>
        </w:rPr>
        <w:t xml:space="preserve"> and variations in the level of senior management engagement from the Embassy affected the program’s strategic outcomes and long-term viability</w:t>
      </w:r>
      <w:r w:rsidRPr="00226C43">
        <w:t xml:space="preserve">. Despite this, the program continued to deliver results for individual participants and their organisations, building sustainability at these levels. </w:t>
      </w:r>
    </w:p>
    <w:p w14:paraId="5394F238" w14:textId="42BCA530" w:rsidR="000F59F3" w:rsidRPr="00226C43" w:rsidRDefault="4DD21A85" w:rsidP="00061D40">
      <w:r w:rsidRPr="00226C43">
        <w:t xml:space="preserve">Sustainability was also enhanced by a strong focus on building a sense of ‘belonging’ with the </w:t>
      </w:r>
      <w:r w:rsidR="67C128DF" w:rsidRPr="00226C43">
        <w:t>AA</w:t>
      </w:r>
      <w:r w:rsidRPr="00226C43">
        <w:t xml:space="preserve"> brand and engagement with the Embassy via various events (knowledge sharing, Ambassador’s visits etc.). This sense of belonging or association with the Embassy was cited as a motivating factor for some participants, particularly those who had studied at postgraduate level in Australia or who had travelled to Australia for short courses and fellowships.</w:t>
      </w:r>
    </w:p>
    <w:p w14:paraId="0FADE83A" w14:textId="0A7ACA78" w:rsidR="000E0FDF" w:rsidRPr="00226C43" w:rsidRDefault="4DD21A85" w:rsidP="4DD21A85">
      <w:r w:rsidRPr="00226C43">
        <w:t>From within the DFAT program management team there was a view that the alumni network would be a sustainable force for future collaboration and knowledge sharing. This was also reflected in the interviewees’ responses.</w:t>
      </w:r>
    </w:p>
    <w:p w14:paraId="1C96DBBF" w14:textId="78866CDD" w:rsidR="003134A1" w:rsidRPr="00226C43" w:rsidRDefault="00EF703E" w:rsidP="4DD21A85">
      <w:pPr>
        <w:pStyle w:val="Quote"/>
        <w:rPr>
          <w:color w:val="auto"/>
        </w:rPr>
      </w:pPr>
      <w:r w:rsidRPr="00226C43">
        <w:rPr>
          <w:color w:val="auto"/>
        </w:rPr>
        <w:t>‘</w:t>
      </w:r>
      <w:r w:rsidR="4DD21A85" w:rsidRPr="00226C43">
        <w:rPr>
          <w:color w:val="auto"/>
        </w:rPr>
        <w:t>Sustainability is not just about compliance; it is about systems and processes being embraced and integrated into how business is conducted, so it becomes the norm rather than an add-on.</w:t>
      </w:r>
      <w:r w:rsidRPr="00226C43">
        <w:rPr>
          <w:color w:val="auto"/>
        </w:rPr>
        <w:t>’</w:t>
      </w:r>
      <w:r w:rsidR="4DD21A85" w:rsidRPr="00226C43">
        <w:rPr>
          <w:color w:val="auto"/>
        </w:rPr>
        <w:t xml:space="preserve"> </w:t>
      </w:r>
      <w:r w:rsidR="009D489C" w:rsidRPr="00226C43">
        <w:rPr>
          <w:color w:val="auto"/>
        </w:rPr>
        <w:t>R3.</w:t>
      </w:r>
    </w:p>
    <w:p w14:paraId="141D34A0" w14:textId="77777777" w:rsidR="000F59F3" w:rsidRPr="00226C43" w:rsidRDefault="4DD21A85" w:rsidP="4DD21A85">
      <w:r w:rsidRPr="00226C43">
        <w:t>From a subject matter perspective, gaps in opportunities to study PhD level were mentioned, as a PhD was felt necessary for a leadership position in government. Experts in STEM indicated that the Philippines needed more high-quality research capability, and that developing the Philippines’ research capabilities via PhDs was a priority (e.g., soil science, forensics, climate change); other stakeholders indicated that the absence of a significant salary/career dividend associated with pursuing a PhD lessened its attractiveness.</w:t>
      </w:r>
    </w:p>
    <w:p w14:paraId="242EE4EE" w14:textId="1210707B" w:rsidR="008F1805" w:rsidRPr="00226C43" w:rsidRDefault="00EF703E" w:rsidP="4DD21A85">
      <w:pPr>
        <w:pStyle w:val="Quote"/>
        <w:rPr>
          <w:color w:val="auto"/>
        </w:rPr>
      </w:pPr>
      <w:r w:rsidRPr="00226C43">
        <w:rPr>
          <w:color w:val="auto"/>
        </w:rPr>
        <w:t>‘</w:t>
      </w:r>
      <w:r w:rsidR="4DD21A85" w:rsidRPr="00226C43">
        <w:rPr>
          <w:color w:val="auto"/>
        </w:rPr>
        <w:t>The agile approach from the leadership course taught us to adapt within policies and innovate while staying within regulatory boundaries, which improved our service delivery and event planning. …The re-entry action plans that we implemented created lasting frameworks for economic enterprise management that continue to deliver results years after completion.</w:t>
      </w:r>
      <w:r w:rsidRPr="00226C43">
        <w:rPr>
          <w:color w:val="auto"/>
        </w:rPr>
        <w:t>’</w:t>
      </w:r>
      <w:r w:rsidR="4DD21A85" w:rsidRPr="00226C43">
        <w:rPr>
          <w:color w:val="auto"/>
        </w:rPr>
        <w:t xml:space="preserve"> </w:t>
      </w:r>
      <w:r w:rsidR="00FB262E" w:rsidRPr="00226C43">
        <w:rPr>
          <w:color w:val="auto"/>
        </w:rPr>
        <w:t>R2.</w:t>
      </w:r>
    </w:p>
    <w:p w14:paraId="56798964" w14:textId="0C267664" w:rsidR="00230D1D" w:rsidRPr="00226C43" w:rsidRDefault="00CB4C46" w:rsidP="00061D40">
      <w:pPr>
        <w:pStyle w:val="Heading5"/>
        <w:rPr>
          <w:rFonts w:asciiTheme="minorHAnsi" w:hAnsiTheme="minorHAnsi"/>
          <w:color w:val="auto"/>
        </w:rPr>
      </w:pPr>
      <w:r w:rsidRPr="00226C43">
        <w:rPr>
          <w:rFonts w:asciiTheme="minorHAnsi" w:hAnsiTheme="minorHAnsi"/>
          <w:color w:val="auto"/>
        </w:rPr>
        <w:lastRenderedPageBreak/>
        <w:t xml:space="preserve">4.2 </w:t>
      </w:r>
      <w:r w:rsidR="00104350" w:rsidRPr="00226C43">
        <w:rPr>
          <w:rFonts w:asciiTheme="minorHAnsi" w:hAnsiTheme="minorHAnsi"/>
          <w:color w:val="auto"/>
        </w:rPr>
        <w:t xml:space="preserve">To what extent </w:t>
      </w:r>
      <w:r w:rsidR="00C472F4" w:rsidRPr="00226C43">
        <w:rPr>
          <w:rFonts w:asciiTheme="minorHAnsi" w:hAnsiTheme="minorHAnsi"/>
          <w:color w:val="auto"/>
        </w:rPr>
        <w:t>are</w:t>
      </w:r>
      <w:r w:rsidR="00797053" w:rsidRPr="00226C43">
        <w:rPr>
          <w:rFonts w:asciiTheme="minorHAnsi" w:hAnsiTheme="minorHAnsi"/>
          <w:color w:val="auto"/>
        </w:rPr>
        <w:t xml:space="preserve"> stakeholders capable and willing to continue to influence </w:t>
      </w:r>
      <w:r w:rsidR="009C6630" w:rsidRPr="00226C43">
        <w:rPr>
          <w:rFonts w:asciiTheme="minorHAnsi" w:hAnsiTheme="minorHAnsi"/>
          <w:color w:val="auto"/>
        </w:rPr>
        <w:t xml:space="preserve">a GPH enabling environment that supports </w:t>
      </w:r>
      <w:r w:rsidR="4DD21A85" w:rsidRPr="00226C43">
        <w:rPr>
          <w:rFonts w:asciiTheme="minorHAnsi" w:hAnsiTheme="minorHAnsi"/>
          <w:color w:val="auto"/>
        </w:rPr>
        <w:t>GEDSI</w:t>
      </w:r>
      <w:r w:rsidR="009C6630" w:rsidRPr="00226C43">
        <w:rPr>
          <w:rFonts w:asciiTheme="minorHAnsi" w:hAnsiTheme="minorHAnsi"/>
          <w:color w:val="auto"/>
        </w:rPr>
        <w:t>?</w:t>
      </w:r>
    </w:p>
    <w:p w14:paraId="07043B76" w14:textId="52CB1337" w:rsidR="00623497" w:rsidRPr="00226C43" w:rsidRDefault="4DD21A85" w:rsidP="000031BD">
      <w:r w:rsidRPr="00226C43">
        <w:t>The AAAEP–P has established methods to institutionalise more effective approaches for implementing GEDSI, building on the scholars’ Australian education, training, and experiences. The REAP has proven to be a highly strategic tool, especially when combined with the GEDSI course or module, in enhancing the planning and design capabilities of the scholars. In most cases, GEDSI has been thoughtfully integrated into the design of REAPs. While implementation can vary due to different factors, when a REAP is executed with the full support of the home institution and/or local government unit, GEDSI often achieves significant success. </w:t>
      </w:r>
    </w:p>
    <w:p w14:paraId="1C018C21" w14:textId="4355ECF6" w:rsidR="00623497" w:rsidRPr="00226C43" w:rsidRDefault="4DD21A85" w:rsidP="000031BD">
      <w:r w:rsidRPr="00226C43">
        <w:t>Since 2017, 56% of AAAEP–P women alumni occupied at least supervisory positions and have used their influence to improve organisational systems and processes and staff competencies. Alumni members, following their participation in a short course on GEDSI mainstreaming, have also continued to advocate for GEDSI-sensitive practices and activities such as the convening of annual regional GEDSI conference and the establishment of a gender and development certification program for regional offices of the Department of the Interior and Local Government. </w:t>
      </w:r>
    </w:p>
    <w:p w14:paraId="026993E7" w14:textId="1BB7CF77" w:rsidR="00623497" w:rsidRPr="00226C43" w:rsidRDefault="4DD21A85" w:rsidP="000031BD">
      <w:r w:rsidRPr="00226C43">
        <w:t xml:space="preserve">The Philippines Public-Private Partnerships </w:t>
      </w:r>
      <w:r w:rsidR="0059333D" w:rsidRPr="00226C43">
        <w:t>Centre</w:t>
      </w:r>
      <w:r w:rsidRPr="00226C43">
        <w:t>, a partner agency, has also adopted AAAEP–P's GEDSI scorecard to support its efforts at measuring and improving their capacity and competency on GEDSI. The scorecard was also used by the Civil Service Commission to expand their gender and development toolkit to include disability and social inclusion. </w:t>
      </w:r>
    </w:p>
    <w:p w14:paraId="7DCCBCF0" w14:textId="6700F000" w:rsidR="0042389C" w:rsidRPr="00226C43" w:rsidRDefault="00EF703E" w:rsidP="4DD21A85">
      <w:pPr>
        <w:pStyle w:val="Quote"/>
        <w:rPr>
          <w:color w:val="auto"/>
        </w:rPr>
      </w:pPr>
      <w:r w:rsidRPr="00226C43">
        <w:rPr>
          <w:color w:val="auto"/>
        </w:rPr>
        <w:t>‘</w:t>
      </w:r>
      <w:r w:rsidR="4DD21A85" w:rsidRPr="00226C43">
        <w:rPr>
          <w:color w:val="auto"/>
        </w:rPr>
        <w:t>Through the program, we included LGBTQ+ representation and persons with disabilities in key decision-making roles in our local government initiatives.</w:t>
      </w:r>
      <w:r w:rsidRPr="00226C43">
        <w:rPr>
          <w:color w:val="auto"/>
        </w:rPr>
        <w:t>’</w:t>
      </w:r>
      <w:r w:rsidR="4DD21A85" w:rsidRPr="00226C43">
        <w:rPr>
          <w:color w:val="auto"/>
        </w:rPr>
        <w:t xml:space="preserve"> </w:t>
      </w:r>
      <w:r w:rsidR="00FB262E" w:rsidRPr="00226C43">
        <w:rPr>
          <w:color w:val="auto"/>
        </w:rPr>
        <w:t>R2</w:t>
      </w:r>
    </w:p>
    <w:p w14:paraId="45AE1A3B" w14:textId="493CFBF6" w:rsidR="008245F2" w:rsidRPr="00226C43" w:rsidRDefault="4DD21A85" w:rsidP="4DD21A85">
      <w:r w:rsidRPr="00226C43">
        <w:t>During the recent GEDSI Conference organised by AAAEP–P, REAP stories highlighting GEDSI integration were highlighted through an exhibit. One of these is using plastics in the production of road construction materials, adopted by the Department of Public Works and Highways. Another is the promotion of cultural preservation and sustainable livelihood by engaging local artisan communities all over the Philippines. After joining the Women Trading Globally program, Ms. Anya Lim was able to partner with Filipino Australian entrepreneurs and bring Anthill Fabric’s collection to Melbourne and Sydney.</w:t>
      </w:r>
      <w:r w:rsidRPr="00226C43">
        <w:rPr>
          <w:vertAlign w:val="superscript"/>
        </w:rPr>
        <w:t>4</w:t>
      </w:r>
    </w:p>
    <w:p w14:paraId="01B42AB9" w14:textId="31158E8C" w:rsidR="000E23B1" w:rsidRDefault="000E23B1" w:rsidP="00623F17">
      <w:pPr>
        <w:pStyle w:val="Heading5"/>
        <w:rPr>
          <w:rFonts w:asciiTheme="minorHAnsi" w:hAnsiTheme="minorHAnsi"/>
          <w:color w:val="auto"/>
        </w:rPr>
      </w:pPr>
      <w:r w:rsidRPr="00226C43">
        <w:rPr>
          <w:rFonts w:asciiTheme="minorHAnsi" w:hAnsiTheme="minorHAnsi"/>
          <w:color w:val="auto"/>
        </w:rPr>
        <w:t>Stakeholders’ perceptions</w:t>
      </w:r>
    </w:p>
    <w:p w14:paraId="2F353C81" w14:textId="77777777" w:rsidR="003F3FB4" w:rsidRPr="00226C43" w:rsidRDefault="003F3FB4" w:rsidP="003F3FB4">
      <w:pPr>
        <w:pStyle w:val="Heading5"/>
        <w:pBdr>
          <w:top w:val="single" w:sz="4" w:space="1" w:color="auto"/>
          <w:left w:val="single" w:sz="4" w:space="4" w:color="auto"/>
          <w:bottom w:val="single" w:sz="4" w:space="1" w:color="auto"/>
          <w:right w:val="single" w:sz="4" w:space="4" w:color="auto"/>
        </w:pBdr>
        <w:shd w:val="clear" w:color="auto" w:fill="E9F5D2" w:themeFill="accent2" w:themeFillTint="33"/>
        <w:rPr>
          <w:rFonts w:asciiTheme="minorHAnsi" w:hAnsiTheme="minorHAnsi"/>
          <w:color w:val="auto"/>
          <w:sz w:val="20"/>
          <w:szCs w:val="20"/>
        </w:rPr>
      </w:pPr>
      <w:r w:rsidRPr="00226C43">
        <w:rPr>
          <w:rFonts w:asciiTheme="minorHAnsi" w:hAnsiTheme="minorHAnsi"/>
          <w:color w:val="auto"/>
          <w:sz w:val="20"/>
          <w:szCs w:val="20"/>
        </w:rPr>
        <w:t>What do key informants think about the program’s sustainability?</w:t>
      </w:r>
    </w:p>
    <w:p w14:paraId="2B68A752" w14:textId="285EE354" w:rsidR="003F3FB4" w:rsidRDefault="003F3FB4" w:rsidP="003F3FB4">
      <w:pPr>
        <w:pBdr>
          <w:top w:val="single" w:sz="4" w:space="1" w:color="auto"/>
          <w:left w:val="single" w:sz="4" w:space="4" w:color="auto"/>
          <w:bottom w:val="single" w:sz="4" w:space="1" w:color="auto"/>
          <w:right w:val="single" w:sz="4" w:space="4" w:color="auto"/>
        </w:pBdr>
        <w:shd w:val="clear" w:color="auto" w:fill="E9F5D2" w:themeFill="accent2" w:themeFillTint="33"/>
      </w:pPr>
      <w:r w:rsidRPr="00226C43">
        <w:rPr>
          <w:sz w:val="20"/>
          <w:szCs w:val="20"/>
        </w:rPr>
        <w:t xml:space="preserve">The key themes that interviewees spoke about regarding </w:t>
      </w:r>
      <w:r w:rsidRPr="00226C43">
        <w:rPr>
          <w:i/>
          <w:iCs/>
          <w:sz w:val="20"/>
          <w:szCs w:val="20"/>
        </w:rPr>
        <w:t>sustainability</w:t>
      </w:r>
      <w:r w:rsidRPr="00226C43">
        <w:rPr>
          <w:sz w:val="20"/>
          <w:szCs w:val="20"/>
        </w:rPr>
        <w:t xml:space="preserve"> focus on embedding practices and knowledge into institutional systems to ensure long-term impact. Many highlighted the importance of integrating learnings into regular operations, from governance processes and resource management to economic enterprises and public policies. Alumni networks were consistently mentioned as crucial for sustaining collaboration, knowledge exchange, and systemic improvements across various sectors. Programs that involved capacity building, evidence-based policymaking, and fostering partnerships were credited with creating enduring change. Additionally, tailored approaches such as embedding GEDSI principles, training others, and aligning initiatives with organisational strategies were recognised as essential to maintaining relevance and continuity. Collectively, these insights indicate that AAAEP–P’s sustainability is most likely to be achieved through deliberate efforts to institutionalise learnings and build effective networks. Detailed quotes from KIIs on sustainability are set out in Appendix G.</w:t>
      </w:r>
    </w:p>
    <w:p w14:paraId="47DDCC9B" w14:textId="6A221747" w:rsidR="00E012CD" w:rsidRPr="00226C43" w:rsidRDefault="4DD21A85" w:rsidP="4DD21A85">
      <w:pPr>
        <w:pStyle w:val="Heading2"/>
        <w:rPr>
          <w:rFonts w:asciiTheme="minorHAnsi" w:hAnsiTheme="minorHAnsi"/>
          <w:color w:val="auto"/>
        </w:rPr>
      </w:pPr>
      <w:bookmarkStart w:id="38" w:name="_Toc190195422"/>
      <w:bookmarkStart w:id="39" w:name="_Toc190248319"/>
      <w:r w:rsidRPr="00226C43">
        <w:rPr>
          <w:rFonts w:asciiTheme="minorHAnsi" w:hAnsiTheme="minorHAnsi"/>
          <w:color w:val="auto"/>
        </w:rPr>
        <w:lastRenderedPageBreak/>
        <w:t xml:space="preserve">GEDSI </w:t>
      </w:r>
      <w:r w:rsidR="00684CDB" w:rsidRPr="00226C43">
        <w:rPr>
          <w:rFonts w:asciiTheme="minorHAnsi" w:hAnsiTheme="minorHAnsi"/>
          <w:color w:val="auto"/>
        </w:rPr>
        <w:t>Findings</w:t>
      </w:r>
      <w:bookmarkEnd w:id="38"/>
      <w:bookmarkEnd w:id="39"/>
    </w:p>
    <w:p w14:paraId="0F822411" w14:textId="02850EC3" w:rsidR="005230BC" w:rsidRPr="00226C43" w:rsidRDefault="4DD21A85" w:rsidP="00181670">
      <w:pPr>
        <w:pStyle w:val="Box"/>
      </w:pPr>
      <w:r w:rsidRPr="00226C43">
        <w:rPr>
          <w:u w:val="single"/>
        </w:rPr>
        <w:t xml:space="preserve">Key </w:t>
      </w:r>
      <w:r w:rsidR="00623F17" w:rsidRPr="00226C43">
        <w:rPr>
          <w:u w:val="single"/>
        </w:rPr>
        <w:t>Evaluation</w:t>
      </w:r>
      <w:r w:rsidRPr="00226C43">
        <w:rPr>
          <w:u w:val="single"/>
        </w:rPr>
        <w:t xml:space="preserve"> Question 5</w:t>
      </w:r>
      <w:r w:rsidRPr="00226C43">
        <w:t>: Questions related to equity and inclusion are integrated in each of the evaluation criteria to examine the extent, benefits, challenges and lessons learned in GEDSI mainstreaming used by the AAAEP–P. This reflects the updated program logic which weaves GEDSI into all outcomes.</w:t>
      </w:r>
    </w:p>
    <w:p w14:paraId="45FF2E10" w14:textId="1F87DE74" w:rsidR="007B21AE" w:rsidRPr="00226C43" w:rsidRDefault="4DD21A85" w:rsidP="00061D40">
      <w:r w:rsidRPr="00226C43">
        <w:t xml:space="preserve">Consistent with the latest </w:t>
      </w:r>
      <w:proofErr w:type="spellStart"/>
      <w:r w:rsidRPr="00226C43">
        <w:t>Aidworks</w:t>
      </w:r>
      <w:proofErr w:type="spellEnd"/>
      <w:r w:rsidRPr="00226C43">
        <w:t xml:space="preserve"> Annual Investment Monitoring Report, the Evaluation Team found the AAAEP–P performing strongly in terms of GEDSI mainstreaming (5/6), as evidenced by the integration of GEDSI across its processes. The program has supported a range of activities promoting GEDSI, including GEDSI Summits and Conferences, Alumni Grant Scheme-funded projects that promote and protect the rights of Indigenous Peoples, the Alumni Knowledge Sharing Series, and GEDSI Communities of Practice.</w:t>
      </w:r>
    </w:p>
    <w:p w14:paraId="56DF00C4" w14:textId="17D7511C" w:rsidR="007B21AE" w:rsidRPr="00226C43" w:rsidRDefault="4DD21A85" w:rsidP="00061D40">
      <w:r w:rsidRPr="00226C43">
        <w:t xml:space="preserve">Although GEDSI is not explicitly listed as one of </w:t>
      </w:r>
      <w:r w:rsidR="606B40A7" w:rsidRPr="00226C43">
        <w:t>GPH’s</w:t>
      </w:r>
      <w:r w:rsidRPr="00226C43">
        <w:t xml:space="preserve"> Organisational Development Goals, the AAAEP–P has strengthened its project management through the active integration of GEDSI in its key documents (such as the GEDSI Strategy and MEL Strategy and Plan), processes, operations, and, to the extent possible, in course contents and the re-entry action plans for scholars</w:t>
      </w:r>
    </w:p>
    <w:p w14:paraId="1189A9C7" w14:textId="75FB821F" w:rsidR="007B21AE" w:rsidRPr="00226C43" w:rsidRDefault="4DD21A85" w:rsidP="4DD21A85">
      <w:r w:rsidRPr="00226C43">
        <w:t xml:space="preserve">While there were few observations that could improve AAAEP–P’s GEDSI practice, </w:t>
      </w:r>
      <w:proofErr w:type="gramStart"/>
      <w:r w:rsidR="00E7709F" w:rsidRPr="00226C43">
        <w:t xml:space="preserve">the </w:t>
      </w:r>
      <w:r w:rsidRPr="00226C43">
        <w:t>majority of</w:t>
      </w:r>
      <w:proofErr w:type="gramEnd"/>
      <w:r w:rsidRPr="00226C43">
        <w:t xml:space="preserve"> the Alumni Network interviewed by the Evaluation Team confirmed the positive processes practiced by AAAEP–P such as the GEDSI briefings and lectures, reasonable accommodation for scholars with disability/disabilities, and integration of GEDSI in their REAPs. The Evaluation Team also lauds AAAEP–P’s gender scorecard or checklist for their activities. </w:t>
      </w:r>
    </w:p>
    <w:p w14:paraId="0B724D7D" w14:textId="62DEE49D" w:rsidR="001A3A59" w:rsidRPr="00226C43" w:rsidRDefault="4DD21A85" w:rsidP="001A3A59">
      <w:r w:rsidRPr="00226C43">
        <w:t>Unpacking the GEDSI concept continuum, AAAEP–P was very good in supporting female empowerment, disability-inclusion, as well as members of the indigenous groups. There was not much focus extended towards understanding and integration of LGBTQIA+ rights and other elements of social inclusion</w:t>
      </w:r>
      <w:r w:rsidR="0030274E" w:rsidRPr="00226C43">
        <w:t xml:space="preserve">, such as </w:t>
      </w:r>
      <w:r w:rsidR="001A3A59" w:rsidRPr="00226C43">
        <w:t xml:space="preserve">LGBTQIA+ sensitisation, inclusion of LGBTQIA+-led activities from among the scholars themselves, and the continuing discourse about </w:t>
      </w:r>
      <w:r w:rsidR="00B91CC9" w:rsidRPr="00226C43">
        <w:t>the</w:t>
      </w:r>
      <w:r w:rsidR="001A3A59" w:rsidRPr="00226C43">
        <w:t xml:space="preserve"> issues</w:t>
      </w:r>
      <w:r w:rsidR="00B91CC9" w:rsidRPr="00226C43">
        <w:t xml:space="preserve"> of LGBTQIA+ people</w:t>
      </w:r>
      <w:r w:rsidR="001A3A59" w:rsidRPr="00226C43">
        <w:t xml:space="preserve"> as part of the broader social inclusion efforts of the Program. </w:t>
      </w:r>
    </w:p>
    <w:p w14:paraId="17D6FA39" w14:textId="78324A7E" w:rsidR="00724927" w:rsidRDefault="4DD21A85" w:rsidP="4DD21A85">
      <w:r w:rsidRPr="00226C43">
        <w:t>The evaluation team also observed there was no human resource dedicated for GEDSI alone, and the budget for GEDSI implementation was mostly mainstreamed in regular budget items.</w:t>
      </w:r>
      <w:r w:rsidR="0078429F" w:rsidRPr="00226C43">
        <w:t xml:space="preserve"> </w:t>
      </w:r>
    </w:p>
    <w:p w14:paraId="3C60CB05" w14:textId="77777777" w:rsidR="00724927" w:rsidRDefault="00724927">
      <w:pPr>
        <w:suppressAutoHyphens w:val="0"/>
        <w:spacing w:after="0"/>
      </w:pPr>
      <w:r>
        <w:br w:type="page"/>
      </w:r>
    </w:p>
    <w:p w14:paraId="55FDE88B" w14:textId="63F73451" w:rsidR="00E66EB1" w:rsidRDefault="00E66EB1" w:rsidP="00623F17">
      <w:pPr>
        <w:pStyle w:val="Heading5"/>
        <w:rPr>
          <w:rFonts w:asciiTheme="minorHAnsi" w:hAnsiTheme="minorHAnsi"/>
          <w:color w:val="auto"/>
        </w:rPr>
      </w:pPr>
      <w:r w:rsidRPr="00226C43">
        <w:rPr>
          <w:rFonts w:asciiTheme="minorHAnsi" w:hAnsiTheme="minorHAnsi"/>
          <w:color w:val="auto"/>
        </w:rPr>
        <w:lastRenderedPageBreak/>
        <w:t>Stakeholders’ perceptions</w:t>
      </w:r>
    </w:p>
    <w:p w14:paraId="102BE670" w14:textId="77777777" w:rsidR="003F3FB4" w:rsidRPr="00226C43" w:rsidRDefault="003F3FB4" w:rsidP="003F3FB4">
      <w:pPr>
        <w:pStyle w:val="Heading5"/>
        <w:pBdr>
          <w:top w:val="single" w:sz="4" w:space="1" w:color="auto"/>
          <w:left w:val="single" w:sz="4" w:space="4" w:color="auto"/>
          <w:bottom w:val="single" w:sz="4" w:space="1" w:color="auto"/>
          <w:right w:val="single" w:sz="4" w:space="4" w:color="auto"/>
        </w:pBdr>
        <w:shd w:val="clear" w:color="auto" w:fill="E9F5D2" w:themeFill="accent2" w:themeFillTint="33"/>
        <w:rPr>
          <w:rFonts w:asciiTheme="minorHAnsi" w:hAnsiTheme="minorHAnsi"/>
          <w:color w:val="auto"/>
          <w:sz w:val="20"/>
          <w:szCs w:val="20"/>
        </w:rPr>
      </w:pPr>
      <w:r w:rsidRPr="00226C43">
        <w:rPr>
          <w:rFonts w:asciiTheme="minorHAnsi" w:hAnsiTheme="minorHAnsi"/>
          <w:color w:val="auto"/>
          <w:sz w:val="20"/>
          <w:szCs w:val="20"/>
        </w:rPr>
        <w:t>What do key informants think about AAAEP–P’s approach to GEDSI?</w:t>
      </w:r>
    </w:p>
    <w:p w14:paraId="7F340F54" w14:textId="77777777" w:rsidR="003F3FB4" w:rsidRPr="00226C43" w:rsidRDefault="003F3FB4" w:rsidP="003F3FB4">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The key themes that interviewees spoke about regarding GEDSI highlighted the importance of embedding inclusion principles across all aspects of the program and beyond. Many emphasised that the program successfully integrated GEDSI components into its scholarships, short courses, and REAPs, ensuring gender sensitivity, equity, and disability inclusion were not treated as add-ons but as central elements of capacity-building. Alumni credited GEDSI-focused training with enabling them to design inclusive policies, improve workplace practices, and advocate for underrepresented groups in their respective sectors.</w:t>
      </w:r>
    </w:p>
    <w:p w14:paraId="0B3D1602" w14:textId="77777777" w:rsidR="003F3FB4" w:rsidRPr="00226C43" w:rsidRDefault="003F3FB4" w:rsidP="003F3FB4">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Several participants shared examples of GEDSI principles fostering systemic change, such as introducing employment quotas for persons with disabilities, empowering women in traditionally male-dominated fields, and supporting marginalised communities through economic and social development initiatives. Integration of GEDSI into alumni networks was seen as critical for sustaining these efforts and promoting collaboration among diverse groups.</w:t>
      </w:r>
    </w:p>
    <w:p w14:paraId="41821462" w14:textId="77777777" w:rsidR="003F3FB4" w:rsidRPr="00226C43" w:rsidRDefault="003F3FB4" w:rsidP="003F3FB4">
      <w:pPr>
        <w:pBdr>
          <w:top w:val="single" w:sz="4" w:space="1" w:color="auto"/>
          <w:left w:val="single" w:sz="4" w:space="4" w:color="auto"/>
          <w:bottom w:val="single" w:sz="4" w:space="1" w:color="auto"/>
          <w:right w:val="single" w:sz="4" w:space="4" w:color="auto"/>
        </w:pBdr>
        <w:shd w:val="clear" w:color="auto" w:fill="E9F5D2" w:themeFill="accent2" w:themeFillTint="33"/>
        <w:rPr>
          <w:sz w:val="20"/>
          <w:szCs w:val="20"/>
        </w:rPr>
      </w:pPr>
      <w:r w:rsidRPr="00226C43">
        <w:rPr>
          <w:sz w:val="20"/>
          <w:szCs w:val="20"/>
        </w:rPr>
        <w:t>However, some interviewees highlighted areas for improvement, such as the need for more targeted activities to support persons with disabilities, greater inclusivity in alumni engagement, and structured approaches to integrating GEDSI principles into program implementation. Others called for expanded outreach to marginalised groups, including LGBTQIA+ individuals and indigenous populations, to ensure that inclusivity efforts address diverse identities and needs comprehensively.</w:t>
      </w:r>
    </w:p>
    <w:p w14:paraId="3157CBA2" w14:textId="3654BC48" w:rsidR="003F3FB4" w:rsidRPr="003F3FB4" w:rsidRDefault="003F3FB4" w:rsidP="003F3FB4">
      <w:pPr>
        <w:pBdr>
          <w:top w:val="single" w:sz="4" w:space="1" w:color="auto"/>
          <w:left w:val="single" w:sz="4" w:space="4" w:color="auto"/>
          <w:bottom w:val="single" w:sz="4" w:space="1" w:color="auto"/>
          <w:right w:val="single" w:sz="4" w:space="4" w:color="auto"/>
        </w:pBdr>
        <w:shd w:val="clear" w:color="auto" w:fill="E9F5D2" w:themeFill="accent2" w:themeFillTint="33"/>
      </w:pPr>
      <w:r w:rsidRPr="00226C43">
        <w:rPr>
          <w:sz w:val="20"/>
          <w:szCs w:val="20"/>
        </w:rPr>
        <w:t>Overall, interviewees consistently stressed the transformative impact of the program’s approach to GEDSI in shaping their approaches to leadership, governance, and community development, noting its potential to create lasting change across sectors and communities.</w:t>
      </w:r>
    </w:p>
    <w:p w14:paraId="75E09514" w14:textId="4E42BADB" w:rsidR="0050367A" w:rsidRPr="00226C43" w:rsidRDefault="0050367A" w:rsidP="4DD21A85">
      <w:r w:rsidRPr="00226C43">
        <w:br w:type="page"/>
      </w:r>
    </w:p>
    <w:p w14:paraId="755942DE" w14:textId="190A3B5A" w:rsidR="00E012CD" w:rsidRPr="00226C43" w:rsidRDefault="4DD21A85" w:rsidP="00061D40">
      <w:pPr>
        <w:pStyle w:val="Heading1"/>
        <w:rPr>
          <w:rFonts w:asciiTheme="minorHAnsi" w:hAnsiTheme="minorHAnsi"/>
          <w:color w:val="auto"/>
        </w:rPr>
      </w:pPr>
      <w:bookmarkStart w:id="40" w:name="_Toc190195423"/>
      <w:bookmarkStart w:id="41" w:name="_Toc190248320"/>
      <w:r w:rsidRPr="00226C43">
        <w:rPr>
          <w:rFonts w:asciiTheme="minorHAnsi" w:hAnsiTheme="minorHAnsi"/>
          <w:color w:val="auto"/>
        </w:rPr>
        <w:lastRenderedPageBreak/>
        <w:t>Lessons Learned</w:t>
      </w:r>
      <w:bookmarkEnd w:id="40"/>
      <w:bookmarkEnd w:id="41"/>
    </w:p>
    <w:p w14:paraId="499A4166" w14:textId="5AC9BC41" w:rsidR="007F78C6" w:rsidRPr="00226C43" w:rsidRDefault="00453B3A" w:rsidP="00181670">
      <w:pPr>
        <w:pStyle w:val="Box"/>
      </w:pPr>
      <w:r w:rsidRPr="00226C43">
        <w:t>L</w:t>
      </w:r>
      <w:r w:rsidR="4DD21A85" w:rsidRPr="00226C43">
        <w:t>essons can be drawn from AAAEP–P’s implementation to improve outcomes and inform its successor program?</w:t>
      </w:r>
    </w:p>
    <w:p w14:paraId="3E8E113B" w14:textId="0E99A50C" w:rsidR="00607BC2" w:rsidRPr="00226C43" w:rsidRDefault="4DD21A85" w:rsidP="00511F8A">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Adhering to Selection Processes</w:t>
      </w:r>
    </w:p>
    <w:p w14:paraId="6B37D188" w14:textId="77777777" w:rsidR="00607BC2" w:rsidRPr="00226C43" w:rsidRDefault="4DD21A85" w:rsidP="00623F17">
      <w:r w:rsidRPr="00226C43">
        <w:t>Strict adherence to agreed selection processes is essential to maintaining the integrity and reputation of Australia Awards. Any deviations must be transparently declared and clearly communicated to governance bodies to uphold trust and accountability.</w:t>
      </w:r>
    </w:p>
    <w:p w14:paraId="576E4B16" w14:textId="21A92060" w:rsidR="00607BC2" w:rsidRPr="00226C43" w:rsidRDefault="4DD21A85" w:rsidP="00511F8A">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Maintaining Relevance to Development Objectives</w:t>
      </w:r>
    </w:p>
    <w:p w14:paraId="5EF0007F" w14:textId="14E02137" w:rsidR="00607BC2" w:rsidRPr="00226C43" w:rsidRDefault="4DD21A85" w:rsidP="00623F17">
      <w:pPr>
        <w:suppressAutoHyphens w:val="0"/>
        <w:spacing w:after="0"/>
        <w:rPr>
          <w:rFonts w:cs="Calibri Light"/>
        </w:rPr>
      </w:pPr>
      <w:r w:rsidRPr="00226C43">
        <w:rPr>
          <w:rFonts w:cs="Calibri Light"/>
        </w:rPr>
        <w:t xml:space="preserve">The relevance of an ODA-funded scholarship program is rooted in its alignment with the development objectives of the partner country, as outlined in frameworks like the Philippine Development Plan, Australia’s </w:t>
      </w:r>
      <w:r w:rsidRPr="00226C43">
        <w:t>International Development Policy, and the Development Partnership Plan (DPP). As agreements on how Australia will support these objectives may evolve, the program must be structured to adapt swiftly to emerging priorities without compromising</w:t>
      </w:r>
      <w:r w:rsidRPr="00226C43">
        <w:rPr>
          <w:rFonts w:cs="Calibri Light"/>
        </w:rPr>
        <w:t xml:space="preserve"> its established success in Australia’s development engagement in the Philippines.</w:t>
      </w:r>
    </w:p>
    <w:p w14:paraId="384FEB1E" w14:textId="439BA233" w:rsidR="00607BC2" w:rsidRPr="00226C43" w:rsidRDefault="4DD21A85" w:rsidP="00511F8A">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Maximising Investment in Alumni</w:t>
      </w:r>
    </w:p>
    <w:p w14:paraId="721E8274" w14:textId="2A3D0ADC" w:rsidR="00161DCE" w:rsidRPr="00226C43" w:rsidRDefault="4DD21A85" w:rsidP="00623F17">
      <w:r w:rsidRPr="00226C43">
        <w:t>Alumni engagement is most effective when alumni see clear benefits in participating in activities and experience an open and inclusive environment. Supporting alumni activities, particularly those focused on specific topics, generates momentum, interest and influence. Engaging with the Embassy during these activities further enhances their impact. Resourcing is necessary to sustain these efforts, both for the program and the Embassy.</w:t>
      </w:r>
    </w:p>
    <w:p w14:paraId="21F75416" w14:textId="6B947CEA" w:rsidR="4DD21A85" w:rsidRPr="00226C43" w:rsidRDefault="00EF703E" w:rsidP="4DD21A85">
      <w:pPr>
        <w:pStyle w:val="Quote"/>
        <w:rPr>
          <w:color w:val="auto"/>
        </w:rPr>
      </w:pPr>
      <w:r w:rsidRPr="00226C43">
        <w:rPr>
          <w:color w:val="auto"/>
        </w:rPr>
        <w:t>‘</w:t>
      </w:r>
      <w:r w:rsidR="4DD21A85" w:rsidRPr="00226C43">
        <w:rPr>
          <w:color w:val="auto"/>
        </w:rPr>
        <w:t xml:space="preserve">Expanding outreach to underrepresented groups, such as persons with </w:t>
      </w:r>
      <w:r w:rsidR="51F8BBA7" w:rsidRPr="00226C43">
        <w:rPr>
          <w:color w:val="auto"/>
        </w:rPr>
        <w:t>disabilities</w:t>
      </w:r>
      <w:r w:rsidR="4DD21A85" w:rsidRPr="00226C43">
        <w:rPr>
          <w:color w:val="auto"/>
        </w:rPr>
        <w:t>, would enhance inclusivity in future programs.</w:t>
      </w:r>
      <w:r w:rsidRPr="00226C43">
        <w:rPr>
          <w:color w:val="auto"/>
        </w:rPr>
        <w:t>’</w:t>
      </w:r>
      <w:r w:rsidR="4DD21A85" w:rsidRPr="00226C43">
        <w:rPr>
          <w:color w:val="auto"/>
        </w:rPr>
        <w:t xml:space="preserve"> </w:t>
      </w:r>
      <w:r w:rsidR="008A4A11" w:rsidRPr="00226C43">
        <w:rPr>
          <w:color w:val="auto"/>
        </w:rPr>
        <w:t>R2.</w:t>
      </w:r>
    </w:p>
    <w:p w14:paraId="581C7C76" w14:textId="3FCD0221" w:rsidR="00205600" w:rsidRPr="00226C43" w:rsidRDefault="4DD21A85" w:rsidP="00511F8A">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Be Clear with Your Brand</w:t>
      </w:r>
    </w:p>
    <w:p w14:paraId="62E17B25" w14:textId="77777777" w:rsidR="00623F17" w:rsidRPr="00226C43" w:rsidRDefault="4DD21A85" w:rsidP="00623F17">
      <w:r w:rsidRPr="00226C43">
        <w:t>Clearly articulate AAAEP–P's purpose and priorities to stakeholders, particularly if transitioning from development to public diplomacy. Define directions, values, and selection processes to ensure alignment with the Mission's priorities.</w:t>
      </w:r>
    </w:p>
    <w:p w14:paraId="36AC3D30" w14:textId="279A3B4B" w:rsidR="00205600" w:rsidRPr="00226C43" w:rsidRDefault="4DD21A85" w:rsidP="00623F17">
      <w:r w:rsidRPr="00226C43">
        <w:t>Strategically harmonise the tension between development and public diplomacy. Leverage AAAEP–P’s role in supporting issues, themes, or advocacies already funded by other DFAT projects to foster collaboration and deepen analytics, particularly in areas like GEDSI.</w:t>
      </w:r>
    </w:p>
    <w:p w14:paraId="08B41E8D" w14:textId="6D48FA90" w:rsidR="00205600" w:rsidRPr="00226C43" w:rsidRDefault="4DD21A85" w:rsidP="00511F8A">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Get Organised</w:t>
      </w:r>
    </w:p>
    <w:p w14:paraId="0104BEF9" w14:textId="77777777" w:rsidR="00205600" w:rsidRPr="00226C43" w:rsidRDefault="4DD21A85" w:rsidP="00623F17">
      <w:r w:rsidRPr="00226C43">
        <w:t>Respond to alumni requests for improved visibility into their peers' projects, locations, and affiliations to facilitate bilateral and group networking. Enhance existing platforms for publicly acceptable information sharing with DFAT's support.</w:t>
      </w:r>
    </w:p>
    <w:p w14:paraId="2E1F0F54" w14:textId="3E5FEA1B" w:rsidR="00205600" w:rsidRPr="00226C43" w:rsidRDefault="4DD21A85" w:rsidP="00623F17">
      <w:r w:rsidRPr="00226C43">
        <w:lastRenderedPageBreak/>
        <w:t>Establish organised knowledge or talent-sharing platforms to enable DFAT to design strategic learning events or discussions with alumni, creating opportunities for collaboration and knowledge exchange.</w:t>
      </w:r>
    </w:p>
    <w:p w14:paraId="789BDE2F" w14:textId="77777777" w:rsidR="00205600" w:rsidRPr="00226C43" w:rsidRDefault="4DD21A85" w:rsidP="00623F17">
      <w:r w:rsidRPr="00226C43">
        <w:t>Keep alumni networks updated on Australia's current and emerging priorities to strengthen their potential as technical or strategic advisors. However, ensure equity considerations for other stakeholders and service providers when seeking alumni input.</w:t>
      </w:r>
    </w:p>
    <w:p w14:paraId="0EA7A029" w14:textId="00A4E494" w:rsidR="00205600" w:rsidRPr="00226C43" w:rsidRDefault="4DD21A85" w:rsidP="00511F8A">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Building and Maintaining Relationships Comes with a Cost</w:t>
      </w:r>
    </w:p>
    <w:p w14:paraId="4FB7F021" w14:textId="21DC6BF8" w:rsidR="00205600" w:rsidRPr="00226C43" w:rsidRDefault="4DD21A85" w:rsidP="00623F17">
      <w:r w:rsidRPr="00226C43">
        <w:t>Acknowledge that sustaining relationships with alumni requires regular support. While alumni often contribute to give back to Australia, the Embassy should invest in sustaining these networks, such as by providing dedicated secretariat support to coordinate activities and maintain engagement.</w:t>
      </w:r>
    </w:p>
    <w:p w14:paraId="57C2A2CE" w14:textId="77777777" w:rsidR="00607BC2" w:rsidRPr="00226C43" w:rsidRDefault="4DD21A85" w:rsidP="00511F8A">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Strengthening GEDSI Mainstreaming</w:t>
      </w:r>
    </w:p>
    <w:p w14:paraId="60EC967F" w14:textId="0DB1C9F3" w:rsidR="00607BC2" w:rsidRPr="00226C43" w:rsidRDefault="687F13E7" w:rsidP="00623F17">
      <w:r w:rsidRPr="00226C43">
        <w:t>AA’s</w:t>
      </w:r>
      <w:r w:rsidR="4DD21A85" w:rsidRPr="00226C43">
        <w:t xml:space="preserve"> strength in GEDSI integration is evident through its development and use of scorecards to enhance partner organisations’ GEDSI capacity and guide internal implementation. While these tools are valuable, their effectiveness depends on consistent application and utilisation.</w:t>
      </w:r>
    </w:p>
    <w:p w14:paraId="6F5661EC" w14:textId="359DA4FB" w:rsidR="00607BC2" w:rsidRPr="00226C43" w:rsidRDefault="4DD21A85" w:rsidP="00623F17">
      <w:r w:rsidRPr="00226C43">
        <w:t xml:space="preserve">The remaining program term offers an opportunity to deepen the understanding and practice of GEDSI, recognising it as a framework for intersectionality. This presents the </w:t>
      </w:r>
      <w:proofErr w:type="spellStart"/>
      <w:r w:rsidR="6967E897" w:rsidRPr="00226C43">
        <w:t>GoA</w:t>
      </w:r>
      <w:proofErr w:type="spellEnd"/>
      <w:r w:rsidRPr="00226C43">
        <w:t xml:space="preserve"> with a chance to demonstrate thought leadership and influence among </w:t>
      </w:r>
      <w:r w:rsidR="6967E897" w:rsidRPr="00226C43">
        <w:t>GPH</w:t>
      </w:r>
      <w:r w:rsidRPr="00226C43">
        <w:t xml:space="preserve"> agencies through the AAAEP–P.</w:t>
      </w:r>
    </w:p>
    <w:p w14:paraId="273EB8CB" w14:textId="7D5A910F" w:rsidR="00CD20E9" w:rsidRPr="00226C43" w:rsidRDefault="4DD21A85" w:rsidP="00623F17">
      <w:pPr>
        <w:pStyle w:val="Heading5"/>
        <w:rPr>
          <w:rFonts w:asciiTheme="minorHAnsi" w:hAnsiTheme="minorHAnsi"/>
          <w:color w:val="auto"/>
        </w:rPr>
      </w:pPr>
      <w:r w:rsidRPr="00226C43">
        <w:rPr>
          <w:rFonts w:asciiTheme="minorHAnsi" w:hAnsiTheme="minorHAnsi"/>
          <w:color w:val="auto"/>
        </w:rPr>
        <w:t>What do alumni say are the key lessons for AAAEP–P?</w:t>
      </w:r>
    </w:p>
    <w:p w14:paraId="46D4B2DA" w14:textId="68595369" w:rsidR="00CD20E9" w:rsidRPr="00226C43" w:rsidRDefault="4DD21A85" w:rsidP="00724927">
      <w:r w:rsidRPr="00226C43">
        <w:t xml:space="preserve">The key themes that interviewees spoke about in relation to lessons learned from the </w:t>
      </w:r>
      <w:r w:rsidR="4AD547C9" w:rsidRPr="00226C43">
        <w:t>p</w:t>
      </w:r>
      <w:r w:rsidRPr="00226C43">
        <w:t xml:space="preserve">rogram revolve around adaptability, inclusivity, strategic alignment, and effective implementation. Many highlighted the importance of tailoring programs to different contexts and maintaining flexibility to balance emerging priorities with core objectives. The need for strong governance, clear communication, and collaboration between stakeholders was emphasised as critical </w:t>
      </w:r>
      <w:r w:rsidR="7AF08794" w:rsidRPr="00226C43">
        <w:t>for p</w:t>
      </w:r>
      <w:r w:rsidRPr="00226C43">
        <w:t xml:space="preserve">rogram success. Alumni networks emerged as a recurring theme, with suggestions to leverage them for strategic collaborations, improved engagement, and sustained impacts. Inclusivity in all aspects—from participant selection to event logistics—was identified as essential for reflecting </w:t>
      </w:r>
      <w:r w:rsidR="68C68E14" w:rsidRPr="00226C43">
        <w:t>p</w:t>
      </w:r>
      <w:r w:rsidRPr="00226C43">
        <w:t>rogram values and reaching underserved groups. Effective implementation of REAPs required adequate preparation time, funding, and long-term mentorship to maximise outcomes. Additionally, the importance of academic preparedness, clear expectations, and stakeholder buy-in (particularly by senior management in GPH agencies) were underlined as pivotal for aligning training outcomes with organisational needs. Interviewees also recognised the significance of fostering partnerships at local, national, and international levels to ensure programs address evolving geopolitical and community challenges.</w:t>
      </w:r>
    </w:p>
    <w:p w14:paraId="52B494A8" w14:textId="2C43F9D9" w:rsidR="009C2909" w:rsidRPr="00226C43" w:rsidRDefault="009C2909" w:rsidP="4DD21A85">
      <w:pPr>
        <w:suppressAutoHyphens w:val="0"/>
        <w:spacing w:after="0"/>
        <w:rPr>
          <w:b/>
          <w:sz w:val="20"/>
          <w:szCs w:val="20"/>
        </w:rPr>
      </w:pPr>
      <w:r w:rsidRPr="00226C43">
        <w:br w:type="page"/>
      </w:r>
    </w:p>
    <w:p w14:paraId="6D3136CA" w14:textId="6EF55EF6" w:rsidR="001018A1" w:rsidRPr="00226C43" w:rsidRDefault="4DD21A85" w:rsidP="4DD21A85">
      <w:pPr>
        <w:pStyle w:val="Heading1"/>
        <w:rPr>
          <w:rFonts w:asciiTheme="minorHAnsi" w:hAnsiTheme="minorHAnsi"/>
          <w:color w:val="auto"/>
        </w:rPr>
      </w:pPr>
      <w:bookmarkStart w:id="42" w:name="_Toc190195424"/>
      <w:bookmarkStart w:id="43" w:name="_Toc190248321"/>
      <w:r w:rsidRPr="00226C43">
        <w:rPr>
          <w:rFonts w:asciiTheme="minorHAnsi" w:hAnsiTheme="minorHAnsi"/>
          <w:color w:val="auto"/>
        </w:rPr>
        <w:lastRenderedPageBreak/>
        <w:t>Conclusions</w:t>
      </w:r>
      <w:bookmarkEnd w:id="42"/>
      <w:bookmarkEnd w:id="43"/>
    </w:p>
    <w:p w14:paraId="4AC8B6B9" w14:textId="3D2E0DB0" w:rsidR="001018A1" w:rsidRPr="00226C43" w:rsidRDefault="4DD21A85" w:rsidP="00511F8A">
      <w:pPr>
        <w:pStyle w:val="Heading3nonumber"/>
        <w:numPr>
          <w:ilvl w:val="0"/>
          <w:numId w:val="0"/>
        </w:numPr>
        <w:rPr>
          <w:rFonts w:asciiTheme="minorHAnsi" w:hAnsiTheme="minorHAnsi"/>
          <w:color w:val="auto"/>
        </w:rPr>
      </w:pPr>
      <w:r w:rsidRPr="00226C43">
        <w:rPr>
          <w:rFonts w:asciiTheme="minorHAnsi" w:hAnsiTheme="minorHAnsi"/>
          <w:color w:val="auto"/>
        </w:rPr>
        <w:t>Relevance</w:t>
      </w:r>
    </w:p>
    <w:p w14:paraId="580A18E0" w14:textId="2E0FC1D8" w:rsidR="00D04024" w:rsidRPr="00226C43" w:rsidRDefault="4DD21A85" w:rsidP="00725C73">
      <w:r w:rsidRPr="00226C43">
        <w:t xml:space="preserve">Over the evaluation period, the </w:t>
      </w:r>
      <w:r w:rsidR="7CC82EB3" w:rsidRPr="00226C43">
        <w:t>p</w:t>
      </w:r>
      <w:r w:rsidRPr="00226C43">
        <w:t xml:space="preserve">rogram consistently demonstrated strong alignment with the strategic priorities of both the </w:t>
      </w:r>
      <w:proofErr w:type="spellStart"/>
      <w:r w:rsidRPr="00226C43">
        <w:t>GoA</w:t>
      </w:r>
      <w:proofErr w:type="spellEnd"/>
      <w:r w:rsidRPr="00226C43">
        <w:t xml:space="preserve"> and GPH. It successfully integrated GEDSI principles into its framework, ensuring it addressed critical development needs. The program’s adaptability to emerging themes like climate change and digital transformation further reinforced its relevance, reflecting its responsiveness to evolving priorities. AQR Rating trends consistently reflect high performance, averaging </w:t>
      </w:r>
      <w:r w:rsidRPr="00226C43">
        <w:rPr>
          <w:b/>
          <w:bCs/>
        </w:rPr>
        <w:t>5 out of 6</w:t>
      </w:r>
      <w:r w:rsidRPr="00226C43">
        <w:t>.</w:t>
      </w:r>
    </w:p>
    <w:p w14:paraId="32A7A714" w14:textId="3B695ECE" w:rsidR="00D04024" w:rsidRPr="00226C43" w:rsidRDefault="4DD21A85" w:rsidP="004E3950">
      <w:pPr>
        <w:spacing w:after="0"/>
      </w:pPr>
      <w:r w:rsidRPr="00226C43">
        <w:t xml:space="preserve">The evaluation team rates the program’s relevance at </w:t>
      </w:r>
      <w:r w:rsidRPr="00226C43">
        <w:rPr>
          <w:b/>
          <w:bCs/>
        </w:rPr>
        <w:t>5.5</w:t>
      </w:r>
      <w:r w:rsidR="004D7225" w:rsidRPr="00226C43">
        <w:rPr>
          <w:b/>
          <w:bCs/>
        </w:rPr>
        <w:t xml:space="preserve"> out of </w:t>
      </w:r>
      <w:r w:rsidRPr="00226C43">
        <w:rPr>
          <w:b/>
          <w:bCs/>
        </w:rPr>
        <w:t>6</w:t>
      </w:r>
      <w:r w:rsidRPr="00226C43">
        <w:t>.</w:t>
      </w:r>
    </w:p>
    <w:p w14:paraId="7D6901BA" w14:textId="2D8C5456" w:rsidR="00882086" w:rsidRPr="00226C43" w:rsidRDefault="4DD21A85" w:rsidP="00925CC1">
      <w:pPr>
        <w:pStyle w:val="ListParagraph"/>
        <w:numPr>
          <w:ilvl w:val="0"/>
          <w:numId w:val="33"/>
        </w:numPr>
        <w:ind w:left="284" w:hanging="284"/>
      </w:pPr>
      <w:r w:rsidRPr="00226C43">
        <w:t xml:space="preserve">The </w:t>
      </w:r>
      <w:r w:rsidR="7CC82EB3" w:rsidRPr="00226C43">
        <w:t>p</w:t>
      </w:r>
      <w:r w:rsidRPr="00226C43">
        <w:t>rogram’s HRD focus and REAPs made it highly relevant to GPH agencies’ needs.</w:t>
      </w:r>
    </w:p>
    <w:p w14:paraId="4D4AC766" w14:textId="5271974B" w:rsidR="00B21315" w:rsidRPr="00226C43" w:rsidRDefault="4DD21A85" w:rsidP="00925CC1">
      <w:pPr>
        <w:pStyle w:val="ListParagraph"/>
        <w:numPr>
          <w:ilvl w:val="0"/>
          <w:numId w:val="33"/>
        </w:numPr>
        <w:ind w:left="284" w:hanging="284"/>
      </w:pPr>
      <w:r w:rsidRPr="00226C43">
        <w:t>Strong alumni engagement supported both government’s priorities to a high degree.</w:t>
      </w:r>
    </w:p>
    <w:p w14:paraId="486ED5F2" w14:textId="58157BC4" w:rsidR="00E0409D" w:rsidRPr="00226C43" w:rsidRDefault="4DD21A85" w:rsidP="00925CC1">
      <w:pPr>
        <w:pStyle w:val="ListParagraph"/>
        <w:numPr>
          <w:ilvl w:val="0"/>
          <w:numId w:val="33"/>
        </w:numPr>
        <w:ind w:left="284" w:hanging="284"/>
      </w:pPr>
      <w:r w:rsidRPr="00226C43">
        <w:t>The integrity-centred approach was highly relevant for fostering enduring relationships in several sectors.</w:t>
      </w:r>
    </w:p>
    <w:p w14:paraId="0417EB32" w14:textId="454BCEA3" w:rsidR="0035263D" w:rsidRPr="00226C43" w:rsidRDefault="4DD21A85" w:rsidP="00511F8A">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Effectiveness</w:t>
      </w:r>
    </w:p>
    <w:p w14:paraId="77541D88" w14:textId="0D2C05E0" w:rsidR="00ED17BE" w:rsidRPr="00226C43" w:rsidRDefault="4DD21A85" w:rsidP="00725C73">
      <w:r w:rsidRPr="00226C43">
        <w:t xml:space="preserve">The program effectively achieved its IOs and EOPOs. Alumni demonstrated significant contributions to systemic improvements in governance, education, and public health, leveraging skills gained during the program. </w:t>
      </w:r>
      <w:r w:rsidR="373757BD" w:rsidRPr="00226C43">
        <w:t>MEL</w:t>
      </w:r>
      <w:r w:rsidRPr="00226C43">
        <w:t xml:space="preserve"> mechanisms provided valuable insights, though some reports highlighted areas for refinement. GEDSI-focused initiatives achieved measurable social impact, with 45% of surveyed alumni leading related activities by 2024. AQR/IMR effectiveness ratings consistently averaged </w:t>
      </w:r>
      <w:r w:rsidR="004D7225" w:rsidRPr="00226C43">
        <w:br/>
      </w:r>
      <w:r w:rsidRPr="00226C43">
        <w:rPr>
          <w:b/>
          <w:bCs/>
        </w:rPr>
        <w:t>4.8 out of 6</w:t>
      </w:r>
      <w:r w:rsidRPr="00226C43">
        <w:t>, reflecting substantial outcomes.</w:t>
      </w:r>
    </w:p>
    <w:p w14:paraId="50A42729" w14:textId="798562CB" w:rsidR="00B30A01" w:rsidRPr="00226C43" w:rsidRDefault="4DD21A85" w:rsidP="004E3950">
      <w:pPr>
        <w:spacing w:after="0"/>
      </w:pPr>
      <w:r w:rsidRPr="00226C43">
        <w:t xml:space="preserve">The evaluation team rates the program’s effectiveness at </w:t>
      </w:r>
      <w:r w:rsidRPr="00226C43">
        <w:rPr>
          <w:b/>
          <w:bCs/>
        </w:rPr>
        <w:t>5.5</w:t>
      </w:r>
      <w:r w:rsidR="004D7225" w:rsidRPr="00226C43">
        <w:rPr>
          <w:b/>
          <w:bCs/>
        </w:rPr>
        <w:t xml:space="preserve"> out of </w:t>
      </w:r>
      <w:r w:rsidRPr="00226C43">
        <w:rPr>
          <w:b/>
          <w:bCs/>
        </w:rPr>
        <w:t>6</w:t>
      </w:r>
      <w:r w:rsidRPr="00226C43">
        <w:t>.</w:t>
      </w:r>
    </w:p>
    <w:p w14:paraId="25784417" w14:textId="771A7254" w:rsidR="00444294" w:rsidRPr="00226C43" w:rsidRDefault="4DD21A85" w:rsidP="00925CC1">
      <w:pPr>
        <w:pStyle w:val="ListParagraph"/>
        <w:numPr>
          <w:ilvl w:val="0"/>
          <w:numId w:val="33"/>
        </w:numPr>
        <w:ind w:left="284" w:hanging="284"/>
      </w:pPr>
      <w:r w:rsidRPr="00226C43">
        <w:t>The program’s HRD focus, its range of offerings (AAS, SCAs, ICSP, and alumni activities), were key to its effectiveness.</w:t>
      </w:r>
    </w:p>
    <w:p w14:paraId="1C20D5DE" w14:textId="439A4FB2" w:rsidR="003A3413" w:rsidRPr="00226C43" w:rsidRDefault="4DD21A85" w:rsidP="00925CC1">
      <w:pPr>
        <w:pStyle w:val="ListParagraph"/>
        <w:numPr>
          <w:ilvl w:val="0"/>
          <w:numId w:val="33"/>
        </w:numPr>
        <w:ind w:left="284" w:hanging="284"/>
      </w:pPr>
      <w:r w:rsidRPr="00226C43">
        <w:t>Notable examples of high-calibre individuals making significant contributions to the GPH’s objectives, aligning with the Embassy’s priorities</w:t>
      </w:r>
      <w:r w:rsidR="00D752FF" w:rsidRPr="00226C43">
        <w:t>.</w:t>
      </w:r>
    </w:p>
    <w:p w14:paraId="308A4249" w14:textId="11F0457F" w:rsidR="003A3413" w:rsidRPr="00226C43" w:rsidRDefault="4DD21A85" w:rsidP="00925CC1">
      <w:pPr>
        <w:pStyle w:val="ListParagraph"/>
        <w:numPr>
          <w:ilvl w:val="0"/>
          <w:numId w:val="33"/>
        </w:numPr>
        <w:ind w:left="284" w:hanging="284"/>
      </w:pPr>
      <w:r w:rsidRPr="00226C43">
        <w:t>REAPs were particularly important for delivering results and were most effective where agency leadership was involved and engaged.</w:t>
      </w:r>
    </w:p>
    <w:p w14:paraId="4742A03E" w14:textId="07E0C568" w:rsidR="00FA49E5" w:rsidRPr="00226C43" w:rsidRDefault="4DD21A85" w:rsidP="00925CC1">
      <w:pPr>
        <w:pStyle w:val="ListParagraph"/>
        <w:numPr>
          <w:ilvl w:val="0"/>
          <w:numId w:val="33"/>
        </w:numPr>
        <w:ind w:left="284" w:hanging="284"/>
      </w:pPr>
      <w:r w:rsidRPr="00226C43">
        <w:t>The integrity-based selection process showcased the prestige of the awards, bolstering Australia’s reputation and value proposition in a competitive scholarships sector.</w:t>
      </w:r>
    </w:p>
    <w:p w14:paraId="12BB6861" w14:textId="350EDB9C" w:rsidR="0035263D" w:rsidRPr="00226C43" w:rsidRDefault="4DD21A85" w:rsidP="00511F8A">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Efficiency</w:t>
      </w:r>
    </w:p>
    <w:p w14:paraId="3D914959" w14:textId="1E271EAB" w:rsidR="00132D08" w:rsidRPr="00226C43" w:rsidRDefault="4DD21A85" w:rsidP="00725C73">
      <w:r w:rsidRPr="00226C43">
        <w:t xml:space="preserve">Resource utilisation was consistently strong, with significant cost savings achieved through innovative delivery mechanisms, such as online and blended </w:t>
      </w:r>
      <w:r w:rsidR="0D4604E7" w:rsidRPr="00226C43">
        <w:t xml:space="preserve">learning </w:t>
      </w:r>
      <w:r w:rsidRPr="00226C43">
        <w:t xml:space="preserve">formats during COVID-19. Administrative processes and partnerships with local </w:t>
      </w:r>
      <w:r w:rsidR="0D4604E7" w:rsidRPr="00226C43">
        <w:t>organisations</w:t>
      </w:r>
      <w:r w:rsidRPr="00226C43">
        <w:t xml:space="preserve"> enhanced delivery while minimising delays. The program also made efficient use of local learning service providers and </w:t>
      </w:r>
      <w:r w:rsidR="0D4604E7" w:rsidRPr="00226C43">
        <w:t>harmonised</w:t>
      </w:r>
      <w:r w:rsidRPr="00226C43">
        <w:t xml:space="preserve"> planning with partner agencies. AQR/IMR efficiency scores averaged </w:t>
      </w:r>
      <w:r w:rsidRPr="00226C43">
        <w:rPr>
          <w:b/>
          <w:bCs/>
        </w:rPr>
        <w:t>4.9 out of 6</w:t>
      </w:r>
      <w:r w:rsidRPr="00226C43">
        <w:t>, showcasing its operational effectiveness.</w:t>
      </w:r>
    </w:p>
    <w:p w14:paraId="3713D729" w14:textId="5E4446AA" w:rsidR="00132D08" w:rsidRPr="00226C43" w:rsidRDefault="4DD21A85" w:rsidP="004E3950">
      <w:pPr>
        <w:spacing w:after="0"/>
        <w:rPr>
          <w:b/>
          <w:bCs/>
        </w:rPr>
      </w:pPr>
      <w:r w:rsidRPr="00226C43">
        <w:t xml:space="preserve">The evaluation team rates the program’s efficiency at </w:t>
      </w:r>
      <w:r w:rsidRPr="00226C43">
        <w:rPr>
          <w:b/>
          <w:bCs/>
        </w:rPr>
        <w:t>5</w:t>
      </w:r>
      <w:r w:rsidR="004D7225" w:rsidRPr="00226C43">
        <w:rPr>
          <w:b/>
          <w:bCs/>
        </w:rPr>
        <w:t xml:space="preserve"> out of </w:t>
      </w:r>
      <w:r w:rsidRPr="00226C43">
        <w:rPr>
          <w:b/>
          <w:bCs/>
        </w:rPr>
        <w:t>6.</w:t>
      </w:r>
    </w:p>
    <w:p w14:paraId="78EF2930" w14:textId="3A89023D" w:rsidR="00444294" w:rsidRPr="00226C43" w:rsidRDefault="4DD21A85" w:rsidP="00925CC1">
      <w:pPr>
        <w:pStyle w:val="ListParagraph"/>
        <w:numPr>
          <w:ilvl w:val="0"/>
          <w:numId w:val="33"/>
        </w:numPr>
        <w:ind w:left="284" w:hanging="284"/>
      </w:pPr>
      <w:r w:rsidRPr="00226C43">
        <w:lastRenderedPageBreak/>
        <w:t>The implementation team’s detailed sector knowledge and deep relationships drove efficiency.</w:t>
      </w:r>
      <w:r w:rsidR="0078429F" w:rsidRPr="00226C43">
        <w:t xml:space="preserve"> </w:t>
      </w:r>
      <w:r w:rsidRPr="00226C43">
        <w:t>This was particularly noticeable, given the comparatively lean implementation team size.</w:t>
      </w:r>
    </w:p>
    <w:p w14:paraId="3AD592E8" w14:textId="5DD04390" w:rsidR="00DD16DA" w:rsidRPr="00226C43" w:rsidRDefault="4DD21A85" w:rsidP="00925CC1">
      <w:pPr>
        <w:pStyle w:val="ListParagraph"/>
        <w:numPr>
          <w:ilvl w:val="0"/>
          <w:numId w:val="33"/>
        </w:numPr>
        <w:ind w:left="284" w:hanging="284"/>
      </w:pPr>
      <w:r w:rsidRPr="00226C43">
        <w:t xml:space="preserve">Resources were applied, including for emerging priorities, but this resulted in </w:t>
      </w:r>
      <w:r w:rsidR="0D4604E7" w:rsidRPr="00226C43">
        <w:t>workflow</w:t>
      </w:r>
      <w:r w:rsidRPr="00226C43">
        <w:t xml:space="preserve"> disruption for core program activities.</w:t>
      </w:r>
    </w:p>
    <w:p w14:paraId="2721DC3D" w14:textId="21C312C2" w:rsidR="0035263D" w:rsidRPr="00226C43" w:rsidRDefault="4DD21A85" w:rsidP="00511F8A">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Sustainability</w:t>
      </w:r>
    </w:p>
    <w:p w14:paraId="09AABF80" w14:textId="7993BE75" w:rsidR="00931162" w:rsidRPr="00226C43" w:rsidRDefault="4DD21A85" w:rsidP="00725C73">
      <w:r w:rsidRPr="00226C43">
        <w:t xml:space="preserve">Sustainability efforts focused on empowering alumni networks and embedding institutional reforms. Alumni-led REAPs and initiatives demonstrated lasting impacts, particularly in areas like GEDSI and public service delivery. While efforts to ensure financial independence of alumni activities showed progress, challenges such as turnover in focal points and long-term funding remain. AQR/IMR sustainability ratings averaged </w:t>
      </w:r>
      <w:r w:rsidRPr="00226C43">
        <w:rPr>
          <w:b/>
          <w:bCs/>
        </w:rPr>
        <w:t>4.5 out of 6</w:t>
      </w:r>
      <w:r w:rsidRPr="00226C43">
        <w:t>, indicating room for improvement in ensuring long-term benefits.</w:t>
      </w:r>
    </w:p>
    <w:p w14:paraId="28E961A1" w14:textId="36ACE4C8" w:rsidR="00931162" w:rsidRPr="00226C43" w:rsidRDefault="4DD21A85" w:rsidP="004E3950">
      <w:pPr>
        <w:spacing w:after="0"/>
      </w:pPr>
      <w:r w:rsidRPr="00226C43">
        <w:t xml:space="preserve">The evaluation team rates the program’s sustainability at </w:t>
      </w:r>
      <w:r w:rsidRPr="00226C43">
        <w:rPr>
          <w:b/>
          <w:bCs/>
        </w:rPr>
        <w:t>5</w:t>
      </w:r>
      <w:r w:rsidR="004D7225" w:rsidRPr="00226C43">
        <w:rPr>
          <w:b/>
          <w:bCs/>
        </w:rPr>
        <w:t xml:space="preserve"> out of </w:t>
      </w:r>
      <w:r w:rsidRPr="00226C43">
        <w:rPr>
          <w:b/>
          <w:bCs/>
        </w:rPr>
        <w:t>6</w:t>
      </w:r>
      <w:r w:rsidRPr="00226C43">
        <w:t>.</w:t>
      </w:r>
    </w:p>
    <w:p w14:paraId="31DBA547" w14:textId="22E9043A" w:rsidR="00CF68C1" w:rsidRPr="00226C43" w:rsidRDefault="4DD21A85" w:rsidP="00925CC1">
      <w:pPr>
        <w:pStyle w:val="ListParagraph"/>
        <w:numPr>
          <w:ilvl w:val="0"/>
          <w:numId w:val="33"/>
        </w:numPr>
        <w:ind w:left="284" w:hanging="284"/>
      </w:pPr>
      <w:r w:rsidRPr="00226C43">
        <w:t>The HRD focus and application of REAPs maximised the sustainability of the program’s investment.</w:t>
      </w:r>
    </w:p>
    <w:p w14:paraId="7EF82CF2" w14:textId="3D8F4614" w:rsidR="003719FC" w:rsidRPr="00226C43" w:rsidRDefault="4DD21A85" w:rsidP="00925CC1">
      <w:pPr>
        <w:pStyle w:val="ListParagraph"/>
        <w:numPr>
          <w:ilvl w:val="0"/>
          <w:numId w:val="33"/>
        </w:numPr>
        <w:ind w:left="284" w:hanging="284"/>
      </w:pPr>
      <w:r w:rsidRPr="00226C43">
        <w:t xml:space="preserve">Program facilitated alumni networks have inherent sustainability over the short term but are unlikely to be sustained without ongoing external funding over the long term; this is not uncommon for </w:t>
      </w:r>
      <w:r w:rsidR="5A9CEEB2" w:rsidRPr="00226C43">
        <w:t xml:space="preserve">AA </w:t>
      </w:r>
      <w:r w:rsidRPr="00226C43">
        <w:t xml:space="preserve">programs globally. </w:t>
      </w:r>
    </w:p>
    <w:p w14:paraId="66678668" w14:textId="1DBC44EF" w:rsidR="007D3024" w:rsidRPr="00226C43" w:rsidRDefault="4DD21A85" w:rsidP="00925CC1">
      <w:pPr>
        <w:pStyle w:val="ListParagraph"/>
        <w:numPr>
          <w:ilvl w:val="0"/>
          <w:numId w:val="33"/>
        </w:numPr>
        <w:ind w:left="284" w:hanging="284"/>
      </w:pPr>
      <w:r w:rsidRPr="00226C43">
        <w:t xml:space="preserve">Sustainability of alumni networks is enhanced by Embassy engagement and fostering a sense of ‘belong’ to/with the </w:t>
      </w:r>
      <w:r w:rsidR="5A9CEEB2" w:rsidRPr="00226C43">
        <w:t>AA</w:t>
      </w:r>
      <w:r w:rsidRPr="00226C43">
        <w:t xml:space="preserve"> brand. </w:t>
      </w:r>
    </w:p>
    <w:p w14:paraId="24E687E8" w14:textId="2553DC98" w:rsidR="00CE7874" w:rsidRPr="00226C43" w:rsidRDefault="4DD21A85" w:rsidP="00511F8A">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GEDSI</w:t>
      </w:r>
    </w:p>
    <w:p w14:paraId="0490B44B" w14:textId="0D60C75E" w:rsidR="00257A5A" w:rsidRPr="00226C43" w:rsidRDefault="4DD21A85" w:rsidP="00725C73">
      <w:pPr>
        <w:pStyle w:val="Heading6"/>
        <w:rPr>
          <w:rFonts w:asciiTheme="minorHAnsi" w:hAnsiTheme="minorHAnsi"/>
          <w:i/>
          <w:color w:val="auto"/>
        </w:rPr>
      </w:pPr>
      <w:r w:rsidRPr="00226C43">
        <w:rPr>
          <w:rFonts w:asciiTheme="minorHAnsi" w:hAnsiTheme="minorHAnsi"/>
          <w:color w:val="auto"/>
        </w:rPr>
        <w:t>Gender equality</w:t>
      </w:r>
    </w:p>
    <w:p w14:paraId="4E1D9F9A" w14:textId="7B8C2B0D" w:rsidR="00F228CB" w:rsidRPr="00226C43" w:rsidRDefault="4DD21A85" w:rsidP="00725C73">
      <w:r w:rsidRPr="00226C43">
        <w:t xml:space="preserve">The </w:t>
      </w:r>
      <w:r w:rsidR="258FD0FA" w:rsidRPr="00226C43">
        <w:t>p</w:t>
      </w:r>
      <w:r w:rsidRPr="00226C43">
        <w:t xml:space="preserve">rogram made comprehensive efforts to promote gender equality, exceeding engagement targets with women consistently representing a significant proportion of participants. GEDSI scorecards and tailored training programs significantly advanced gender equity across sectors. Notable initiatives included mainstreaming gender approaches in government services and empowering women leaders. AQR/IMR gender equality ratings averaged </w:t>
      </w:r>
      <w:r w:rsidRPr="00226C43">
        <w:rPr>
          <w:b/>
          <w:bCs/>
        </w:rPr>
        <w:t>5 out of 6</w:t>
      </w:r>
      <w:r w:rsidRPr="00226C43">
        <w:t>, reflecting consistent success.</w:t>
      </w:r>
    </w:p>
    <w:p w14:paraId="0C4B9441" w14:textId="77777777" w:rsidR="006A03B9" w:rsidRPr="00226C43" w:rsidRDefault="4DD21A85" w:rsidP="00725C73">
      <w:pPr>
        <w:pStyle w:val="Heading6"/>
        <w:rPr>
          <w:rFonts w:asciiTheme="minorHAnsi" w:hAnsiTheme="minorHAnsi"/>
          <w:i/>
          <w:color w:val="auto"/>
        </w:rPr>
      </w:pPr>
      <w:r w:rsidRPr="00226C43">
        <w:rPr>
          <w:rFonts w:asciiTheme="minorHAnsi" w:hAnsiTheme="minorHAnsi"/>
          <w:color w:val="auto"/>
        </w:rPr>
        <w:t>Disability Inclusion</w:t>
      </w:r>
    </w:p>
    <w:p w14:paraId="4A833EFB" w14:textId="0D3227DC" w:rsidR="006A03B9" w:rsidRPr="00226C43" w:rsidRDefault="4DD21A85" w:rsidP="00725C73">
      <w:r w:rsidRPr="00226C43">
        <w:t xml:space="preserve">Inclusion of persons with disabilities (PWDs) remained a core focus, with participation rates exceeding targets. Alumni-led initiatives, such as accessible education projects, contributed to policy reforms and improved inclusivity. Comprehensive accessibility measures ensured equitable participation. AQR/IMR disability inclusion ratings consistently achieved an average of </w:t>
      </w:r>
      <w:r w:rsidRPr="00226C43">
        <w:rPr>
          <w:b/>
          <w:bCs/>
        </w:rPr>
        <w:t>5 out of 6</w:t>
      </w:r>
      <w:r w:rsidRPr="00226C43">
        <w:t>.</w:t>
      </w:r>
    </w:p>
    <w:p w14:paraId="3E5217F3" w14:textId="5AEB6156" w:rsidR="006A03B9" w:rsidRPr="00226C43" w:rsidRDefault="4DD21A85" w:rsidP="004E3950">
      <w:pPr>
        <w:spacing w:after="0"/>
      </w:pPr>
      <w:r w:rsidRPr="00226C43">
        <w:t xml:space="preserve">The evaluation team rates the program’s GEDSI at </w:t>
      </w:r>
      <w:r w:rsidRPr="00226C43">
        <w:rPr>
          <w:b/>
          <w:bCs/>
        </w:rPr>
        <w:t>5</w:t>
      </w:r>
      <w:r w:rsidR="004D7225" w:rsidRPr="00226C43">
        <w:rPr>
          <w:b/>
          <w:bCs/>
        </w:rPr>
        <w:t xml:space="preserve"> out of </w:t>
      </w:r>
      <w:r w:rsidRPr="00226C43">
        <w:rPr>
          <w:b/>
          <w:bCs/>
        </w:rPr>
        <w:t>6</w:t>
      </w:r>
      <w:r w:rsidRPr="00226C43">
        <w:t>.</w:t>
      </w:r>
    </w:p>
    <w:p w14:paraId="6383BA9A" w14:textId="0F13F60B" w:rsidR="003A21FB" w:rsidRPr="00226C43" w:rsidRDefault="4DD21A85" w:rsidP="00925CC1">
      <w:pPr>
        <w:pStyle w:val="ListParagraph"/>
        <w:numPr>
          <w:ilvl w:val="0"/>
          <w:numId w:val="33"/>
        </w:numPr>
        <w:ind w:left="284" w:hanging="284"/>
      </w:pPr>
      <w:r w:rsidRPr="00226C43">
        <w:t>The AAAEP–P largely integrated GEDSI in its activities, ensuring understanding, accessibility and reasonable accommodation, despite lacking a dedicated GEDSI resource outside the time-poor Team Leader.</w:t>
      </w:r>
    </w:p>
    <w:p w14:paraId="56A7F53D" w14:textId="45E7CA85" w:rsidR="002C2CCE" w:rsidRPr="00226C43" w:rsidRDefault="4DD21A85" w:rsidP="00925CC1">
      <w:pPr>
        <w:pStyle w:val="ListParagraph"/>
        <w:numPr>
          <w:ilvl w:val="0"/>
          <w:numId w:val="33"/>
        </w:numPr>
        <w:ind w:left="284" w:hanging="284"/>
      </w:pPr>
      <w:r w:rsidRPr="00226C43">
        <w:t>GEDSI quality assurance of service providers would assist to bring the program’s GEDSI principles further into real world application.</w:t>
      </w:r>
    </w:p>
    <w:p w14:paraId="0FFFBF99" w14:textId="6851238F" w:rsidR="00A5491C" w:rsidRPr="00226C43" w:rsidRDefault="4DD21A85" w:rsidP="00925CC1">
      <w:pPr>
        <w:pStyle w:val="ListParagraph"/>
        <w:numPr>
          <w:ilvl w:val="0"/>
          <w:numId w:val="33"/>
        </w:numPr>
        <w:ind w:left="284" w:hanging="284"/>
      </w:pPr>
      <w:r w:rsidRPr="00226C43">
        <w:t>Alumni were overwhelmingly supportive of the requirement to demonstrate GEDSI integration in REAPs, fostering consideration in their workplaces.</w:t>
      </w:r>
    </w:p>
    <w:p w14:paraId="64B41B5C" w14:textId="51779367" w:rsidR="00560C9F" w:rsidRPr="00226C43" w:rsidRDefault="4DD21A85" w:rsidP="00511F8A">
      <w:pPr>
        <w:pStyle w:val="Heading3nonumber"/>
        <w:numPr>
          <w:ilvl w:val="0"/>
          <w:numId w:val="0"/>
        </w:numPr>
        <w:ind w:left="720" w:hanging="720"/>
        <w:rPr>
          <w:rFonts w:asciiTheme="minorHAnsi" w:hAnsiTheme="minorHAnsi"/>
          <w:i/>
          <w:iCs/>
          <w:color w:val="auto"/>
        </w:rPr>
      </w:pPr>
      <w:r w:rsidRPr="00226C43">
        <w:rPr>
          <w:rFonts w:asciiTheme="minorHAnsi" w:hAnsiTheme="minorHAnsi"/>
          <w:color w:val="auto"/>
        </w:rPr>
        <w:lastRenderedPageBreak/>
        <w:t>Overall Program Score</w:t>
      </w:r>
    </w:p>
    <w:p w14:paraId="3F80B1A8" w14:textId="35CD8B82" w:rsidR="00B92195" w:rsidRPr="00226C43" w:rsidRDefault="4DD21A85" w:rsidP="00725C73">
      <w:r w:rsidRPr="00226C43">
        <w:t xml:space="preserve">The </w:t>
      </w:r>
      <w:r w:rsidR="258FD0FA" w:rsidRPr="00226C43">
        <w:t>p</w:t>
      </w:r>
      <w:r w:rsidRPr="00226C43">
        <w:t xml:space="preserve">rogram has selected, counselled, supported, mentored, and encouraged high quality candidates to participate in the various categories of the awards it administers. The </w:t>
      </w:r>
      <w:r w:rsidR="33E562EC" w:rsidRPr="00226C43">
        <w:t>p</w:t>
      </w:r>
      <w:r w:rsidRPr="00226C43">
        <w:t>rogram also built, encouraged, and managed engaged groups of alumni from different awards categories, who were an on-call network throughout Philippines and significant and accessible brains trust for the Embassy.</w:t>
      </w:r>
    </w:p>
    <w:p w14:paraId="52CC452F" w14:textId="45E1BFC2" w:rsidR="00161DCE" w:rsidRPr="00226C43" w:rsidRDefault="4DD21A85" w:rsidP="4DD21A85">
      <w:r w:rsidRPr="00226C43">
        <w:rPr>
          <w:b/>
          <w:bCs/>
        </w:rPr>
        <w:t>The evaluation team rates the program overall at 5</w:t>
      </w:r>
      <w:r w:rsidR="004D7225" w:rsidRPr="00226C43">
        <w:rPr>
          <w:b/>
          <w:bCs/>
        </w:rPr>
        <w:t xml:space="preserve"> out of </w:t>
      </w:r>
      <w:r w:rsidRPr="00226C43">
        <w:rPr>
          <w:b/>
          <w:bCs/>
        </w:rPr>
        <w:t>6.</w:t>
      </w:r>
    </w:p>
    <w:p w14:paraId="3FFF5CC8" w14:textId="05D565AB" w:rsidR="0046045C" w:rsidRPr="00226C43" w:rsidRDefault="0046045C" w:rsidP="4DD21A85">
      <w:r w:rsidRPr="00226C43">
        <w:br w:type="page"/>
      </w:r>
    </w:p>
    <w:p w14:paraId="7FC954F3" w14:textId="0987F975" w:rsidR="001018A1" w:rsidRPr="00226C43" w:rsidRDefault="4DD21A85" w:rsidP="4DD21A85">
      <w:pPr>
        <w:pStyle w:val="Heading1"/>
        <w:rPr>
          <w:rFonts w:asciiTheme="minorHAnsi" w:hAnsiTheme="minorHAnsi"/>
          <w:color w:val="auto"/>
        </w:rPr>
      </w:pPr>
      <w:bookmarkStart w:id="44" w:name="_Toc190195425"/>
      <w:bookmarkStart w:id="45" w:name="_Toc190248322"/>
      <w:r w:rsidRPr="00226C43">
        <w:rPr>
          <w:rFonts w:asciiTheme="minorHAnsi" w:hAnsiTheme="minorHAnsi"/>
          <w:color w:val="auto"/>
        </w:rPr>
        <w:lastRenderedPageBreak/>
        <w:t>Recommendations</w:t>
      </w:r>
      <w:bookmarkEnd w:id="44"/>
      <w:bookmarkEnd w:id="45"/>
    </w:p>
    <w:p w14:paraId="2AF50D8F" w14:textId="073C5ACA" w:rsidR="00F21E62" w:rsidRPr="00226C43" w:rsidRDefault="00F21E62" w:rsidP="00511F8A">
      <w:pPr>
        <w:pStyle w:val="Heading3nonumber"/>
        <w:numPr>
          <w:ilvl w:val="0"/>
          <w:numId w:val="0"/>
        </w:numPr>
        <w:rPr>
          <w:rFonts w:asciiTheme="minorHAnsi" w:hAnsiTheme="minorHAnsi"/>
          <w:color w:val="auto"/>
        </w:rPr>
      </w:pPr>
      <w:r w:rsidRPr="00226C43">
        <w:rPr>
          <w:rFonts w:asciiTheme="minorHAnsi" w:hAnsiTheme="minorHAnsi"/>
          <w:color w:val="auto"/>
        </w:rPr>
        <w:t>Relevance</w:t>
      </w:r>
    </w:p>
    <w:p w14:paraId="0354923F" w14:textId="2871709C" w:rsidR="00AA4492" w:rsidRPr="00226C43" w:rsidRDefault="00AA4492" w:rsidP="00AA4492">
      <w:pPr>
        <w:rPr>
          <w:rFonts w:eastAsia="Aptos" w:cs="Aptos"/>
        </w:rPr>
      </w:pPr>
      <w:r w:rsidRPr="00226C43">
        <w:rPr>
          <w:rFonts w:eastAsia="Aptos" w:cs="Aptos"/>
        </w:rPr>
        <w:t xml:space="preserve">To ensure the successful completion of the current program, it is essential to flag emerging priority-related activities as early as possible to minimise any adverse impact on the work plan. Where necessary, additional resourcing should be considered to support these efforts. Furthermore, key governance meetings—both operational and strategic—should be convened to maximise engagement and strengthen constituencies. </w:t>
      </w:r>
    </w:p>
    <w:p w14:paraId="1E17E750" w14:textId="1AD36810" w:rsidR="00EA6416" w:rsidRPr="00226C43" w:rsidRDefault="00EA6416" w:rsidP="00EA6416">
      <w:pPr>
        <w:suppressAutoHyphens w:val="0"/>
        <w:spacing w:line="259" w:lineRule="auto"/>
      </w:pPr>
      <w:r w:rsidRPr="00226C43">
        <w:rPr>
          <w:b/>
          <w:bCs/>
        </w:rPr>
        <w:t>Recommendation 1</w:t>
      </w:r>
      <w:r w:rsidRPr="00226C43">
        <w:t xml:space="preserve">: Flag emerging priority activities early to minimise adverse impacts on the work plan and consider additional resourcing if necessary. </w:t>
      </w:r>
      <w:r w:rsidR="00F007E7" w:rsidRPr="00226C43">
        <w:t>(Operational)</w:t>
      </w:r>
    </w:p>
    <w:p w14:paraId="66E7E156" w14:textId="33C46850" w:rsidR="00EA6416" w:rsidRPr="00226C43" w:rsidRDefault="00EA6416" w:rsidP="00061D40">
      <w:pPr>
        <w:suppressAutoHyphens w:val="0"/>
        <w:spacing w:line="259" w:lineRule="auto"/>
      </w:pPr>
      <w:r w:rsidRPr="00226C43">
        <w:rPr>
          <w:b/>
          <w:bCs/>
        </w:rPr>
        <w:t>Recommendation 2</w:t>
      </w:r>
      <w:r w:rsidRPr="00226C43">
        <w:t xml:space="preserve">: Regularly convene key governance meetings, both operational and strategic, to maximise engagement and build strong constituencies. </w:t>
      </w:r>
      <w:r w:rsidR="00F007E7" w:rsidRPr="00226C43">
        <w:t>(Operational)</w:t>
      </w:r>
    </w:p>
    <w:p w14:paraId="4972B038" w14:textId="5213A567" w:rsidR="00F21E62" w:rsidRPr="00226C43" w:rsidRDefault="00F21E62" w:rsidP="00511F8A">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Effectiveness</w:t>
      </w:r>
    </w:p>
    <w:p w14:paraId="4B0D3738" w14:textId="6F6BF157" w:rsidR="00E30A01" w:rsidRPr="00226C43" w:rsidRDefault="00E30A01" w:rsidP="00E30A01">
      <w:pPr>
        <w:rPr>
          <w:rFonts w:eastAsiaTheme="minorEastAsia"/>
        </w:rPr>
      </w:pPr>
      <w:r w:rsidRPr="00226C43">
        <w:rPr>
          <w:rFonts w:eastAsiaTheme="minorEastAsia"/>
        </w:rPr>
        <w:t>A future phase of the program</w:t>
      </w:r>
      <w:r w:rsidR="005831DB" w:rsidRPr="00226C43">
        <w:rPr>
          <w:rFonts w:eastAsiaTheme="minorEastAsia"/>
        </w:rPr>
        <w:t xml:space="preserve"> could</w:t>
      </w:r>
      <w:r w:rsidRPr="00226C43">
        <w:rPr>
          <w:rFonts w:eastAsiaTheme="minorEastAsia"/>
        </w:rPr>
        <w:t xml:space="preserve"> include a parallel workstream, that has a separate set of objectives (not limited to organisational development/HRD), but which leverages AA’s reputation and processes to meet the Embassy’s broader objectives. To achieve this, a senior Advisor working to the Embassy to conduct analysis of how AA processes could be applied to different contexts for different objectives is warranted e.g., fellowships and study visits, targeted sectoral scholarships including PhDs (forensics, soil science).</w:t>
      </w:r>
      <w:r w:rsidR="0078429F" w:rsidRPr="00226C43">
        <w:rPr>
          <w:rFonts w:eastAsiaTheme="minorEastAsia"/>
        </w:rPr>
        <w:t xml:space="preserve"> </w:t>
      </w:r>
      <w:r w:rsidRPr="00226C43">
        <w:rPr>
          <w:rFonts w:eastAsiaTheme="minorEastAsia"/>
        </w:rPr>
        <w:t>This role could also work on building a Transnational Education activity, linking with Austrade’s efforts and the interest identified from Australian universities following the recent Austrade TNE event.</w:t>
      </w:r>
    </w:p>
    <w:p w14:paraId="550C306A" w14:textId="51DC8175" w:rsidR="00E30A01" w:rsidRPr="00226C43" w:rsidRDefault="00E30A01" w:rsidP="00A21732">
      <w:pPr>
        <w:rPr>
          <w:rFonts w:eastAsiaTheme="minorEastAsia"/>
        </w:rPr>
      </w:pPr>
      <w:r w:rsidRPr="00226C43">
        <w:rPr>
          <w:rFonts w:eastAsiaTheme="minorEastAsia"/>
        </w:rPr>
        <w:t>With additional resourcing at the Embassy, and the folding into a future program of scholars selected on different criteria, there are opportunities for a future program to leverage policy dialogue around REAPs more effectively.</w:t>
      </w:r>
      <w:r w:rsidR="0078429F" w:rsidRPr="00226C43">
        <w:rPr>
          <w:rFonts w:eastAsiaTheme="minorEastAsia"/>
        </w:rPr>
        <w:t xml:space="preserve"> </w:t>
      </w:r>
      <w:r w:rsidRPr="00226C43">
        <w:rPr>
          <w:rFonts w:eastAsiaTheme="minorEastAsia"/>
        </w:rPr>
        <w:t>This would not only increase the chances of their successful implementation but provide opportunities for the Embassy to influence issues through engagement with key stakeholders and their colleagues and supervisors in GPH agencies. It would require up front analysis, and a more proactive approach to working with GPH agencies to place REAPs within reform contexts.</w:t>
      </w:r>
      <w:r w:rsidR="0078429F" w:rsidRPr="00226C43">
        <w:rPr>
          <w:rFonts w:eastAsiaTheme="minorEastAsia"/>
        </w:rPr>
        <w:t xml:space="preserve"> </w:t>
      </w:r>
      <w:r w:rsidRPr="00226C43">
        <w:rPr>
          <w:rFonts w:eastAsiaTheme="minorEastAsia"/>
        </w:rPr>
        <w:t>Again, this would require engagement by the Embassy, and appropriate resourcing (e.g., a senior advisor)</w:t>
      </w:r>
      <w:r w:rsidR="00E00C06" w:rsidRPr="00226C43">
        <w:rPr>
          <w:rFonts w:eastAsiaTheme="minorEastAsia"/>
        </w:rPr>
        <w:t xml:space="preserve"> who would work with existing sector</w:t>
      </w:r>
      <w:r w:rsidR="00DA4A68" w:rsidRPr="00226C43">
        <w:rPr>
          <w:rFonts w:eastAsiaTheme="minorEastAsia"/>
        </w:rPr>
        <w:t xml:space="preserve"> teams </w:t>
      </w:r>
      <w:r w:rsidR="00C57D49" w:rsidRPr="00226C43">
        <w:rPr>
          <w:rFonts w:eastAsiaTheme="minorEastAsia"/>
        </w:rPr>
        <w:t xml:space="preserve">who are already engaging </w:t>
      </w:r>
      <w:r w:rsidR="00DA4A68" w:rsidRPr="00226C43">
        <w:rPr>
          <w:rFonts w:eastAsiaTheme="minorEastAsia"/>
        </w:rPr>
        <w:t xml:space="preserve">in policy dialogue on </w:t>
      </w:r>
      <w:r w:rsidR="00C57D49" w:rsidRPr="00226C43">
        <w:t>reform areas beyond HRD.   (e.g., economic reforms, education etc.</w:t>
      </w:r>
      <w:r w:rsidR="002B79DB" w:rsidRPr="00226C43">
        <w:t xml:space="preserve">). The senior advisor could also enhance internal coordination to ensure that existing sectoral teams policy engagement is </w:t>
      </w:r>
      <w:r w:rsidR="00A21732" w:rsidRPr="00226C43">
        <w:t xml:space="preserve">mapped, monitored, and elevated. </w:t>
      </w:r>
      <w:r w:rsidR="00C57D49" w:rsidRPr="00226C43">
        <w:t xml:space="preserve"> </w:t>
      </w:r>
    </w:p>
    <w:p w14:paraId="68656B1C" w14:textId="4BB81209" w:rsidR="00864A33" w:rsidRPr="00226C43" w:rsidRDefault="00864A33" w:rsidP="00864A33">
      <w:pPr>
        <w:rPr>
          <w:rFonts w:eastAsiaTheme="minorEastAsia"/>
        </w:rPr>
      </w:pPr>
      <w:r w:rsidRPr="00226C43">
        <w:rPr>
          <w:rFonts w:eastAsiaTheme="minorEastAsia"/>
        </w:rPr>
        <w:t>A future phase of the program</w:t>
      </w:r>
      <w:r w:rsidR="00964B4D" w:rsidRPr="00226C43">
        <w:rPr>
          <w:rFonts w:eastAsiaTheme="minorEastAsia"/>
        </w:rPr>
        <w:t xml:space="preserve"> could also</w:t>
      </w:r>
      <w:r w:rsidRPr="00226C43">
        <w:rPr>
          <w:rFonts w:eastAsiaTheme="minorEastAsia"/>
        </w:rPr>
        <w:t xml:space="preserve"> to include a more proactive engagement on REAP development by a senior advisor (embedded at the Embassy), particularly for the second workstream, to build a constituency at the GPH agency around implementation, to provide opportunities for Embassy engagement, and to heighten the Embassy’s dialogue on reform issues. </w:t>
      </w:r>
      <w:r w:rsidR="00DB25CD" w:rsidRPr="00226C43">
        <w:rPr>
          <w:rFonts w:eastAsiaTheme="minorEastAsia"/>
        </w:rPr>
        <w:t xml:space="preserve">This also aligns with the Australia Awards Global Strategic Framework by helping </w:t>
      </w:r>
      <w:r w:rsidR="000F2F67" w:rsidRPr="00226C43">
        <w:rPr>
          <w:rFonts w:eastAsiaTheme="minorEastAsia"/>
        </w:rPr>
        <w:t>scholars</w:t>
      </w:r>
      <w:r w:rsidR="00DB25CD" w:rsidRPr="00226C43">
        <w:rPr>
          <w:rFonts w:eastAsiaTheme="minorEastAsia"/>
        </w:rPr>
        <w:t xml:space="preserve"> </w:t>
      </w:r>
      <w:r w:rsidR="000F2F67" w:rsidRPr="00226C43">
        <w:rPr>
          <w:rFonts w:eastAsiaTheme="minorEastAsia"/>
        </w:rPr>
        <w:t xml:space="preserve">at the individual level </w:t>
      </w:r>
      <w:r w:rsidR="00F32485" w:rsidRPr="00226C43">
        <w:rPr>
          <w:rFonts w:eastAsiaTheme="minorEastAsia"/>
        </w:rPr>
        <w:t xml:space="preserve">to apply skills and knowledge </w:t>
      </w:r>
      <w:r w:rsidR="00F32485" w:rsidRPr="00226C43">
        <w:rPr>
          <w:rFonts w:eastAsiaTheme="minorEastAsia"/>
        </w:rPr>
        <w:lastRenderedPageBreak/>
        <w:t>gained from Australian education in the workforce</w:t>
      </w:r>
      <w:r w:rsidR="000F2F67" w:rsidRPr="00226C43">
        <w:rPr>
          <w:rFonts w:eastAsiaTheme="minorEastAsia"/>
        </w:rPr>
        <w:t xml:space="preserve">, at the organisational level to strengthen institutions, and at the country level to </w:t>
      </w:r>
      <w:r w:rsidR="00EF3626" w:rsidRPr="00226C43">
        <w:rPr>
          <w:rFonts w:eastAsiaTheme="minorEastAsia"/>
        </w:rPr>
        <w:t xml:space="preserve">by supporting partner governments’ development </w:t>
      </w:r>
      <w:r w:rsidR="002B3921" w:rsidRPr="00226C43">
        <w:rPr>
          <w:rFonts w:eastAsiaTheme="minorEastAsia"/>
        </w:rPr>
        <w:t>priorities</w:t>
      </w:r>
      <w:r w:rsidR="00EF3626" w:rsidRPr="00226C43">
        <w:rPr>
          <w:rFonts w:eastAsiaTheme="minorEastAsia"/>
        </w:rPr>
        <w:t>.</w:t>
      </w:r>
    </w:p>
    <w:p w14:paraId="15CAFF52" w14:textId="79C2F9D1" w:rsidR="00864A33" w:rsidRPr="00226C43" w:rsidRDefault="00864A33" w:rsidP="00864A33">
      <w:pPr>
        <w:rPr>
          <w:rFonts w:eastAsiaTheme="minorEastAsia"/>
        </w:rPr>
      </w:pPr>
      <w:r w:rsidRPr="00226C43">
        <w:rPr>
          <w:rFonts w:eastAsiaTheme="minorEastAsia"/>
        </w:rPr>
        <w:t>While the program punches above its weight on alumni engagement, there are opportunities for more targeted engagement and use of alumni.</w:t>
      </w:r>
      <w:r w:rsidR="0078429F" w:rsidRPr="00226C43">
        <w:rPr>
          <w:rFonts w:eastAsiaTheme="minorEastAsia"/>
        </w:rPr>
        <w:t xml:space="preserve"> </w:t>
      </w:r>
      <w:r w:rsidRPr="00226C43">
        <w:rPr>
          <w:rFonts w:eastAsiaTheme="minorEastAsia"/>
        </w:rPr>
        <w:t>Several groupings exist, including defence alumni, and alumni centred on different themes and subject matter. These represent a free ‘think tank’ for the Embassy, but it is important to ensure that alumni (and their organisations) see the value in participation.</w:t>
      </w:r>
      <w:r w:rsidR="0078429F" w:rsidRPr="00226C43">
        <w:rPr>
          <w:rFonts w:eastAsiaTheme="minorEastAsia"/>
        </w:rPr>
        <w:t xml:space="preserve"> </w:t>
      </w:r>
      <w:r w:rsidRPr="00226C43">
        <w:rPr>
          <w:rFonts w:eastAsiaTheme="minorEastAsia"/>
        </w:rPr>
        <w:t>Heightened/more targeted engagement could render dividends both to the Embassy and to the Philippine Government, but this needs to be underpinned by analysis, including political economy analysis.</w:t>
      </w:r>
      <w:r w:rsidR="0078429F" w:rsidRPr="00226C43">
        <w:rPr>
          <w:rFonts w:eastAsiaTheme="minorEastAsia"/>
        </w:rPr>
        <w:t xml:space="preserve"> </w:t>
      </w:r>
    </w:p>
    <w:p w14:paraId="54BBB1A9" w14:textId="1B87D8FB" w:rsidR="003C7936" w:rsidRPr="00226C43" w:rsidRDefault="003C7936" w:rsidP="004E3950">
      <w:pPr>
        <w:suppressAutoHyphens w:val="0"/>
        <w:spacing w:after="0" w:line="259" w:lineRule="auto"/>
      </w:pPr>
      <w:r w:rsidRPr="00226C43">
        <w:rPr>
          <w:b/>
          <w:bCs/>
        </w:rPr>
        <w:t xml:space="preserve">Recommendation </w:t>
      </w:r>
      <w:r w:rsidR="00275A39" w:rsidRPr="00226C43">
        <w:rPr>
          <w:b/>
          <w:bCs/>
        </w:rPr>
        <w:t>3</w:t>
      </w:r>
      <w:r w:rsidRPr="00226C43">
        <w:t>: Recruit a senior advisor to the Embassy in the future program to:</w:t>
      </w:r>
    </w:p>
    <w:p w14:paraId="3F9B955C" w14:textId="77777777" w:rsidR="003C7936" w:rsidRPr="00226C43" w:rsidRDefault="003C7936" w:rsidP="00925CC1">
      <w:pPr>
        <w:pStyle w:val="ListParagraph"/>
        <w:numPr>
          <w:ilvl w:val="1"/>
          <w:numId w:val="23"/>
        </w:numPr>
        <w:suppressAutoHyphens w:val="0"/>
        <w:spacing w:line="259" w:lineRule="auto"/>
        <w:ind w:left="567" w:hanging="283"/>
      </w:pPr>
      <w:r w:rsidRPr="00226C43">
        <w:t>analyse how a future program’s processes can be applied to different contexts (sectors and stakeholders), such as fellowships, study visits, targeted sectoral scholarships (e.g., PhDs in forensics or soil science), and Transnational Education (TNE) initiatives linked to Austrade’s efforts, and</w:t>
      </w:r>
    </w:p>
    <w:p w14:paraId="4EBDB2A7" w14:textId="0847F4D7" w:rsidR="003C7936" w:rsidRPr="00226C43" w:rsidRDefault="003C7936" w:rsidP="00925CC1">
      <w:pPr>
        <w:pStyle w:val="ListParagraph"/>
        <w:numPr>
          <w:ilvl w:val="1"/>
          <w:numId w:val="23"/>
        </w:numPr>
        <w:suppressAutoHyphens w:val="0"/>
        <w:spacing w:line="259" w:lineRule="auto"/>
        <w:ind w:left="567" w:hanging="283"/>
      </w:pPr>
      <w:r w:rsidRPr="00226C43">
        <w:t>proactively link REAPs to policy dialogue. This could be achieved by working with GPH agencies to closely link scholarships (and hence REAPs) to specific reform efforts beyond Human Resource Development (HRD). This would heighten Embassy engagement and visibility on GPH reform issues. (</w:t>
      </w:r>
      <w:r w:rsidR="00441445" w:rsidRPr="00226C43">
        <w:t>Strategic</w:t>
      </w:r>
      <w:r w:rsidRPr="00226C43">
        <w:t>)</w:t>
      </w:r>
    </w:p>
    <w:p w14:paraId="2D868F7E" w14:textId="0F7FB06A" w:rsidR="00F21E62" w:rsidRPr="00226C43" w:rsidRDefault="00F21E62" w:rsidP="00511F8A">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Efficiency</w:t>
      </w:r>
    </w:p>
    <w:p w14:paraId="7A3753E0" w14:textId="586D8AE9" w:rsidR="008B156B" w:rsidRPr="00226C43" w:rsidRDefault="008B156B" w:rsidP="008B156B">
      <w:pPr>
        <w:rPr>
          <w:rFonts w:eastAsiaTheme="minorEastAsia"/>
        </w:rPr>
      </w:pPr>
      <w:r w:rsidRPr="00226C43">
        <w:rPr>
          <w:rFonts w:eastAsiaTheme="minorEastAsia"/>
        </w:rPr>
        <w:t>Leveraging the Australia Awards brand and associated quality more effectively requires a different approach that builds on but does not dilute the branding and reputation of a highly regarded and well-functioning core program in the Embassy’s portfolio.</w:t>
      </w:r>
      <w:r w:rsidR="0078429F" w:rsidRPr="00226C43">
        <w:rPr>
          <w:rFonts w:eastAsiaTheme="minorEastAsia"/>
        </w:rPr>
        <w:t xml:space="preserve"> </w:t>
      </w:r>
      <w:r w:rsidRPr="00226C43">
        <w:rPr>
          <w:rFonts w:eastAsiaTheme="minorEastAsia"/>
        </w:rPr>
        <w:t>Adding in a second workstream (with its own objectives, selection criteria etc.) which sits alongside the ‘core’ workstream (AA proper), and which is appropriately resourced would support the Embassy’s ambition to leverage AA to engage with and develop a network of targeted stakeholders in particular sectors. This workstream could be underpinned by an operational platform which is shared with the ‘core’ AA workstream and would allow the Embassy to draw on administrative processes, resources, and expertise.</w:t>
      </w:r>
      <w:r w:rsidR="0078429F" w:rsidRPr="00226C43">
        <w:rPr>
          <w:rFonts w:eastAsiaTheme="minorEastAsia"/>
        </w:rPr>
        <w:t xml:space="preserve"> </w:t>
      </w:r>
      <w:r w:rsidRPr="00226C43">
        <w:rPr>
          <w:rFonts w:eastAsiaTheme="minorEastAsia"/>
        </w:rPr>
        <w:t>The workstream would need to be specifically funded (to minimise perceptions about additional workload and under-resourcing).</w:t>
      </w:r>
      <w:r w:rsidR="0078429F" w:rsidRPr="00226C43">
        <w:rPr>
          <w:rFonts w:eastAsiaTheme="minorEastAsia"/>
        </w:rPr>
        <w:t xml:space="preserve"> </w:t>
      </w:r>
    </w:p>
    <w:p w14:paraId="3799A792" w14:textId="7D76F325" w:rsidR="008B156B" w:rsidRPr="00226C43" w:rsidRDefault="008B156B" w:rsidP="008B156B">
      <w:pPr>
        <w:rPr>
          <w:rFonts w:eastAsiaTheme="minorEastAsia"/>
        </w:rPr>
      </w:pPr>
      <w:r w:rsidRPr="00226C43">
        <w:rPr>
          <w:rFonts w:eastAsiaTheme="minorEastAsia"/>
        </w:rPr>
        <w:t>A separate workstream would also highlight the importance of the contribution of this strategic line of work to both government’s agreed priorities.</w:t>
      </w:r>
      <w:r w:rsidR="0078429F" w:rsidRPr="00226C43">
        <w:rPr>
          <w:rFonts w:eastAsiaTheme="minorEastAsia"/>
        </w:rPr>
        <w:t xml:space="preserve"> </w:t>
      </w:r>
      <w:r w:rsidRPr="00226C43">
        <w:rPr>
          <w:rFonts w:eastAsiaTheme="minorEastAsia"/>
        </w:rPr>
        <w:t xml:space="preserve">It would need to have built in flexibility, permitting the future program to deftly respond to changing priorities while maintaining the core AA brand’s attraction. </w:t>
      </w:r>
    </w:p>
    <w:p w14:paraId="09DE74C8" w14:textId="4B888CCF" w:rsidR="008E0917" w:rsidRPr="00226C43" w:rsidRDefault="008E0917" w:rsidP="00061D40">
      <w:pPr>
        <w:suppressAutoHyphens w:val="0"/>
        <w:spacing w:line="259" w:lineRule="auto"/>
      </w:pPr>
      <w:r w:rsidRPr="00226C43">
        <w:rPr>
          <w:b/>
          <w:bCs/>
        </w:rPr>
        <w:t xml:space="preserve">Recommendation </w:t>
      </w:r>
      <w:r w:rsidR="00275A39" w:rsidRPr="00226C43">
        <w:rPr>
          <w:b/>
          <w:bCs/>
        </w:rPr>
        <w:t>4</w:t>
      </w:r>
      <w:r w:rsidRPr="00226C43">
        <w:t xml:space="preserve">: For the program’s increased responsiveness to emerging priorities, develop a second, parallel workstream alongside the core AA workstream, with tailored objectives, selection criteria, and appropriate resourcing, to engage and offer scholarships to targeted stakeholders in specific sectors for strategic purposes while leveraging the quality of </w:t>
      </w:r>
      <w:r w:rsidR="0064432C" w:rsidRPr="00226C43">
        <w:t>AAAEP–P</w:t>
      </w:r>
      <w:r w:rsidRPr="00226C43">
        <w:t xml:space="preserve"> brand and operational platform. It is important that this second workstream is specifically and appropriately resourced to emphasise its strategic contribution to both governments’ priorities. This ‘twin-track’ approach </w:t>
      </w:r>
      <w:r w:rsidRPr="00226C43">
        <w:lastRenderedPageBreak/>
        <w:t xml:space="preserve">would allow the flexibility for responsiveness to changing priorities and emerging leaders (and key stakeholders) while maintaining the core </w:t>
      </w:r>
      <w:r w:rsidR="0064432C" w:rsidRPr="00226C43">
        <w:t>AAAEP–P</w:t>
      </w:r>
      <w:r w:rsidRPr="00226C43">
        <w:t xml:space="preserve"> program’s integrity and reputation. (</w:t>
      </w:r>
      <w:r w:rsidR="00441445" w:rsidRPr="00226C43">
        <w:t>Strategic</w:t>
      </w:r>
      <w:r w:rsidRPr="00226C43">
        <w:t>)</w:t>
      </w:r>
    </w:p>
    <w:p w14:paraId="41E060A1" w14:textId="47334AF1" w:rsidR="00F21E62" w:rsidRPr="00226C43" w:rsidRDefault="00F21E62" w:rsidP="00511F8A">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Sustainability</w:t>
      </w:r>
    </w:p>
    <w:p w14:paraId="424CBFE3" w14:textId="2F0B968E" w:rsidR="00B14B44" w:rsidRPr="00226C43" w:rsidRDefault="00B14B44" w:rsidP="00C77879">
      <w:pPr>
        <w:rPr>
          <w:b/>
          <w:bCs/>
        </w:rPr>
      </w:pPr>
      <w:r w:rsidRPr="00226C43">
        <w:rPr>
          <w:rFonts w:eastAsiaTheme="minorEastAsia"/>
        </w:rPr>
        <w:t>A future program could more concretely and formerly link alumni in different GPH agencies, different sectors (e.g., defence, STEM), with development and public diplomacy objectives of the Embassy. Again, resourcing analysis, and engagement are required to build this approach in a more comprehensive manner.</w:t>
      </w:r>
    </w:p>
    <w:p w14:paraId="71AD7B7D" w14:textId="393662E6" w:rsidR="00C77879" w:rsidRPr="00226C43" w:rsidRDefault="00C77879" w:rsidP="00061D40">
      <w:r w:rsidRPr="00226C43">
        <w:rPr>
          <w:b/>
          <w:bCs/>
        </w:rPr>
        <w:t xml:space="preserve">Recommendation </w:t>
      </w:r>
      <w:r w:rsidR="008E0917" w:rsidRPr="00226C43">
        <w:rPr>
          <w:b/>
          <w:bCs/>
        </w:rPr>
        <w:t>5</w:t>
      </w:r>
      <w:r w:rsidRPr="00226C43">
        <w:t>: Enhance alumni engagement by establishing targeted groups (e.g., defence alumni, Science, Technology, Engineering, and Mathematics (STEM) alumni) linked to the Embassy’s development and public diplomacy objectives/sectors, ensuring alumni and their organisations see value in participation. This approach would need to be informed by political economy analysis and would need to be appropriately resourced. Inclusion in a future program of financial and human resources to support Embassy-wide alumni would add to the strategic coherence (e.g., support for managing defence alumni, including establishing an accessible database of alumni). (</w:t>
      </w:r>
      <w:r w:rsidR="002F1B10" w:rsidRPr="00226C43">
        <w:t>Stra</w:t>
      </w:r>
      <w:r w:rsidR="00441445" w:rsidRPr="00226C43">
        <w:t>t</w:t>
      </w:r>
      <w:r w:rsidR="002F1B10" w:rsidRPr="00226C43">
        <w:t>egic</w:t>
      </w:r>
      <w:r w:rsidRPr="00226C43">
        <w:t>)</w:t>
      </w:r>
    </w:p>
    <w:p w14:paraId="7242EB6E" w14:textId="66970A39" w:rsidR="00F21E62" w:rsidRPr="00226C43" w:rsidRDefault="00F21E62" w:rsidP="00511F8A">
      <w:pPr>
        <w:pStyle w:val="Heading3nonumber"/>
        <w:numPr>
          <w:ilvl w:val="0"/>
          <w:numId w:val="0"/>
        </w:numPr>
        <w:ind w:left="720" w:hanging="720"/>
        <w:rPr>
          <w:rFonts w:asciiTheme="minorHAnsi" w:hAnsiTheme="minorHAnsi"/>
          <w:color w:val="auto"/>
        </w:rPr>
      </w:pPr>
      <w:r w:rsidRPr="00226C43">
        <w:rPr>
          <w:rFonts w:asciiTheme="minorHAnsi" w:hAnsiTheme="minorHAnsi"/>
          <w:color w:val="auto"/>
        </w:rPr>
        <w:t>GEDSI</w:t>
      </w:r>
    </w:p>
    <w:p w14:paraId="6A7B1D34" w14:textId="22B6525E" w:rsidR="00C77797" w:rsidRPr="00226C43" w:rsidRDefault="4DD21A85" w:rsidP="00C22A7C">
      <w:pPr>
        <w:rPr>
          <w:rFonts w:eastAsiaTheme="minorEastAsia"/>
        </w:rPr>
      </w:pPr>
      <w:r w:rsidRPr="00226C43">
        <w:rPr>
          <w:rFonts w:eastAsia="Aptos" w:cs="Aptos"/>
        </w:rPr>
        <w:t xml:space="preserve">There is also an opportunity to enhance the </w:t>
      </w:r>
      <w:r w:rsidR="2C17513F" w:rsidRPr="00226C43">
        <w:rPr>
          <w:rFonts w:eastAsia="Aptos" w:cs="Aptos"/>
        </w:rPr>
        <w:t>p</w:t>
      </w:r>
      <w:r w:rsidR="4523E94B" w:rsidRPr="00226C43">
        <w:rPr>
          <w:rFonts w:eastAsia="Aptos" w:cs="Aptos"/>
        </w:rPr>
        <w:t>rogram's</w:t>
      </w:r>
      <w:r w:rsidRPr="00226C43">
        <w:rPr>
          <w:rFonts w:eastAsia="Aptos" w:cs="Aptos"/>
        </w:rPr>
        <w:t xml:space="preserve"> implementation by aligning it more closely with Australian values and policies, such as the Gender Equality Policy and Disability-Inclusive Development. This includes ensuring that engagement with scholars from vulnerable or marginalised groups is meaningful, valued by all stakeholders, and avoids any perception of tokenism. This approach will foster more impactful and inclusive outcomes for the program</w:t>
      </w:r>
      <w:r w:rsidR="004D7225" w:rsidRPr="00226C43">
        <w:rPr>
          <w:rFonts w:eastAsiaTheme="minorEastAsia"/>
        </w:rPr>
        <w:t>.</w:t>
      </w:r>
      <w:r w:rsidR="0064432C" w:rsidRPr="00226C43">
        <w:rPr>
          <w:rFonts w:eastAsiaTheme="minorEastAsia"/>
        </w:rPr>
        <w:t xml:space="preserve"> </w:t>
      </w:r>
    </w:p>
    <w:p w14:paraId="101C366D" w14:textId="6F2C227D" w:rsidR="00C77797" w:rsidRPr="00226C43" w:rsidRDefault="4DD21A85" w:rsidP="004D7225">
      <w:r w:rsidRPr="00226C43">
        <w:t>For the future program, specific GEDSI resourcing is recommended, to move beyond GEDSI mainstreaming so that it is complemented with targeted GEDSI activities, recognising the alumni talent pool that could assist.</w:t>
      </w:r>
      <w:r w:rsidR="0078429F" w:rsidRPr="00226C43">
        <w:t xml:space="preserve"> </w:t>
      </w:r>
      <w:r w:rsidRPr="00226C43">
        <w:t>This will also support the Philippine Government to increase its understanding of what GEDSI is and how it works.</w:t>
      </w:r>
    </w:p>
    <w:p w14:paraId="5E324C5C" w14:textId="1383BDAB" w:rsidR="007A63A9" w:rsidRPr="00226C43" w:rsidRDefault="007A63A9" w:rsidP="007A63A9">
      <w:r w:rsidRPr="00226C43">
        <w:t>While it may be late in the current program, it is strongly recommended that for the next program design, DFAT allocate dedicated human resources and funding specifically for GEDSI mainstreaming and focused activities. Furthermore, it is essential that financial monitoring includes tracking expenditure against the planned GEDSI budget. This financial analysis will not only ensure fiscal accountability but also support the GEDSI MEL framework, reinforcing the program’s commitment to gender equality, disability inclusion, and social inclusion across all stages.</w:t>
      </w:r>
    </w:p>
    <w:p w14:paraId="3B66F3D0" w14:textId="767CDD9B" w:rsidR="0076794E" w:rsidRPr="00226C43" w:rsidRDefault="006A4533" w:rsidP="00061D40">
      <w:r w:rsidRPr="00226C43">
        <w:rPr>
          <w:b/>
          <w:bCs/>
        </w:rPr>
        <w:t>Recommendation</w:t>
      </w:r>
      <w:r w:rsidR="003C76C8" w:rsidRPr="00226C43">
        <w:rPr>
          <w:b/>
          <w:bCs/>
        </w:rPr>
        <w:t xml:space="preserve"> 6</w:t>
      </w:r>
      <w:r w:rsidR="003C76C8" w:rsidRPr="00226C43">
        <w:t>:</w:t>
      </w:r>
      <w:r w:rsidR="0076794E" w:rsidRPr="00226C43">
        <w:t xml:space="preserve"> Strengthen program implementation to align with Australian values and policies (e.g., GEDSI) by ensuring meaningful engagement with scholars from vulnerable or marginalised groups. (O</w:t>
      </w:r>
      <w:r w:rsidR="00441445" w:rsidRPr="00226C43">
        <w:t>perational</w:t>
      </w:r>
      <w:r w:rsidR="0076794E" w:rsidRPr="00226C43">
        <w:t>)</w:t>
      </w:r>
    </w:p>
    <w:p w14:paraId="6EA452D4" w14:textId="2F4E6B29" w:rsidR="00CD6AE4" w:rsidRPr="00226C43" w:rsidRDefault="003C76C8" w:rsidP="00061D40">
      <w:r w:rsidRPr="00226C43">
        <w:rPr>
          <w:b/>
          <w:bCs/>
        </w:rPr>
        <w:t>Recommendation 7</w:t>
      </w:r>
      <w:r w:rsidRPr="00226C43">
        <w:t xml:space="preserve">: </w:t>
      </w:r>
      <w:r w:rsidR="00CD6AE4" w:rsidRPr="00226C43">
        <w:t>Allocate specific GEDSI resourcing in the future program to complement mainstreaming with targeted activities, leveraging the alumni talent pool and supporting GPH’s understanding and application of GEDSI principles. (O</w:t>
      </w:r>
      <w:r w:rsidR="00441445" w:rsidRPr="00226C43">
        <w:t>perational</w:t>
      </w:r>
      <w:r w:rsidR="00CD6AE4" w:rsidRPr="00226C43">
        <w:t>)</w:t>
      </w:r>
    </w:p>
    <w:p w14:paraId="511238C5" w14:textId="51621405" w:rsidR="007A63A9" w:rsidRPr="00226C43" w:rsidRDefault="0076794E" w:rsidP="00061D40">
      <w:pPr>
        <w:pStyle w:val="Heading3nonumber"/>
        <w:rPr>
          <w:rFonts w:asciiTheme="minorHAnsi" w:hAnsiTheme="minorHAnsi"/>
          <w:color w:val="auto"/>
        </w:rPr>
      </w:pPr>
      <w:r w:rsidRPr="00226C43">
        <w:rPr>
          <w:rFonts w:asciiTheme="minorHAnsi" w:hAnsiTheme="minorHAnsi"/>
          <w:color w:val="auto"/>
        </w:rPr>
        <w:lastRenderedPageBreak/>
        <w:t>Additional GEDSI Recommendations</w:t>
      </w:r>
    </w:p>
    <w:p w14:paraId="36DF7EAA" w14:textId="6E71D471" w:rsidR="00874165" w:rsidRPr="00226C43" w:rsidRDefault="00FA502C" w:rsidP="00895B4C">
      <w:r w:rsidRPr="00226C43">
        <w:rPr>
          <w:rFonts w:eastAsiaTheme="minorEastAsia"/>
          <w:b/>
        </w:rPr>
        <w:t>Recommendation</w:t>
      </w:r>
      <w:r w:rsidR="00772511" w:rsidRPr="00226C43">
        <w:rPr>
          <w:rFonts w:eastAsiaTheme="minorEastAsia"/>
          <w:b/>
        </w:rPr>
        <w:t xml:space="preserve"> </w:t>
      </w:r>
      <w:r w:rsidR="00275A39" w:rsidRPr="00226C43">
        <w:rPr>
          <w:rFonts w:eastAsiaTheme="minorEastAsia"/>
          <w:b/>
        </w:rPr>
        <w:t>8</w:t>
      </w:r>
      <w:r w:rsidRPr="00226C43">
        <w:rPr>
          <w:rFonts w:eastAsiaTheme="minorEastAsia"/>
        </w:rPr>
        <w:t xml:space="preserve">: </w:t>
      </w:r>
      <w:r w:rsidR="4DD21A85" w:rsidRPr="00226C43">
        <w:t xml:space="preserve">Have allocation/slots per region, </w:t>
      </w:r>
      <w:r w:rsidR="00441445" w:rsidRPr="00226C43">
        <w:t xml:space="preserve">and </w:t>
      </w:r>
      <w:r w:rsidR="4DD21A85" w:rsidRPr="00226C43">
        <w:t>more equitable distribution (rural vs urban focus, Metro Manila vs non-Metro Manila placements).</w:t>
      </w:r>
    </w:p>
    <w:p w14:paraId="4137E4DD" w14:textId="41573FE0" w:rsidR="00874165" w:rsidRPr="00226C43" w:rsidRDefault="00E32BCC" w:rsidP="00895B4C">
      <w:r w:rsidRPr="00226C43">
        <w:rPr>
          <w:rFonts w:eastAsiaTheme="minorEastAsia"/>
          <w:b/>
        </w:rPr>
        <w:t>Recommendation</w:t>
      </w:r>
      <w:r w:rsidR="00772511" w:rsidRPr="00226C43">
        <w:rPr>
          <w:rFonts w:eastAsiaTheme="minorEastAsia"/>
          <w:b/>
        </w:rPr>
        <w:t xml:space="preserve"> </w:t>
      </w:r>
      <w:r w:rsidR="0076794E" w:rsidRPr="00226C43">
        <w:rPr>
          <w:rFonts w:eastAsiaTheme="minorEastAsia"/>
          <w:b/>
        </w:rPr>
        <w:t>9</w:t>
      </w:r>
      <w:r w:rsidRPr="00226C43">
        <w:rPr>
          <w:rFonts w:eastAsiaTheme="minorEastAsia"/>
        </w:rPr>
        <w:t xml:space="preserve">: </w:t>
      </w:r>
      <w:r w:rsidR="4DD21A85" w:rsidRPr="00226C43">
        <w:t xml:space="preserve">Deepen the discussion on GEDSI as a conceptual framework and as a practice and clarify how it aligns or differs from intersectionality. AAAEP–P is strong in supporting women empowerment and disability inclusion, and in supporting the capacity- building of scholars from indigenous communities. Is AAAEP–P prepared to take on the discussions about </w:t>
      </w:r>
      <w:r w:rsidR="55A1AAA8" w:rsidRPr="00226C43">
        <w:t>Sexual Orientation and Gender Identity/Expression (</w:t>
      </w:r>
      <w:r w:rsidR="4DD21A85" w:rsidRPr="00226C43">
        <w:t>SOGIE</w:t>
      </w:r>
      <w:r w:rsidR="55A1AAA8" w:rsidRPr="00226C43">
        <w:t>),</w:t>
      </w:r>
      <w:r w:rsidR="4DD21A85" w:rsidRPr="00226C43">
        <w:t xml:space="preserve"> LGBTQIA+, and other components of Social Inclusion?</w:t>
      </w:r>
    </w:p>
    <w:p w14:paraId="1853D3FF" w14:textId="55CE2A6A" w:rsidR="00874165" w:rsidRPr="00226C43" w:rsidRDefault="00E32BCC" w:rsidP="00895B4C">
      <w:r w:rsidRPr="00226C43">
        <w:rPr>
          <w:rFonts w:eastAsiaTheme="minorEastAsia"/>
          <w:b/>
        </w:rPr>
        <w:t>Recommendation</w:t>
      </w:r>
      <w:r w:rsidR="00772511" w:rsidRPr="00226C43">
        <w:rPr>
          <w:rFonts w:eastAsiaTheme="minorEastAsia"/>
          <w:b/>
        </w:rPr>
        <w:t xml:space="preserve"> </w:t>
      </w:r>
      <w:r w:rsidR="0076794E" w:rsidRPr="00226C43">
        <w:rPr>
          <w:rFonts w:eastAsiaTheme="minorEastAsia"/>
          <w:b/>
        </w:rPr>
        <w:t>10</w:t>
      </w:r>
      <w:r w:rsidRPr="00226C43">
        <w:rPr>
          <w:rFonts w:eastAsiaTheme="minorEastAsia"/>
        </w:rPr>
        <w:t xml:space="preserve">: </w:t>
      </w:r>
      <w:r w:rsidR="4DD21A85" w:rsidRPr="00226C43">
        <w:t xml:space="preserve">The </w:t>
      </w:r>
      <w:proofErr w:type="spellStart"/>
      <w:r w:rsidR="55A1AAA8" w:rsidRPr="00226C43">
        <w:t>GoA</w:t>
      </w:r>
      <w:proofErr w:type="spellEnd"/>
      <w:r w:rsidR="4DD21A85" w:rsidRPr="00226C43">
        <w:t>, through DFAT and the AAAEP–P, has a</w:t>
      </w:r>
      <w:r w:rsidR="00A10D5F" w:rsidRPr="00226C43">
        <w:t>n</w:t>
      </w:r>
      <w:r w:rsidR="4DD21A85" w:rsidRPr="00226C43">
        <w:t xml:space="preserve"> opportunity to be a strong thought leader in advancing GEDSI (Philippines remains to promote gender and development).</w:t>
      </w:r>
      <w:r w:rsidR="0078429F" w:rsidRPr="00226C43">
        <w:t xml:space="preserve"> </w:t>
      </w:r>
      <w:r w:rsidR="4DD21A85" w:rsidRPr="00226C43">
        <w:t>One example of this opportunity is the REAP which</w:t>
      </w:r>
      <w:r w:rsidR="55A1AAA8" w:rsidRPr="00226C43">
        <w:t>,</w:t>
      </w:r>
      <w:r w:rsidR="4DD21A85" w:rsidRPr="00226C43">
        <w:t xml:space="preserve"> according to former </w:t>
      </w:r>
      <w:r w:rsidR="26F1D4D0" w:rsidRPr="00226C43">
        <w:t>Deputy</w:t>
      </w:r>
      <w:r w:rsidR="000A790F" w:rsidRPr="00226C43">
        <w:t xml:space="preserve"> Head of </w:t>
      </w:r>
      <w:r w:rsidR="55A1AAA8" w:rsidRPr="00226C43">
        <w:t>Mission David</w:t>
      </w:r>
      <w:r w:rsidR="4DD21A85" w:rsidRPr="00226C43">
        <w:t xml:space="preserve"> Dutton, is an innovative mechanism of the scholarship program in the Philippines to ensure awardees use what they have learned to initiate genuine positive changes in their workplaces and in society. The REAPs have demonstrated the value of thoughtfully integrating GEDSI in its design and implementation. As CEO Ms Cherrie Atilano</w:t>
      </w:r>
      <w:r w:rsidR="00DA3C95" w:rsidRPr="00226C43">
        <w:rPr>
          <w:rStyle w:val="FootnoteReference"/>
        </w:rPr>
        <w:footnoteReference w:id="31"/>
      </w:r>
      <w:r w:rsidR="4DD21A85" w:rsidRPr="00226C43">
        <w:t xml:space="preserve"> intimated, </w:t>
      </w:r>
      <w:r w:rsidR="00EF703E" w:rsidRPr="00226C43">
        <w:t>‘</w:t>
      </w:r>
      <w:r w:rsidR="4DD21A85" w:rsidRPr="00226C43">
        <w:t>the Alumni Networks serve as a big pool of experts or think tank that the Embassy can tap.</w:t>
      </w:r>
      <w:r w:rsidR="00EF703E" w:rsidRPr="00226C43">
        <w:t>’</w:t>
      </w:r>
    </w:p>
    <w:p w14:paraId="7414E084" w14:textId="15535C65" w:rsidR="00874165" w:rsidRPr="00226C43" w:rsidRDefault="4DD21A85" w:rsidP="004D7225">
      <w:r w:rsidRPr="00226C43">
        <w:t xml:space="preserve">As one of the lead development partners of GPH, Australia can further </w:t>
      </w:r>
      <w:proofErr w:type="spellStart"/>
      <w:r w:rsidRPr="00226C43">
        <w:t>strategise</w:t>
      </w:r>
      <w:proofErr w:type="spellEnd"/>
      <w:r w:rsidRPr="00226C43">
        <w:t xml:space="preserve"> how GEDSI can advance in the form of policy, budget, and practice in its key government partners. This will also influence the meaningful execution of GEDSI which can facilitate sustainability over time.</w:t>
      </w:r>
    </w:p>
    <w:p w14:paraId="1845317B" w14:textId="4BB629D9" w:rsidR="00874165" w:rsidRPr="00226C43" w:rsidRDefault="00895B4C" w:rsidP="00895B4C">
      <w:r w:rsidRPr="00226C43">
        <w:rPr>
          <w:rFonts w:eastAsiaTheme="minorEastAsia"/>
          <w:b/>
        </w:rPr>
        <w:t>Recommendation</w:t>
      </w:r>
      <w:r w:rsidR="00772511" w:rsidRPr="00226C43">
        <w:rPr>
          <w:rFonts w:eastAsiaTheme="minorEastAsia"/>
          <w:b/>
        </w:rPr>
        <w:t xml:space="preserve"> </w:t>
      </w:r>
      <w:r w:rsidR="0076794E" w:rsidRPr="00226C43">
        <w:rPr>
          <w:rFonts w:eastAsiaTheme="minorEastAsia"/>
          <w:b/>
        </w:rPr>
        <w:t>11</w:t>
      </w:r>
      <w:r w:rsidRPr="00226C43">
        <w:rPr>
          <w:rFonts w:eastAsiaTheme="minorEastAsia"/>
        </w:rPr>
        <w:t xml:space="preserve">: </w:t>
      </w:r>
      <w:r w:rsidR="4DD21A85" w:rsidRPr="00226C43">
        <w:t xml:space="preserve">AAAEP–P should also consider hiring a person with disability as a member of the team, </w:t>
      </w:r>
      <w:r w:rsidR="00F40B32" w:rsidRPr="00226C43">
        <w:t>to</w:t>
      </w:r>
      <w:r w:rsidR="4DD21A85" w:rsidRPr="00226C43">
        <w:t xml:space="preserve"> identify the meaningful points of participation by persons with disabilities as a standard operation procedure. These include revisiting the full program cycle, especially the development of strategic directions and documents, and key stages of implementation. (It is important to explain to these stakeholders the level of their engagement so as not to raise expectations, rather highlight the value of their contributions and articulate how the program will use their inputs.) It also merits obtaining their access audit clearance for every activity to ensure their participation with ease, to events organised the program.</w:t>
      </w:r>
    </w:p>
    <w:p w14:paraId="4E530069" w14:textId="44C55A3E" w:rsidR="00C213AE" w:rsidRPr="00226C43" w:rsidRDefault="00C213AE" w:rsidP="4DD21A85">
      <w:r w:rsidRPr="00226C43">
        <w:br w:type="page"/>
      </w:r>
    </w:p>
    <w:p w14:paraId="7E49E20E" w14:textId="68EE6FEA" w:rsidR="00DC0CBE" w:rsidRPr="00226C43" w:rsidRDefault="4DD21A85" w:rsidP="005A698C">
      <w:pPr>
        <w:pStyle w:val="Appendices"/>
        <w:rPr>
          <w:rFonts w:asciiTheme="minorHAnsi" w:hAnsiTheme="minorHAnsi"/>
          <w:color w:val="auto"/>
        </w:rPr>
      </w:pPr>
      <w:bookmarkStart w:id="46" w:name="_Toc190195426"/>
      <w:bookmarkStart w:id="47" w:name="_Toc190248323"/>
      <w:bookmarkStart w:id="48" w:name="_Toc170122239"/>
      <w:bookmarkStart w:id="49" w:name="_Toc170122312"/>
      <w:r w:rsidRPr="00226C43">
        <w:rPr>
          <w:rFonts w:asciiTheme="minorHAnsi" w:hAnsiTheme="minorHAnsi"/>
          <w:color w:val="auto"/>
        </w:rPr>
        <w:lastRenderedPageBreak/>
        <w:t>Background, purpose and approach</w:t>
      </w:r>
      <w:bookmarkEnd w:id="46"/>
      <w:bookmarkEnd w:id="47"/>
    </w:p>
    <w:p w14:paraId="73723130" w14:textId="4D1D1B2D" w:rsidR="00DC0CBE" w:rsidRPr="00226C43" w:rsidRDefault="4DD21A85" w:rsidP="4DD21A85">
      <w:pPr>
        <w:rPr>
          <w:rFonts w:cs="Calibri Light"/>
        </w:rPr>
      </w:pPr>
      <w:bookmarkStart w:id="50" w:name="_Toc169275857"/>
      <w:bookmarkStart w:id="51" w:name="_Toc170122221"/>
      <w:bookmarkStart w:id="52" w:name="_Toc170122298"/>
      <w:r w:rsidRPr="00226C43">
        <w:rPr>
          <w:rFonts w:cs="Calibri Light"/>
        </w:rPr>
        <w:t xml:space="preserve">The </w:t>
      </w:r>
      <w:r w:rsidRPr="00226C43">
        <w:rPr>
          <w:rFonts w:cs="Calibri Light"/>
          <w:i/>
          <w:iCs/>
        </w:rPr>
        <w:t>Australia Awards and Alumni Engagement Program – Philippines</w:t>
      </w:r>
      <w:r w:rsidRPr="00226C43">
        <w:rPr>
          <w:rFonts w:cs="Calibri Light"/>
        </w:rPr>
        <w:t xml:space="preserve"> (AAAEP–P) is an eight–year (2018–2026), $31 million program that provides Australia Awards scholarships, short courses, local scholarships (ICSP) and alumni engagement activities to further contribute toward achieving the shared development goals of Australia and the Philippines. </w:t>
      </w:r>
    </w:p>
    <w:p w14:paraId="744B0CAB" w14:textId="07A7E42B" w:rsidR="0033156D" w:rsidRPr="00226C43" w:rsidRDefault="0033156D" w:rsidP="4DD21A85">
      <w:pPr>
        <w:rPr>
          <w:rFonts w:cs="Calibri Light"/>
        </w:rPr>
      </w:pPr>
      <w:r w:rsidRPr="00226C43">
        <w:rPr>
          <w:rFonts w:cs="Calibri Light"/>
        </w:rPr>
        <w:t>The Subsidiary Arrangement indicates that ‘</w:t>
      </w:r>
      <w:r w:rsidRPr="00226C43">
        <w:rPr>
          <w:rFonts w:cs="Calibri Light"/>
          <w:i/>
          <w:iCs/>
        </w:rPr>
        <w:t>the program aims to give beneficiaries and through them their organisations, the skills, knowledge and desire to contribute to development that is aligned to the Partners’ shared goals</w:t>
      </w:r>
      <w:r w:rsidR="009A4B8E" w:rsidRPr="00226C43">
        <w:rPr>
          <w:rFonts w:cs="Calibri Light"/>
          <w:i/>
          <w:iCs/>
        </w:rPr>
        <w:t>…. and create relevant and useful networks and relationships that allow Australia and the Philippines to take forward their mutual interests in the Philippines</w:t>
      </w:r>
      <w:r w:rsidR="00517DBE" w:rsidRPr="00226C43">
        <w:rPr>
          <w:rFonts w:cs="Calibri Light"/>
          <w:i/>
          <w:iCs/>
        </w:rPr>
        <w:t>’</w:t>
      </w:r>
      <w:r w:rsidR="00517DBE" w:rsidRPr="00226C43">
        <w:rPr>
          <w:rStyle w:val="FootnoteReference"/>
          <w:rFonts w:cs="Calibri Light"/>
          <w:i/>
          <w:iCs/>
        </w:rPr>
        <w:footnoteReference w:id="32"/>
      </w:r>
      <w:r w:rsidR="009A4B8E" w:rsidRPr="00226C43">
        <w:rPr>
          <w:rFonts w:cs="Calibri Light"/>
        </w:rPr>
        <w:t>.</w:t>
      </w:r>
    </w:p>
    <w:p w14:paraId="7ED5F33F" w14:textId="1FEFD702" w:rsidR="00DC0CBE" w:rsidRPr="00226C43" w:rsidRDefault="6ED73106" w:rsidP="4DD21A85">
      <w:r w:rsidRPr="00226C43">
        <w:rPr>
          <w:rFonts w:cs="Calibri Light"/>
          <w:i/>
          <w:iCs/>
        </w:rPr>
        <w:t>‘</w:t>
      </w:r>
      <w:r w:rsidR="4DD21A85" w:rsidRPr="00226C43">
        <w:rPr>
          <w:i/>
        </w:rPr>
        <w:t>Australia Awards are prestigious study opportunities that offer the next generation of global leaders an opportunity to undertake study, research and professional development in Australia (or to be funded by Australia). It builds skills and capabilities, people–to–people links and institutional partnerships in areas that contribute to Australia's foreign, trade and international development priorities, and which ultimately contribute to the Philippine Government’s development priorities.</w:t>
      </w:r>
      <w:r w:rsidR="18C544A2" w:rsidRPr="00226C43">
        <w:rPr>
          <w:rFonts w:cs="Calibri Light"/>
          <w:i/>
          <w:iCs/>
        </w:rPr>
        <w:t xml:space="preserve">’ </w:t>
      </w:r>
    </w:p>
    <w:p w14:paraId="70E1BEFB" w14:textId="33E555CA" w:rsidR="00DC0CBE" w:rsidRPr="00226C43" w:rsidRDefault="4DD21A85" w:rsidP="4DD21A85">
      <w:r w:rsidRPr="00226C43">
        <w:t>Abt Associates, on behalf of DFAT, engaged Sustineo to conduct an evaluation of the AAAEP–P.</w:t>
      </w:r>
    </w:p>
    <w:p w14:paraId="1F689035" w14:textId="77777777" w:rsidR="00DC0CBE" w:rsidRPr="00226C43" w:rsidRDefault="4DD21A85" w:rsidP="4DD21A85">
      <w:pPr>
        <w:rPr>
          <w:rFonts w:cs="Calibri Light"/>
          <w:i/>
          <w:iCs/>
        </w:rPr>
      </w:pPr>
      <w:r w:rsidRPr="00226C43">
        <w:rPr>
          <w:rFonts w:cs="Calibri Light"/>
          <w:i/>
          <w:iCs/>
        </w:rPr>
        <w:t>Aims of Evaluation</w:t>
      </w:r>
    </w:p>
    <w:p w14:paraId="0970FFD3" w14:textId="26705475" w:rsidR="00DC0CBE" w:rsidRPr="00226C43" w:rsidRDefault="00DC0CBE" w:rsidP="4DD21A85">
      <w:pPr>
        <w:pStyle w:val="BodyCopy"/>
        <w:rPr>
          <w:rFonts w:asciiTheme="minorHAnsi" w:eastAsiaTheme="minorEastAsia" w:hAnsiTheme="minorHAnsi" w:cstheme="minorBidi"/>
          <w:color w:val="auto"/>
          <w:szCs w:val="24"/>
          <w:lang w:eastAsia="en-GB"/>
        </w:rPr>
      </w:pPr>
      <w:r w:rsidRPr="00226C43">
        <w:rPr>
          <w:rFonts w:asciiTheme="minorHAnsi" w:eastAsiaTheme="minorEastAsia" w:hAnsiTheme="minorHAnsi" w:cstheme="minorBidi"/>
          <w:color w:val="auto"/>
          <w:szCs w:val="24"/>
          <w:lang w:eastAsia="en-GB"/>
        </w:rPr>
        <w:t>This evaluation report aims to promote continuous improvement and ensure that Australia’s international development program is adapting its approaches to achieve effective outcomes in line with its aim of advancing a peaceful, stable and prosperous Indo-Pacific region.</w:t>
      </w:r>
      <w:r w:rsidR="0078429F" w:rsidRPr="00226C43">
        <w:rPr>
          <w:rFonts w:asciiTheme="minorHAnsi" w:eastAsiaTheme="minorEastAsia" w:hAnsiTheme="minorHAnsi" w:cstheme="minorBidi"/>
          <w:color w:val="auto"/>
          <w:szCs w:val="24"/>
          <w:lang w:eastAsia="en-GB"/>
        </w:rPr>
        <w:t xml:space="preserve"> </w:t>
      </w:r>
      <w:r w:rsidRPr="00226C43">
        <w:rPr>
          <w:rFonts w:asciiTheme="minorHAnsi" w:eastAsiaTheme="minorEastAsia" w:hAnsiTheme="minorHAnsi" w:cstheme="minorBidi"/>
          <w:color w:val="auto"/>
          <w:szCs w:val="24"/>
          <w:lang w:eastAsia="en-GB"/>
        </w:rPr>
        <w:t>The aims of the evaluation include:</w:t>
      </w:r>
    </w:p>
    <w:p w14:paraId="4F12E877" w14:textId="440010A4" w:rsidR="00DC0CBE" w:rsidRPr="00226C43" w:rsidRDefault="4DD21A85" w:rsidP="00925CC1">
      <w:pPr>
        <w:pStyle w:val="ListParagraph"/>
        <w:numPr>
          <w:ilvl w:val="0"/>
          <w:numId w:val="31"/>
        </w:numPr>
        <w:tabs>
          <w:tab w:val="left" w:pos="284"/>
        </w:tabs>
        <w:spacing w:after="0" w:line="259" w:lineRule="auto"/>
        <w:ind w:left="284" w:hanging="284"/>
      </w:pPr>
      <w:r w:rsidRPr="00226C43">
        <w:t xml:space="preserve">assess how well AAAEP–P aligns with the strategic objectives of </w:t>
      </w:r>
      <w:r w:rsidR="55A1AAA8" w:rsidRPr="00226C43">
        <w:t>GPH</w:t>
      </w:r>
      <w:r w:rsidR="00855E4C" w:rsidRPr="00226C43">
        <w:t xml:space="preserve"> </w:t>
      </w:r>
      <w:r w:rsidR="55A1AAA8" w:rsidRPr="00226C43">
        <w:t>and</w:t>
      </w:r>
      <w:r w:rsidRPr="00226C43">
        <w:t xml:space="preserve"> Australia, especially considering Australia’s International Development Policy, Philippine Development Plan 2023–2028, </w:t>
      </w:r>
      <w:r w:rsidR="55A1AAA8" w:rsidRPr="00226C43">
        <w:t xml:space="preserve">and </w:t>
      </w:r>
      <w:r w:rsidRPr="00226C43">
        <w:t xml:space="preserve">forthcoming Australia-Philippines Development Partnerships Plan 2024-2029. </w:t>
      </w:r>
    </w:p>
    <w:p w14:paraId="236CFA85" w14:textId="6E606AFB" w:rsidR="00DC0CBE" w:rsidRPr="00226C43" w:rsidRDefault="4DD21A85" w:rsidP="00925CC1">
      <w:pPr>
        <w:pStyle w:val="ListParagraph"/>
        <w:numPr>
          <w:ilvl w:val="0"/>
          <w:numId w:val="31"/>
        </w:numPr>
        <w:tabs>
          <w:tab w:val="left" w:pos="284"/>
        </w:tabs>
        <w:spacing w:after="0"/>
        <w:ind w:left="284" w:hanging="284"/>
      </w:pPr>
      <w:r w:rsidRPr="00226C43">
        <w:t>assess the efficiency and effectiveness of AAAEP–P’s implementation, and</w:t>
      </w:r>
    </w:p>
    <w:p w14:paraId="26D37944" w14:textId="1C3E1913" w:rsidR="00DC0CBE" w:rsidRPr="00226C43" w:rsidRDefault="4DD21A85" w:rsidP="00925CC1">
      <w:pPr>
        <w:pStyle w:val="ListParagraph"/>
        <w:numPr>
          <w:ilvl w:val="0"/>
          <w:numId w:val="31"/>
        </w:numPr>
        <w:tabs>
          <w:tab w:val="left" w:pos="284"/>
        </w:tabs>
        <w:spacing w:after="0"/>
        <w:ind w:left="284" w:hanging="284"/>
      </w:pPr>
      <w:r w:rsidRPr="00226C43">
        <w:t>provide recommendations for future activities and improvements that should be considered during the remainder of the program and the design of AAAEP–P’s successor program.</w:t>
      </w:r>
    </w:p>
    <w:p w14:paraId="19DFDAFB" w14:textId="3E64D230" w:rsidR="00DC0CBE" w:rsidRPr="00226C43" w:rsidRDefault="3DB2131A" w:rsidP="00061D40">
      <w:pPr>
        <w:spacing w:before="240" w:line="259" w:lineRule="auto"/>
        <w:rPr>
          <w:rFonts w:cs="Calibri Light"/>
          <w:i/>
          <w:iCs/>
        </w:rPr>
      </w:pPr>
      <w:r w:rsidRPr="00226C43">
        <w:rPr>
          <w:rFonts w:cs="Calibri Light"/>
          <w:i/>
          <w:iCs/>
        </w:rPr>
        <w:t>Methods</w:t>
      </w:r>
    </w:p>
    <w:p w14:paraId="3BE08848" w14:textId="04C71B62" w:rsidR="00DC0CBE" w:rsidRPr="00226C43" w:rsidRDefault="4DD21A85" w:rsidP="4DD21A85">
      <w:pPr>
        <w:rPr>
          <w:rFonts w:cs="Calibri Light"/>
        </w:rPr>
      </w:pPr>
      <w:r w:rsidRPr="00226C43">
        <w:rPr>
          <w:rFonts w:cs="Calibri Light"/>
        </w:rPr>
        <w:t>The evaluation team conducted KIIs, small group discussions, KIIs in the sidelines of the GEDSI Summit, document review, and survey of alumni.</w:t>
      </w:r>
      <w:r w:rsidR="0078429F" w:rsidRPr="00226C43">
        <w:rPr>
          <w:rFonts w:cs="Calibri Light"/>
        </w:rPr>
        <w:t xml:space="preserve"> </w:t>
      </w:r>
      <w:proofErr w:type="gramStart"/>
      <w:r w:rsidR="005D4661" w:rsidRPr="00226C43">
        <w:t>Seventy nine</w:t>
      </w:r>
      <w:proofErr w:type="gramEnd"/>
      <w:r w:rsidR="005D4661" w:rsidRPr="00226C43">
        <w:t xml:space="preserve"> i</w:t>
      </w:r>
      <w:r w:rsidRPr="00226C43">
        <w:rPr>
          <w:rFonts w:cs="Calibri Light"/>
        </w:rPr>
        <w:t>n-country interviews were conducted from 2-13 September 2024.</w:t>
      </w:r>
    </w:p>
    <w:p w14:paraId="2FD8F55E" w14:textId="657234C6" w:rsidR="00DC0CBE" w:rsidRPr="00226C43" w:rsidRDefault="4DD21A85" w:rsidP="4DD21A85">
      <w:pPr>
        <w:rPr>
          <w:rFonts w:cs="Calibri Light"/>
        </w:rPr>
      </w:pPr>
      <w:r w:rsidRPr="00226C43">
        <w:rPr>
          <w:rFonts w:cs="Calibri Light"/>
        </w:rPr>
        <w:lastRenderedPageBreak/>
        <w:t>The evaluation team specifically sought consent to record the conversations, and to use names in stakeholders lists and for quotations.</w:t>
      </w:r>
      <w:r w:rsidR="0078429F" w:rsidRPr="00226C43">
        <w:rPr>
          <w:rFonts w:cs="Calibri Light"/>
        </w:rPr>
        <w:t xml:space="preserve"> </w:t>
      </w:r>
      <w:r w:rsidRPr="00226C43">
        <w:rPr>
          <w:rFonts w:cs="Calibri Light"/>
        </w:rPr>
        <w:t>All participants agreed to recording, and use of names.</w:t>
      </w:r>
    </w:p>
    <w:p w14:paraId="45BE80EA" w14:textId="1D3DF68D" w:rsidR="003735AF" w:rsidRPr="00226C43" w:rsidRDefault="003735AF" w:rsidP="00061D40">
      <w:pPr>
        <w:pStyle w:val="Caption"/>
        <w:rPr>
          <w:color w:val="auto"/>
        </w:rPr>
      </w:pPr>
      <w:bookmarkStart w:id="53" w:name="_Toc190939914"/>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Pr="00226C43">
        <w:rPr>
          <w:noProof/>
          <w:color w:val="auto"/>
        </w:rPr>
        <w:t>15</w:t>
      </w:r>
      <w:r w:rsidR="000113F9" w:rsidRPr="00226C43">
        <w:rPr>
          <w:noProof/>
          <w:color w:val="auto"/>
        </w:rPr>
        <w:fldChar w:fldCharType="end"/>
      </w:r>
      <w:r w:rsidRPr="00226C43">
        <w:rPr>
          <w:color w:val="auto"/>
        </w:rPr>
        <w:t>: List of Stakeholders Consulted</w:t>
      </w:r>
      <w:r w:rsidR="00051D82" w:rsidRPr="00226C43">
        <w:rPr>
          <w:color w:val="auto"/>
        </w:rPr>
        <w:t xml:space="preserve"> per scholar category</w:t>
      </w:r>
      <w:bookmarkEnd w:id="53"/>
    </w:p>
    <w:tbl>
      <w:tblPr>
        <w:tblStyle w:val="TableGrid"/>
        <w:tblW w:w="0" w:type="auto"/>
        <w:tblLook w:val="06A0" w:firstRow="1" w:lastRow="0" w:firstColumn="1" w:lastColumn="0" w:noHBand="1" w:noVBand="1"/>
      </w:tblPr>
      <w:tblGrid>
        <w:gridCol w:w="1479"/>
        <w:gridCol w:w="1401"/>
        <w:gridCol w:w="1410"/>
        <w:gridCol w:w="1411"/>
        <w:gridCol w:w="3315"/>
      </w:tblGrid>
      <w:tr w:rsidR="00226C43" w:rsidRPr="00226C43" w14:paraId="1C08B858" w14:textId="77777777" w:rsidTr="00117212">
        <w:trPr>
          <w:tblHeader/>
        </w:trPr>
        <w:tc>
          <w:tcPr>
            <w:tcW w:w="0" w:type="auto"/>
            <w:shd w:val="clear" w:color="auto" w:fill="E3DED1" w:themeFill="background2"/>
            <w:hideMark/>
          </w:tcPr>
          <w:p w14:paraId="08631FBB" w14:textId="77777777" w:rsidR="00B77CBC" w:rsidRPr="00B77CBC" w:rsidRDefault="00B77CBC" w:rsidP="001E5774">
            <w:pPr>
              <w:spacing w:after="0"/>
              <w:jc w:val="center"/>
              <w:rPr>
                <w:b/>
                <w:bCs/>
                <w:sz w:val="20"/>
                <w:szCs w:val="20"/>
              </w:rPr>
            </w:pPr>
            <w:r w:rsidRPr="00B77CBC">
              <w:rPr>
                <w:b/>
                <w:bCs/>
                <w:sz w:val="20"/>
                <w:szCs w:val="20"/>
              </w:rPr>
              <w:t>Classification</w:t>
            </w:r>
          </w:p>
        </w:tc>
        <w:tc>
          <w:tcPr>
            <w:tcW w:w="1413" w:type="dxa"/>
            <w:shd w:val="clear" w:color="auto" w:fill="E3DED1" w:themeFill="background2"/>
            <w:hideMark/>
          </w:tcPr>
          <w:p w14:paraId="5DC506BF" w14:textId="77777777" w:rsidR="00B77CBC" w:rsidRPr="00B77CBC" w:rsidRDefault="00B77CBC" w:rsidP="001E5774">
            <w:pPr>
              <w:spacing w:after="0"/>
              <w:jc w:val="center"/>
              <w:rPr>
                <w:b/>
                <w:bCs/>
                <w:sz w:val="20"/>
                <w:szCs w:val="20"/>
              </w:rPr>
            </w:pPr>
            <w:r w:rsidRPr="00B77CBC">
              <w:rPr>
                <w:b/>
                <w:bCs/>
                <w:sz w:val="20"/>
                <w:szCs w:val="20"/>
              </w:rPr>
              <w:t>Target</w:t>
            </w:r>
          </w:p>
        </w:tc>
        <w:tc>
          <w:tcPr>
            <w:tcW w:w="1414" w:type="dxa"/>
            <w:shd w:val="clear" w:color="auto" w:fill="E3DED1" w:themeFill="background2"/>
            <w:hideMark/>
          </w:tcPr>
          <w:p w14:paraId="6AA0C7F8" w14:textId="77777777" w:rsidR="00B77CBC" w:rsidRPr="00B77CBC" w:rsidRDefault="00B77CBC" w:rsidP="001E5774">
            <w:pPr>
              <w:spacing w:after="0"/>
              <w:jc w:val="center"/>
              <w:rPr>
                <w:b/>
                <w:bCs/>
                <w:sz w:val="20"/>
                <w:szCs w:val="20"/>
              </w:rPr>
            </w:pPr>
            <w:r w:rsidRPr="00B77CBC">
              <w:rPr>
                <w:b/>
                <w:bCs/>
                <w:sz w:val="20"/>
                <w:szCs w:val="20"/>
              </w:rPr>
              <w:t>Confirmed</w:t>
            </w:r>
          </w:p>
        </w:tc>
        <w:tc>
          <w:tcPr>
            <w:tcW w:w="1414" w:type="dxa"/>
            <w:shd w:val="clear" w:color="auto" w:fill="E3DED1" w:themeFill="background2"/>
            <w:hideMark/>
          </w:tcPr>
          <w:p w14:paraId="3524553A" w14:textId="77777777" w:rsidR="00B77CBC" w:rsidRPr="00B77CBC" w:rsidRDefault="00B77CBC" w:rsidP="001E5774">
            <w:pPr>
              <w:spacing w:after="0"/>
              <w:jc w:val="center"/>
              <w:rPr>
                <w:b/>
                <w:bCs/>
                <w:sz w:val="20"/>
                <w:szCs w:val="20"/>
              </w:rPr>
            </w:pPr>
            <w:r w:rsidRPr="00B77CBC">
              <w:rPr>
                <w:b/>
                <w:bCs/>
                <w:sz w:val="20"/>
                <w:szCs w:val="20"/>
              </w:rPr>
              <w:t>Interviews Completed (as of Friday, 4 Oct 2024)</w:t>
            </w:r>
          </w:p>
        </w:tc>
        <w:tc>
          <w:tcPr>
            <w:tcW w:w="3351" w:type="dxa"/>
            <w:shd w:val="clear" w:color="auto" w:fill="E3DED1" w:themeFill="background2"/>
            <w:hideMark/>
          </w:tcPr>
          <w:p w14:paraId="4DE66DA2" w14:textId="77777777" w:rsidR="00B77CBC" w:rsidRPr="00B77CBC" w:rsidRDefault="00B77CBC" w:rsidP="001E5774">
            <w:pPr>
              <w:spacing w:after="0"/>
              <w:jc w:val="center"/>
              <w:rPr>
                <w:b/>
                <w:bCs/>
                <w:sz w:val="20"/>
                <w:szCs w:val="20"/>
              </w:rPr>
            </w:pPr>
            <w:r w:rsidRPr="00B77CBC">
              <w:rPr>
                <w:b/>
                <w:bCs/>
                <w:sz w:val="20"/>
                <w:szCs w:val="20"/>
              </w:rPr>
              <w:t>Names</w:t>
            </w:r>
          </w:p>
        </w:tc>
      </w:tr>
      <w:tr w:rsidR="00226C43" w:rsidRPr="00226C43" w14:paraId="5D0C77C0" w14:textId="77777777" w:rsidTr="003F3FB4">
        <w:tc>
          <w:tcPr>
            <w:tcW w:w="0" w:type="auto"/>
            <w:hideMark/>
          </w:tcPr>
          <w:p w14:paraId="1594CF4E" w14:textId="77777777" w:rsidR="00B77CBC" w:rsidRPr="00B77CBC" w:rsidRDefault="00B77CBC" w:rsidP="00B77CBC">
            <w:pPr>
              <w:spacing w:after="0"/>
              <w:rPr>
                <w:sz w:val="20"/>
                <w:szCs w:val="20"/>
              </w:rPr>
            </w:pPr>
            <w:r w:rsidRPr="00B77CBC">
              <w:rPr>
                <w:sz w:val="20"/>
                <w:szCs w:val="20"/>
              </w:rPr>
              <w:t>Core Group</w:t>
            </w:r>
          </w:p>
        </w:tc>
        <w:tc>
          <w:tcPr>
            <w:tcW w:w="1413" w:type="dxa"/>
            <w:hideMark/>
          </w:tcPr>
          <w:p w14:paraId="08E193D1" w14:textId="77777777" w:rsidR="00B77CBC" w:rsidRPr="00B77CBC" w:rsidRDefault="00B77CBC" w:rsidP="001E5774">
            <w:pPr>
              <w:spacing w:after="0"/>
              <w:jc w:val="right"/>
              <w:rPr>
                <w:sz w:val="20"/>
                <w:szCs w:val="20"/>
              </w:rPr>
            </w:pPr>
            <w:r w:rsidRPr="00B77CBC">
              <w:rPr>
                <w:sz w:val="20"/>
                <w:szCs w:val="20"/>
              </w:rPr>
              <w:t>10</w:t>
            </w:r>
          </w:p>
        </w:tc>
        <w:tc>
          <w:tcPr>
            <w:tcW w:w="1414" w:type="dxa"/>
            <w:hideMark/>
          </w:tcPr>
          <w:p w14:paraId="50F08068" w14:textId="77777777" w:rsidR="00B77CBC" w:rsidRPr="00B77CBC" w:rsidRDefault="00B77CBC" w:rsidP="001E5774">
            <w:pPr>
              <w:spacing w:after="0"/>
              <w:jc w:val="right"/>
              <w:rPr>
                <w:sz w:val="20"/>
                <w:szCs w:val="20"/>
              </w:rPr>
            </w:pPr>
            <w:r w:rsidRPr="00B77CBC">
              <w:rPr>
                <w:sz w:val="20"/>
                <w:szCs w:val="20"/>
              </w:rPr>
              <w:t>10</w:t>
            </w:r>
          </w:p>
        </w:tc>
        <w:tc>
          <w:tcPr>
            <w:tcW w:w="1414" w:type="dxa"/>
            <w:hideMark/>
          </w:tcPr>
          <w:p w14:paraId="357AFA90" w14:textId="77777777" w:rsidR="00B77CBC" w:rsidRPr="00B77CBC" w:rsidRDefault="00B77CBC" w:rsidP="001E5774">
            <w:pPr>
              <w:spacing w:after="0"/>
              <w:jc w:val="right"/>
              <w:rPr>
                <w:sz w:val="20"/>
                <w:szCs w:val="20"/>
              </w:rPr>
            </w:pPr>
            <w:r w:rsidRPr="00B77CBC">
              <w:rPr>
                <w:sz w:val="20"/>
                <w:szCs w:val="20"/>
              </w:rPr>
              <w:t>10</w:t>
            </w:r>
          </w:p>
        </w:tc>
        <w:tc>
          <w:tcPr>
            <w:tcW w:w="3351" w:type="dxa"/>
            <w:hideMark/>
          </w:tcPr>
          <w:p w14:paraId="49EB258D" w14:textId="77777777" w:rsidR="00B77CBC" w:rsidRPr="00B77CBC" w:rsidRDefault="00B77CBC" w:rsidP="00B77CBC">
            <w:pPr>
              <w:spacing w:after="0"/>
              <w:rPr>
                <w:sz w:val="20"/>
                <w:szCs w:val="20"/>
              </w:rPr>
            </w:pPr>
            <w:r w:rsidRPr="00B77CBC">
              <w:rPr>
                <w:sz w:val="20"/>
                <w:szCs w:val="20"/>
              </w:rPr>
              <w:t xml:space="preserve">Maximo Macalipes, Christabel Ribo, Ava Melia Remonde, Lizabel </w:t>
            </w:r>
            <w:proofErr w:type="spellStart"/>
            <w:r w:rsidRPr="00B77CBC">
              <w:rPr>
                <w:sz w:val="20"/>
                <w:szCs w:val="20"/>
              </w:rPr>
              <w:t>Holganza</w:t>
            </w:r>
            <w:proofErr w:type="spellEnd"/>
            <w:r w:rsidRPr="00B77CBC">
              <w:rPr>
                <w:sz w:val="20"/>
                <w:szCs w:val="20"/>
              </w:rPr>
              <w:t xml:space="preserve">, Erwin </w:t>
            </w:r>
            <w:proofErr w:type="spellStart"/>
            <w:r w:rsidRPr="00B77CBC">
              <w:rPr>
                <w:sz w:val="20"/>
                <w:szCs w:val="20"/>
              </w:rPr>
              <w:t>Cudis</w:t>
            </w:r>
            <w:proofErr w:type="spellEnd"/>
            <w:r w:rsidRPr="00B77CBC">
              <w:rPr>
                <w:sz w:val="20"/>
                <w:szCs w:val="20"/>
              </w:rPr>
              <w:t xml:space="preserve">, Emmanuel </w:t>
            </w:r>
            <w:proofErr w:type="spellStart"/>
            <w:r w:rsidRPr="00B77CBC">
              <w:rPr>
                <w:sz w:val="20"/>
                <w:szCs w:val="20"/>
              </w:rPr>
              <w:t>Belviz</w:t>
            </w:r>
            <w:proofErr w:type="spellEnd"/>
            <w:r w:rsidRPr="00B77CBC">
              <w:rPr>
                <w:sz w:val="20"/>
                <w:szCs w:val="20"/>
              </w:rPr>
              <w:t xml:space="preserve">, Mary Grace </w:t>
            </w:r>
            <w:proofErr w:type="spellStart"/>
            <w:r w:rsidRPr="00B77CBC">
              <w:rPr>
                <w:sz w:val="20"/>
                <w:szCs w:val="20"/>
              </w:rPr>
              <w:t>Belviz</w:t>
            </w:r>
            <w:proofErr w:type="spellEnd"/>
            <w:r w:rsidRPr="00B77CBC">
              <w:rPr>
                <w:sz w:val="20"/>
                <w:szCs w:val="20"/>
              </w:rPr>
              <w:t xml:space="preserve">, John Maynard Gan, Joji Ilagan-Bain, </w:t>
            </w:r>
            <w:proofErr w:type="spellStart"/>
            <w:r w:rsidRPr="00B77CBC">
              <w:rPr>
                <w:sz w:val="20"/>
                <w:szCs w:val="20"/>
              </w:rPr>
              <w:t>Naprey</w:t>
            </w:r>
            <w:proofErr w:type="spellEnd"/>
            <w:r w:rsidRPr="00B77CBC">
              <w:rPr>
                <w:sz w:val="20"/>
                <w:szCs w:val="20"/>
              </w:rPr>
              <w:t xml:space="preserve"> Almario</w:t>
            </w:r>
          </w:p>
        </w:tc>
      </w:tr>
      <w:tr w:rsidR="00226C43" w:rsidRPr="00226C43" w14:paraId="3ECBADE7" w14:textId="77777777" w:rsidTr="003F3FB4">
        <w:tc>
          <w:tcPr>
            <w:tcW w:w="0" w:type="auto"/>
            <w:hideMark/>
          </w:tcPr>
          <w:p w14:paraId="425ADF4F" w14:textId="77777777" w:rsidR="00B77CBC" w:rsidRPr="00B77CBC" w:rsidRDefault="00B77CBC" w:rsidP="00B77CBC">
            <w:pPr>
              <w:spacing w:after="0"/>
              <w:rPr>
                <w:sz w:val="20"/>
                <w:szCs w:val="20"/>
              </w:rPr>
            </w:pPr>
            <w:r w:rsidRPr="00B77CBC">
              <w:rPr>
                <w:sz w:val="20"/>
                <w:szCs w:val="20"/>
              </w:rPr>
              <w:t>Short Course</w:t>
            </w:r>
          </w:p>
        </w:tc>
        <w:tc>
          <w:tcPr>
            <w:tcW w:w="1413" w:type="dxa"/>
            <w:hideMark/>
          </w:tcPr>
          <w:p w14:paraId="3335BC62" w14:textId="77777777" w:rsidR="00B77CBC" w:rsidRPr="00B77CBC" w:rsidRDefault="00B77CBC" w:rsidP="001E5774">
            <w:pPr>
              <w:spacing w:after="0"/>
              <w:jc w:val="right"/>
              <w:rPr>
                <w:sz w:val="20"/>
                <w:szCs w:val="20"/>
              </w:rPr>
            </w:pPr>
            <w:r w:rsidRPr="00B77CBC">
              <w:rPr>
                <w:sz w:val="20"/>
                <w:szCs w:val="20"/>
              </w:rPr>
              <w:t>11</w:t>
            </w:r>
          </w:p>
        </w:tc>
        <w:tc>
          <w:tcPr>
            <w:tcW w:w="1414" w:type="dxa"/>
            <w:hideMark/>
          </w:tcPr>
          <w:p w14:paraId="2F88B78C" w14:textId="77777777" w:rsidR="00B77CBC" w:rsidRPr="00B77CBC" w:rsidRDefault="00B77CBC" w:rsidP="001E5774">
            <w:pPr>
              <w:spacing w:after="0"/>
              <w:jc w:val="right"/>
              <w:rPr>
                <w:sz w:val="20"/>
                <w:szCs w:val="20"/>
              </w:rPr>
            </w:pPr>
            <w:r w:rsidRPr="00B77CBC">
              <w:rPr>
                <w:sz w:val="20"/>
                <w:szCs w:val="20"/>
              </w:rPr>
              <w:t>11</w:t>
            </w:r>
          </w:p>
        </w:tc>
        <w:tc>
          <w:tcPr>
            <w:tcW w:w="1414" w:type="dxa"/>
            <w:hideMark/>
          </w:tcPr>
          <w:p w14:paraId="2AF63553" w14:textId="77777777" w:rsidR="00B77CBC" w:rsidRPr="00B77CBC" w:rsidRDefault="00B77CBC" w:rsidP="001E5774">
            <w:pPr>
              <w:spacing w:after="0"/>
              <w:jc w:val="right"/>
              <w:rPr>
                <w:sz w:val="20"/>
                <w:szCs w:val="20"/>
              </w:rPr>
            </w:pPr>
            <w:r w:rsidRPr="00B77CBC">
              <w:rPr>
                <w:sz w:val="20"/>
                <w:szCs w:val="20"/>
              </w:rPr>
              <w:t>11</w:t>
            </w:r>
          </w:p>
        </w:tc>
        <w:tc>
          <w:tcPr>
            <w:tcW w:w="3351" w:type="dxa"/>
            <w:hideMark/>
          </w:tcPr>
          <w:p w14:paraId="42688539" w14:textId="77777777" w:rsidR="00B77CBC" w:rsidRPr="00B77CBC" w:rsidRDefault="00B77CBC" w:rsidP="00B77CBC">
            <w:pPr>
              <w:spacing w:after="0"/>
              <w:rPr>
                <w:sz w:val="20"/>
                <w:szCs w:val="20"/>
              </w:rPr>
            </w:pPr>
            <w:proofErr w:type="spellStart"/>
            <w:r w:rsidRPr="00B77CBC">
              <w:rPr>
                <w:sz w:val="20"/>
                <w:szCs w:val="20"/>
              </w:rPr>
              <w:t>Cherizalyn</w:t>
            </w:r>
            <w:proofErr w:type="spellEnd"/>
            <w:r w:rsidRPr="00B77CBC">
              <w:rPr>
                <w:sz w:val="20"/>
                <w:szCs w:val="20"/>
              </w:rPr>
              <w:t xml:space="preserve"> Unabia, Julia Judith </w:t>
            </w:r>
            <w:proofErr w:type="spellStart"/>
            <w:r w:rsidRPr="00B77CBC">
              <w:rPr>
                <w:sz w:val="20"/>
                <w:szCs w:val="20"/>
              </w:rPr>
              <w:t>Geveso</w:t>
            </w:r>
            <w:proofErr w:type="spellEnd"/>
            <w:r w:rsidRPr="00B77CBC">
              <w:rPr>
                <w:sz w:val="20"/>
                <w:szCs w:val="20"/>
              </w:rPr>
              <w:t xml:space="preserve">, Leim Jonni </w:t>
            </w:r>
            <w:proofErr w:type="spellStart"/>
            <w:r w:rsidRPr="00B77CBC">
              <w:rPr>
                <w:sz w:val="20"/>
                <w:szCs w:val="20"/>
              </w:rPr>
              <w:t>Lactuan</w:t>
            </w:r>
            <w:proofErr w:type="spellEnd"/>
            <w:r w:rsidRPr="00B77CBC">
              <w:rPr>
                <w:sz w:val="20"/>
                <w:szCs w:val="20"/>
              </w:rPr>
              <w:t xml:space="preserve">, Dir Rey Albert Uy, </w:t>
            </w:r>
            <w:proofErr w:type="spellStart"/>
            <w:r w:rsidRPr="00B77CBC">
              <w:rPr>
                <w:sz w:val="20"/>
                <w:szCs w:val="20"/>
              </w:rPr>
              <w:t>Momer</w:t>
            </w:r>
            <w:proofErr w:type="spellEnd"/>
            <w:r w:rsidRPr="00B77CBC">
              <w:rPr>
                <w:sz w:val="20"/>
                <w:szCs w:val="20"/>
              </w:rPr>
              <w:t xml:space="preserve"> </w:t>
            </w:r>
            <w:proofErr w:type="spellStart"/>
            <w:r w:rsidRPr="00B77CBC">
              <w:rPr>
                <w:sz w:val="20"/>
                <w:szCs w:val="20"/>
              </w:rPr>
              <w:t>Suringa</w:t>
            </w:r>
            <w:proofErr w:type="spellEnd"/>
            <w:r w:rsidRPr="00B77CBC">
              <w:rPr>
                <w:sz w:val="20"/>
                <w:szCs w:val="20"/>
              </w:rPr>
              <w:t xml:space="preserve">, Rowena </w:t>
            </w:r>
            <w:proofErr w:type="spellStart"/>
            <w:r w:rsidRPr="00B77CBC">
              <w:rPr>
                <w:sz w:val="20"/>
                <w:szCs w:val="20"/>
              </w:rPr>
              <w:t>Taliping</w:t>
            </w:r>
            <w:proofErr w:type="spellEnd"/>
            <w:r w:rsidRPr="00B77CBC">
              <w:rPr>
                <w:sz w:val="20"/>
                <w:szCs w:val="20"/>
              </w:rPr>
              <w:t xml:space="preserve">, Renze Carlo Santos, Mark James Evangelista, Joana Angela </w:t>
            </w:r>
            <w:proofErr w:type="spellStart"/>
            <w:r w:rsidRPr="00B77CBC">
              <w:rPr>
                <w:sz w:val="20"/>
                <w:szCs w:val="20"/>
              </w:rPr>
              <w:t>Prianes</w:t>
            </w:r>
            <w:proofErr w:type="spellEnd"/>
            <w:r w:rsidRPr="00B77CBC">
              <w:rPr>
                <w:sz w:val="20"/>
                <w:szCs w:val="20"/>
              </w:rPr>
              <w:t>, Director Juan Angelo Rocamora, Jonnie Glorioso</w:t>
            </w:r>
          </w:p>
        </w:tc>
      </w:tr>
      <w:tr w:rsidR="00226C43" w:rsidRPr="00226C43" w14:paraId="28B0F32A" w14:textId="77777777" w:rsidTr="003F3FB4">
        <w:tc>
          <w:tcPr>
            <w:tcW w:w="0" w:type="auto"/>
            <w:hideMark/>
          </w:tcPr>
          <w:p w14:paraId="26DB5AB9" w14:textId="77777777" w:rsidR="00B77CBC" w:rsidRPr="00B77CBC" w:rsidRDefault="00B77CBC" w:rsidP="00B77CBC">
            <w:pPr>
              <w:spacing w:after="0"/>
              <w:rPr>
                <w:sz w:val="20"/>
                <w:szCs w:val="20"/>
              </w:rPr>
            </w:pPr>
            <w:r w:rsidRPr="00B77CBC">
              <w:rPr>
                <w:sz w:val="20"/>
                <w:szCs w:val="20"/>
              </w:rPr>
              <w:t>Self-Pay</w:t>
            </w:r>
          </w:p>
        </w:tc>
        <w:tc>
          <w:tcPr>
            <w:tcW w:w="1413" w:type="dxa"/>
            <w:hideMark/>
          </w:tcPr>
          <w:p w14:paraId="483442F3" w14:textId="77777777" w:rsidR="00B77CBC" w:rsidRPr="00B77CBC" w:rsidRDefault="00B77CBC" w:rsidP="001E5774">
            <w:pPr>
              <w:spacing w:after="0"/>
              <w:jc w:val="right"/>
              <w:rPr>
                <w:sz w:val="20"/>
                <w:szCs w:val="20"/>
              </w:rPr>
            </w:pPr>
            <w:r w:rsidRPr="00B77CBC">
              <w:rPr>
                <w:sz w:val="20"/>
                <w:szCs w:val="20"/>
              </w:rPr>
              <w:t>11</w:t>
            </w:r>
          </w:p>
        </w:tc>
        <w:tc>
          <w:tcPr>
            <w:tcW w:w="1414" w:type="dxa"/>
            <w:hideMark/>
          </w:tcPr>
          <w:p w14:paraId="17F932A8" w14:textId="77777777" w:rsidR="00B77CBC" w:rsidRPr="00B77CBC" w:rsidRDefault="00B77CBC" w:rsidP="001E5774">
            <w:pPr>
              <w:spacing w:after="0"/>
              <w:jc w:val="right"/>
              <w:rPr>
                <w:sz w:val="20"/>
                <w:szCs w:val="20"/>
              </w:rPr>
            </w:pPr>
            <w:r w:rsidRPr="00B77CBC">
              <w:rPr>
                <w:sz w:val="20"/>
                <w:szCs w:val="20"/>
              </w:rPr>
              <w:t>6</w:t>
            </w:r>
          </w:p>
        </w:tc>
        <w:tc>
          <w:tcPr>
            <w:tcW w:w="1414" w:type="dxa"/>
            <w:hideMark/>
          </w:tcPr>
          <w:p w14:paraId="4E190A5B" w14:textId="77777777" w:rsidR="00B77CBC" w:rsidRPr="00B77CBC" w:rsidRDefault="00B77CBC" w:rsidP="001E5774">
            <w:pPr>
              <w:spacing w:after="0"/>
              <w:jc w:val="right"/>
              <w:rPr>
                <w:sz w:val="20"/>
                <w:szCs w:val="20"/>
              </w:rPr>
            </w:pPr>
            <w:r w:rsidRPr="00B77CBC">
              <w:rPr>
                <w:sz w:val="20"/>
                <w:szCs w:val="20"/>
              </w:rPr>
              <w:t>6</w:t>
            </w:r>
          </w:p>
        </w:tc>
        <w:tc>
          <w:tcPr>
            <w:tcW w:w="3351" w:type="dxa"/>
            <w:hideMark/>
          </w:tcPr>
          <w:p w14:paraId="31AF2F29" w14:textId="77777777" w:rsidR="00B77CBC" w:rsidRPr="00B77CBC" w:rsidRDefault="00B77CBC" w:rsidP="00B77CBC">
            <w:pPr>
              <w:spacing w:after="0"/>
              <w:rPr>
                <w:sz w:val="20"/>
                <w:szCs w:val="20"/>
              </w:rPr>
            </w:pPr>
            <w:r w:rsidRPr="00B77CBC">
              <w:rPr>
                <w:sz w:val="20"/>
                <w:szCs w:val="20"/>
              </w:rPr>
              <w:t xml:space="preserve">April Valle, Ma. Corazon De </w:t>
            </w:r>
            <w:proofErr w:type="spellStart"/>
            <w:r w:rsidRPr="00B77CBC">
              <w:rPr>
                <w:sz w:val="20"/>
                <w:szCs w:val="20"/>
              </w:rPr>
              <w:t>Ungria</w:t>
            </w:r>
            <w:proofErr w:type="spellEnd"/>
            <w:r w:rsidRPr="00B77CBC">
              <w:rPr>
                <w:sz w:val="20"/>
                <w:szCs w:val="20"/>
              </w:rPr>
              <w:t>, Macy Cruz, Atty Earl Charles Villarin, Maria Kathleena Laurel-Vasquez, Yuri Marshall</w:t>
            </w:r>
          </w:p>
        </w:tc>
      </w:tr>
      <w:tr w:rsidR="00226C43" w:rsidRPr="00226C43" w14:paraId="61204496" w14:textId="77777777" w:rsidTr="003F3FB4">
        <w:tc>
          <w:tcPr>
            <w:tcW w:w="0" w:type="auto"/>
            <w:hideMark/>
          </w:tcPr>
          <w:p w14:paraId="276D5FBC" w14:textId="77777777" w:rsidR="00B77CBC" w:rsidRPr="00B77CBC" w:rsidRDefault="00B77CBC" w:rsidP="00B77CBC">
            <w:pPr>
              <w:spacing w:after="0"/>
              <w:rPr>
                <w:sz w:val="20"/>
                <w:szCs w:val="20"/>
              </w:rPr>
            </w:pPr>
            <w:r w:rsidRPr="00B77CBC">
              <w:rPr>
                <w:sz w:val="20"/>
                <w:szCs w:val="20"/>
              </w:rPr>
              <w:t>In-country Scholarship</w:t>
            </w:r>
          </w:p>
        </w:tc>
        <w:tc>
          <w:tcPr>
            <w:tcW w:w="1413" w:type="dxa"/>
            <w:hideMark/>
          </w:tcPr>
          <w:p w14:paraId="29FE8218" w14:textId="77777777" w:rsidR="00B77CBC" w:rsidRPr="00B77CBC" w:rsidRDefault="00B77CBC" w:rsidP="001E5774">
            <w:pPr>
              <w:spacing w:after="0"/>
              <w:jc w:val="right"/>
              <w:rPr>
                <w:sz w:val="20"/>
                <w:szCs w:val="20"/>
              </w:rPr>
            </w:pPr>
            <w:r w:rsidRPr="00B77CBC">
              <w:rPr>
                <w:sz w:val="20"/>
                <w:szCs w:val="20"/>
              </w:rPr>
              <w:t>3</w:t>
            </w:r>
          </w:p>
        </w:tc>
        <w:tc>
          <w:tcPr>
            <w:tcW w:w="1414" w:type="dxa"/>
            <w:hideMark/>
          </w:tcPr>
          <w:p w14:paraId="23D1A18C" w14:textId="77777777" w:rsidR="00B77CBC" w:rsidRPr="00B77CBC" w:rsidRDefault="00B77CBC" w:rsidP="001E5774">
            <w:pPr>
              <w:spacing w:after="0"/>
              <w:jc w:val="right"/>
              <w:rPr>
                <w:sz w:val="20"/>
                <w:szCs w:val="20"/>
              </w:rPr>
            </w:pPr>
            <w:r w:rsidRPr="00B77CBC">
              <w:rPr>
                <w:sz w:val="20"/>
                <w:szCs w:val="20"/>
              </w:rPr>
              <w:t>3</w:t>
            </w:r>
          </w:p>
        </w:tc>
        <w:tc>
          <w:tcPr>
            <w:tcW w:w="1414" w:type="dxa"/>
            <w:hideMark/>
          </w:tcPr>
          <w:p w14:paraId="3C2F2EA2" w14:textId="77777777" w:rsidR="00B77CBC" w:rsidRPr="00B77CBC" w:rsidRDefault="00B77CBC" w:rsidP="001E5774">
            <w:pPr>
              <w:spacing w:after="0"/>
              <w:jc w:val="right"/>
              <w:rPr>
                <w:sz w:val="20"/>
                <w:szCs w:val="20"/>
              </w:rPr>
            </w:pPr>
            <w:r w:rsidRPr="00B77CBC">
              <w:rPr>
                <w:sz w:val="20"/>
                <w:szCs w:val="20"/>
              </w:rPr>
              <w:t>3</w:t>
            </w:r>
          </w:p>
        </w:tc>
        <w:tc>
          <w:tcPr>
            <w:tcW w:w="3351" w:type="dxa"/>
            <w:hideMark/>
          </w:tcPr>
          <w:p w14:paraId="791CCE38" w14:textId="77777777" w:rsidR="00B77CBC" w:rsidRPr="00B77CBC" w:rsidRDefault="00B77CBC" w:rsidP="00B77CBC">
            <w:pPr>
              <w:spacing w:after="0"/>
              <w:rPr>
                <w:sz w:val="20"/>
                <w:szCs w:val="20"/>
              </w:rPr>
            </w:pPr>
            <w:r w:rsidRPr="00B77CBC">
              <w:rPr>
                <w:sz w:val="20"/>
                <w:szCs w:val="20"/>
              </w:rPr>
              <w:t xml:space="preserve">Dir. Windel </w:t>
            </w:r>
            <w:proofErr w:type="spellStart"/>
            <w:r w:rsidRPr="00B77CBC">
              <w:rPr>
                <w:sz w:val="20"/>
                <w:szCs w:val="20"/>
              </w:rPr>
              <w:t>Diangcalan</w:t>
            </w:r>
            <w:proofErr w:type="spellEnd"/>
            <w:r w:rsidRPr="00B77CBC">
              <w:rPr>
                <w:sz w:val="20"/>
                <w:szCs w:val="20"/>
              </w:rPr>
              <w:t xml:space="preserve">, </w:t>
            </w:r>
            <w:proofErr w:type="spellStart"/>
            <w:r w:rsidRPr="00B77CBC">
              <w:rPr>
                <w:sz w:val="20"/>
                <w:szCs w:val="20"/>
              </w:rPr>
              <w:t>Zuhaina</w:t>
            </w:r>
            <w:proofErr w:type="spellEnd"/>
            <w:r w:rsidRPr="00B77CBC">
              <w:rPr>
                <w:sz w:val="20"/>
                <w:szCs w:val="20"/>
              </w:rPr>
              <w:t xml:space="preserve"> Abubacar, Janor Balor</w:t>
            </w:r>
          </w:p>
        </w:tc>
      </w:tr>
      <w:tr w:rsidR="00226C43" w:rsidRPr="00226C43" w14:paraId="07895786" w14:textId="77777777" w:rsidTr="003F3FB4">
        <w:tc>
          <w:tcPr>
            <w:tcW w:w="0" w:type="auto"/>
            <w:hideMark/>
          </w:tcPr>
          <w:p w14:paraId="2DF40D47" w14:textId="77777777" w:rsidR="00B77CBC" w:rsidRPr="00B77CBC" w:rsidRDefault="00B77CBC" w:rsidP="00B77CBC">
            <w:pPr>
              <w:spacing w:after="0"/>
              <w:rPr>
                <w:sz w:val="20"/>
                <w:szCs w:val="20"/>
              </w:rPr>
            </w:pPr>
            <w:r w:rsidRPr="00B77CBC">
              <w:rPr>
                <w:sz w:val="20"/>
                <w:szCs w:val="20"/>
              </w:rPr>
              <w:t>Fellowship</w:t>
            </w:r>
          </w:p>
        </w:tc>
        <w:tc>
          <w:tcPr>
            <w:tcW w:w="1413" w:type="dxa"/>
            <w:hideMark/>
          </w:tcPr>
          <w:p w14:paraId="06AE2E05" w14:textId="77777777" w:rsidR="00B77CBC" w:rsidRPr="00B77CBC" w:rsidRDefault="00B77CBC" w:rsidP="001E5774">
            <w:pPr>
              <w:spacing w:after="0"/>
              <w:jc w:val="right"/>
              <w:rPr>
                <w:sz w:val="20"/>
                <w:szCs w:val="20"/>
              </w:rPr>
            </w:pPr>
            <w:r w:rsidRPr="00B77CBC">
              <w:rPr>
                <w:sz w:val="20"/>
                <w:szCs w:val="20"/>
              </w:rPr>
              <w:t>3</w:t>
            </w:r>
          </w:p>
        </w:tc>
        <w:tc>
          <w:tcPr>
            <w:tcW w:w="1414" w:type="dxa"/>
            <w:hideMark/>
          </w:tcPr>
          <w:p w14:paraId="63282565" w14:textId="77777777" w:rsidR="00B77CBC" w:rsidRPr="00B77CBC" w:rsidRDefault="00B77CBC" w:rsidP="001E5774">
            <w:pPr>
              <w:spacing w:after="0"/>
              <w:jc w:val="right"/>
              <w:rPr>
                <w:sz w:val="20"/>
                <w:szCs w:val="20"/>
              </w:rPr>
            </w:pPr>
            <w:r w:rsidRPr="00B77CBC">
              <w:rPr>
                <w:sz w:val="20"/>
                <w:szCs w:val="20"/>
              </w:rPr>
              <w:t>3</w:t>
            </w:r>
          </w:p>
        </w:tc>
        <w:tc>
          <w:tcPr>
            <w:tcW w:w="1414" w:type="dxa"/>
            <w:hideMark/>
          </w:tcPr>
          <w:p w14:paraId="162F7AA5" w14:textId="77777777" w:rsidR="00B77CBC" w:rsidRPr="00B77CBC" w:rsidRDefault="00B77CBC" w:rsidP="001E5774">
            <w:pPr>
              <w:spacing w:after="0"/>
              <w:jc w:val="right"/>
              <w:rPr>
                <w:sz w:val="20"/>
                <w:szCs w:val="20"/>
              </w:rPr>
            </w:pPr>
            <w:r w:rsidRPr="00B77CBC">
              <w:rPr>
                <w:sz w:val="20"/>
                <w:szCs w:val="20"/>
              </w:rPr>
              <w:t>3</w:t>
            </w:r>
          </w:p>
        </w:tc>
        <w:tc>
          <w:tcPr>
            <w:tcW w:w="3351" w:type="dxa"/>
            <w:hideMark/>
          </w:tcPr>
          <w:p w14:paraId="3680D572" w14:textId="77777777" w:rsidR="00B77CBC" w:rsidRPr="00B77CBC" w:rsidRDefault="00B77CBC" w:rsidP="00B77CBC">
            <w:pPr>
              <w:spacing w:after="0"/>
              <w:rPr>
                <w:sz w:val="20"/>
                <w:szCs w:val="20"/>
              </w:rPr>
            </w:pPr>
            <w:r w:rsidRPr="00B77CBC">
              <w:rPr>
                <w:sz w:val="20"/>
                <w:szCs w:val="20"/>
              </w:rPr>
              <w:t>Dr. Amy Dy, Mark Penalver, Joji Ilagan-Bian</w:t>
            </w:r>
          </w:p>
        </w:tc>
      </w:tr>
      <w:tr w:rsidR="00226C43" w:rsidRPr="00226C43" w14:paraId="1A127D94" w14:textId="77777777" w:rsidTr="003F3FB4">
        <w:tc>
          <w:tcPr>
            <w:tcW w:w="0" w:type="auto"/>
            <w:hideMark/>
          </w:tcPr>
          <w:p w14:paraId="3AEF72BE" w14:textId="77777777" w:rsidR="00B77CBC" w:rsidRPr="00B77CBC" w:rsidRDefault="00B77CBC" w:rsidP="00B77CBC">
            <w:pPr>
              <w:spacing w:after="0"/>
              <w:rPr>
                <w:sz w:val="20"/>
                <w:szCs w:val="20"/>
              </w:rPr>
            </w:pPr>
            <w:r w:rsidRPr="00B77CBC">
              <w:rPr>
                <w:sz w:val="20"/>
                <w:szCs w:val="20"/>
              </w:rPr>
              <w:t>Defence</w:t>
            </w:r>
          </w:p>
        </w:tc>
        <w:tc>
          <w:tcPr>
            <w:tcW w:w="1413" w:type="dxa"/>
            <w:hideMark/>
          </w:tcPr>
          <w:p w14:paraId="0F11AC4E" w14:textId="77777777" w:rsidR="00B77CBC" w:rsidRPr="00B77CBC" w:rsidRDefault="00B77CBC" w:rsidP="001E5774">
            <w:pPr>
              <w:spacing w:after="0"/>
              <w:jc w:val="right"/>
              <w:rPr>
                <w:sz w:val="20"/>
                <w:szCs w:val="20"/>
              </w:rPr>
            </w:pPr>
            <w:r w:rsidRPr="00B77CBC">
              <w:rPr>
                <w:sz w:val="20"/>
                <w:szCs w:val="20"/>
              </w:rPr>
              <w:t>2</w:t>
            </w:r>
          </w:p>
        </w:tc>
        <w:tc>
          <w:tcPr>
            <w:tcW w:w="1414" w:type="dxa"/>
            <w:hideMark/>
          </w:tcPr>
          <w:p w14:paraId="340BF88A" w14:textId="77777777" w:rsidR="00B77CBC" w:rsidRPr="00B77CBC" w:rsidRDefault="00B77CBC" w:rsidP="001E5774">
            <w:pPr>
              <w:spacing w:after="0"/>
              <w:jc w:val="right"/>
              <w:rPr>
                <w:sz w:val="20"/>
                <w:szCs w:val="20"/>
              </w:rPr>
            </w:pPr>
            <w:r w:rsidRPr="00B77CBC">
              <w:rPr>
                <w:sz w:val="20"/>
                <w:szCs w:val="20"/>
              </w:rPr>
              <w:t>1</w:t>
            </w:r>
          </w:p>
        </w:tc>
        <w:tc>
          <w:tcPr>
            <w:tcW w:w="1414" w:type="dxa"/>
            <w:hideMark/>
          </w:tcPr>
          <w:p w14:paraId="4A4A958E" w14:textId="77777777" w:rsidR="00B77CBC" w:rsidRPr="00B77CBC" w:rsidRDefault="00B77CBC" w:rsidP="001E5774">
            <w:pPr>
              <w:spacing w:after="0"/>
              <w:jc w:val="right"/>
              <w:rPr>
                <w:sz w:val="20"/>
                <w:szCs w:val="20"/>
              </w:rPr>
            </w:pPr>
            <w:r w:rsidRPr="00B77CBC">
              <w:rPr>
                <w:sz w:val="20"/>
                <w:szCs w:val="20"/>
              </w:rPr>
              <w:t>1</w:t>
            </w:r>
          </w:p>
        </w:tc>
        <w:tc>
          <w:tcPr>
            <w:tcW w:w="3351" w:type="dxa"/>
            <w:hideMark/>
          </w:tcPr>
          <w:p w14:paraId="2A58571B" w14:textId="77777777" w:rsidR="00B77CBC" w:rsidRPr="00B77CBC" w:rsidRDefault="00B77CBC" w:rsidP="00B77CBC">
            <w:pPr>
              <w:spacing w:after="0"/>
              <w:rPr>
                <w:sz w:val="20"/>
                <w:szCs w:val="20"/>
              </w:rPr>
            </w:pPr>
            <w:r w:rsidRPr="00B77CBC">
              <w:rPr>
                <w:sz w:val="20"/>
                <w:szCs w:val="20"/>
              </w:rPr>
              <w:t>Gen Benjamin Madrigal Jr</w:t>
            </w:r>
          </w:p>
        </w:tc>
      </w:tr>
      <w:tr w:rsidR="00226C43" w:rsidRPr="00226C43" w14:paraId="2813B220" w14:textId="77777777" w:rsidTr="003F3FB4">
        <w:tc>
          <w:tcPr>
            <w:tcW w:w="0" w:type="auto"/>
            <w:hideMark/>
          </w:tcPr>
          <w:p w14:paraId="52685747" w14:textId="77777777" w:rsidR="00B77CBC" w:rsidRPr="00B77CBC" w:rsidRDefault="00B77CBC" w:rsidP="00B77CBC">
            <w:pPr>
              <w:spacing w:after="0"/>
              <w:rPr>
                <w:sz w:val="20"/>
                <w:szCs w:val="20"/>
              </w:rPr>
            </w:pPr>
            <w:r w:rsidRPr="00B77CBC">
              <w:rPr>
                <w:sz w:val="20"/>
                <w:szCs w:val="20"/>
              </w:rPr>
              <w:t>PA3I</w:t>
            </w:r>
          </w:p>
        </w:tc>
        <w:tc>
          <w:tcPr>
            <w:tcW w:w="1413" w:type="dxa"/>
            <w:hideMark/>
          </w:tcPr>
          <w:p w14:paraId="07E927B2" w14:textId="77777777" w:rsidR="00B77CBC" w:rsidRPr="00B77CBC" w:rsidRDefault="00B77CBC" w:rsidP="001E5774">
            <w:pPr>
              <w:spacing w:after="0"/>
              <w:jc w:val="right"/>
              <w:rPr>
                <w:sz w:val="20"/>
                <w:szCs w:val="20"/>
              </w:rPr>
            </w:pPr>
            <w:r w:rsidRPr="00B77CBC">
              <w:rPr>
                <w:sz w:val="20"/>
                <w:szCs w:val="20"/>
              </w:rPr>
              <w:t>3</w:t>
            </w:r>
          </w:p>
        </w:tc>
        <w:tc>
          <w:tcPr>
            <w:tcW w:w="1414" w:type="dxa"/>
            <w:hideMark/>
          </w:tcPr>
          <w:p w14:paraId="16A49688" w14:textId="77777777" w:rsidR="00B77CBC" w:rsidRPr="00B77CBC" w:rsidRDefault="00B77CBC" w:rsidP="001E5774">
            <w:pPr>
              <w:spacing w:after="0"/>
              <w:jc w:val="right"/>
              <w:rPr>
                <w:sz w:val="20"/>
                <w:szCs w:val="20"/>
              </w:rPr>
            </w:pPr>
            <w:r w:rsidRPr="00B77CBC">
              <w:rPr>
                <w:sz w:val="20"/>
                <w:szCs w:val="20"/>
              </w:rPr>
              <w:t>3</w:t>
            </w:r>
          </w:p>
        </w:tc>
        <w:tc>
          <w:tcPr>
            <w:tcW w:w="1414" w:type="dxa"/>
            <w:hideMark/>
          </w:tcPr>
          <w:p w14:paraId="432FA218" w14:textId="77777777" w:rsidR="00B77CBC" w:rsidRPr="00B77CBC" w:rsidRDefault="00B77CBC" w:rsidP="001E5774">
            <w:pPr>
              <w:spacing w:after="0"/>
              <w:jc w:val="right"/>
              <w:rPr>
                <w:sz w:val="20"/>
                <w:szCs w:val="20"/>
              </w:rPr>
            </w:pPr>
            <w:r w:rsidRPr="00B77CBC">
              <w:rPr>
                <w:sz w:val="20"/>
                <w:szCs w:val="20"/>
              </w:rPr>
              <w:t>2</w:t>
            </w:r>
          </w:p>
        </w:tc>
        <w:tc>
          <w:tcPr>
            <w:tcW w:w="3351" w:type="dxa"/>
            <w:hideMark/>
          </w:tcPr>
          <w:p w14:paraId="156A3F86" w14:textId="77777777" w:rsidR="00B77CBC" w:rsidRPr="00B77CBC" w:rsidRDefault="00B77CBC" w:rsidP="00B77CBC">
            <w:pPr>
              <w:spacing w:after="0"/>
              <w:rPr>
                <w:sz w:val="20"/>
                <w:szCs w:val="20"/>
              </w:rPr>
            </w:pPr>
            <w:r w:rsidRPr="00B77CBC">
              <w:rPr>
                <w:sz w:val="20"/>
                <w:szCs w:val="20"/>
              </w:rPr>
              <w:t>Jonalyn Villasante, Professor Alvaro Calara</w:t>
            </w:r>
          </w:p>
        </w:tc>
      </w:tr>
      <w:tr w:rsidR="00226C43" w:rsidRPr="00226C43" w14:paraId="13210D85" w14:textId="77777777" w:rsidTr="003F3FB4">
        <w:tc>
          <w:tcPr>
            <w:tcW w:w="0" w:type="auto"/>
            <w:hideMark/>
          </w:tcPr>
          <w:p w14:paraId="16A5432E" w14:textId="77777777" w:rsidR="00B77CBC" w:rsidRPr="00B77CBC" w:rsidRDefault="00B77CBC" w:rsidP="00B77CBC">
            <w:pPr>
              <w:spacing w:after="0"/>
              <w:rPr>
                <w:sz w:val="20"/>
                <w:szCs w:val="20"/>
              </w:rPr>
            </w:pPr>
            <w:proofErr w:type="spellStart"/>
            <w:r w:rsidRPr="00B77CBC">
              <w:rPr>
                <w:sz w:val="20"/>
                <w:szCs w:val="20"/>
              </w:rPr>
              <w:t>AACPh</w:t>
            </w:r>
            <w:proofErr w:type="spellEnd"/>
          </w:p>
        </w:tc>
        <w:tc>
          <w:tcPr>
            <w:tcW w:w="1413" w:type="dxa"/>
            <w:hideMark/>
          </w:tcPr>
          <w:p w14:paraId="5D0EEF1C" w14:textId="77777777" w:rsidR="00B77CBC" w:rsidRPr="00B77CBC" w:rsidRDefault="00B77CBC" w:rsidP="001E5774">
            <w:pPr>
              <w:spacing w:after="0"/>
              <w:jc w:val="right"/>
              <w:rPr>
                <w:sz w:val="20"/>
                <w:szCs w:val="20"/>
              </w:rPr>
            </w:pPr>
            <w:r w:rsidRPr="00B77CBC">
              <w:rPr>
                <w:sz w:val="20"/>
                <w:szCs w:val="20"/>
              </w:rPr>
              <w:t>4</w:t>
            </w:r>
          </w:p>
        </w:tc>
        <w:tc>
          <w:tcPr>
            <w:tcW w:w="1414" w:type="dxa"/>
            <w:hideMark/>
          </w:tcPr>
          <w:p w14:paraId="20F7F63E" w14:textId="77777777" w:rsidR="00B77CBC" w:rsidRPr="00B77CBC" w:rsidRDefault="00B77CBC" w:rsidP="001E5774">
            <w:pPr>
              <w:spacing w:after="0"/>
              <w:jc w:val="right"/>
              <w:rPr>
                <w:sz w:val="20"/>
                <w:szCs w:val="20"/>
              </w:rPr>
            </w:pPr>
            <w:r w:rsidRPr="00B77CBC">
              <w:rPr>
                <w:sz w:val="20"/>
                <w:szCs w:val="20"/>
              </w:rPr>
              <w:t>4</w:t>
            </w:r>
          </w:p>
        </w:tc>
        <w:tc>
          <w:tcPr>
            <w:tcW w:w="1414" w:type="dxa"/>
            <w:hideMark/>
          </w:tcPr>
          <w:p w14:paraId="63AE5FAB" w14:textId="77777777" w:rsidR="00B77CBC" w:rsidRPr="00B77CBC" w:rsidRDefault="00B77CBC" w:rsidP="001E5774">
            <w:pPr>
              <w:spacing w:after="0"/>
              <w:jc w:val="right"/>
              <w:rPr>
                <w:sz w:val="20"/>
                <w:szCs w:val="20"/>
              </w:rPr>
            </w:pPr>
            <w:r w:rsidRPr="00B77CBC">
              <w:rPr>
                <w:sz w:val="20"/>
                <w:szCs w:val="20"/>
              </w:rPr>
              <w:t>4</w:t>
            </w:r>
          </w:p>
        </w:tc>
        <w:tc>
          <w:tcPr>
            <w:tcW w:w="3351" w:type="dxa"/>
            <w:hideMark/>
          </w:tcPr>
          <w:p w14:paraId="33991756" w14:textId="77777777" w:rsidR="00B77CBC" w:rsidRPr="00B77CBC" w:rsidRDefault="00B77CBC" w:rsidP="00B77CBC">
            <w:pPr>
              <w:spacing w:after="0"/>
              <w:rPr>
                <w:sz w:val="20"/>
                <w:szCs w:val="20"/>
              </w:rPr>
            </w:pPr>
            <w:r w:rsidRPr="00B77CBC">
              <w:rPr>
                <w:sz w:val="20"/>
                <w:szCs w:val="20"/>
              </w:rPr>
              <w:t xml:space="preserve">Marby </w:t>
            </w:r>
            <w:proofErr w:type="spellStart"/>
            <w:r w:rsidRPr="00B77CBC">
              <w:rPr>
                <w:sz w:val="20"/>
                <w:szCs w:val="20"/>
              </w:rPr>
              <w:t>Tabungar</w:t>
            </w:r>
            <w:proofErr w:type="spellEnd"/>
            <w:r w:rsidRPr="00B77CBC">
              <w:rPr>
                <w:sz w:val="20"/>
                <w:szCs w:val="20"/>
              </w:rPr>
              <w:t xml:space="preserve">, Michael Angelo Malicsi, Jose </w:t>
            </w:r>
            <w:proofErr w:type="spellStart"/>
            <w:r w:rsidRPr="00B77CBC">
              <w:rPr>
                <w:sz w:val="20"/>
                <w:szCs w:val="20"/>
              </w:rPr>
              <w:t>Decolongon</w:t>
            </w:r>
            <w:proofErr w:type="spellEnd"/>
            <w:r w:rsidRPr="00B77CBC">
              <w:rPr>
                <w:sz w:val="20"/>
                <w:szCs w:val="20"/>
              </w:rPr>
              <w:t xml:space="preserve">, </w:t>
            </w:r>
            <w:proofErr w:type="spellStart"/>
            <w:r w:rsidRPr="00B77CBC">
              <w:rPr>
                <w:sz w:val="20"/>
                <w:szCs w:val="20"/>
              </w:rPr>
              <w:t>Naprey</w:t>
            </w:r>
            <w:proofErr w:type="spellEnd"/>
            <w:r w:rsidRPr="00B77CBC">
              <w:rPr>
                <w:sz w:val="20"/>
                <w:szCs w:val="20"/>
              </w:rPr>
              <w:t xml:space="preserve"> Almario</w:t>
            </w:r>
          </w:p>
        </w:tc>
      </w:tr>
      <w:tr w:rsidR="00226C43" w:rsidRPr="00226C43" w14:paraId="5061068F" w14:textId="77777777" w:rsidTr="003F3FB4">
        <w:tc>
          <w:tcPr>
            <w:tcW w:w="0" w:type="auto"/>
            <w:hideMark/>
          </w:tcPr>
          <w:p w14:paraId="76106188" w14:textId="77777777" w:rsidR="00B77CBC" w:rsidRPr="00B77CBC" w:rsidRDefault="00B77CBC" w:rsidP="00B77CBC">
            <w:pPr>
              <w:spacing w:after="0"/>
              <w:rPr>
                <w:sz w:val="20"/>
                <w:szCs w:val="20"/>
              </w:rPr>
            </w:pPr>
            <w:r w:rsidRPr="00B77CBC">
              <w:rPr>
                <w:sz w:val="20"/>
                <w:szCs w:val="20"/>
              </w:rPr>
              <w:t>Other Category</w:t>
            </w:r>
          </w:p>
        </w:tc>
        <w:tc>
          <w:tcPr>
            <w:tcW w:w="1413" w:type="dxa"/>
            <w:hideMark/>
          </w:tcPr>
          <w:p w14:paraId="6D7AA3C7" w14:textId="00863C70" w:rsidR="00B77CBC" w:rsidRPr="00B77CBC" w:rsidRDefault="00724927" w:rsidP="001E5774">
            <w:pPr>
              <w:spacing w:after="0"/>
              <w:jc w:val="right"/>
              <w:rPr>
                <w:sz w:val="20"/>
                <w:szCs w:val="20"/>
              </w:rPr>
            </w:pPr>
            <w:r>
              <w:rPr>
                <w:sz w:val="20"/>
                <w:szCs w:val="20"/>
              </w:rPr>
              <w:t>-</w:t>
            </w:r>
          </w:p>
        </w:tc>
        <w:tc>
          <w:tcPr>
            <w:tcW w:w="1414" w:type="dxa"/>
            <w:hideMark/>
          </w:tcPr>
          <w:p w14:paraId="14E9EF6C" w14:textId="77777777" w:rsidR="00B77CBC" w:rsidRPr="00B77CBC" w:rsidRDefault="00B77CBC" w:rsidP="001E5774">
            <w:pPr>
              <w:spacing w:after="0"/>
              <w:jc w:val="right"/>
              <w:rPr>
                <w:sz w:val="20"/>
                <w:szCs w:val="20"/>
              </w:rPr>
            </w:pPr>
            <w:r w:rsidRPr="00B77CBC">
              <w:rPr>
                <w:sz w:val="20"/>
                <w:szCs w:val="20"/>
              </w:rPr>
              <w:t>9</w:t>
            </w:r>
          </w:p>
        </w:tc>
        <w:tc>
          <w:tcPr>
            <w:tcW w:w="1414" w:type="dxa"/>
            <w:hideMark/>
          </w:tcPr>
          <w:p w14:paraId="6D92CBE3" w14:textId="38C948B0" w:rsidR="00B77CBC" w:rsidRPr="00B77CBC" w:rsidRDefault="00724927" w:rsidP="001E5774">
            <w:pPr>
              <w:spacing w:after="0"/>
              <w:jc w:val="right"/>
              <w:rPr>
                <w:sz w:val="20"/>
                <w:szCs w:val="20"/>
              </w:rPr>
            </w:pPr>
            <w:r>
              <w:rPr>
                <w:sz w:val="20"/>
                <w:szCs w:val="20"/>
              </w:rPr>
              <w:t>-</w:t>
            </w:r>
          </w:p>
        </w:tc>
        <w:tc>
          <w:tcPr>
            <w:tcW w:w="3351" w:type="dxa"/>
            <w:hideMark/>
          </w:tcPr>
          <w:p w14:paraId="33A4B282" w14:textId="77777777" w:rsidR="00B77CBC" w:rsidRPr="00B77CBC" w:rsidRDefault="00B77CBC" w:rsidP="00B77CBC">
            <w:pPr>
              <w:spacing w:after="0"/>
              <w:rPr>
                <w:sz w:val="20"/>
                <w:szCs w:val="20"/>
              </w:rPr>
            </w:pPr>
            <w:r w:rsidRPr="00B77CBC">
              <w:rPr>
                <w:sz w:val="20"/>
                <w:szCs w:val="20"/>
              </w:rPr>
              <w:t xml:space="preserve">Daisy Punzalan </w:t>
            </w:r>
            <w:proofErr w:type="spellStart"/>
            <w:r w:rsidRPr="00B77CBC">
              <w:rPr>
                <w:sz w:val="20"/>
                <w:szCs w:val="20"/>
              </w:rPr>
              <w:t>Bragais</w:t>
            </w:r>
            <w:proofErr w:type="spellEnd"/>
            <w:r w:rsidRPr="00B77CBC">
              <w:rPr>
                <w:sz w:val="20"/>
                <w:szCs w:val="20"/>
              </w:rPr>
              <w:t xml:space="preserve">, Carmen Zubiaga, Ms. Maria Criselda </w:t>
            </w:r>
            <w:proofErr w:type="spellStart"/>
            <w:r w:rsidRPr="00B77CBC">
              <w:rPr>
                <w:sz w:val="20"/>
                <w:szCs w:val="20"/>
              </w:rPr>
              <w:t>Bisda</w:t>
            </w:r>
            <w:proofErr w:type="spellEnd"/>
            <w:r w:rsidRPr="00B77CBC">
              <w:rPr>
                <w:sz w:val="20"/>
                <w:szCs w:val="20"/>
              </w:rPr>
              <w:t xml:space="preserve">, Dr. Jayson Ibanez, Dr. Cherrie Atilano, Dr. Jaime Manalo, Jeffrey </w:t>
            </w:r>
            <w:proofErr w:type="spellStart"/>
            <w:r w:rsidRPr="00B77CBC">
              <w:rPr>
                <w:sz w:val="20"/>
                <w:szCs w:val="20"/>
              </w:rPr>
              <w:t>Tarayao</w:t>
            </w:r>
            <w:proofErr w:type="spellEnd"/>
            <w:r w:rsidRPr="00B77CBC">
              <w:rPr>
                <w:sz w:val="20"/>
                <w:szCs w:val="20"/>
              </w:rPr>
              <w:t>, Gabriel Sebastia Lizada, Dr. Kat Roa</w:t>
            </w:r>
          </w:p>
        </w:tc>
      </w:tr>
    </w:tbl>
    <w:p w14:paraId="6303B0DD" w14:textId="77777777" w:rsidR="00FE6C2E" w:rsidRPr="00226C43" w:rsidRDefault="00FE6C2E" w:rsidP="00511F8A">
      <w:pPr>
        <w:spacing w:after="0"/>
        <w:rPr>
          <w:rFonts w:cs="Calibri Light"/>
        </w:rPr>
      </w:pPr>
    </w:p>
    <w:p w14:paraId="3149EE5E" w14:textId="77777777" w:rsidR="00DC0CBE" w:rsidRPr="00226C43" w:rsidRDefault="00DC0CBE" w:rsidP="4DD21A85">
      <w:pPr>
        <w:pStyle w:val="BodyCopy"/>
        <w:rPr>
          <w:rFonts w:asciiTheme="minorHAnsi" w:eastAsiaTheme="minorEastAsia" w:hAnsiTheme="minorHAnsi" w:cstheme="minorBidi"/>
          <w:color w:val="auto"/>
          <w:szCs w:val="24"/>
          <w:lang w:eastAsia="en-GB"/>
        </w:rPr>
      </w:pPr>
      <w:r w:rsidRPr="00226C43">
        <w:rPr>
          <w:rFonts w:asciiTheme="minorHAnsi" w:eastAsiaTheme="minorEastAsia" w:hAnsiTheme="minorHAnsi" w:cstheme="minorBidi"/>
          <w:color w:val="auto"/>
          <w:szCs w:val="24"/>
          <w:lang w:eastAsia="en-GB"/>
        </w:rPr>
        <w:t xml:space="preserve">This report seeks to: </w:t>
      </w:r>
    </w:p>
    <w:p w14:paraId="7C4A501B" w14:textId="7D272703" w:rsidR="00DC0CBE" w:rsidRPr="00226C43" w:rsidRDefault="4DD21A85" w:rsidP="00925CC1">
      <w:pPr>
        <w:pStyle w:val="ListParagraph"/>
        <w:numPr>
          <w:ilvl w:val="0"/>
          <w:numId w:val="31"/>
        </w:numPr>
        <w:tabs>
          <w:tab w:val="left" w:pos="284"/>
        </w:tabs>
        <w:spacing w:after="0"/>
        <w:ind w:left="284" w:hanging="284"/>
      </w:pPr>
      <w:r w:rsidRPr="00226C43">
        <w:t>Generate evidence and learning to improve implementation and inform future designs</w:t>
      </w:r>
    </w:p>
    <w:p w14:paraId="49F01258" w14:textId="6210A808" w:rsidR="00DC0CBE" w:rsidRPr="00226C43" w:rsidRDefault="4DD21A85" w:rsidP="00925CC1">
      <w:pPr>
        <w:pStyle w:val="ListParagraph"/>
        <w:numPr>
          <w:ilvl w:val="0"/>
          <w:numId w:val="31"/>
        </w:numPr>
        <w:tabs>
          <w:tab w:val="left" w:pos="284"/>
        </w:tabs>
        <w:spacing w:after="0"/>
        <w:ind w:left="284" w:hanging="284"/>
      </w:pPr>
      <w:r w:rsidRPr="00226C43">
        <w:t>Support an organisational culture focused on innovation and continuous learning</w:t>
      </w:r>
    </w:p>
    <w:p w14:paraId="19FCA199" w14:textId="2A77DA6B" w:rsidR="00DC0CBE" w:rsidRPr="00226C43" w:rsidRDefault="4DD21A85" w:rsidP="00925CC1">
      <w:pPr>
        <w:pStyle w:val="ListParagraph"/>
        <w:numPr>
          <w:ilvl w:val="0"/>
          <w:numId w:val="31"/>
        </w:numPr>
        <w:tabs>
          <w:tab w:val="left" w:pos="284"/>
        </w:tabs>
        <w:spacing w:after="0"/>
        <w:ind w:left="284" w:hanging="284"/>
      </w:pPr>
      <w:r w:rsidRPr="00226C43">
        <w:t>Reinforce public confidence in government by demonstrating performance</w:t>
      </w:r>
    </w:p>
    <w:p w14:paraId="0BD02614" w14:textId="53030F50" w:rsidR="00DC0CBE" w:rsidRPr="00226C43" w:rsidRDefault="4DD21A85" w:rsidP="00925CC1">
      <w:pPr>
        <w:pStyle w:val="ListParagraph"/>
        <w:numPr>
          <w:ilvl w:val="0"/>
          <w:numId w:val="31"/>
        </w:numPr>
        <w:tabs>
          <w:tab w:val="left" w:pos="284"/>
        </w:tabs>
        <w:spacing w:after="0"/>
        <w:ind w:left="284" w:hanging="284"/>
      </w:pPr>
      <w:r w:rsidRPr="00226C43">
        <w:t>Strengthen staff program management, knowledge and skills</w:t>
      </w:r>
    </w:p>
    <w:p w14:paraId="4B518948" w14:textId="77777777" w:rsidR="00DC0CBE" w:rsidRPr="00226C43" w:rsidRDefault="00DC0CBE" w:rsidP="00925CC1">
      <w:pPr>
        <w:pStyle w:val="ListParagraph"/>
        <w:numPr>
          <w:ilvl w:val="0"/>
          <w:numId w:val="31"/>
        </w:numPr>
        <w:tabs>
          <w:tab w:val="left" w:pos="284"/>
        </w:tabs>
        <w:ind w:left="284" w:hanging="284"/>
      </w:pPr>
      <w:r w:rsidRPr="00226C43">
        <w:lastRenderedPageBreak/>
        <w:t>Assist in meeting financial and non-financial performance accountability obligations under the Public Governance, Performance and Accountability Act 2013</w:t>
      </w:r>
      <w:r w:rsidRPr="00226C43">
        <w:rPr>
          <w:rStyle w:val="FootnoteReference"/>
        </w:rPr>
        <w:footnoteReference w:id="33"/>
      </w:r>
      <w:r w:rsidRPr="00226C43">
        <w:t>.</w:t>
      </w:r>
    </w:p>
    <w:p w14:paraId="2632235B" w14:textId="15252062" w:rsidR="00037A2B" w:rsidRPr="0019411D" w:rsidRDefault="4DD21A85" w:rsidP="4DD21A85">
      <w:pPr>
        <w:pStyle w:val="BodyCopy"/>
        <w:rPr>
          <w:rFonts w:asciiTheme="minorHAnsi" w:hAnsiTheme="minorHAnsi"/>
          <w:b/>
          <w:bCs/>
          <w:color w:val="auto"/>
          <w:szCs w:val="24"/>
        </w:rPr>
      </w:pPr>
      <w:r w:rsidRPr="0019411D">
        <w:rPr>
          <w:rFonts w:asciiTheme="minorHAnsi" w:hAnsiTheme="minorHAnsi"/>
          <w:b/>
          <w:bCs/>
          <w:color w:val="auto"/>
          <w:szCs w:val="24"/>
        </w:rPr>
        <w:t>History and Structure of the Program</w:t>
      </w:r>
    </w:p>
    <w:p w14:paraId="0CE8C8BF" w14:textId="0F0BFBE9" w:rsidR="004D2E48" w:rsidRPr="00226C43" w:rsidRDefault="00A7096A" w:rsidP="004E3950">
      <w:pPr>
        <w:tabs>
          <w:tab w:val="left" w:pos="284"/>
        </w:tabs>
        <w:spacing w:after="0"/>
      </w:pPr>
      <w:r w:rsidRPr="00226C43">
        <w:t>In</w:t>
      </w:r>
      <w:r w:rsidR="4DD21A85" w:rsidRPr="00226C43">
        <w:t xml:space="preserve"> 2017 in lieu of a full </w:t>
      </w:r>
      <w:r w:rsidR="55A1AAA8" w:rsidRPr="00226C43">
        <w:t xml:space="preserve">Investment Design Document </w:t>
      </w:r>
      <w:r w:rsidR="4DD21A85" w:rsidRPr="00226C43">
        <w:t>(IDD) DFAT prepared a Detailed ‘Investment Concept’ for AAAEP–P which included five EOPOs:</w:t>
      </w:r>
    </w:p>
    <w:p w14:paraId="6F74471D" w14:textId="58B1E726" w:rsidR="003520FE" w:rsidRPr="00226C43" w:rsidRDefault="4DD21A85" w:rsidP="00925CC1">
      <w:pPr>
        <w:pStyle w:val="ListParagraph"/>
        <w:numPr>
          <w:ilvl w:val="0"/>
          <w:numId w:val="31"/>
        </w:numPr>
        <w:tabs>
          <w:tab w:val="left" w:pos="284"/>
        </w:tabs>
        <w:spacing w:after="0"/>
        <w:ind w:left="284" w:hanging="284"/>
      </w:pPr>
      <w:r w:rsidRPr="00226C43">
        <w:t>alumni and where relevant, their organisations have and use skills, knowledge and networks to contribute to sustainable development,</w:t>
      </w:r>
    </w:p>
    <w:p w14:paraId="5AD9071D" w14:textId="054A6ECA" w:rsidR="003520FE" w:rsidRPr="00226C43" w:rsidRDefault="4DD21A85" w:rsidP="00925CC1">
      <w:pPr>
        <w:pStyle w:val="ListParagraph"/>
        <w:numPr>
          <w:ilvl w:val="0"/>
          <w:numId w:val="31"/>
        </w:numPr>
        <w:tabs>
          <w:tab w:val="left" w:pos="284"/>
        </w:tabs>
        <w:spacing w:after="0"/>
        <w:ind w:left="284" w:hanging="284"/>
      </w:pPr>
      <w:r w:rsidRPr="00226C43">
        <w:t>Australia has alumni in key sectors and positions,</w:t>
      </w:r>
    </w:p>
    <w:p w14:paraId="52F2CCCF" w14:textId="0F4FA47A" w:rsidR="003520FE" w:rsidRPr="00226C43" w:rsidRDefault="4DD21A85" w:rsidP="00925CC1">
      <w:pPr>
        <w:pStyle w:val="ListParagraph"/>
        <w:numPr>
          <w:ilvl w:val="0"/>
          <w:numId w:val="31"/>
        </w:numPr>
        <w:tabs>
          <w:tab w:val="left" w:pos="284"/>
        </w:tabs>
        <w:spacing w:after="0"/>
        <w:ind w:left="284" w:hanging="284"/>
      </w:pPr>
      <w:r w:rsidRPr="00226C43">
        <w:t xml:space="preserve">links and/or formal partnerships between institutions and businesses in Australia and Philippines are activated and matured, </w:t>
      </w:r>
    </w:p>
    <w:p w14:paraId="1EADC460" w14:textId="72BAEEAE" w:rsidR="00FB5C83" w:rsidRPr="00226C43" w:rsidRDefault="54DCAEC2" w:rsidP="00925CC1">
      <w:pPr>
        <w:pStyle w:val="ListParagraph"/>
        <w:numPr>
          <w:ilvl w:val="0"/>
          <w:numId w:val="31"/>
        </w:numPr>
        <w:tabs>
          <w:tab w:val="left" w:pos="284"/>
        </w:tabs>
        <w:spacing w:after="0"/>
        <w:ind w:left="284" w:hanging="284"/>
      </w:pPr>
      <w:r w:rsidRPr="00226C43">
        <w:t>Australia, Australians and Australian expertise is viewed positively in the Philippines, and</w:t>
      </w:r>
      <w:r w:rsidR="006F12CD" w:rsidRPr="00226C43">
        <w:t xml:space="preserve"> </w:t>
      </w:r>
    </w:p>
    <w:p w14:paraId="4E07AA02" w14:textId="0A029973" w:rsidR="00486658" w:rsidRPr="00226C43" w:rsidRDefault="4DD21A85" w:rsidP="001E5774">
      <w:pPr>
        <w:pStyle w:val="ListParagraph"/>
        <w:numPr>
          <w:ilvl w:val="0"/>
          <w:numId w:val="31"/>
        </w:numPr>
        <w:tabs>
          <w:tab w:val="left" w:pos="284"/>
        </w:tabs>
        <w:ind w:left="284" w:hanging="284"/>
      </w:pPr>
      <w:r w:rsidRPr="00226C43">
        <w:t>scholarships and alumni activities have improved gender equality and women’s empowerment.</w:t>
      </w:r>
    </w:p>
    <w:p w14:paraId="28F68C5A" w14:textId="3B9BBA67" w:rsidR="004D2E48" w:rsidRPr="00226C43" w:rsidRDefault="4DD21A85" w:rsidP="004E3950">
      <w:pPr>
        <w:tabs>
          <w:tab w:val="left" w:pos="284"/>
        </w:tabs>
        <w:spacing w:after="0"/>
      </w:pPr>
      <w:r w:rsidRPr="00226C43">
        <w:t>In July 2023, as part of the Adaptive Design and Procurement Pathway to align the AAAEP–P’s program logic with the goal and outcomes of the Australia Awards Global Strategy 2021-2024, DFAT prepared an Updated IDD which simplified the EOPOs from five to the following two:</w:t>
      </w:r>
    </w:p>
    <w:p w14:paraId="49E726DD" w14:textId="64CA9878" w:rsidR="00B7795B" w:rsidRPr="00226C43" w:rsidRDefault="4DD21A85" w:rsidP="00925CC1">
      <w:pPr>
        <w:pStyle w:val="ListParagraph"/>
        <w:numPr>
          <w:ilvl w:val="0"/>
          <w:numId w:val="31"/>
        </w:numPr>
        <w:tabs>
          <w:tab w:val="left" w:pos="284"/>
        </w:tabs>
        <w:spacing w:after="0"/>
        <w:ind w:left="284" w:hanging="284"/>
      </w:pPr>
      <w:r w:rsidRPr="00226C43">
        <w:t>Diverse alumni and, where relevant, their organisations, use skills, knowledge and networks to contribute to sustainable development, and</w:t>
      </w:r>
    </w:p>
    <w:p w14:paraId="28AAD0CE" w14:textId="28C0E12F" w:rsidR="00723D07" w:rsidRPr="00226C43" w:rsidRDefault="4DD21A85" w:rsidP="00925CC1">
      <w:pPr>
        <w:pStyle w:val="ListParagraph"/>
        <w:numPr>
          <w:ilvl w:val="0"/>
          <w:numId w:val="31"/>
        </w:numPr>
        <w:tabs>
          <w:tab w:val="left" w:pos="284"/>
        </w:tabs>
        <w:spacing w:after="0"/>
        <w:ind w:left="284" w:hanging="284"/>
      </w:pPr>
      <w:r w:rsidRPr="00226C43">
        <w:t>Diverse alumni have contributed to strengthen cooperation between the Philippines and Australia.</w:t>
      </w:r>
    </w:p>
    <w:p w14:paraId="5F96A131" w14:textId="77777777" w:rsidR="009365CB" w:rsidRPr="00226C43" w:rsidRDefault="009365CB" w:rsidP="4DD21A85">
      <w:pPr>
        <w:tabs>
          <w:tab w:val="left" w:pos="284"/>
        </w:tabs>
        <w:spacing w:after="0"/>
      </w:pPr>
    </w:p>
    <w:p w14:paraId="222FBC5A" w14:textId="22F943A3" w:rsidR="00B02074" w:rsidRPr="00226C43" w:rsidRDefault="4DD21A85" w:rsidP="4DD21A85">
      <w:pPr>
        <w:tabs>
          <w:tab w:val="left" w:pos="284"/>
        </w:tabs>
      </w:pPr>
      <w:r w:rsidRPr="00226C43">
        <w:t>Program activities during both phases remained relatively unchanged as follows:</w:t>
      </w:r>
    </w:p>
    <w:p w14:paraId="254706DF" w14:textId="3798BF10" w:rsidR="006864EB" w:rsidRPr="00226C43" w:rsidRDefault="4DD21A85" w:rsidP="4DD21A85">
      <w:pPr>
        <w:tabs>
          <w:tab w:val="left" w:pos="284"/>
        </w:tabs>
        <w:spacing w:after="0"/>
      </w:pPr>
      <w:r w:rsidRPr="00226C43">
        <w:rPr>
          <w:b/>
          <w:bCs/>
        </w:rPr>
        <w:t>Australia Awards Scholarships</w:t>
      </w:r>
      <w:r w:rsidRPr="00226C43">
        <w:t>: These are long-term master's or doctoral study in Australia by a contracted tertiary institution and includes opportunities to participate in supplementary Australia Awards programs and enabling activities, disability</w:t>
      </w:r>
    </w:p>
    <w:p w14:paraId="05F02A9B" w14:textId="30DF6045" w:rsidR="00427455" w:rsidRPr="00226C43" w:rsidRDefault="4DD21A85" w:rsidP="4DD21A85">
      <w:pPr>
        <w:tabs>
          <w:tab w:val="left" w:pos="284"/>
        </w:tabs>
        <w:spacing w:after="0"/>
      </w:pPr>
      <w:r w:rsidRPr="00226C43">
        <w:t>support, reintegration, and award engagement</w:t>
      </w:r>
      <w:r w:rsidR="003859E3" w:rsidRPr="00226C43">
        <w:t>.</w:t>
      </w:r>
    </w:p>
    <w:p w14:paraId="1A580AF0" w14:textId="77777777" w:rsidR="00427455" w:rsidRPr="00226C43" w:rsidRDefault="00427455" w:rsidP="4DD21A85">
      <w:pPr>
        <w:tabs>
          <w:tab w:val="left" w:pos="284"/>
        </w:tabs>
        <w:spacing w:after="0"/>
        <w:rPr>
          <w:b/>
          <w:bCs/>
        </w:rPr>
      </w:pPr>
    </w:p>
    <w:p w14:paraId="3B05277D" w14:textId="37DBB9DF" w:rsidR="00570146" w:rsidRPr="00226C43" w:rsidRDefault="00570146" w:rsidP="4DD21A85">
      <w:pPr>
        <w:tabs>
          <w:tab w:val="left" w:pos="284"/>
        </w:tabs>
        <w:spacing w:after="0"/>
      </w:pPr>
      <w:r w:rsidRPr="00226C43">
        <w:rPr>
          <w:b/>
          <w:bCs/>
        </w:rPr>
        <w:t>In-Country Scholarships and Split-Side Modalities</w:t>
      </w:r>
      <w:r w:rsidR="002D4A7C" w:rsidRPr="00226C43">
        <w:rPr>
          <w:b/>
          <w:bCs/>
        </w:rPr>
        <w:t>:</w:t>
      </w:r>
      <w:r w:rsidRPr="00226C43">
        <w:t xml:space="preserve"> The in-country scholarships program helps strengthen select Philippine institutions or individuals in priority fields,</w:t>
      </w:r>
      <w:r w:rsidR="00843206" w:rsidRPr="00226C43">
        <w:t xml:space="preserve"> </w:t>
      </w:r>
      <w:r w:rsidRPr="00226C43">
        <w:t>providing options for local postgraduate study. For 2022-2026, AAAEP–P will consider</w:t>
      </w:r>
      <w:r w:rsidR="00843206" w:rsidRPr="00226C43">
        <w:t xml:space="preserve"> </w:t>
      </w:r>
      <w:r w:rsidRPr="00226C43">
        <w:t>more split-side programs where courses and other learning opportunities are held</w:t>
      </w:r>
      <w:r w:rsidR="00843206" w:rsidRPr="00226C43">
        <w:t xml:space="preserve"> </w:t>
      </w:r>
      <w:r w:rsidRPr="00226C43">
        <w:t>both in the Philippines and Australia to stretch resources without reducing scholarship</w:t>
      </w:r>
      <w:r w:rsidR="00843206" w:rsidRPr="00226C43">
        <w:t xml:space="preserve"> </w:t>
      </w:r>
      <w:r w:rsidRPr="00226C43">
        <w:t>numbers. These will also increase linkages between Australian and Philippine</w:t>
      </w:r>
      <w:r w:rsidR="00843206" w:rsidRPr="00226C43">
        <w:t xml:space="preserve"> </w:t>
      </w:r>
      <w:r w:rsidRPr="00226C43">
        <w:t>institutions. Co-funding schemes may also be explored whereby partner Philippine</w:t>
      </w:r>
      <w:r w:rsidR="00843206" w:rsidRPr="00226C43">
        <w:t xml:space="preserve"> </w:t>
      </w:r>
      <w:r w:rsidRPr="00226C43">
        <w:t>government agencies fund local costs while AAAEP–P would finance the costs of</w:t>
      </w:r>
      <w:r w:rsidR="00843206" w:rsidRPr="00226C43">
        <w:t xml:space="preserve"> </w:t>
      </w:r>
      <w:r w:rsidRPr="00226C43">
        <w:t>Australian learning service providers or activities held in Australia</w:t>
      </w:r>
      <w:r w:rsidR="00532D05" w:rsidRPr="00226C43">
        <w:rPr>
          <w:rStyle w:val="FootnoteReference"/>
        </w:rPr>
        <w:footnoteReference w:id="34"/>
      </w:r>
      <w:r w:rsidR="00843206" w:rsidRPr="00226C43">
        <w:t>.</w:t>
      </w:r>
    </w:p>
    <w:p w14:paraId="7093C7F1" w14:textId="77777777" w:rsidR="00843206" w:rsidRPr="00226C43" w:rsidRDefault="00843206" w:rsidP="4DD21A85">
      <w:pPr>
        <w:tabs>
          <w:tab w:val="left" w:pos="284"/>
        </w:tabs>
        <w:spacing w:after="0"/>
      </w:pPr>
    </w:p>
    <w:p w14:paraId="51441E7B" w14:textId="59CBDA02" w:rsidR="00570146" w:rsidRPr="00226C43" w:rsidRDefault="4DD21A85" w:rsidP="4DD21A85">
      <w:pPr>
        <w:tabs>
          <w:tab w:val="left" w:pos="284"/>
        </w:tabs>
        <w:spacing w:after="0"/>
      </w:pPr>
      <w:r w:rsidRPr="00226C43">
        <w:rPr>
          <w:b/>
          <w:bCs/>
        </w:rPr>
        <w:lastRenderedPageBreak/>
        <w:t>Short Courses/Non-Formal Learning Opportunities</w:t>
      </w:r>
      <w:r w:rsidRPr="00226C43">
        <w:t>:</w:t>
      </w:r>
      <w:r w:rsidR="0078429F" w:rsidRPr="00226C43">
        <w:t xml:space="preserve"> </w:t>
      </w:r>
      <w:proofErr w:type="gramStart"/>
      <w:r w:rsidRPr="00226C43">
        <w:t>These address</w:t>
      </w:r>
      <w:proofErr w:type="gramEnd"/>
      <w:r w:rsidRPr="00226C43">
        <w:t xml:space="preserve"> identified competency gaps in partner Philippine government organisations and are targeted to senior officials and primarily delivered by Australian learning service providers Nonformal learning opportunities are discrete activities designed to respond to emerging needs and demands identified by Post or requested by partner Philippine government agencies (c g, benchmarking visits and fellowships in Australia)</w:t>
      </w:r>
      <w:r w:rsidR="003859E3" w:rsidRPr="00226C43">
        <w:t>.</w:t>
      </w:r>
    </w:p>
    <w:p w14:paraId="38D1C88B" w14:textId="77777777" w:rsidR="004D71A0" w:rsidRPr="00226C43" w:rsidRDefault="004D71A0" w:rsidP="4DD21A85">
      <w:pPr>
        <w:tabs>
          <w:tab w:val="left" w:pos="284"/>
        </w:tabs>
        <w:spacing w:after="0"/>
      </w:pPr>
    </w:p>
    <w:p w14:paraId="7321A87C" w14:textId="604ADF00" w:rsidR="00570146" w:rsidRPr="00226C43" w:rsidRDefault="4DD21A85" w:rsidP="4DD21A85">
      <w:pPr>
        <w:tabs>
          <w:tab w:val="left" w:pos="284"/>
        </w:tabs>
        <w:spacing w:after="0"/>
      </w:pPr>
      <w:r w:rsidRPr="00226C43">
        <w:rPr>
          <w:b/>
          <w:bCs/>
        </w:rPr>
        <w:t>Alumni Engagement</w:t>
      </w:r>
      <w:r w:rsidRPr="00226C43">
        <w:t xml:space="preserve">: Alumni engagement activities aim to grow a community that actively promotes Australia and advances mutual interests. AAAEP–P will deliver flexibly designed activities that are useful and responsive to different alumni needs and cohorts to encourage participation. Wherever possible, AAAFP-P will organise and co-fund activities with alumni groups, relevant government and non-government organisations, </w:t>
      </w:r>
      <w:proofErr w:type="spellStart"/>
      <w:r w:rsidR="1FAC1189" w:rsidRPr="00226C43">
        <w:t>AusT</w:t>
      </w:r>
      <w:r w:rsidRPr="00226C43">
        <w:t>rade</w:t>
      </w:r>
      <w:proofErr w:type="spellEnd"/>
      <w:r w:rsidRPr="00226C43">
        <w:t>, and the Australia New Zealand Chamber of Commerce in the</w:t>
      </w:r>
    </w:p>
    <w:p w14:paraId="2B2BF70E" w14:textId="77777777" w:rsidR="004D71A0" w:rsidRPr="00226C43" w:rsidRDefault="4DD21A85" w:rsidP="4DD21A85">
      <w:pPr>
        <w:tabs>
          <w:tab w:val="left" w:pos="284"/>
        </w:tabs>
        <w:spacing w:after="0"/>
      </w:pPr>
      <w:r w:rsidRPr="00226C43">
        <w:t>Philippines</w:t>
      </w:r>
      <w:r w:rsidR="003859E3" w:rsidRPr="00226C43">
        <w:t>.</w:t>
      </w:r>
    </w:p>
    <w:p w14:paraId="481D14CB" w14:textId="77777777" w:rsidR="004D71A0" w:rsidRPr="00226C43" w:rsidRDefault="004D71A0" w:rsidP="4DD21A85">
      <w:pPr>
        <w:tabs>
          <w:tab w:val="left" w:pos="284"/>
        </w:tabs>
        <w:spacing w:after="0"/>
      </w:pPr>
    </w:p>
    <w:p w14:paraId="4D5EECDD" w14:textId="35BF1D4B" w:rsidR="00B92A81" w:rsidRPr="00226C43" w:rsidRDefault="4DD21A85" w:rsidP="001E5774">
      <w:pPr>
        <w:tabs>
          <w:tab w:val="left" w:pos="284"/>
        </w:tabs>
        <w:spacing w:after="120"/>
      </w:pPr>
      <w:r w:rsidRPr="00226C43">
        <w:t>The Investment Concept contained a flexible toolkit of four key activities:</w:t>
      </w:r>
      <w:r w:rsidR="0078429F" w:rsidRPr="00226C43">
        <w:t xml:space="preserve"> </w:t>
      </w:r>
      <w:r w:rsidRPr="00226C43">
        <w:t>long-term scholarships, short courses, fellowships, and alumni activities.</w:t>
      </w:r>
    </w:p>
    <w:p w14:paraId="120C7BF5" w14:textId="60143775" w:rsidR="00DC0CBE" w:rsidRPr="00211968" w:rsidRDefault="4DD21A85" w:rsidP="4DD21A85">
      <w:pPr>
        <w:pStyle w:val="BodyCopy"/>
        <w:rPr>
          <w:rFonts w:asciiTheme="minorHAnsi" w:hAnsiTheme="minorHAnsi"/>
          <w:b/>
          <w:bCs/>
          <w:color w:val="auto"/>
          <w:szCs w:val="24"/>
        </w:rPr>
      </w:pPr>
      <w:r w:rsidRPr="00211968">
        <w:rPr>
          <w:rFonts w:asciiTheme="minorHAnsi" w:hAnsiTheme="minorHAnsi"/>
          <w:b/>
          <w:bCs/>
          <w:color w:val="auto"/>
          <w:szCs w:val="24"/>
        </w:rPr>
        <w:t>Background to the evaluation</w:t>
      </w:r>
    </w:p>
    <w:p w14:paraId="03FC0F98" w14:textId="5113C128" w:rsidR="00DC0CBE" w:rsidRPr="00226C43" w:rsidRDefault="4B29490B" w:rsidP="24DBC017">
      <w:pPr>
        <w:tabs>
          <w:tab w:val="left" w:pos="284"/>
        </w:tabs>
        <w:spacing w:line="259" w:lineRule="auto"/>
      </w:pPr>
      <w:r w:rsidRPr="00226C43">
        <w:t>AA</w:t>
      </w:r>
      <w:r w:rsidR="4DD21A85" w:rsidRPr="00226C43">
        <w:t xml:space="preserve"> are a key component of the Australian Aid program and provide prestigious international study opportunities that offer the next generation of global leaders an opportunity to undertake study, research and professional development in Australia and the region. It builds skills and capabilities, people–to people links and institutional partnerships in areas that contribute to Australia's foreign, trade and international development priorities. By investing in human capital, Australia Awards support growth and stability in the region and strengthen links and relationships in mutually agreed development sectors</w:t>
      </w:r>
      <w:r w:rsidR="008E0950" w:rsidRPr="00226C43">
        <w:rPr>
          <w:rStyle w:val="FootnoteReference"/>
        </w:rPr>
        <w:footnoteReference w:id="35"/>
      </w:r>
      <w:r w:rsidR="4DD21A85" w:rsidRPr="00226C43">
        <w:t>.</w:t>
      </w:r>
    </w:p>
    <w:p w14:paraId="77EEE66C" w14:textId="675CF83B" w:rsidR="00DC0CBE" w:rsidRPr="00226C43" w:rsidRDefault="4DD21A85" w:rsidP="4DD21A85">
      <w:pPr>
        <w:tabs>
          <w:tab w:val="left" w:pos="284"/>
        </w:tabs>
      </w:pPr>
      <w:r w:rsidRPr="00226C43">
        <w:t xml:space="preserve">AAAEP–P is an eight–year (2018–2026), $31 million program that provides Australia Awards scholarships, short courses, local scholarships and alumni engagement activities to further contribute toward achieving the shared development goals of Australia and the Philippines. </w:t>
      </w:r>
    </w:p>
    <w:p w14:paraId="230AC3E2" w14:textId="3EC33898" w:rsidR="00DC0CBE" w:rsidRPr="00226C43" w:rsidRDefault="54DCAEC2" w:rsidP="4DD21A85">
      <w:pPr>
        <w:tabs>
          <w:tab w:val="left" w:pos="284"/>
        </w:tabs>
        <w:rPr>
          <w:highlight w:val="yellow"/>
        </w:rPr>
      </w:pPr>
      <w:r w:rsidRPr="00226C43">
        <w:t xml:space="preserve">Since 2018, AAAEP–P has been assisting GPH to advance the capabilities of future leaders and civil servants through scholarships, short courses and other nonformal learning opportunities. The program also aims to bridge private sector skills gaps, support the emergence of a new generation of Philippine leaders with strong links to Australia, and furthers public diplomacy efforts aimed at strengthening the relationship between the two countries through alumni engagement activities. AAAEP–P works with 11 partner GPH agencies, Australian and Philippine educational and training institutions, scholars and alumni to deliver its EOPOs. It also works with non-partner GPH agencies to deliver activities aimed at addressing urgent or emerging priority areas. DFAT’s agreement with Tetra Tech International Development, the implementing partner, to implement AAAEP–P will end on 30 September 2025. </w:t>
      </w:r>
    </w:p>
    <w:p w14:paraId="6F09784F" w14:textId="7FD3864E" w:rsidR="00DC0CBE" w:rsidRPr="00211968" w:rsidRDefault="003859E3" w:rsidP="4DD21A85">
      <w:pPr>
        <w:pStyle w:val="BodyCopy"/>
        <w:rPr>
          <w:rFonts w:asciiTheme="minorHAnsi" w:hAnsiTheme="minorHAnsi"/>
          <w:b/>
          <w:bCs/>
          <w:color w:val="auto"/>
          <w:szCs w:val="24"/>
        </w:rPr>
      </w:pPr>
      <w:r w:rsidRPr="00211968">
        <w:rPr>
          <w:rFonts w:asciiTheme="minorHAnsi" w:hAnsiTheme="minorHAnsi"/>
          <w:b/>
          <w:bCs/>
          <w:color w:val="auto"/>
          <w:szCs w:val="24"/>
        </w:rPr>
        <w:t xml:space="preserve">Evaluation </w:t>
      </w:r>
      <w:r w:rsidR="4DD21A85" w:rsidRPr="00211968">
        <w:rPr>
          <w:rFonts w:asciiTheme="minorHAnsi" w:hAnsiTheme="minorHAnsi"/>
          <w:b/>
          <w:bCs/>
          <w:color w:val="auto"/>
          <w:szCs w:val="24"/>
        </w:rPr>
        <w:t>purpose and approach</w:t>
      </w:r>
      <w:bookmarkEnd w:id="50"/>
      <w:bookmarkEnd w:id="51"/>
      <w:bookmarkEnd w:id="52"/>
    </w:p>
    <w:p w14:paraId="59596C47" w14:textId="39914160" w:rsidR="00DC0CBE" w:rsidRPr="00226C43" w:rsidRDefault="4DD21A85" w:rsidP="4DD21A85">
      <w:r w:rsidRPr="00226C43">
        <w:lastRenderedPageBreak/>
        <w:t>The purpose of the evaluation is to assess whether and to what extent AAAEP–P has been delivering design outcomes. The evaluation will also provide recommendations for improvements for the remainder of the program. Insights and suggested improvements may also be incorporated into a new successor program/procurement process expected in the first half of financial year 2025.</w:t>
      </w:r>
    </w:p>
    <w:p w14:paraId="569BCA1D" w14:textId="77777777" w:rsidR="00DC0CBE" w:rsidRPr="00211968" w:rsidRDefault="4DD21A85" w:rsidP="4DD21A85">
      <w:pPr>
        <w:pStyle w:val="BodyCopy"/>
        <w:rPr>
          <w:rFonts w:asciiTheme="minorHAnsi" w:hAnsiTheme="minorHAnsi"/>
          <w:b/>
          <w:bCs/>
          <w:color w:val="auto"/>
          <w:szCs w:val="24"/>
        </w:rPr>
      </w:pPr>
      <w:r w:rsidRPr="00211968">
        <w:rPr>
          <w:rFonts w:asciiTheme="minorHAnsi" w:hAnsiTheme="minorHAnsi"/>
          <w:b/>
          <w:bCs/>
          <w:color w:val="auto"/>
          <w:szCs w:val="24"/>
        </w:rPr>
        <w:t>Key Evaluation Questions</w:t>
      </w:r>
    </w:p>
    <w:p w14:paraId="31A5B113" w14:textId="77777777" w:rsidR="00DC0CBE" w:rsidRPr="00226C43" w:rsidRDefault="4DD21A85" w:rsidP="4DD21A85">
      <w:r w:rsidRPr="00226C43">
        <w:t xml:space="preserve">The following key evaluation questions </w:t>
      </w:r>
      <w:r w:rsidR="002442F1" w:rsidRPr="00226C43">
        <w:t xml:space="preserve">(KEQs) </w:t>
      </w:r>
      <w:r w:rsidRPr="00226C43">
        <w:t>were developed in consultation with DFAT.</w:t>
      </w:r>
    </w:p>
    <w:p w14:paraId="3C86E704" w14:textId="6C73DC68" w:rsidR="00DC0CBE" w:rsidRPr="00226C43" w:rsidRDefault="002442F1" w:rsidP="4DD21A85">
      <w:r w:rsidRPr="00226C43">
        <w:rPr>
          <w:b/>
          <w:bCs/>
        </w:rPr>
        <w:t xml:space="preserve">KEQ1 </w:t>
      </w:r>
      <w:r w:rsidR="4DD21A85" w:rsidRPr="00226C43">
        <w:rPr>
          <w:b/>
          <w:bCs/>
        </w:rPr>
        <w:t>Relevance:</w:t>
      </w:r>
      <w:r w:rsidR="4DD21A85" w:rsidRPr="00226C43">
        <w:t xml:space="preserve"> To what extent does AAAEP–P align with the strategic priorities and needs of </w:t>
      </w:r>
      <w:proofErr w:type="spellStart"/>
      <w:r w:rsidR="4DD21A85" w:rsidRPr="00226C43">
        <w:t>GoA</w:t>
      </w:r>
      <w:proofErr w:type="spellEnd"/>
      <w:r w:rsidR="4DD21A85" w:rsidRPr="00226C43">
        <w:t xml:space="preserve"> and the GPH? </w:t>
      </w:r>
    </w:p>
    <w:p w14:paraId="1E595860" w14:textId="0F047B1B" w:rsidR="00DC0CBE" w:rsidRPr="00226C43" w:rsidRDefault="002442F1" w:rsidP="4DD21A85">
      <w:r w:rsidRPr="00226C43">
        <w:rPr>
          <w:b/>
          <w:bCs/>
        </w:rPr>
        <w:t xml:space="preserve">KEQ2 </w:t>
      </w:r>
      <w:r w:rsidR="4DD21A85" w:rsidRPr="00226C43">
        <w:rPr>
          <w:b/>
          <w:bCs/>
        </w:rPr>
        <w:t>Effectiveness:</w:t>
      </w:r>
      <w:r w:rsidR="4DD21A85" w:rsidRPr="00226C43">
        <w:t xml:space="preserve"> To what extent has AAAEP–P achieved its IOs and EOPOs? </w:t>
      </w:r>
    </w:p>
    <w:p w14:paraId="64A01F22" w14:textId="02CD43BB" w:rsidR="00DC0CBE" w:rsidRPr="00226C43" w:rsidRDefault="002442F1" w:rsidP="4DD21A85">
      <w:r w:rsidRPr="00226C43">
        <w:rPr>
          <w:b/>
          <w:bCs/>
        </w:rPr>
        <w:t xml:space="preserve">KEQ3 </w:t>
      </w:r>
      <w:r w:rsidR="4DD21A85" w:rsidRPr="00226C43">
        <w:rPr>
          <w:b/>
          <w:bCs/>
        </w:rPr>
        <w:t>Efficiency:</w:t>
      </w:r>
      <w:r w:rsidR="4DD21A85" w:rsidRPr="00226C43">
        <w:t xml:space="preserve"> To what extent was AAAEP–P administered and delivered efficiently? </w:t>
      </w:r>
    </w:p>
    <w:p w14:paraId="6DD74765" w14:textId="6E169A16" w:rsidR="00DC0CBE" w:rsidRPr="00226C43" w:rsidRDefault="002442F1" w:rsidP="4DD21A85">
      <w:r w:rsidRPr="00226C43">
        <w:rPr>
          <w:b/>
          <w:bCs/>
        </w:rPr>
        <w:t xml:space="preserve">KEQ4 </w:t>
      </w:r>
      <w:r w:rsidR="4DD21A85" w:rsidRPr="00226C43">
        <w:rPr>
          <w:b/>
          <w:bCs/>
        </w:rPr>
        <w:t>Sustainability:</w:t>
      </w:r>
      <w:r w:rsidR="4DD21A85" w:rsidRPr="00226C43">
        <w:t xml:space="preserve"> To what extent are AAAEP–P stakeholders (e.g., partner organisations and alumni communities, etc.) capable and prepared to continue the positive effects of the program without support in the long term (e.g., influencing a GPH enabling environment that supports GEDSI)?</w:t>
      </w:r>
    </w:p>
    <w:p w14:paraId="76DAEB0B" w14:textId="70D46A26" w:rsidR="00DC0CBE" w:rsidRPr="00226C43" w:rsidRDefault="002442F1" w:rsidP="4DD21A85">
      <w:r w:rsidRPr="00226C43">
        <w:rPr>
          <w:b/>
          <w:bCs/>
        </w:rPr>
        <w:t xml:space="preserve">KEQ5 </w:t>
      </w:r>
      <w:r w:rsidR="4DD21A85" w:rsidRPr="00226C43">
        <w:rPr>
          <w:b/>
          <w:bCs/>
        </w:rPr>
        <w:t>GEDSI:</w:t>
      </w:r>
      <w:r w:rsidR="4DD21A85" w:rsidRPr="00226C43">
        <w:t xml:space="preserve"> Questions related to equity and inclusion are integrated in each of the evaluation criteria to examine the extent, benefits, challenges and lessons learned in GEDSI mainstreaming used by the AAAEP–P.</w:t>
      </w:r>
      <w:r w:rsidR="0078429F" w:rsidRPr="00226C43">
        <w:t xml:space="preserve"> </w:t>
      </w:r>
    </w:p>
    <w:p w14:paraId="477800DA" w14:textId="7E96ED52" w:rsidR="00DC0CBE" w:rsidRPr="00226C43" w:rsidRDefault="4DD21A85" w:rsidP="4DD21A85">
      <w:r w:rsidRPr="00226C43">
        <w:rPr>
          <w:b/>
          <w:bCs/>
        </w:rPr>
        <w:t>Lessons learned:</w:t>
      </w:r>
      <w:r w:rsidRPr="00226C43">
        <w:t xml:space="preserve"> What lessons can be drawn from AAAEP–P’s implementation to improve outcomes and inform its successor program? </w:t>
      </w:r>
    </w:p>
    <w:p w14:paraId="61C58EC6" w14:textId="6052EE07" w:rsidR="00DC0CBE" w:rsidRPr="00226C43" w:rsidRDefault="4DD21A85" w:rsidP="15EE30F6">
      <w:pPr>
        <w:spacing w:line="259" w:lineRule="auto"/>
      </w:pPr>
      <w:r w:rsidRPr="00226C43">
        <w:t xml:space="preserve">A full set of </w:t>
      </w:r>
      <w:r w:rsidR="26B81EFB" w:rsidRPr="00226C43">
        <w:t xml:space="preserve">Key Evaluation Questions </w:t>
      </w:r>
      <w:r w:rsidR="003859E3" w:rsidRPr="00226C43">
        <w:t xml:space="preserve">and sub-questions </w:t>
      </w:r>
      <w:r w:rsidR="26B81EFB" w:rsidRPr="00226C43">
        <w:t>are</w:t>
      </w:r>
      <w:r w:rsidRPr="00226C43">
        <w:t xml:space="preserve"> set out in Appendix </w:t>
      </w:r>
      <w:r w:rsidR="00741BDE" w:rsidRPr="00226C43">
        <w:t>D</w:t>
      </w:r>
      <w:r w:rsidRPr="00226C43">
        <w:t>.</w:t>
      </w:r>
    </w:p>
    <w:p w14:paraId="73032B20" w14:textId="1E48572D" w:rsidR="00DC0CBE" w:rsidRPr="00211968" w:rsidRDefault="4DD21A85" w:rsidP="4DD21A85">
      <w:pPr>
        <w:pStyle w:val="BodyCopy"/>
        <w:rPr>
          <w:rFonts w:asciiTheme="minorHAnsi" w:hAnsiTheme="minorHAnsi"/>
          <w:b/>
          <w:bCs/>
          <w:color w:val="auto"/>
          <w:szCs w:val="24"/>
        </w:rPr>
      </w:pPr>
      <w:r w:rsidRPr="00211968">
        <w:rPr>
          <w:rFonts w:asciiTheme="minorHAnsi" w:hAnsiTheme="minorHAnsi"/>
          <w:b/>
          <w:bCs/>
          <w:color w:val="auto"/>
          <w:szCs w:val="24"/>
        </w:rPr>
        <w:t xml:space="preserve">Methodology </w:t>
      </w:r>
    </w:p>
    <w:p w14:paraId="5B9A6BBA" w14:textId="1FF931E9" w:rsidR="00DC0CBE" w:rsidRPr="00226C43" w:rsidRDefault="4DD21A85" w:rsidP="4DD21A85">
      <w:r w:rsidRPr="00226C43">
        <w:t xml:space="preserve">The evaluation used a mixed-methods approach to data collection comprising document review, stakeholder consultation and a brief survey of participants in AAAEP–P long-term scholarships, In-Country Scholarships (ICSP) and short courses. Data collection and analysis was guided the key </w:t>
      </w:r>
      <w:r w:rsidR="003859E3" w:rsidRPr="00226C43">
        <w:t xml:space="preserve">evaluation </w:t>
      </w:r>
      <w:r w:rsidRPr="00226C43">
        <w:t>questions, developed in consultation with DFAT and Abt</w:t>
      </w:r>
      <w:r w:rsidR="294E38FB" w:rsidRPr="00226C43">
        <w:t xml:space="preserve"> </w:t>
      </w:r>
      <w:r w:rsidR="70D0A269" w:rsidRPr="00226C43">
        <w:t>Associates.</w:t>
      </w:r>
      <w:r w:rsidRPr="00226C43">
        <w:t xml:space="preserve"> </w:t>
      </w:r>
      <w:r w:rsidR="006A7A8C" w:rsidRPr="00226C43">
        <w:t>The survey results assisted the evaluation team to assess program effectiveness, identifying trends, and shaping recommendations for improvement. Quantitative data measured participant satisfaction, skill application, and career impact, while qualitative responses highlighted key themes such as training relevance, barriers to participation, and workplace integration. The evaluation team cross referenced the findings with interview and focus group note. The evaluation team identified gaps e.g., improved alumni engagement, which directly informed recommendations for program enhancements. Survey results were also cross referenced against the evaluation criteria, with the results of this cross-referencing summarised in Appendix I.</w:t>
      </w:r>
      <w:r w:rsidR="00BE38BC" w:rsidRPr="00226C43">
        <w:t xml:space="preserve"> </w:t>
      </w:r>
    </w:p>
    <w:p w14:paraId="281C19D4" w14:textId="5D1D0455" w:rsidR="00DA5AEE" w:rsidRPr="00211968" w:rsidRDefault="00DA5AEE" w:rsidP="002B1E0E">
      <w:pPr>
        <w:pStyle w:val="BodyCopy"/>
        <w:rPr>
          <w:rFonts w:asciiTheme="minorHAnsi" w:hAnsiTheme="minorHAnsi"/>
          <w:b/>
          <w:bCs/>
          <w:color w:val="auto"/>
        </w:rPr>
      </w:pPr>
      <w:r w:rsidRPr="00211968">
        <w:rPr>
          <w:rFonts w:asciiTheme="minorHAnsi" w:hAnsiTheme="minorHAnsi"/>
          <w:b/>
          <w:bCs/>
          <w:color w:val="auto"/>
          <w:szCs w:val="24"/>
        </w:rPr>
        <w:t xml:space="preserve">Key </w:t>
      </w:r>
      <w:r w:rsidR="009E5008" w:rsidRPr="00211968">
        <w:rPr>
          <w:rFonts w:asciiTheme="minorHAnsi" w:hAnsiTheme="minorHAnsi"/>
          <w:b/>
          <w:bCs/>
          <w:color w:val="auto"/>
          <w:szCs w:val="24"/>
        </w:rPr>
        <w:t xml:space="preserve">Methodological </w:t>
      </w:r>
      <w:r w:rsidRPr="00211968">
        <w:rPr>
          <w:rFonts w:asciiTheme="minorHAnsi" w:hAnsiTheme="minorHAnsi"/>
          <w:b/>
          <w:bCs/>
          <w:color w:val="auto"/>
          <w:szCs w:val="24"/>
        </w:rPr>
        <w:t>Limitations</w:t>
      </w:r>
    </w:p>
    <w:p w14:paraId="009BB13E" w14:textId="77777777" w:rsidR="00BC4B91" w:rsidRPr="00226C43" w:rsidRDefault="00BC4B91" w:rsidP="004E3950">
      <w:pPr>
        <w:spacing w:after="0"/>
      </w:pPr>
      <w:r w:rsidRPr="00226C43">
        <w:t>Several limitations affected the evaluation methodology including:</w:t>
      </w:r>
    </w:p>
    <w:p w14:paraId="6FEB4261" w14:textId="77777777" w:rsidR="00BC4B91" w:rsidRPr="00226C43" w:rsidRDefault="00BC4B91" w:rsidP="00925CC1">
      <w:pPr>
        <w:pStyle w:val="ListParagraph"/>
        <w:numPr>
          <w:ilvl w:val="0"/>
          <w:numId w:val="31"/>
        </w:numPr>
        <w:tabs>
          <w:tab w:val="left" w:pos="284"/>
        </w:tabs>
        <w:spacing w:after="0"/>
        <w:ind w:left="284" w:hanging="284"/>
      </w:pPr>
      <w:r w:rsidRPr="00226C43">
        <w:t>Reliance on self-reported data have associated response bias, as participants may have exaggerated successes or underreported challenges in surveys and interviews.</w:t>
      </w:r>
    </w:p>
    <w:p w14:paraId="4AEDA941" w14:textId="05B0A192" w:rsidR="00D26F15" w:rsidRPr="00226C43" w:rsidRDefault="009C183A" w:rsidP="00925CC1">
      <w:pPr>
        <w:pStyle w:val="ListParagraph"/>
        <w:numPr>
          <w:ilvl w:val="0"/>
          <w:numId w:val="31"/>
        </w:numPr>
        <w:tabs>
          <w:tab w:val="left" w:pos="284"/>
        </w:tabs>
        <w:spacing w:after="0"/>
        <w:ind w:left="284" w:hanging="284"/>
      </w:pPr>
      <w:r w:rsidRPr="00226C43">
        <w:lastRenderedPageBreak/>
        <w:t xml:space="preserve">Time and availability of stakeholders to participate in evaluation interviews and/or complete the evaluation survey, might have </w:t>
      </w:r>
      <w:r w:rsidR="00D26F15" w:rsidRPr="00226C43">
        <w:t>skewed the responses elicited</w:t>
      </w:r>
      <w:r w:rsidR="00450DFF" w:rsidRPr="00226C43">
        <w:t>, and resulted in selection bias, with only those individuals with available time responding to surveys and making themselves available for interviews.</w:t>
      </w:r>
    </w:p>
    <w:p w14:paraId="2F5E7F8C" w14:textId="3AC24C16" w:rsidR="00BC4B91" w:rsidRPr="00226C43" w:rsidRDefault="00BC4B91" w:rsidP="00925CC1">
      <w:pPr>
        <w:pStyle w:val="ListParagraph"/>
        <w:numPr>
          <w:ilvl w:val="0"/>
          <w:numId w:val="31"/>
        </w:numPr>
        <w:tabs>
          <w:tab w:val="left" w:pos="284"/>
        </w:tabs>
        <w:spacing w:after="0"/>
        <w:ind w:left="284" w:hanging="284"/>
      </w:pPr>
      <w:r w:rsidRPr="00226C43">
        <w:t>Availability of longitudinal data was limited – e.g., of long-term career impacts, institutional changes, or policy influence. The available data primarily captured short-term learning outcomes.</w:t>
      </w:r>
    </w:p>
    <w:p w14:paraId="574FEA0F" w14:textId="77777777" w:rsidR="00BC4B91" w:rsidRPr="00226C43" w:rsidRDefault="00BC4B91" w:rsidP="00925CC1">
      <w:pPr>
        <w:pStyle w:val="ListParagraph"/>
        <w:numPr>
          <w:ilvl w:val="0"/>
          <w:numId w:val="31"/>
        </w:numPr>
        <w:tabs>
          <w:tab w:val="left" w:pos="284"/>
        </w:tabs>
        <w:spacing w:after="0"/>
        <w:ind w:left="284" w:hanging="284"/>
      </w:pPr>
      <w:r w:rsidRPr="00226C43">
        <w:t>Selection bias may have seen an overrepresentation of engaged alumni with positive experiences, and underrepresentation of alumni who disengaged or faced challenges.</w:t>
      </w:r>
    </w:p>
    <w:p w14:paraId="2FD3373D" w14:textId="61F5EF56" w:rsidR="00BC4B91" w:rsidRPr="00226C43" w:rsidRDefault="00BC4B91" w:rsidP="00925CC1">
      <w:pPr>
        <w:pStyle w:val="ListParagraph"/>
        <w:numPr>
          <w:ilvl w:val="0"/>
          <w:numId w:val="31"/>
        </w:numPr>
        <w:tabs>
          <w:tab w:val="left" w:pos="284"/>
        </w:tabs>
        <w:spacing w:after="0"/>
        <w:ind w:left="284" w:hanging="284"/>
      </w:pPr>
      <w:r w:rsidRPr="00226C43">
        <w:t xml:space="preserve">Isolating the program’s direct impact was challenging, as alumni successes </w:t>
      </w:r>
      <w:r w:rsidR="00450DFF" w:rsidRPr="00226C43">
        <w:t>were influenced</w:t>
      </w:r>
      <w:r w:rsidRPr="00226C43">
        <w:t xml:space="preserve"> by other external factors such as the level of workplace support, national policies, and alumni’s participation in other training programs, including of other development partners.  Attribution was therefore challenging.</w:t>
      </w:r>
    </w:p>
    <w:p w14:paraId="54FAE751" w14:textId="77777777" w:rsidR="00BC4B91" w:rsidRPr="00226C43" w:rsidRDefault="00BC4B91" w:rsidP="00925CC1">
      <w:pPr>
        <w:pStyle w:val="ListParagraph"/>
        <w:numPr>
          <w:ilvl w:val="0"/>
          <w:numId w:val="31"/>
        </w:numPr>
        <w:tabs>
          <w:tab w:val="left" w:pos="284"/>
        </w:tabs>
        <w:spacing w:after="0"/>
        <w:ind w:left="284" w:hanging="284"/>
      </w:pPr>
      <w:r w:rsidRPr="00226C43">
        <w:t>Variability in delivery modes, particularly the shift to virtual short courses in 2020-21, may have led to differences in engagement levels, effectiveness, and accessibility compared to in-person programs.</w:t>
      </w:r>
    </w:p>
    <w:p w14:paraId="3888E532" w14:textId="77777777" w:rsidR="00BC4B91" w:rsidRPr="00226C43" w:rsidRDefault="00BC4B91" w:rsidP="00925CC1">
      <w:pPr>
        <w:pStyle w:val="ListParagraph"/>
        <w:numPr>
          <w:ilvl w:val="0"/>
          <w:numId w:val="31"/>
        </w:numPr>
        <w:tabs>
          <w:tab w:val="left" w:pos="284"/>
        </w:tabs>
        <w:spacing w:after="0"/>
        <w:ind w:left="284" w:hanging="284"/>
      </w:pPr>
      <w:r w:rsidRPr="00226C43">
        <w:t>Institutional feedback was limited and consequently, the evaluation focussed on individual participant experiences rather than systematic institutional changes in GPH agencies.</w:t>
      </w:r>
    </w:p>
    <w:p w14:paraId="76CD6FAD" w14:textId="77777777" w:rsidR="00BC4B91" w:rsidRPr="00226C43" w:rsidRDefault="00BC4B91" w:rsidP="00925CC1">
      <w:pPr>
        <w:pStyle w:val="ListParagraph"/>
        <w:numPr>
          <w:ilvl w:val="0"/>
          <w:numId w:val="31"/>
        </w:numPr>
        <w:tabs>
          <w:tab w:val="left" w:pos="284"/>
        </w:tabs>
        <w:spacing w:after="0"/>
        <w:ind w:left="284" w:hanging="284"/>
      </w:pPr>
      <w:r w:rsidRPr="00226C43">
        <w:t>Measuring GEDSI impact, such as capturing deep behavioural and systemic changes within institutions, was complex, and beyond the scope of the report.</w:t>
      </w:r>
    </w:p>
    <w:p w14:paraId="424228BF" w14:textId="77777777" w:rsidR="00BC4B91" w:rsidRPr="00226C43" w:rsidRDefault="00BC4B91" w:rsidP="00925CC1">
      <w:pPr>
        <w:pStyle w:val="ListParagraph"/>
        <w:numPr>
          <w:ilvl w:val="0"/>
          <w:numId w:val="31"/>
        </w:numPr>
        <w:tabs>
          <w:tab w:val="left" w:pos="284"/>
        </w:tabs>
        <w:spacing w:after="0"/>
        <w:ind w:left="284" w:hanging="284"/>
      </w:pPr>
      <w:r w:rsidRPr="00226C43">
        <w:t>COVID-19 disruptions affected course delivery, participation, and follow-up activities, affecting consistency in program quality and resulting in variable outcomes across different cohorts. Accurately capturing these variations was not possible.</w:t>
      </w:r>
    </w:p>
    <w:p w14:paraId="7F220C9C" w14:textId="77777777" w:rsidR="00BC4B91" w:rsidRPr="00226C43" w:rsidRDefault="00BC4B91" w:rsidP="00925CC1">
      <w:pPr>
        <w:pStyle w:val="ListParagraph"/>
        <w:numPr>
          <w:ilvl w:val="0"/>
          <w:numId w:val="31"/>
        </w:numPr>
        <w:tabs>
          <w:tab w:val="left" w:pos="284"/>
        </w:tabs>
        <w:spacing w:after="0"/>
        <w:ind w:left="284" w:hanging="284"/>
      </w:pPr>
      <w:r w:rsidRPr="00226C43">
        <w:t>AAAEP-P’s effectiveness is difficult to accurately measure in the absence of like for like comparable data of other similar programs.</w:t>
      </w:r>
    </w:p>
    <w:p w14:paraId="584ACC15" w14:textId="77777777" w:rsidR="00BC4B91" w:rsidRPr="00226C43" w:rsidRDefault="00BC4B91" w:rsidP="00925CC1">
      <w:pPr>
        <w:pStyle w:val="ListParagraph"/>
        <w:numPr>
          <w:ilvl w:val="0"/>
          <w:numId w:val="31"/>
        </w:numPr>
        <w:tabs>
          <w:tab w:val="left" w:pos="284"/>
        </w:tabs>
        <w:spacing w:after="0"/>
        <w:ind w:left="284" w:hanging="284"/>
      </w:pPr>
      <w:r w:rsidRPr="00226C43">
        <w:t>Data gaps in private sector engagement may mean that the evaluation primarily reflects government sector participants, overlooking potential impacts on private sector and NGO beneficiaries.</w:t>
      </w:r>
    </w:p>
    <w:p w14:paraId="2E93076E" w14:textId="5C92E682" w:rsidR="00F22607" w:rsidRPr="00226C43" w:rsidRDefault="004F16F9" w:rsidP="002B1E0E">
      <w:pPr>
        <w:tabs>
          <w:tab w:val="left" w:pos="284"/>
        </w:tabs>
        <w:spacing w:before="120" w:after="0"/>
      </w:pPr>
      <w:r w:rsidRPr="00226C43">
        <w:t>This report is therefore to be read noting that these factors have influenced the data, and the conclusions drawn from those data.</w:t>
      </w:r>
    </w:p>
    <w:p w14:paraId="4E239736" w14:textId="219047D9" w:rsidR="00DC0CBE" w:rsidRPr="00211968" w:rsidRDefault="4DD21A85" w:rsidP="002B1E0E">
      <w:pPr>
        <w:pStyle w:val="BodyCopy"/>
        <w:spacing w:before="120"/>
        <w:rPr>
          <w:rFonts w:asciiTheme="minorHAnsi" w:hAnsiTheme="minorHAnsi"/>
          <w:b/>
          <w:bCs/>
          <w:color w:val="auto"/>
          <w:szCs w:val="24"/>
        </w:rPr>
      </w:pPr>
      <w:r w:rsidRPr="00211968">
        <w:rPr>
          <w:rFonts w:asciiTheme="minorHAnsi" w:hAnsiTheme="minorHAnsi"/>
          <w:b/>
          <w:bCs/>
          <w:color w:val="auto"/>
          <w:szCs w:val="24"/>
        </w:rPr>
        <w:t>Stakeholder Consultation</w:t>
      </w:r>
      <w:r w:rsidR="00093290" w:rsidRPr="00211968">
        <w:rPr>
          <w:rFonts w:asciiTheme="minorHAnsi" w:hAnsiTheme="minorHAnsi"/>
          <w:b/>
          <w:bCs/>
          <w:color w:val="auto"/>
          <w:szCs w:val="24"/>
        </w:rPr>
        <w:t>s</w:t>
      </w:r>
    </w:p>
    <w:p w14:paraId="466CC7E3" w14:textId="563162D0" w:rsidR="00DC0CBE" w:rsidRPr="00226C43" w:rsidRDefault="4DD21A85" w:rsidP="4DD21A85">
      <w:r w:rsidRPr="00226C43">
        <w:t xml:space="preserve">The evaluation team consulted stakeholders in-person and remotely. A list of the stakeholders consulted is set out in Appendix </w:t>
      </w:r>
      <w:r w:rsidR="00741BDE" w:rsidRPr="00226C43">
        <w:t>F</w:t>
      </w:r>
      <w:r w:rsidRPr="00226C43">
        <w:t>.</w:t>
      </w:r>
    </w:p>
    <w:p w14:paraId="5084D501" w14:textId="28AC989C" w:rsidR="00DC0CBE" w:rsidRPr="00226C43" w:rsidRDefault="00DC0CBE" w:rsidP="00DC0CBE">
      <w:pPr>
        <w:pStyle w:val="TableParagraph"/>
        <w:spacing w:before="1"/>
        <w:ind w:right="118"/>
        <w:rPr>
          <w:rFonts w:asciiTheme="minorHAnsi" w:hAnsiTheme="minorHAnsi" w:cs="Calibri Light"/>
          <w:lang w:val="en-AU"/>
        </w:rPr>
      </w:pPr>
      <w:r w:rsidRPr="00226C43">
        <w:rPr>
          <w:rFonts w:asciiTheme="minorHAnsi" w:hAnsiTheme="minorHAnsi" w:cs="Calibri Light"/>
          <w:lang w:val="en-AU"/>
        </w:rPr>
        <w:br w:type="page"/>
      </w:r>
    </w:p>
    <w:p w14:paraId="520C8830" w14:textId="6E992908" w:rsidR="000B0C41" w:rsidRPr="00226C43" w:rsidRDefault="4DD21A85" w:rsidP="005A698C">
      <w:pPr>
        <w:pStyle w:val="Appendices"/>
        <w:rPr>
          <w:rFonts w:asciiTheme="minorHAnsi" w:hAnsiTheme="minorHAnsi"/>
          <w:color w:val="auto"/>
        </w:rPr>
      </w:pPr>
      <w:bookmarkStart w:id="54" w:name="_Toc190195427"/>
      <w:bookmarkStart w:id="55" w:name="_Toc190248324"/>
      <w:r w:rsidRPr="00226C43">
        <w:rPr>
          <w:rFonts w:asciiTheme="minorHAnsi" w:hAnsiTheme="minorHAnsi"/>
          <w:color w:val="auto"/>
        </w:rPr>
        <w:lastRenderedPageBreak/>
        <w:t>AAAEP–P Program Logic</w:t>
      </w:r>
      <w:bookmarkEnd w:id="54"/>
      <w:bookmarkEnd w:id="55"/>
    </w:p>
    <w:p w14:paraId="0320E583" w14:textId="77777777" w:rsidR="009424DC" w:rsidRPr="00226C43" w:rsidRDefault="009424DC" w:rsidP="009424DC">
      <w:pPr>
        <w:pStyle w:val="Tabletext"/>
        <w:rPr>
          <w:rFonts w:cs="Calibri Light"/>
          <w:b/>
          <w:bCs/>
        </w:rPr>
      </w:pPr>
      <w:r w:rsidRPr="00226C43">
        <w:rPr>
          <w:rFonts w:cs="Calibri Light"/>
          <w:b/>
          <w:bCs/>
        </w:rPr>
        <w:t>Goal</w:t>
      </w:r>
    </w:p>
    <w:p w14:paraId="20118505" w14:textId="77777777" w:rsidR="009424DC" w:rsidRPr="00226C43" w:rsidRDefault="009424DC" w:rsidP="009424DC">
      <w:pPr>
        <w:pStyle w:val="Tabletext"/>
        <w:rPr>
          <w:rFonts w:cs="Calibri Light"/>
        </w:rPr>
      </w:pPr>
      <w:r w:rsidRPr="00226C43">
        <w:rPr>
          <w:rFonts w:cs="Calibri Light"/>
        </w:rPr>
        <w:t>To support the Philippines to progress its development goals and have positive relationships with Australia that advance mutual interest.</w:t>
      </w:r>
    </w:p>
    <w:p w14:paraId="5B28CDA9" w14:textId="1C177556" w:rsidR="009424DC" w:rsidRPr="00226C43" w:rsidRDefault="009424DC" w:rsidP="00211968">
      <w:pPr>
        <w:pStyle w:val="Tabletext"/>
        <w:spacing w:before="0" w:after="0"/>
        <w:rPr>
          <w:rFonts w:cs="Calibri Light"/>
        </w:rPr>
      </w:pPr>
    </w:p>
    <w:p w14:paraId="4766A9C1" w14:textId="77777777" w:rsidR="009424DC" w:rsidRPr="00226C43" w:rsidRDefault="009424DC" w:rsidP="009424DC">
      <w:pPr>
        <w:pStyle w:val="Tabletext"/>
        <w:rPr>
          <w:rFonts w:cs="Calibri Light"/>
          <w:b/>
          <w:bCs/>
        </w:rPr>
      </w:pPr>
      <w:r w:rsidRPr="00226C43">
        <w:rPr>
          <w:rFonts w:cs="Calibri Light"/>
          <w:b/>
          <w:bCs/>
        </w:rPr>
        <w:t>Phase 1 End of Program Outcomes (EOPOs), 2018–2022</w:t>
      </w:r>
    </w:p>
    <w:tbl>
      <w:tblPr>
        <w:tblStyle w:val="TableGrid"/>
        <w:tblW w:w="9159" w:type="dxa"/>
        <w:tblLook w:val="06A0" w:firstRow="1" w:lastRow="0" w:firstColumn="1" w:lastColumn="0" w:noHBand="1" w:noVBand="1"/>
      </w:tblPr>
      <w:tblGrid>
        <w:gridCol w:w="934"/>
        <w:gridCol w:w="8225"/>
      </w:tblGrid>
      <w:tr w:rsidR="00226C43" w:rsidRPr="00226C43" w14:paraId="5B84144D" w14:textId="77777777" w:rsidTr="00117212">
        <w:trPr>
          <w:tblHeader/>
        </w:trPr>
        <w:tc>
          <w:tcPr>
            <w:tcW w:w="934" w:type="dxa"/>
            <w:shd w:val="clear" w:color="auto" w:fill="E3DED1" w:themeFill="background2"/>
            <w:hideMark/>
          </w:tcPr>
          <w:p w14:paraId="488B3764" w14:textId="77777777" w:rsidR="009424DC" w:rsidRPr="00226C43" w:rsidRDefault="009424DC" w:rsidP="009424DC">
            <w:pPr>
              <w:pStyle w:val="Tabletext"/>
              <w:rPr>
                <w:rFonts w:cs="Calibri Light"/>
                <w:b/>
                <w:bCs/>
                <w:sz w:val="20"/>
                <w:szCs w:val="20"/>
              </w:rPr>
            </w:pPr>
            <w:r w:rsidRPr="00226C43">
              <w:rPr>
                <w:rFonts w:cs="Calibri Light"/>
                <w:b/>
                <w:bCs/>
                <w:sz w:val="20"/>
                <w:szCs w:val="20"/>
              </w:rPr>
              <w:t>EOPO</w:t>
            </w:r>
          </w:p>
        </w:tc>
        <w:tc>
          <w:tcPr>
            <w:tcW w:w="0" w:type="auto"/>
            <w:shd w:val="clear" w:color="auto" w:fill="E3DED1" w:themeFill="background2"/>
            <w:hideMark/>
          </w:tcPr>
          <w:p w14:paraId="1FD8CED9" w14:textId="77777777" w:rsidR="009424DC" w:rsidRPr="00226C43" w:rsidRDefault="009424DC" w:rsidP="009424DC">
            <w:pPr>
              <w:pStyle w:val="Tabletext"/>
              <w:rPr>
                <w:rFonts w:cs="Calibri Light"/>
                <w:b/>
                <w:bCs/>
                <w:sz w:val="20"/>
                <w:szCs w:val="20"/>
              </w:rPr>
            </w:pPr>
            <w:r w:rsidRPr="00226C43">
              <w:rPr>
                <w:rFonts w:cs="Calibri Light"/>
                <w:b/>
                <w:bCs/>
                <w:sz w:val="20"/>
                <w:szCs w:val="20"/>
              </w:rPr>
              <w:t>Description</w:t>
            </w:r>
          </w:p>
        </w:tc>
      </w:tr>
      <w:tr w:rsidR="00226C43" w:rsidRPr="00226C43" w14:paraId="51E54B70" w14:textId="77777777" w:rsidTr="00211968">
        <w:tc>
          <w:tcPr>
            <w:tcW w:w="934" w:type="dxa"/>
            <w:hideMark/>
          </w:tcPr>
          <w:p w14:paraId="750BB406" w14:textId="77777777" w:rsidR="009424DC" w:rsidRPr="00226C43" w:rsidRDefault="009424DC" w:rsidP="009424DC">
            <w:pPr>
              <w:pStyle w:val="Tabletext"/>
              <w:rPr>
                <w:rFonts w:cs="Calibri Light"/>
                <w:sz w:val="20"/>
                <w:szCs w:val="20"/>
              </w:rPr>
            </w:pPr>
            <w:r w:rsidRPr="00226C43">
              <w:rPr>
                <w:rFonts w:cs="Calibri Light"/>
                <w:b/>
                <w:bCs/>
                <w:sz w:val="20"/>
                <w:szCs w:val="20"/>
              </w:rPr>
              <w:t>EOPO 1</w:t>
            </w:r>
          </w:p>
        </w:tc>
        <w:tc>
          <w:tcPr>
            <w:tcW w:w="0" w:type="auto"/>
            <w:hideMark/>
          </w:tcPr>
          <w:p w14:paraId="5D063327" w14:textId="77777777" w:rsidR="009424DC" w:rsidRPr="00226C43" w:rsidRDefault="009424DC" w:rsidP="009424DC">
            <w:pPr>
              <w:pStyle w:val="Tabletext"/>
              <w:rPr>
                <w:rFonts w:cs="Calibri Light"/>
                <w:sz w:val="20"/>
                <w:szCs w:val="20"/>
              </w:rPr>
            </w:pPr>
            <w:r w:rsidRPr="00226C43">
              <w:rPr>
                <w:rFonts w:cs="Calibri Light"/>
                <w:sz w:val="20"/>
                <w:szCs w:val="20"/>
              </w:rPr>
              <w:t>Alumni and where relevant, their organisations have and use skills, knowledge and networks to contribute to sustainable development</w:t>
            </w:r>
          </w:p>
        </w:tc>
      </w:tr>
      <w:tr w:rsidR="00226C43" w:rsidRPr="00226C43" w14:paraId="442BFA85" w14:textId="77777777" w:rsidTr="00211968">
        <w:tc>
          <w:tcPr>
            <w:tcW w:w="934" w:type="dxa"/>
            <w:hideMark/>
          </w:tcPr>
          <w:p w14:paraId="648BF395" w14:textId="77777777" w:rsidR="009424DC" w:rsidRPr="00226C43" w:rsidRDefault="009424DC" w:rsidP="009424DC">
            <w:pPr>
              <w:pStyle w:val="Tabletext"/>
              <w:rPr>
                <w:rFonts w:cs="Calibri Light"/>
                <w:sz w:val="20"/>
                <w:szCs w:val="20"/>
              </w:rPr>
            </w:pPr>
            <w:r w:rsidRPr="00226C43">
              <w:rPr>
                <w:rFonts w:cs="Calibri Light"/>
                <w:b/>
                <w:bCs/>
                <w:sz w:val="20"/>
                <w:szCs w:val="20"/>
              </w:rPr>
              <w:t>EOPO 2</w:t>
            </w:r>
          </w:p>
        </w:tc>
        <w:tc>
          <w:tcPr>
            <w:tcW w:w="0" w:type="auto"/>
            <w:hideMark/>
          </w:tcPr>
          <w:p w14:paraId="680C8A8C" w14:textId="77777777" w:rsidR="009424DC" w:rsidRPr="00226C43" w:rsidRDefault="009424DC" w:rsidP="009424DC">
            <w:pPr>
              <w:pStyle w:val="Tabletext"/>
              <w:rPr>
                <w:rFonts w:cs="Calibri Light"/>
                <w:sz w:val="20"/>
                <w:szCs w:val="20"/>
              </w:rPr>
            </w:pPr>
            <w:r w:rsidRPr="00226C43">
              <w:rPr>
                <w:rFonts w:cs="Calibri Light"/>
                <w:sz w:val="20"/>
                <w:szCs w:val="20"/>
              </w:rPr>
              <w:t>Australia has alumni in key sectors and positions</w:t>
            </w:r>
          </w:p>
        </w:tc>
      </w:tr>
      <w:tr w:rsidR="00226C43" w:rsidRPr="00226C43" w14:paraId="6581DF6F" w14:textId="77777777" w:rsidTr="00211968">
        <w:tc>
          <w:tcPr>
            <w:tcW w:w="934" w:type="dxa"/>
            <w:hideMark/>
          </w:tcPr>
          <w:p w14:paraId="66369C1A" w14:textId="77777777" w:rsidR="009424DC" w:rsidRPr="00226C43" w:rsidRDefault="009424DC" w:rsidP="009424DC">
            <w:pPr>
              <w:pStyle w:val="Tabletext"/>
              <w:rPr>
                <w:rFonts w:cs="Calibri Light"/>
                <w:sz w:val="20"/>
                <w:szCs w:val="20"/>
              </w:rPr>
            </w:pPr>
            <w:r w:rsidRPr="00226C43">
              <w:rPr>
                <w:rFonts w:cs="Calibri Light"/>
                <w:b/>
                <w:bCs/>
                <w:sz w:val="20"/>
                <w:szCs w:val="20"/>
              </w:rPr>
              <w:t>EOPO 3</w:t>
            </w:r>
          </w:p>
        </w:tc>
        <w:tc>
          <w:tcPr>
            <w:tcW w:w="0" w:type="auto"/>
            <w:hideMark/>
          </w:tcPr>
          <w:p w14:paraId="580F7ED7" w14:textId="77777777" w:rsidR="009424DC" w:rsidRPr="00226C43" w:rsidRDefault="009424DC" w:rsidP="009424DC">
            <w:pPr>
              <w:pStyle w:val="Tabletext"/>
              <w:rPr>
                <w:rFonts w:cs="Calibri Light"/>
                <w:sz w:val="20"/>
                <w:szCs w:val="20"/>
              </w:rPr>
            </w:pPr>
            <w:r w:rsidRPr="00226C43">
              <w:rPr>
                <w:rFonts w:cs="Calibri Light"/>
                <w:sz w:val="20"/>
                <w:szCs w:val="20"/>
              </w:rPr>
              <w:t>Links and/or formal partnerships between institutions and businesses in Australia and Philippines are activated and matured</w:t>
            </w:r>
          </w:p>
        </w:tc>
      </w:tr>
      <w:tr w:rsidR="00226C43" w:rsidRPr="00226C43" w14:paraId="60B0D79A" w14:textId="77777777" w:rsidTr="00211968">
        <w:tc>
          <w:tcPr>
            <w:tcW w:w="934" w:type="dxa"/>
            <w:hideMark/>
          </w:tcPr>
          <w:p w14:paraId="4265A3A7" w14:textId="77777777" w:rsidR="009424DC" w:rsidRPr="00226C43" w:rsidRDefault="009424DC" w:rsidP="009424DC">
            <w:pPr>
              <w:pStyle w:val="Tabletext"/>
              <w:rPr>
                <w:rFonts w:cs="Calibri Light"/>
                <w:sz w:val="20"/>
                <w:szCs w:val="20"/>
              </w:rPr>
            </w:pPr>
            <w:r w:rsidRPr="00226C43">
              <w:rPr>
                <w:rFonts w:cs="Calibri Light"/>
                <w:b/>
                <w:bCs/>
                <w:sz w:val="20"/>
                <w:szCs w:val="20"/>
              </w:rPr>
              <w:t>EOPO 4</w:t>
            </w:r>
          </w:p>
        </w:tc>
        <w:tc>
          <w:tcPr>
            <w:tcW w:w="0" w:type="auto"/>
            <w:hideMark/>
          </w:tcPr>
          <w:p w14:paraId="504420F3" w14:textId="77777777" w:rsidR="009424DC" w:rsidRPr="00226C43" w:rsidRDefault="009424DC" w:rsidP="009424DC">
            <w:pPr>
              <w:pStyle w:val="Tabletext"/>
              <w:rPr>
                <w:rFonts w:cs="Calibri Light"/>
                <w:sz w:val="20"/>
                <w:szCs w:val="20"/>
              </w:rPr>
            </w:pPr>
            <w:r w:rsidRPr="00226C43">
              <w:rPr>
                <w:rFonts w:cs="Calibri Light"/>
                <w:sz w:val="20"/>
                <w:szCs w:val="20"/>
              </w:rPr>
              <w:t>Australia, Australians and Australian expertise is viewed positively in the Philippines</w:t>
            </w:r>
          </w:p>
        </w:tc>
      </w:tr>
      <w:tr w:rsidR="00226C43" w:rsidRPr="00226C43" w14:paraId="31CACE7A" w14:textId="77777777" w:rsidTr="00211968">
        <w:tc>
          <w:tcPr>
            <w:tcW w:w="934" w:type="dxa"/>
            <w:hideMark/>
          </w:tcPr>
          <w:p w14:paraId="7B4C1A2A" w14:textId="77777777" w:rsidR="009424DC" w:rsidRPr="00226C43" w:rsidRDefault="009424DC" w:rsidP="009424DC">
            <w:pPr>
              <w:pStyle w:val="Tabletext"/>
              <w:rPr>
                <w:rFonts w:cs="Calibri Light"/>
                <w:sz w:val="20"/>
                <w:szCs w:val="20"/>
              </w:rPr>
            </w:pPr>
            <w:r w:rsidRPr="00226C43">
              <w:rPr>
                <w:rFonts w:cs="Calibri Light"/>
                <w:b/>
                <w:bCs/>
                <w:sz w:val="20"/>
                <w:szCs w:val="20"/>
              </w:rPr>
              <w:t>EOPO 5</w:t>
            </w:r>
          </w:p>
        </w:tc>
        <w:tc>
          <w:tcPr>
            <w:tcW w:w="0" w:type="auto"/>
            <w:hideMark/>
          </w:tcPr>
          <w:p w14:paraId="3194BAB0" w14:textId="77777777" w:rsidR="009424DC" w:rsidRPr="00226C43" w:rsidRDefault="009424DC" w:rsidP="009424DC">
            <w:pPr>
              <w:pStyle w:val="Tabletext"/>
              <w:rPr>
                <w:rFonts w:cs="Calibri Light"/>
                <w:sz w:val="20"/>
                <w:szCs w:val="20"/>
              </w:rPr>
            </w:pPr>
            <w:r w:rsidRPr="00226C43">
              <w:rPr>
                <w:rFonts w:cs="Calibri Light"/>
                <w:sz w:val="20"/>
                <w:szCs w:val="20"/>
              </w:rPr>
              <w:t>Scholarships and alumni activities have improved gender equality and women’s empowerment</w:t>
            </w:r>
          </w:p>
        </w:tc>
      </w:tr>
    </w:tbl>
    <w:p w14:paraId="4C5FDE4F" w14:textId="4AFD13E5" w:rsidR="009424DC" w:rsidRPr="00226C43" w:rsidRDefault="009424DC" w:rsidP="009424DC">
      <w:pPr>
        <w:pStyle w:val="Tabletext"/>
        <w:rPr>
          <w:rFonts w:cs="Calibri Light"/>
        </w:rPr>
      </w:pPr>
    </w:p>
    <w:p w14:paraId="14E05B30" w14:textId="77777777" w:rsidR="009424DC" w:rsidRPr="00226C43" w:rsidRDefault="009424DC" w:rsidP="009424DC">
      <w:pPr>
        <w:pStyle w:val="Tabletext"/>
        <w:rPr>
          <w:rFonts w:cs="Calibri Light"/>
          <w:b/>
          <w:bCs/>
        </w:rPr>
      </w:pPr>
      <w:r w:rsidRPr="00226C43">
        <w:rPr>
          <w:rFonts w:cs="Calibri Light"/>
          <w:b/>
          <w:bCs/>
        </w:rPr>
        <w:t>Phase 2 EOPOs, 2023–2026</w:t>
      </w:r>
    </w:p>
    <w:tbl>
      <w:tblPr>
        <w:tblStyle w:val="TableGrid"/>
        <w:tblW w:w="9158" w:type="dxa"/>
        <w:tblLook w:val="06A0" w:firstRow="1" w:lastRow="0" w:firstColumn="1" w:lastColumn="0" w:noHBand="1" w:noVBand="1"/>
      </w:tblPr>
      <w:tblGrid>
        <w:gridCol w:w="934"/>
        <w:gridCol w:w="8224"/>
      </w:tblGrid>
      <w:tr w:rsidR="00226C43" w:rsidRPr="00226C43" w14:paraId="1A6428F2" w14:textId="77777777" w:rsidTr="00117212">
        <w:trPr>
          <w:tblHeader/>
        </w:trPr>
        <w:tc>
          <w:tcPr>
            <w:tcW w:w="934" w:type="dxa"/>
            <w:shd w:val="clear" w:color="auto" w:fill="E3DED1" w:themeFill="background2"/>
            <w:hideMark/>
          </w:tcPr>
          <w:p w14:paraId="7E16F5C8" w14:textId="77777777" w:rsidR="009424DC" w:rsidRPr="00226C43" w:rsidRDefault="009424DC" w:rsidP="009424DC">
            <w:pPr>
              <w:pStyle w:val="Tabletext"/>
              <w:rPr>
                <w:rFonts w:cs="Calibri Light"/>
                <w:b/>
                <w:bCs/>
                <w:sz w:val="20"/>
                <w:szCs w:val="20"/>
              </w:rPr>
            </w:pPr>
            <w:r w:rsidRPr="00226C43">
              <w:rPr>
                <w:rFonts w:cs="Calibri Light"/>
                <w:b/>
                <w:bCs/>
                <w:sz w:val="20"/>
                <w:szCs w:val="20"/>
              </w:rPr>
              <w:t>EOPO</w:t>
            </w:r>
          </w:p>
        </w:tc>
        <w:tc>
          <w:tcPr>
            <w:tcW w:w="0" w:type="auto"/>
            <w:shd w:val="clear" w:color="auto" w:fill="E3DED1" w:themeFill="background2"/>
            <w:hideMark/>
          </w:tcPr>
          <w:p w14:paraId="51E00672" w14:textId="77777777" w:rsidR="009424DC" w:rsidRPr="00226C43" w:rsidRDefault="009424DC" w:rsidP="009424DC">
            <w:pPr>
              <w:pStyle w:val="Tabletext"/>
              <w:rPr>
                <w:rFonts w:cs="Calibri Light"/>
                <w:b/>
                <w:bCs/>
                <w:sz w:val="20"/>
                <w:szCs w:val="20"/>
              </w:rPr>
            </w:pPr>
            <w:r w:rsidRPr="00226C43">
              <w:rPr>
                <w:rFonts w:cs="Calibri Light"/>
                <w:b/>
                <w:bCs/>
                <w:sz w:val="20"/>
                <w:szCs w:val="20"/>
              </w:rPr>
              <w:t>Description</w:t>
            </w:r>
          </w:p>
        </w:tc>
      </w:tr>
      <w:tr w:rsidR="00226C43" w:rsidRPr="00226C43" w14:paraId="3C107580" w14:textId="77777777" w:rsidTr="00211968">
        <w:tc>
          <w:tcPr>
            <w:tcW w:w="934" w:type="dxa"/>
            <w:hideMark/>
          </w:tcPr>
          <w:p w14:paraId="0F83841D" w14:textId="77777777" w:rsidR="009424DC" w:rsidRPr="00226C43" w:rsidRDefault="009424DC" w:rsidP="009424DC">
            <w:pPr>
              <w:pStyle w:val="Tabletext"/>
              <w:rPr>
                <w:rFonts w:cs="Calibri Light"/>
                <w:sz w:val="20"/>
                <w:szCs w:val="20"/>
              </w:rPr>
            </w:pPr>
            <w:r w:rsidRPr="00226C43">
              <w:rPr>
                <w:rFonts w:cs="Calibri Light"/>
                <w:b/>
                <w:bCs/>
                <w:sz w:val="20"/>
                <w:szCs w:val="20"/>
              </w:rPr>
              <w:t>EOPO 1</w:t>
            </w:r>
          </w:p>
        </w:tc>
        <w:tc>
          <w:tcPr>
            <w:tcW w:w="0" w:type="auto"/>
            <w:hideMark/>
          </w:tcPr>
          <w:p w14:paraId="437008DA" w14:textId="77777777" w:rsidR="009424DC" w:rsidRPr="00226C43" w:rsidRDefault="009424DC" w:rsidP="009424DC">
            <w:pPr>
              <w:pStyle w:val="Tabletext"/>
              <w:rPr>
                <w:rFonts w:cs="Calibri Light"/>
                <w:sz w:val="20"/>
                <w:szCs w:val="20"/>
              </w:rPr>
            </w:pPr>
            <w:r w:rsidRPr="00226C43">
              <w:rPr>
                <w:rFonts w:cs="Calibri Light"/>
                <w:sz w:val="20"/>
                <w:szCs w:val="20"/>
              </w:rPr>
              <w:t>Diverse alumni, and where relevant, their organisations use skills, knowledge and networks to contribute to sustainable development</w:t>
            </w:r>
          </w:p>
        </w:tc>
      </w:tr>
      <w:tr w:rsidR="00226C43" w:rsidRPr="00226C43" w14:paraId="16C8CBB1" w14:textId="77777777" w:rsidTr="00211968">
        <w:tc>
          <w:tcPr>
            <w:tcW w:w="934" w:type="dxa"/>
            <w:hideMark/>
          </w:tcPr>
          <w:p w14:paraId="5E789553" w14:textId="77777777" w:rsidR="009424DC" w:rsidRPr="00226C43" w:rsidRDefault="009424DC" w:rsidP="009424DC">
            <w:pPr>
              <w:pStyle w:val="Tabletext"/>
              <w:rPr>
                <w:rFonts w:cs="Calibri Light"/>
                <w:sz w:val="20"/>
                <w:szCs w:val="20"/>
              </w:rPr>
            </w:pPr>
            <w:r w:rsidRPr="00226C43">
              <w:rPr>
                <w:rFonts w:cs="Calibri Light"/>
                <w:b/>
                <w:bCs/>
                <w:sz w:val="20"/>
                <w:szCs w:val="20"/>
              </w:rPr>
              <w:t>EOPO 2</w:t>
            </w:r>
          </w:p>
        </w:tc>
        <w:tc>
          <w:tcPr>
            <w:tcW w:w="0" w:type="auto"/>
            <w:hideMark/>
          </w:tcPr>
          <w:p w14:paraId="53058B96" w14:textId="77777777" w:rsidR="009424DC" w:rsidRPr="00226C43" w:rsidRDefault="009424DC" w:rsidP="009424DC">
            <w:pPr>
              <w:pStyle w:val="Tabletext"/>
              <w:rPr>
                <w:rFonts w:cs="Calibri Light"/>
                <w:sz w:val="20"/>
                <w:szCs w:val="20"/>
              </w:rPr>
            </w:pPr>
            <w:r w:rsidRPr="00226C43">
              <w:rPr>
                <w:rFonts w:cs="Calibri Light"/>
                <w:sz w:val="20"/>
                <w:szCs w:val="20"/>
              </w:rPr>
              <w:t>Diverse alumni have contributed to strengthening cooperation between the Philippines and Australia</w:t>
            </w:r>
          </w:p>
        </w:tc>
      </w:tr>
    </w:tbl>
    <w:p w14:paraId="303B02BE" w14:textId="2C6EDE17" w:rsidR="009424DC" w:rsidRPr="00226C43" w:rsidRDefault="009424DC" w:rsidP="009424DC">
      <w:pPr>
        <w:pStyle w:val="Tabletext"/>
        <w:rPr>
          <w:rFonts w:cs="Calibri Light"/>
        </w:rPr>
      </w:pPr>
    </w:p>
    <w:p w14:paraId="62E50AC3" w14:textId="77777777" w:rsidR="009424DC" w:rsidRPr="00226C43" w:rsidRDefault="009424DC" w:rsidP="009424DC">
      <w:pPr>
        <w:pStyle w:val="Tabletext"/>
        <w:rPr>
          <w:rFonts w:cs="Calibri Light"/>
          <w:b/>
          <w:bCs/>
        </w:rPr>
      </w:pPr>
      <w:r w:rsidRPr="00226C43">
        <w:rPr>
          <w:rFonts w:cs="Calibri Light"/>
          <w:b/>
          <w:bCs/>
        </w:rPr>
        <w:t>Intermediate Outcomes (IOs)</w:t>
      </w:r>
    </w:p>
    <w:tbl>
      <w:tblPr>
        <w:tblStyle w:val="TableGrid"/>
        <w:tblW w:w="9163" w:type="dxa"/>
        <w:tblLook w:val="06A0" w:firstRow="1" w:lastRow="0" w:firstColumn="1" w:lastColumn="0" w:noHBand="1" w:noVBand="1"/>
      </w:tblPr>
      <w:tblGrid>
        <w:gridCol w:w="651"/>
        <w:gridCol w:w="8512"/>
      </w:tblGrid>
      <w:tr w:rsidR="00226C43" w:rsidRPr="00226C43" w14:paraId="50815E3D" w14:textId="77777777" w:rsidTr="00117212">
        <w:trPr>
          <w:tblHeader/>
        </w:trPr>
        <w:tc>
          <w:tcPr>
            <w:tcW w:w="651" w:type="dxa"/>
            <w:shd w:val="clear" w:color="auto" w:fill="E3DED1" w:themeFill="background2"/>
            <w:hideMark/>
          </w:tcPr>
          <w:p w14:paraId="07DACF95" w14:textId="77777777" w:rsidR="009424DC" w:rsidRPr="00226C43" w:rsidRDefault="009424DC" w:rsidP="009424DC">
            <w:pPr>
              <w:pStyle w:val="Tabletext"/>
              <w:rPr>
                <w:rFonts w:cs="Calibri Light"/>
                <w:b/>
                <w:bCs/>
                <w:sz w:val="20"/>
                <w:szCs w:val="20"/>
              </w:rPr>
            </w:pPr>
            <w:r w:rsidRPr="00226C43">
              <w:rPr>
                <w:rFonts w:cs="Calibri Light"/>
                <w:b/>
                <w:bCs/>
                <w:sz w:val="20"/>
                <w:szCs w:val="20"/>
              </w:rPr>
              <w:t>IO</w:t>
            </w:r>
          </w:p>
        </w:tc>
        <w:tc>
          <w:tcPr>
            <w:tcW w:w="0" w:type="auto"/>
            <w:shd w:val="clear" w:color="auto" w:fill="E3DED1" w:themeFill="background2"/>
            <w:hideMark/>
          </w:tcPr>
          <w:p w14:paraId="705A3A74" w14:textId="77777777" w:rsidR="009424DC" w:rsidRPr="00226C43" w:rsidRDefault="009424DC" w:rsidP="009424DC">
            <w:pPr>
              <w:pStyle w:val="Tabletext"/>
              <w:rPr>
                <w:rFonts w:cs="Calibri Light"/>
                <w:b/>
                <w:bCs/>
                <w:sz w:val="20"/>
                <w:szCs w:val="20"/>
              </w:rPr>
            </w:pPr>
            <w:r w:rsidRPr="00226C43">
              <w:rPr>
                <w:rFonts w:cs="Calibri Light"/>
                <w:b/>
                <w:bCs/>
                <w:sz w:val="20"/>
                <w:szCs w:val="20"/>
              </w:rPr>
              <w:t>Description</w:t>
            </w:r>
          </w:p>
        </w:tc>
      </w:tr>
      <w:tr w:rsidR="00226C43" w:rsidRPr="00226C43" w14:paraId="4330D581" w14:textId="77777777" w:rsidTr="00211968">
        <w:tc>
          <w:tcPr>
            <w:tcW w:w="651" w:type="dxa"/>
            <w:hideMark/>
          </w:tcPr>
          <w:p w14:paraId="0E092BCC" w14:textId="77777777" w:rsidR="009424DC" w:rsidRPr="00226C43" w:rsidRDefault="009424DC" w:rsidP="009424DC">
            <w:pPr>
              <w:pStyle w:val="Tabletext"/>
              <w:rPr>
                <w:rFonts w:cs="Calibri Light"/>
                <w:sz w:val="20"/>
                <w:szCs w:val="20"/>
              </w:rPr>
            </w:pPr>
            <w:r w:rsidRPr="00226C43">
              <w:rPr>
                <w:rFonts w:cs="Calibri Light"/>
                <w:b/>
                <w:bCs/>
                <w:sz w:val="20"/>
                <w:szCs w:val="20"/>
              </w:rPr>
              <w:t>IO 1</w:t>
            </w:r>
          </w:p>
        </w:tc>
        <w:tc>
          <w:tcPr>
            <w:tcW w:w="0" w:type="auto"/>
            <w:hideMark/>
          </w:tcPr>
          <w:p w14:paraId="10E1D83A" w14:textId="77777777" w:rsidR="009424DC" w:rsidRPr="00226C43" w:rsidRDefault="009424DC" w:rsidP="009424DC">
            <w:pPr>
              <w:pStyle w:val="Tabletext"/>
              <w:rPr>
                <w:rFonts w:cs="Calibri Light"/>
                <w:sz w:val="20"/>
                <w:szCs w:val="20"/>
              </w:rPr>
            </w:pPr>
            <w:r w:rsidRPr="00226C43">
              <w:rPr>
                <w:rFonts w:cs="Calibri Light"/>
                <w:sz w:val="20"/>
                <w:szCs w:val="20"/>
              </w:rPr>
              <w:t>Diverse alumni and, through them, their organisations, have skills and knowledge to contribute to development that is aligned to our shared goals</w:t>
            </w:r>
          </w:p>
        </w:tc>
      </w:tr>
      <w:tr w:rsidR="00226C43" w:rsidRPr="00226C43" w14:paraId="73CD7746" w14:textId="77777777" w:rsidTr="00211968">
        <w:tc>
          <w:tcPr>
            <w:tcW w:w="651" w:type="dxa"/>
            <w:hideMark/>
          </w:tcPr>
          <w:p w14:paraId="437B84B0" w14:textId="77777777" w:rsidR="009424DC" w:rsidRPr="00226C43" w:rsidRDefault="009424DC" w:rsidP="009424DC">
            <w:pPr>
              <w:pStyle w:val="Tabletext"/>
              <w:rPr>
                <w:rFonts w:cs="Calibri Light"/>
                <w:sz w:val="20"/>
                <w:szCs w:val="20"/>
              </w:rPr>
            </w:pPr>
            <w:r w:rsidRPr="00226C43">
              <w:rPr>
                <w:rFonts w:cs="Calibri Light"/>
                <w:b/>
                <w:bCs/>
                <w:sz w:val="20"/>
                <w:szCs w:val="20"/>
              </w:rPr>
              <w:t>IO 2</w:t>
            </w:r>
          </w:p>
        </w:tc>
        <w:tc>
          <w:tcPr>
            <w:tcW w:w="0" w:type="auto"/>
            <w:hideMark/>
          </w:tcPr>
          <w:p w14:paraId="749E3112" w14:textId="77777777" w:rsidR="009424DC" w:rsidRPr="00226C43" w:rsidRDefault="009424DC" w:rsidP="009424DC">
            <w:pPr>
              <w:pStyle w:val="Tabletext"/>
              <w:rPr>
                <w:rFonts w:cs="Calibri Light"/>
                <w:sz w:val="20"/>
                <w:szCs w:val="20"/>
              </w:rPr>
            </w:pPr>
            <w:r w:rsidRPr="00226C43">
              <w:rPr>
                <w:rFonts w:cs="Calibri Light"/>
                <w:sz w:val="20"/>
                <w:szCs w:val="20"/>
              </w:rPr>
              <w:t>Australia, Australians, and Australian expertise are valued and viewed positively by alumni and Partner Organisations</w:t>
            </w:r>
          </w:p>
        </w:tc>
      </w:tr>
      <w:tr w:rsidR="00226C43" w:rsidRPr="00226C43" w14:paraId="3E77770D" w14:textId="77777777" w:rsidTr="00211968">
        <w:tc>
          <w:tcPr>
            <w:tcW w:w="651" w:type="dxa"/>
            <w:hideMark/>
          </w:tcPr>
          <w:p w14:paraId="2C659C76" w14:textId="77777777" w:rsidR="009424DC" w:rsidRPr="00226C43" w:rsidRDefault="009424DC" w:rsidP="009424DC">
            <w:pPr>
              <w:pStyle w:val="Tabletext"/>
              <w:rPr>
                <w:rFonts w:cs="Calibri Light"/>
                <w:sz w:val="20"/>
                <w:szCs w:val="20"/>
              </w:rPr>
            </w:pPr>
            <w:r w:rsidRPr="00226C43">
              <w:rPr>
                <w:rFonts w:cs="Calibri Light"/>
                <w:b/>
                <w:bCs/>
                <w:sz w:val="20"/>
                <w:szCs w:val="20"/>
              </w:rPr>
              <w:t>IO 3</w:t>
            </w:r>
          </w:p>
        </w:tc>
        <w:tc>
          <w:tcPr>
            <w:tcW w:w="0" w:type="auto"/>
            <w:hideMark/>
          </w:tcPr>
          <w:p w14:paraId="51302139" w14:textId="77777777" w:rsidR="009424DC" w:rsidRPr="00226C43" w:rsidRDefault="009424DC" w:rsidP="009424DC">
            <w:pPr>
              <w:pStyle w:val="Tabletext"/>
              <w:rPr>
                <w:rFonts w:cs="Calibri Light"/>
                <w:sz w:val="20"/>
                <w:szCs w:val="20"/>
              </w:rPr>
            </w:pPr>
            <w:r w:rsidRPr="00226C43">
              <w:rPr>
                <w:rFonts w:cs="Calibri Light"/>
                <w:sz w:val="20"/>
                <w:szCs w:val="20"/>
              </w:rPr>
              <w:t>Diverse alumni actively participate in alumni engagement activities</w:t>
            </w:r>
          </w:p>
        </w:tc>
      </w:tr>
    </w:tbl>
    <w:p w14:paraId="2F9070C1" w14:textId="76084BB9" w:rsidR="00EB311E" w:rsidRPr="00226C43" w:rsidRDefault="00EB311E" w:rsidP="4DD21A85">
      <w:pPr>
        <w:pStyle w:val="Tabletext"/>
        <w:rPr>
          <w:rFonts w:cs="Calibri Light"/>
        </w:rPr>
      </w:pPr>
      <w:r w:rsidRPr="00226C43">
        <w:rPr>
          <w:rFonts w:cs="Calibri Light"/>
        </w:rPr>
        <w:br w:type="page"/>
      </w:r>
    </w:p>
    <w:p w14:paraId="11D1E280" w14:textId="54874427" w:rsidR="00EB311E" w:rsidRPr="00226C43" w:rsidRDefault="4DD21A85" w:rsidP="005A698C">
      <w:pPr>
        <w:pStyle w:val="Appendices"/>
        <w:rPr>
          <w:rFonts w:asciiTheme="minorHAnsi" w:hAnsiTheme="minorHAnsi"/>
          <w:color w:val="auto"/>
        </w:rPr>
      </w:pPr>
      <w:bookmarkStart w:id="56" w:name="_Toc190195428"/>
      <w:bookmarkStart w:id="57" w:name="_Toc190248325"/>
      <w:r w:rsidRPr="00226C43">
        <w:rPr>
          <w:rFonts w:asciiTheme="minorHAnsi" w:hAnsiTheme="minorHAnsi"/>
          <w:color w:val="auto"/>
        </w:rPr>
        <w:lastRenderedPageBreak/>
        <w:t>Summary Chronology of AAAEP–P</w:t>
      </w:r>
      <w:bookmarkEnd w:id="56"/>
      <w:bookmarkEnd w:id="57"/>
    </w:p>
    <w:tbl>
      <w:tblPr>
        <w:tblStyle w:val="TableGrid"/>
        <w:tblW w:w="8969" w:type="dxa"/>
        <w:tblLayout w:type="fixed"/>
        <w:tblLook w:val="06A0" w:firstRow="1" w:lastRow="0" w:firstColumn="1" w:lastColumn="0" w:noHBand="1" w:noVBand="1"/>
      </w:tblPr>
      <w:tblGrid>
        <w:gridCol w:w="773"/>
        <w:gridCol w:w="4047"/>
        <w:gridCol w:w="4149"/>
      </w:tblGrid>
      <w:tr w:rsidR="00226C43" w:rsidRPr="00211968" w14:paraId="6F858D6F" w14:textId="77777777" w:rsidTr="00117212">
        <w:trPr>
          <w:trHeight w:val="300"/>
          <w:tblHeader/>
        </w:trPr>
        <w:tc>
          <w:tcPr>
            <w:tcW w:w="773" w:type="dxa"/>
            <w:shd w:val="clear" w:color="auto" w:fill="E3DED1" w:themeFill="background2"/>
          </w:tcPr>
          <w:p w14:paraId="3BEB15D4" w14:textId="77777777" w:rsidR="00EB311E" w:rsidRPr="00211968" w:rsidRDefault="00EB311E" w:rsidP="00211968">
            <w:pPr>
              <w:pStyle w:val="Tabletext"/>
              <w:spacing w:before="0" w:after="0"/>
              <w:jc w:val="center"/>
              <w:rPr>
                <w:b/>
                <w:bCs/>
                <w:sz w:val="20"/>
                <w:szCs w:val="20"/>
              </w:rPr>
            </w:pPr>
            <w:r w:rsidRPr="00211968">
              <w:rPr>
                <w:b/>
                <w:bCs/>
                <w:sz w:val="20"/>
                <w:szCs w:val="20"/>
              </w:rPr>
              <w:t>Year</w:t>
            </w:r>
          </w:p>
        </w:tc>
        <w:tc>
          <w:tcPr>
            <w:tcW w:w="4047" w:type="dxa"/>
            <w:shd w:val="clear" w:color="auto" w:fill="E3DED1" w:themeFill="background2"/>
          </w:tcPr>
          <w:p w14:paraId="44B12AE0" w14:textId="77777777" w:rsidR="00EB311E" w:rsidRPr="00211968" w:rsidRDefault="00EB311E" w:rsidP="00211968">
            <w:pPr>
              <w:pStyle w:val="Tabletext"/>
              <w:spacing w:before="0" w:after="0"/>
              <w:jc w:val="center"/>
              <w:rPr>
                <w:b/>
                <w:bCs/>
                <w:sz w:val="20"/>
                <w:szCs w:val="20"/>
              </w:rPr>
            </w:pPr>
            <w:r w:rsidRPr="00211968">
              <w:rPr>
                <w:b/>
                <w:bCs/>
                <w:sz w:val="20"/>
                <w:szCs w:val="20"/>
              </w:rPr>
              <w:t>Key</w:t>
            </w:r>
            <w:r w:rsidRPr="00211968">
              <w:rPr>
                <w:b/>
                <w:bCs/>
                <w:spacing w:val="3"/>
                <w:sz w:val="20"/>
                <w:szCs w:val="20"/>
              </w:rPr>
              <w:t xml:space="preserve"> </w:t>
            </w:r>
            <w:r w:rsidRPr="00211968">
              <w:rPr>
                <w:b/>
                <w:bCs/>
                <w:spacing w:val="-2"/>
                <w:sz w:val="20"/>
                <w:szCs w:val="20"/>
              </w:rPr>
              <w:t>Developments</w:t>
            </w:r>
          </w:p>
        </w:tc>
        <w:tc>
          <w:tcPr>
            <w:tcW w:w="4149" w:type="dxa"/>
            <w:shd w:val="clear" w:color="auto" w:fill="E3DED1" w:themeFill="background2"/>
          </w:tcPr>
          <w:p w14:paraId="5BC6AA71" w14:textId="77777777" w:rsidR="00EB311E" w:rsidRPr="00211968" w:rsidRDefault="00EB311E" w:rsidP="00211968">
            <w:pPr>
              <w:pStyle w:val="Tabletext"/>
              <w:spacing w:before="0" w:after="0"/>
              <w:jc w:val="center"/>
              <w:rPr>
                <w:b/>
                <w:bCs/>
                <w:sz w:val="20"/>
                <w:szCs w:val="20"/>
              </w:rPr>
            </w:pPr>
            <w:r w:rsidRPr="00211968">
              <w:rPr>
                <w:b/>
                <w:bCs/>
                <w:sz w:val="20"/>
                <w:szCs w:val="20"/>
              </w:rPr>
              <w:t>Key</w:t>
            </w:r>
            <w:r w:rsidRPr="00211968">
              <w:rPr>
                <w:b/>
                <w:bCs/>
                <w:spacing w:val="3"/>
                <w:sz w:val="20"/>
                <w:szCs w:val="20"/>
              </w:rPr>
              <w:t xml:space="preserve"> </w:t>
            </w:r>
            <w:r w:rsidRPr="00211968">
              <w:rPr>
                <w:b/>
                <w:bCs/>
                <w:spacing w:val="-2"/>
                <w:sz w:val="20"/>
                <w:szCs w:val="20"/>
              </w:rPr>
              <w:t>Results</w:t>
            </w:r>
          </w:p>
        </w:tc>
      </w:tr>
      <w:tr w:rsidR="00226C43" w:rsidRPr="00211968" w14:paraId="771BE940" w14:textId="77777777" w:rsidTr="00610A3E">
        <w:trPr>
          <w:trHeight w:val="300"/>
        </w:trPr>
        <w:tc>
          <w:tcPr>
            <w:tcW w:w="773" w:type="dxa"/>
          </w:tcPr>
          <w:p w14:paraId="718FDA1A" w14:textId="77777777" w:rsidR="00EB311E" w:rsidRPr="00211968" w:rsidRDefault="00EB311E" w:rsidP="00211968">
            <w:pPr>
              <w:pStyle w:val="Tabletext"/>
              <w:spacing w:before="0" w:after="0"/>
              <w:rPr>
                <w:sz w:val="20"/>
                <w:szCs w:val="20"/>
              </w:rPr>
            </w:pPr>
            <w:r w:rsidRPr="00211968">
              <w:rPr>
                <w:spacing w:val="-2"/>
                <w:sz w:val="20"/>
                <w:szCs w:val="20"/>
              </w:rPr>
              <w:t>2010–2017</w:t>
            </w:r>
          </w:p>
        </w:tc>
        <w:tc>
          <w:tcPr>
            <w:tcW w:w="4047" w:type="dxa"/>
          </w:tcPr>
          <w:p w14:paraId="36AEFE2C" w14:textId="0059BC76" w:rsidR="00EB311E" w:rsidRPr="00211968" w:rsidRDefault="00EB311E" w:rsidP="00211968">
            <w:pPr>
              <w:pStyle w:val="Tabletext"/>
              <w:spacing w:before="0" w:after="0"/>
              <w:rPr>
                <w:sz w:val="20"/>
                <w:szCs w:val="20"/>
              </w:rPr>
            </w:pPr>
            <w:r w:rsidRPr="00211968">
              <w:rPr>
                <w:sz w:val="20"/>
                <w:szCs w:val="20"/>
              </w:rPr>
              <w:t>Preceding Phase (PAHRODF): Institutional capacity building, early GEDSI integration, and lessons</w:t>
            </w:r>
            <w:r w:rsidRPr="00211968">
              <w:rPr>
                <w:spacing w:val="-13"/>
                <w:sz w:val="20"/>
                <w:szCs w:val="20"/>
              </w:rPr>
              <w:t xml:space="preserve"> </w:t>
            </w:r>
            <w:r w:rsidRPr="00211968">
              <w:rPr>
                <w:sz w:val="20"/>
                <w:szCs w:val="20"/>
              </w:rPr>
              <w:t>learned</w:t>
            </w:r>
            <w:r w:rsidRPr="00211968">
              <w:rPr>
                <w:spacing w:val="-12"/>
                <w:sz w:val="20"/>
                <w:szCs w:val="20"/>
              </w:rPr>
              <w:t xml:space="preserve"> </w:t>
            </w:r>
            <w:r w:rsidRPr="00211968">
              <w:rPr>
                <w:sz w:val="20"/>
                <w:szCs w:val="20"/>
              </w:rPr>
              <w:t>informing AAAEP–P</w:t>
            </w:r>
            <w:r w:rsidRPr="00211968">
              <w:rPr>
                <w:spacing w:val="-1"/>
                <w:sz w:val="20"/>
                <w:szCs w:val="20"/>
              </w:rPr>
              <w:t xml:space="preserve"> </w:t>
            </w:r>
            <w:r w:rsidRPr="00211968">
              <w:rPr>
                <w:spacing w:val="-2"/>
                <w:sz w:val="20"/>
                <w:szCs w:val="20"/>
              </w:rPr>
              <w:t>design.</w:t>
            </w:r>
          </w:p>
        </w:tc>
        <w:tc>
          <w:tcPr>
            <w:tcW w:w="4149" w:type="dxa"/>
          </w:tcPr>
          <w:p w14:paraId="7259B905" w14:textId="720DBDEF" w:rsidR="00EB311E" w:rsidRPr="00211968" w:rsidRDefault="00EB311E" w:rsidP="00211968">
            <w:pPr>
              <w:pStyle w:val="Tabletext"/>
              <w:spacing w:before="0" w:after="0"/>
              <w:rPr>
                <w:sz w:val="20"/>
                <w:szCs w:val="20"/>
              </w:rPr>
            </w:pPr>
            <w:r w:rsidRPr="00211968">
              <w:rPr>
                <w:sz w:val="20"/>
                <w:szCs w:val="20"/>
              </w:rPr>
              <w:t>Strengthened capacity of government and civil society organi</w:t>
            </w:r>
            <w:r w:rsidR="4DD21A85" w:rsidRPr="00211968">
              <w:rPr>
                <w:sz w:val="20"/>
                <w:szCs w:val="20"/>
              </w:rPr>
              <w:t>s</w:t>
            </w:r>
            <w:r w:rsidRPr="00211968">
              <w:rPr>
                <w:sz w:val="20"/>
                <w:szCs w:val="20"/>
              </w:rPr>
              <w:t>ations, mainstreamed GEDSI principles,</w:t>
            </w:r>
            <w:r w:rsidRPr="00211968">
              <w:rPr>
                <w:spacing w:val="-13"/>
                <w:sz w:val="20"/>
                <w:szCs w:val="20"/>
              </w:rPr>
              <w:t xml:space="preserve"> </w:t>
            </w:r>
            <w:r w:rsidRPr="00211968">
              <w:rPr>
                <w:sz w:val="20"/>
                <w:szCs w:val="20"/>
              </w:rPr>
              <w:t>and</w:t>
            </w:r>
            <w:r w:rsidRPr="00211968">
              <w:rPr>
                <w:spacing w:val="-12"/>
                <w:sz w:val="20"/>
                <w:szCs w:val="20"/>
              </w:rPr>
              <w:t xml:space="preserve"> </w:t>
            </w:r>
            <w:r w:rsidRPr="00211968">
              <w:rPr>
                <w:sz w:val="20"/>
                <w:szCs w:val="20"/>
              </w:rPr>
              <w:t>established foundations</w:t>
            </w:r>
            <w:r w:rsidRPr="00211968">
              <w:rPr>
                <w:spacing w:val="-8"/>
                <w:sz w:val="20"/>
                <w:szCs w:val="20"/>
              </w:rPr>
              <w:t xml:space="preserve"> </w:t>
            </w:r>
            <w:r w:rsidRPr="00211968">
              <w:rPr>
                <w:sz w:val="20"/>
                <w:szCs w:val="20"/>
              </w:rPr>
              <w:t>for</w:t>
            </w:r>
            <w:r w:rsidRPr="00211968">
              <w:rPr>
                <w:spacing w:val="-6"/>
                <w:sz w:val="20"/>
                <w:szCs w:val="20"/>
              </w:rPr>
              <w:t xml:space="preserve"> </w:t>
            </w:r>
            <w:r w:rsidRPr="00211968">
              <w:rPr>
                <w:sz w:val="20"/>
                <w:szCs w:val="20"/>
              </w:rPr>
              <w:t>AAAEP–P</w:t>
            </w:r>
            <w:r w:rsidRPr="00211968">
              <w:rPr>
                <w:spacing w:val="-5"/>
                <w:sz w:val="20"/>
                <w:szCs w:val="20"/>
              </w:rPr>
              <w:t>.</w:t>
            </w:r>
          </w:p>
        </w:tc>
      </w:tr>
      <w:tr w:rsidR="00226C43" w:rsidRPr="00211968" w14:paraId="1D175025" w14:textId="77777777" w:rsidTr="00610A3E">
        <w:trPr>
          <w:trHeight w:val="300"/>
        </w:trPr>
        <w:tc>
          <w:tcPr>
            <w:tcW w:w="773" w:type="dxa"/>
          </w:tcPr>
          <w:p w14:paraId="04D046F2" w14:textId="77777777" w:rsidR="00EB311E" w:rsidRPr="00211968" w:rsidRDefault="00EB311E" w:rsidP="00211968">
            <w:pPr>
              <w:pStyle w:val="Tabletext"/>
              <w:spacing w:before="0" w:after="0"/>
              <w:rPr>
                <w:sz w:val="20"/>
                <w:szCs w:val="20"/>
              </w:rPr>
            </w:pPr>
            <w:r w:rsidRPr="00211968">
              <w:rPr>
                <w:sz w:val="20"/>
                <w:szCs w:val="20"/>
              </w:rPr>
              <w:t>2017</w:t>
            </w:r>
          </w:p>
        </w:tc>
        <w:tc>
          <w:tcPr>
            <w:tcW w:w="4047" w:type="dxa"/>
          </w:tcPr>
          <w:p w14:paraId="453E6DC8" w14:textId="585C6352" w:rsidR="00EB311E" w:rsidRPr="00211968" w:rsidRDefault="00EB311E" w:rsidP="00211968">
            <w:pPr>
              <w:pStyle w:val="Tabletext"/>
              <w:spacing w:before="0" w:after="0"/>
              <w:rPr>
                <w:sz w:val="20"/>
                <w:szCs w:val="20"/>
              </w:rPr>
            </w:pPr>
            <w:r w:rsidRPr="00211968">
              <w:rPr>
                <w:sz w:val="20"/>
                <w:szCs w:val="20"/>
              </w:rPr>
              <w:t>Launch of AAAEP–P: Focused</w:t>
            </w:r>
            <w:r w:rsidRPr="00211968">
              <w:rPr>
                <w:spacing w:val="-13"/>
                <w:sz w:val="20"/>
                <w:szCs w:val="20"/>
              </w:rPr>
              <w:t xml:space="preserve"> </w:t>
            </w:r>
            <w:r w:rsidRPr="00211968">
              <w:rPr>
                <w:sz w:val="20"/>
                <w:szCs w:val="20"/>
              </w:rPr>
              <w:t>on</w:t>
            </w:r>
            <w:r w:rsidRPr="00211968">
              <w:rPr>
                <w:spacing w:val="-12"/>
                <w:sz w:val="20"/>
                <w:szCs w:val="20"/>
              </w:rPr>
              <w:t xml:space="preserve"> </w:t>
            </w:r>
            <w:r w:rsidRPr="00211968">
              <w:rPr>
                <w:sz w:val="20"/>
                <w:szCs w:val="20"/>
              </w:rPr>
              <w:t>governance, disaster resilience, and peacebuilding. Initial scholarships</w:t>
            </w:r>
            <w:r w:rsidRPr="00211968">
              <w:rPr>
                <w:spacing w:val="-7"/>
                <w:sz w:val="20"/>
                <w:szCs w:val="20"/>
              </w:rPr>
              <w:t xml:space="preserve"> </w:t>
            </w:r>
            <w:r w:rsidRPr="00211968">
              <w:rPr>
                <w:spacing w:val="-2"/>
                <w:sz w:val="20"/>
                <w:szCs w:val="20"/>
              </w:rPr>
              <w:t>offered.</w:t>
            </w:r>
          </w:p>
        </w:tc>
        <w:tc>
          <w:tcPr>
            <w:tcW w:w="4149" w:type="dxa"/>
          </w:tcPr>
          <w:p w14:paraId="07067085" w14:textId="77777777" w:rsidR="00EB311E" w:rsidRPr="00211968" w:rsidRDefault="00EB311E" w:rsidP="00211968">
            <w:pPr>
              <w:pStyle w:val="Tabletext"/>
              <w:spacing w:before="0" w:after="0"/>
              <w:rPr>
                <w:sz w:val="20"/>
                <w:szCs w:val="20"/>
              </w:rPr>
            </w:pPr>
            <w:r w:rsidRPr="00211968">
              <w:rPr>
                <w:sz w:val="20"/>
                <w:szCs w:val="20"/>
              </w:rPr>
              <w:t>First cohort of scholars commenced</w:t>
            </w:r>
            <w:r w:rsidRPr="00211968">
              <w:rPr>
                <w:spacing w:val="-13"/>
                <w:sz w:val="20"/>
                <w:szCs w:val="20"/>
              </w:rPr>
              <w:t xml:space="preserve"> </w:t>
            </w:r>
            <w:r w:rsidRPr="00211968">
              <w:rPr>
                <w:sz w:val="20"/>
                <w:szCs w:val="20"/>
              </w:rPr>
              <w:t>postgraduate studies in Australia.</w:t>
            </w:r>
          </w:p>
        </w:tc>
      </w:tr>
      <w:tr w:rsidR="00226C43" w:rsidRPr="00211968" w14:paraId="563401FF" w14:textId="77777777" w:rsidTr="00610A3E">
        <w:trPr>
          <w:trHeight w:val="300"/>
        </w:trPr>
        <w:tc>
          <w:tcPr>
            <w:tcW w:w="773" w:type="dxa"/>
          </w:tcPr>
          <w:p w14:paraId="226A6D44" w14:textId="77777777" w:rsidR="00EB311E" w:rsidRPr="00211968" w:rsidRDefault="00EB311E" w:rsidP="00211968">
            <w:pPr>
              <w:pStyle w:val="Tabletext"/>
              <w:spacing w:before="0" w:after="0"/>
              <w:rPr>
                <w:sz w:val="20"/>
                <w:szCs w:val="20"/>
              </w:rPr>
            </w:pPr>
            <w:r w:rsidRPr="00211968">
              <w:rPr>
                <w:sz w:val="20"/>
                <w:szCs w:val="20"/>
              </w:rPr>
              <w:t>2018</w:t>
            </w:r>
          </w:p>
        </w:tc>
        <w:tc>
          <w:tcPr>
            <w:tcW w:w="4047" w:type="dxa"/>
          </w:tcPr>
          <w:p w14:paraId="454A881B" w14:textId="18DD7816" w:rsidR="00EB311E" w:rsidRPr="00211968" w:rsidRDefault="00EB311E" w:rsidP="00211968">
            <w:pPr>
              <w:pStyle w:val="Tabletext"/>
              <w:spacing w:before="0" w:after="0"/>
              <w:rPr>
                <w:sz w:val="20"/>
                <w:szCs w:val="20"/>
              </w:rPr>
            </w:pPr>
            <w:r w:rsidRPr="00211968">
              <w:rPr>
                <w:sz w:val="20"/>
                <w:szCs w:val="20"/>
              </w:rPr>
              <w:t>Targeted</w:t>
            </w:r>
            <w:r w:rsidRPr="00211968">
              <w:rPr>
                <w:spacing w:val="-13"/>
                <w:sz w:val="20"/>
                <w:szCs w:val="20"/>
              </w:rPr>
              <w:t xml:space="preserve"> </w:t>
            </w:r>
            <w:r w:rsidRPr="00211968">
              <w:rPr>
                <w:sz w:val="20"/>
                <w:szCs w:val="20"/>
              </w:rPr>
              <w:t>short</w:t>
            </w:r>
            <w:r w:rsidRPr="00211968">
              <w:rPr>
                <w:spacing w:val="-11"/>
                <w:sz w:val="20"/>
                <w:szCs w:val="20"/>
              </w:rPr>
              <w:t xml:space="preserve"> </w:t>
            </w:r>
            <w:r w:rsidRPr="00211968">
              <w:rPr>
                <w:sz w:val="20"/>
                <w:szCs w:val="20"/>
              </w:rPr>
              <w:t>courses</w:t>
            </w:r>
            <w:r w:rsidRPr="00211968">
              <w:rPr>
                <w:spacing w:val="-12"/>
                <w:sz w:val="20"/>
                <w:szCs w:val="20"/>
              </w:rPr>
              <w:t xml:space="preserve"> </w:t>
            </w:r>
            <w:r w:rsidRPr="00211968">
              <w:rPr>
                <w:sz w:val="20"/>
                <w:szCs w:val="20"/>
              </w:rPr>
              <w:t>and enhanced alumni engagement through</w:t>
            </w:r>
            <w:r w:rsidR="009C0F7A" w:rsidRPr="00211968">
              <w:rPr>
                <w:sz w:val="20"/>
                <w:szCs w:val="20"/>
              </w:rPr>
              <w:t xml:space="preserve"> </w:t>
            </w:r>
            <w:r w:rsidRPr="00211968">
              <w:rPr>
                <w:sz w:val="20"/>
                <w:szCs w:val="20"/>
              </w:rPr>
              <w:t>forums</w:t>
            </w:r>
            <w:r w:rsidRPr="00211968">
              <w:rPr>
                <w:spacing w:val="-13"/>
                <w:sz w:val="20"/>
                <w:szCs w:val="20"/>
              </w:rPr>
              <w:t xml:space="preserve"> </w:t>
            </w:r>
            <w:r w:rsidRPr="00211968">
              <w:rPr>
                <w:sz w:val="20"/>
                <w:szCs w:val="20"/>
              </w:rPr>
              <w:t>and</w:t>
            </w:r>
            <w:r w:rsidRPr="00211968">
              <w:rPr>
                <w:spacing w:val="-12"/>
                <w:sz w:val="20"/>
                <w:szCs w:val="20"/>
              </w:rPr>
              <w:t xml:space="preserve"> </w:t>
            </w:r>
            <w:r w:rsidRPr="00211968">
              <w:rPr>
                <w:sz w:val="20"/>
                <w:szCs w:val="20"/>
              </w:rPr>
              <w:t xml:space="preserve">collaborative </w:t>
            </w:r>
            <w:r w:rsidRPr="00211968">
              <w:rPr>
                <w:spacing w:val="-2"/>
                <w:sz w:val="20"/>
                <w:szCs w:val="20"/>
              </w:rPr>
              <w:t>activities.</w:t>
            </w:r>
          </w:p>
        </w:tc>
        <w:tc>
          <w:tcPr>
            <w:tcW w:w="4149" w:type="dxa"/>
          </w:tcPr>
          <w:p w14:paraId="5754404F" w14:textId="77777777" w:rsidR="00EB311E" w:rsidRPr="00211968" w:rsidRDefault="00EB311E" w:rsidP="00211968">
            <w:pPr>
              <w:pStyle w:val="Tabletext"/>
              <w:spacing w:before="0" w:after="0"/>
              <w:rPr>
                <w:sz w:val="20"/>
                <w:szCs w:val="20"/>
              </w:rPr>
            </w:pPr>
            <w:r w:rsidRPr="00211968">
              <w:rPr>
                <w:sz w:val="20"/>
                <w:szCs w:val="20"/>
              </w:rPr>
              <w:t>Addressed</w:t>
            </w:r>
            <w:r w:rsidRPr="00211968">
              <w:rPr>
                <w:spacing w:val="-13"/>
                <w:sz w:val="20"/>
                <w:szCs w:val="20"/>
              </w:rPr>
              <w:t xml:space="preserve"> </w:t>
            </w:r>
            <w:r w:rsidRPr="00211968">
              <w:rPr>
                <w:sz w:val="20"/>
                <w:szCs w:val="20"/>
              </w:rPr>
              <w:t>capacity</w:t>
            </w:r>
            <w:r w:rsidRPr="00211968">
              <w:rPr>
                <w:spacing w:val="-11"/>
                <w:sz w:val="20"/>
                <w:szCs w:val="20"/>
              </w:rPr>
              <w:t xml:space="preserve"> </w:t>
            </w:r>
            <w:r w:rsidRPr="00211968">
              <w:rPr>
                <w:sz w:val="20"/>
                <w:szCs w:val="20"/>
              </w:rPr>
              <w:t>gaps</w:t>
            </w:r>
            <w:r w:rsidRPr="00211968">
              <w:rPr>
                <w:spacing w:val="-11"/>
                <w:sz w:val="20"/>
                <w:szCs w:val="20"/>
              </w:rPr>
              <w:t xml:space="preserve"> </w:t>
            </w:r>
            <w:r w:rsidRPr="00211968">
              <w:rPr>
                <w:sz w:val="20"/>
                <w:szCs w:val="20"/>
              </w:rPr>
              <w:t xml:space="preserve">in partner agencies and strengthened alumni </w:t>
            </w:r>
            <w:r w:rsidRPr="00211968">
              <w:rPr>
                <w:spacing w:val="-2"/>
                <w:sz w:val="20"/>
                <w:szCs w:val="20"/>
              </w:rPr>
              <w:t>networks.</w:t>
            </w:r>
          </w:p>
        </w:tc>
      </w:tr>
      <w:tr w:rsidR="00226C43" w:rsidRPr="00211968" w14:paraId="3CF5E1F7" w14:textId="77777777" w:rsidTr="00610A3E">
        <w:trPr>
          <w:trHeight w:val="300"/>
        </w:trPr>
        <w:tc>
          <w:tcPr>
            <w:tcW w:w="773" w:type="dxa"/>
          </w:tcPr>
          <w:p w14:paraId="243D71AC" w14:textId="77777777" w:rsidR="00EB311E" w:rsidRPr="00211968" w:rsidRDefault="00EB311E" w:rsidP="00211968">
            <w:pPr>
              <w:pStyle w:val="Tabletext"/>
              <w:spacing w:before="0" w:after="0"/>
              <w:rPr>
                <w:sz w:val="20"/>
                <w:szCs w:val="20"/>
              </w:rPr>
            </w:pPr>
            <w:r w:rsidRPr="00211968">
              <w:rPr>
                <w:sz w:val="20"/>
                <w:szCs w:val="20"/>
              </w:rPr>
              <w:t>2019</w:t>
            </w:r>
          </w:p>
        </w:tc>
        <w:tc>
          <w:tcPr>
            <w:tcW w:w="4047" w:type="dxa"/>
          </w:tcPr>
          <w:p w14:paraId="643EABBF" w14:textId="34E36323" w:rsidR="00EB311E" w:rsidRPr="00211968" w:rsidRDefault="00EB311E" w:rsidP="00211968">
            <w:pPr>
              <w:pStyle w:val="Tabletext"/>
              <w:spacing w:before="0" w:after="0"/>
              <w:rPr>
                <w:sz w:val="20"/>
                <w:szCs w:val="20"/>
              </w:rPr>
            </w:pPr>
            <w:r w:rsidRPr="00211968">
              <w:rPr>
                <w:sz w:val="20"/>
                <w:szCs w:val="20"/>
              </w:rPr>
              <w:t xml:space="preserve">Strengthened </w:t>
            </w:r>
            <w:r w:rsidR="1E0715C6" w:rsidRPr="00211968">
              <w:rPr>
                <w:sz w:val="20"/>
                <w:szCs w:val="20"/>
              </w:rPr>
              <w:t xml:space="preserve">MEL </w:t>
            </w:r>
            <w:r w:rsidRPr="00211968">
              <w:rPr>
                <w:sz w:val="20"/>
                <w:szCs w:val="20"/>
              </w:rPr>
              <w:t>framework</w:t>
            </w:r>
            <w:r w:rsidRPr="00211968">
              <w:rPr>
                <w:spacing w:val="-13"/>
                <w:sz w:val="20"/>
                <w:szCs w:val="20"/>
              </w:rPr>
              <w:t xml:space="preserve"> </w:t>
            </w:r>
            <w:r w:rsidRPr="00211968">
              <w:rPr>
                <w:sz w:val="20"/>
                <w:szCs w:val="20"/>
              </w:rPr>
              <w:t>and</w:t>
            </w:r>
            <w:r w:rsidRPr="00211968">
              <w:rPr>
                <w:spacing w:val="-12"/>
                <w:sz w:val="20"/>
                <w:szCs w:val="20"/>
              </w:rPr>
              <w:t xml:space="preserve"> </w:t>
            </w:r>
            <w:r w:rsidRPr="00211968">
              <w:rPr>
                <w:sz w:val="20"/>
                <w:szCs w:val="20"/>
              </w:rPr>
              <w:t xml:space="preserve">expanded GEDSI integration in </w:t>
            </w:r>
            <w:r w:rsidRPr="00211968">
              <w:rPr>
                <w:spacing w:val="-2"/>
                <w:sz w:val="20"/>
                <w:szCs w:val="20"/>
              </w:rPr>
              <w:t>activities.</w:t>
            </w:r>
          </w:p>
        </w:tc>
        <w:tc>
          <w:tcPr>
            <w:tcW w:w="4149" w:type="dxa"/>
          </w:tcPr>
          <w:p w14:paraId="534FBD8A" w14:textId="77777777" w:rsidR="00EB311E" w:rsidRPr="00211968" w:rsidRDefault="00EB311E" w:rsidP="00211968">
            <w:pPr>
              <w:pStyle w:val="Tabletext"/>
              <w:spacing w:before="0" w:after="0"/>
              <w:rPr>
                <w:sz w:val="20"/>
                <w:szCs w:val="20"/>
              </w:rPr>
            </w:pPr>
            <w:r w:rsidRPr="00211968">
              <w:rPr>
                <w:sz w:val="20"/>
                <w:szCs w:val="20"/>
              </w:rPr>
              <w:t>Improved</w:t>
            </w:r>
            <w:r w:rsidRPr="00211968">
              <w:rPr>
                <w:spacing w:val="-13"/>
                <w:sz w:val="20"/>
                <w:szCs w:val="20"/>
              </w:rPr>
              <w:t xml:space="preserve"> </w:t>
            </w:r>
            <w:r w:rsidRPr="00211968">
              <w:rPr>
                <w:sz w:val="20"/>
                <w:szCs w:val="20"/>
              </w:rPr>
              <w:t>alignment</w:t>
            </w:r>
            <w:r w:rsidRPr="00211968">
              <w:rPr>
                <w:spacing w:val="-12"/>
                <w:sz w:val="20"/>
                <w:szCs w:val="20"/>
              </w:rPr>
              <w:t xml:space="preserve"> </w:t>
            </w:r>
            <w:r w:rsidRPr="00211968">
              <w:rPr>
                <w:sz w:val="20"/>
                <w:szCs w:val="20"/>
              </w:rPr>
              <w:t>with EOPOs and increased inclusivity in scholar</w:t>
            </w:r>
          </w:p>
          <w:p w14:paraId="35273A57" w14:textId="77777777" w:rsidR="00EB311E" w:rsidRPr="00211968" w:rsidRDefault="00EB311E" w:rsidP="00211968">
            <w:pPr>
              <w:pStyle w:val="Tabletext"/>
              <w:spacing w:before="0" w:after="0"/>
              <w:rPr>
                <w:sz w:val="20"/>
                <w:szCs w:val="20"/>
              </w:rPr>
            </w:pPr>
            <w:r w:rsidRPr="00211968">
              <w:rPr>
                <w:spacing w:val="-2"/>
                <w:sz w:val="20"/>
                <w:szCs w:val="20"/>
              </w:rPr>
              <w:t>selection.</w:t>
            </w:r>
          </w:p>
        </w:tc>
      </w:tr>
      <w:tr w:rsidR="00226C43" w:rsidRPr="00211968" w14:paraId="36C7D2D5" w14:textId="77777777" w:rsidTr="00610A3E">
        <w:trPr>
          <w:trHeight w:val="300"/>
        </w:trPr>
        <w:tc>
          <w:tcPr>
            <w:tcW w:w="773" w:type="dxa"/>
          </w:tcPr>
          <w:p w14:paraId="3FEA89B6" w14:textId="77777777" w:rsidR="00EB311E" w:rsidRPr="00211968" w:rsidRDefault="00EB311E" w:rsidP="00211968">
            <w:pPr>
              <w:pStyle w:val="Tabletext"/>
              <w:spacing w:before="0" w:after="0"/>
              <w:rPr>
                <w:sz w:val="20"/>
                <w:szCs w:val="20"/>
              </w:rPr>
            </w:pPr>
            <w:r w:rsidRPr="00211968">
              <w:rPr>
                <w:sz w:val="20"/>
                <w:szCs w:val="20"/>
              </w:rPr>
              <w:t>2020</w:t>
            </w:r>
          </w:p>
        </w:tc>
        <w:tc>
          <w:tcPr>
            <w:tcW w:w="4047" w:type="dxa"/>
          </w:tcPr>
          <w:p w14:paraId="23B1E1D0" w14:textId="77777777" w:rsidR="00EB311E" w:rsidRPr="00211968" w:rsidRDefault="00EB311E" w:rsidP="00211968">
            <w:pPr>
              <w:pStyle w:val="Tabletext"/>
              <w:spacing w:before="0" w:after="0"/>
              <w:rPr>
                <w:sz w:val="20"/>
                <w:szCs w:val="20"/>
              </w:rPr>
            </w:pPr>
            <w:r w:rsidRPr="00211968">
              <w:rPr>
                <w:sz w:val="20"/>
                <w:szCs w:val="20"/>
              </w:rPr>
              <w:t>Responded to COVID-19 with online delivery of courses, alumni engagement,</w:t>
            </w:r>
            <w:r w:rsidRPr="00211968">
              <w:rPr>
                <w:spacing w:val="-13"/>
                <w:sz w:val="20"/>
                <w:szCs w:val="20"/>
              </w:rPr>
              <w:t xml:space="preserve"> </w:t>
            </w:r>
            <w:r w:rsidRPr="00211968">
              <w:rPr>
                <w:sz w:val="20"/>
                <w:szCs w:val="20"/>
              </w:rPr>
              <w:t>and</w:t>
            </w:r>
            <w:r w:rsidRPr="00211968">
              <w:rPr>
                <w:spacing w:val="-12"/>
                <w:sz w:val="20"/>
                <w:szCs w:val="20"/>
              </w:rPr>
              <w:t xml:space="preserve"> </w:t>
            </w:r>
            <w:r w:rsidRPr="00211968">
              <w:rPr>
                <w:sz w:val="20"/>
                <w:szCs w:val="20"/>
              </w:rPr>
              <w:t>resilience-focused capacity</w:t>
            </w:r>
            <w:r w:rsidRPr="00211968">
              <w:rPr>
                <w:spacing w:val="-2"/>
                <w:sz w:val="20"/>
                <w:szCs w:val="20"/>
              </w:rPr>
              <w:t xml:space="preserve"> building.</w:t>
            </w:r>
          </w:p>
        </w:tc>
        <w:tc>
          <w:tcPr>
            <w:tcW w:w="4149" w:type="dxa"/>
          </w:tcPr>
          <w:p w14:paraId="7A30A21B" w14:textId="77777777" w:rsidR="00EB311E" w:rsidRPr="00211968" w:rsidRDefault="00EB311E" w:rsidP="00211968">
            <w:pPr>
              <w:pStyle w:val="Tabletext"/>
              <w:spacing w:before="0" w:after="0"/>
              <w:rPr>
                <w:sz w:val="20"/>
                <w:szCs w:val="20"/>
              </w:rPr>
            </w:pPr>
            <w:r w:rsidRPr="00211968">
              <w:rPr>
                <w:sz w:val="20"/>
                <w:szCs w:val="20"/>
              </w:rPr>
              <w:t>Maintained program engagement during pandemic</w:t>
            </w:r>
            <w:r w:rsidRPr="00211968">
              <w:rPr>
                <w:spacing w:val="-13"/>
                <w:sz w:val="20"/>
                <w:szCs w:val="20"/>
              </w:rPr>
              <w:t xml:space="preserve"> </w:t>
            </w:r>
            <w:r w:rsidRPr="00211968">
              <w:rPr>
                <w:sz w:val="20"/>
                <w:szCs w:val="20"/>
              </w:rPr>
              <w:t>restrictions.</w:t>
            </w:r>
          </w:p>
        </w:tc>
      </w:tr>
      <w:tr w:rsidR="00226C43" w:rsidRPr="00211968" w14:paraId="33673DE3" w14:textId="77777777" w:rsidTr="00610A3E">
        <w:trPr>
          <w:trHeight w:val="300"/>
        </w:trPr>
        <w:tc>
          <w:tcPr>
            <w:tcW w:w="773" w:type="dxa"/>
          </w:tcPr>
          <w:p w14:paraId="2AEFF3F2" w14:textId="77777777" w:rsidR="00EB311E" w:rsidRPr="00211968" w:rsidRDefault="00EB311E" w:rsidP="00211968">
            <w:pPr>
              <w:pStyle w:val="Tabletext"/>
              <w:spacing w:before="0" w:after="0"/>
              <w:rPr>
                <w:sz w:val="20"/>
                <w:szCs w:val="20"/>
              </w:rPr>
            </w:pPr>
            <w:r w:rsidRPr="00211968">
              <w:rPr>
                <w:sz w:val="20"/>
                <w:szCs w:val="20"/>
              </w:rPr>
              <w:t>2021</w:t>
            </w:r>
          </w:p>
        </w:tc>
        <w:tc>
          <w:tcPr>
            <w:tcW w:w="4047" w:type="dxa"/>
          </w:tcPr>
          <w:p w14:paraId="526E5817" w14:textId="77777777" w:rsidR="00EB311E" w:rsidRPr="00211968" w:rsidRDefault="00EB311E" w:rsidP="00211968">
            <w:pPr>
              <w:pStyle w:val="Tabletext"/>
              <w:spacing w:before="0" w:after="0"/>
              <w:rPr>
                <w:sz w:val="20"/>
                <w:szCs w:val="20"/>
              </w:rPr>
            </w:pPr>
            <w:r w:rsidRPr="00211968">
              <w:rPr>
                <w:sz w:val="20"/>
                <w:szCs w:val="20"/>
              </w:rPr>
              <w:t>Updated</w:t>
            </w:r>
            <w:r w:rsidRPr="00211968">
              <w:rPr>
                <w:spacing w:val="-13"/>
                <w:sz w:val="20"/>
                <w:szCs w:val="20"/>
              </w:rPr>
              <w:t xml:space="preserve"> </w:t>
            </w:r>
            <w:r w:rsidRPr="00211968">
              <w:rPr>
                <w:sz w:val="20"/>
                <w:szCs w:val="20"/>
              </w:rPr>
              <w:t>Theory</w:t>
            </w:r>
            <w:r w:rsidRPr="00211968">
              <w:rPr>
                <w:spacing w:val="-12"/>
                <w:sz w:val="20"/>
                <w:szCs w:val="20"/>
              </w:rPr>
              <w:t xml:space="preserve"> </w:t>
            </w:r>
            <w:r w:rsidRPr="00211968">
              <w:rPr>
                <w:sz w:val="20"/>
                <w:szCs w:val="20"/>
              </w:rPr>
              <w:t>of</w:t>
            </w:r>
            <w:r w:rsidRPr="00211968">
              <w:rPr>
                <w:spacing w:val="-12"/>
                <w:sz w:val="20"/>
                <w:szCs w:val="20"/>
              </w:rPr>
              <w:t xml:space="preserve"> </w:t>
            </w:r>
            <w:r w:rsidRPr="00211968">
              <w:rPr>
                <w:sz w:val="20"/>
                <w:szCs w:val="20"/>
              </w:rPr>
              <w:t>Change, GEDSI mainstreaming,</w:t>
            </w:r>
            <w:r w:rsidRPr="00211968">
              <w:rPr>
                <w:spacing w:val="-3"/>
                <w:sz w:val="20"/>
                <w:szCs w:val="20"/>
              </w:rPr>
              <w:t xml:space="preserve"> </w:t>
            </w:r>
            <w:r w:rsidRPr="00211968">
              <w:rPr>
                <w:sz w:val="20"/>
                <w:szCs w:val="20"/>
              </w:rPr>
              <w:t xml:space="preserve">and hybrid delivery models </w:t>
            </w:r>
            <w:r w:rsidRPr="00211968">
              <w:rPr>
                <w:spacing w:val="-2"/>
                <w:sz w:val="20"/>
                <w:szCs w:val="20"/>
              </w:rPr>
              <w:t>introduced.</w:t>
            </w:r>
          </w:p>
        </w:tc>
        <w:tc>
          <w:tcPr>
            <w:tcW w:w="4149" w:type="dxa"/>
          </w:tcPr>
          <w:p w14:paraId="6E3647A4" w14:textId="77777777" w:rsidR="00EB311E" w:rsidRPr="00211968" w:rsidRDefault="00EB311E" w:rsidP="00211968">
            <w:pPr>
              <w:pStyle w:val="Tabletext"/>
              <w:spacing w:before="0" w:after="0"/>
              <w:rPr>
                <w:sz w:val="20"/>
                <w:szCs w:val="20"/>
              </w:rPr>
            </w:pPr>
            <w:r w:rsidRPr="00211968">
              <w:rPr>
                <w:sz w:val="20"/>
                <w:szCs w:val="20"/>
              </w:rPr>
              <w:t>50+ civil service leaders trained</w:t>
            </w:r>
            <w:r w:rsidRPr="00211968">
              <w:rPr>
                <w:spacing w:val="-13"/>
                <w:sz w:val="20"/>
                <w:szCs w:val="20"/>
              </w:rPr>
              <w:t xml:space="preserve"> </w:t>
            </w:r>
            <w:r w:rsidRPr="00211968">
              <w:rPr>
                <w:sz w:val="20"/>
                <w:szCs w:val="20"/>
              </w:rPr>
              <w:t>in</w:t>
            </w:r>
            <w:r w:rsidRPr="00211968">
              <w:rPr>
                <w:spacing w:val="-12"/>
                <w:sz w:val="20"/>
                <w:szCs w:val="20"/>
              </w:rPr>
              <w:t xml:space="preserve"> </w:t>
            </w:r>
            <w:r w:rsidRPr="00211968">
              <w:rPr>
                <w:sz w:val="20"/>
                <w:szCs w:val="20"/>
              </w:rPr>
              <w:t>GEDSI;</w:t>
            </w:r>
            <w:r w:rsidRPr="00211968">
              <w:rPr>
                <w:spacing w:val="-10"/>
                <w:sz w:val="20"/>
                <w:szCs w:val="20"/>
              </w:rPr>
              <w:t xml:space="preserve"> </w:t>
            </w:r>
            <w:r w:rsidRPr="00211968">
              <w:rPr>
                <w:sz w:val="20"/>
                <w:szCs w:val="20"/>
              </w:rPr>
              <w:t xml:space="preserve">increased accessibility for </w:t>
            </w:r>
            <w:r w:rsidRPr="00211968">
              <w:rPr>
                <w:spacing w:val="-2"/>
                <w:sz w:val="20"/>
                <w:szCs w:val="20"/>
              </w:rPr>
              <w:t>participants.</w:t>
            </w:r>
          </w:p>
        </w:tc>
      </w:tr>
      <w:tr w:rsidR="00226C43" w:rsidRPr="00211968" w14:paraId="4E09D4FD" w14:textId="77777777" w:rsidTr="00610A3E">
        <w:trPr>
          <w:trHeight w:val="300"/>
        </w:trPr>
        <w:tc>
          <w:tcPr>
            <w:tcW w:w="773" w:type="dxa"/>
          </w:tcPr>
          <w:p w14:paraId="1ABE091B" w14:textId="77777777" w:rsidR="00EB311E" w:rsidRPr="00211968" w:rsidRDefault="00EB311E" w:rsidP="00211968">
            <w:pPr>
              <w:pStyle w:val="Tabletext"/>
              <w:spacing w:before="0" w:after="0"/>
              <w:rPr>
                <w:sz w:val="20"/>
                <w:szCs w:val="20"/>
              </w:rPr>
            </w:pPr>
            <w:r w:rsidRPr="00211968">
              <w:rPr>
                <w:sz w:val="20"/>
                <w:szCs w:val="20"/>
              </w:rPr>
              <w:t>2022</w:t>
            </w:r>
          </w:p>
        </w:tc>
        <w:tc>
          <w:tcPr>
            <w:tcW w:w="4047" w:type="dxa"/>
          </w:tcPr>
          <w:p w14:paraId="077009E8" w14:textId="77777777" w:rsidR="00EB311E" w:rsidRPr="00211968" w:rsidRDefault="4DD21A85" w:rsidP="00211968">
            <w:pPr>
              <w:pStyle w:val="Tabletext"/>
              <w:spacing w:before="0" w:after="0"/>
              <w:rPr>
                <w:sz w:val="20"/>
                <w:szCs w:val="20"/>
              </w:rPr>
            </w:pPr>
            <w:r w:rsidRPr="00211968">
              <w:rPr>
                <w:sz w:val="20"/>
                <w:szCs w:val="20"/>
              </w:rPr>
              <w:t>Sector-specific short courses and Alumni Grants Scheme initiated.</w:t>
            </w:r>
          </w:p>
        </w:tc>
        <w:tc>
          <w:tcPr>
            <w:tcW w:w="4149" w:type="dxa"/>
          </w:tcPr>
          <w:p w14:paraId="7038CC7D" w14:textId="77777777" w:rsidR="00EB311E" w:rsidRPr="00211968" w:rsidRDefault="4DD21A85" w:rsidP="00211968">
            <w:pPr>
              <w:pStyle w:val="Tabletext"/>
              <w:spacing w:before="0" w:after="0"/>
              <w:rPr>
                <w:sz w:val="20"/>
                <w:szCs w:val="20"/>
              </w:rPr>
            </w:pPr>
            <w:r w:rsidRPr="00211968">
              <w:rPr>
                <w:sz w:val="20"/>
                <w:szCs w:val="20"/>
              </w:rPr>
              <w:t>300+ government officials trained; alumni-driven projects enhanced grassroots impact.</w:t>
            </w:r>
          </w:p>
        </w:tc>
      </w:tr>
      <w:tr w:rsidR="00226C43" w:rsidRPr="00211968" w14:paraId="5E400EF5" w14:textId="77777777" w:rsidTr="00610A3E">
        <w:trPr>
          <w:trHeight w:val="300"/>
        </w:trPr>
        <w:tc>
          <w:tcPr>
            <w:tcW w:w="773" w:type="dxa"/>
          </w:tcPr>
          <w:p w14:paraId="6A3CD83B" w14:textId="77777777" w:rsidR="00EB311E" w:rsidRPr="00211968" w:rsidRDefault="4DD21A85" w:rsidP="00211968">
            <w:pPr>
              <w:pStyle w:val="Tabletext"/>
              <w:spacing w:before="0" w:after="0"/>
              <w:rPr>
                <w:sz w:val="20"/>
                <w:szCs w:val="20"/>
              </w:rPr>
            </w:pPr>
            <w:r w:rsidRPr="00211968">
              <w:rPr>
                <w:sz w:val="20"/>
                <w:szCs w:val="20"/>
              </w:rPr>
              <w:t>2023</w:t>
            </w:r>
          </w:p>
        </w:tc>
        <w:tc>
          <w:tcPr>
            <w:tcW w:w="4047" w:type="dxa"/>
          </w:tcPr>
          <w:p w14:paraId="3B4045F9" w14:textId="77777777" w:rsidR="00EB311E" w:rsidRPr="00211968" w:rsidRDefault="4DD21A85" w:rsidP="00211968">
            <w:pPr>
              <w:pStyle w:val="Tabletext"/>
              <w:spacing w:before="0" w:after="0"/>
              <w:rPr>
                <w:sz w:val="20"/>
                <w:szCs w:val="20"/>
              </w:rPr>
            </w:pPr>
            <w:r w:rsidRPr="00211968">
              <w:rPr>
                <w:sz w:val="20"/>
                <w:szCs w:val="20"/>
              </w:rPr>
              <w:t>Expanded partnerships and digital transformation courses delivered.</w:t>
            </w:r>
          </w:p>
        </w:tc>
        <w:tc>
          <w:tcPr>
            <w:tcW w:w="4149" w:type="dxa"/>
          </w:tcPr>
          <w:p w14:paraId="2BC92292" w14:textId="77777777" w:rsidR="00EB311E" w:rsidRPr="00211968" w:rsidRDefault="4DD21A85" w:rsidP="00211968">
            <w:pPr>
              <w:pStyle w:val="Tabletext"/>
              <w:spacing w:before="0" w:after="0"/>
              <w:rPr>
                <w:sz w:val="20"/>
                <w:szCs w:val="20"/>
              </w:rPr>
            </w:pPr>
            <w:r w:rsidRPr="00211968">
              <w:rPr>
                <w:sz w:val="20"/>
                <w:szCs w:val="20"/>
              </w:rPr>
              <w:t>400+ participants benefited; identified future strategies for greater impact.</w:t>
            </w:r>
          </w:p>
        </w:tc>
      </w:tr>
      <w:tr w:rsidR="00226C43" w:rsidRPr="00211968" w14:paraId="2863DFB3" w14:textId="77777777" w:rsidTr="00610A3E">
        <w:trPr>
          <w:trHeight w:val="300"/>
        </w:trPr>
        <w:tc>
          <w:tcPr>
            <w:tcW w:w="773" w:type="dxa"/>
          </w:tcPr>
          <w:p w14:paraId="5A8AB7A0" w14:textId="77777777" w:rsidR="00EB311E" w:rsidRPr="00211968" w:rsidRDefault="00EB311E" w:rsidP="00211968">
            <w:pPr>
              <w:pStyle w:val="Tabletext"/>
              <w:spacing w:before="0" w:after="0"/>
              <w:rPr>
                <w:sz w:val="20"/>
                <w:szCs w:val="20"/>
              </w:rPr>
            </w:pPr>
            <w:r w:rsidRPr="00211968">
              <w:rPr>
                <w:sz w:val="20"/>
                <w:szCs w:val="20"/>
              </w:rPr>
              <w:t>2024</w:t>
            </w:r>
          </w:p>
        </w:tc>
        <w:tc>
          <w:tcPr>
            <w:tcW w:w="4047" w:type="dxa"/>
          </w:tcPr>
          <w:p w14:paraId="16B3612D" w14:textId="77777777" w:rsidR="00EB311E" w:rsidRPr="00211968" w:rsidRDefault="4DD21A85" w:rsidP="00211968">
            <w:pPr>
              <w:pStyle w:val="Tabletext"/>
              <w:spacing w:before="0" w:after="0"/>
              <w:rPr>
                <w:sz w:val="20"/>
                <w:szCs w:val="20"/>
              </w:rPr>
            </w:pPr>
            <w:r w:rsidRPr="00211968">
              <w:rPr>
                <w:sz w:val="20"/>
                <w:szCs w:val="20"/>
              </w:rPr>
              <w:t>Celebrated program achievements and</w:t>
            </w:r>
          </w:p>
          <w:p w14:paraId="7AA3ABF9" w14:textId="77777777" w:rsidR="00EB311E" w:rsidRPr="00211968" w:rsidRDefault="4DD21A85" w:rsidP="00211968">
            <w:pPr>
              <w:pStyle w:val="Tabletext"/>
              <w:spacing w:before="0" w:after="0"/>
              <w:rPr>
                <w:sz w:val="20"/>
                <w:szCs w:val="20"/>
              </w:rPr>
            </w:pPr>
            <w:r w:rsidRPr="00211968">
              <w:rPr>
                <w:sz w:val="20"/>
                <w:szCs w:val="20"/>
              </w:rPr>
              <w:t>developed sustainability strategies.</w:t>
            </w:r>
          </w:p>
        </w:tc>
        <w:tc>
          <w:tcPr>
            <w:tcW w:w="4149" w:type="dxa"/>
          </w:tcPr>
          <w:p w14:paraId="74096B3C" w14:textId="77777777" w:rsidR="00EB311E" w:rsidRPr="00211968" w:rsidRDefault="4DD21A85" w:rsidP="00211968">
            <w:pPr>
              <w:pStyle w:val="Tabletext"/>
              <w:spacing w:before="0" w:after="0"/>
              <w:rPr>
                <w:sz w:val="20"/>
                <w:szCs w:val="20"/>
              </w:rPr>
            </w:pPr>
            <w:r w:rsidRPr="00211968">
              <w:rPr>
                <w:sz w:val="20"/>
                <w:szCs w:val="20"/>
              </w:rPr>
              <w:t>GEDSI institutionalized; strengthened alumni networks and development partnerships.</w:t>
            </w:r>
          </w:p>
        </w:tc>
      </w:tr>
    </w:tbl>
    <w:p w14:paraId="483FAC4C" w14:textId="4908C20A" w:rsidR="00E70126" w:rsidRPr="00226C43" w:rsidRDefault="00E70126" w:rsidP="4DD21A85">
      <w:pPr>
        <w:pStyle w:val="Tabletext"/>
        <w:rPr>
          <w:rFonts w:cs="Calibri Light"/>
          <w:sz w:val="22"/>
          <w:szCs w:val="22"/>
        </w:rPr>
      </w:pPr>
      <w:r w:rsidRPr="00226C43">
        <w:rPr>
          <w:rFonts w:cs="Calibri Light"/>
          <w:sz w:val="22"/>
          <w:szCs w:val="22"/>
        </w:rPr>
        <w:br w:type="page"/>
      </w:r>
    </w:p>
    <w:p w14:paraId="4DC1CE34" w14:textId="77777777" w:rsidR="00E70126" w:rsidRPr="00226C43" w:rsidRDefault="4DD21A85" w:rsidP="005A698C">
      <w:pPr>
        <w:pStyle w:val="Appendices"/>
        <w:rPr>
          <w:rFonts w:asciiTheme="minorHAnsi" w:hAnsiTheme="minorHAnsi"/>
          <w:color w:val="auto"/>
        </w:rPr>
      </w:pPr>
      <w:bookmarkStart w:id="58" w:name="_Toc190195429"/>
      <w:bookmarkStart w:id="59" w:name="_Toc190248326"/>
      <w:r w:rsidRPr="00226C43">
        <w:rPr>
          <w:rFonts w:asciiTheme="minorHAnsi" w:hAnsiTheme="minorHAnsi"/>
          <w:color w:val="auto"/>
        </w:rPr>
        <w:lastRenderedPageBreak/>
        <w:t>Key Evaluation Questions</w:t>
      </w:r>
      <w:bookmarkEnd w:id="58"/>
      <w:bookmarkEnd w:id="59"/>
    </w:p>
    <w:p w14:paraId="1F107EA1" w14:textId="7BE7280E" w:rsidR="00E70126" w:rsidRPr="00226C43" w:rsidRDefault="005142BC" w:rsidP="4DD21A85">
      <w:r w:rsidRPr="00226C43">
        <w:rPr>
          <w:b/>
          <w:bCs/>
        </w:rPr>
        <w:t xml:space="preserve">KEQ1. </w:t>
      </w:r>
      <w:r w:rsidR="4DD21A85" w:rsidRPr="00226C43">
        <w:rPr>
          <w:b/>
          <w:bCs/>
        </w:rPr>
        <w:t>Relevance:</w:t>
      </w:r>
      <w:r w:rsidR="4DD21A85" w:rsidRPr="00226C43">
        <w:t xml:space="preserve"> To what extent does AAAEP–P align with the strategic priorities and needs of the </w:t>
      </w:r>
      <w:proofErr w:type="spellStart"/>
      <w:r w:rsidR="4DD21A85" w:rsidRPr="00226C43">
        <w:t>GoA</w:t>
      </w:r>
      <w:proofErr w:type="spellEnd"/>
      <w:r w:rsidR="4DD21A85" w:rsidRPr="00226C43">
        <w:t xml:space="preserve"> and </w:t>
      </w:r>
      <w:r w:rsidR="009C5A17" w:rsidRPr="00226C43">
        <w:t xml:space="preserve">the </w:t>
      </w:r>
      <w:r w:rsidR="4DD21A85" w:rsidRPr="00226C43">
        <w:t xml:space="preserve">GPH? </w:t>
      </w:r>
    </w:p>
    <w:p w14:paraId="56D6A2E1" w14:textId="4B3B14FF" w:rsidR="00E70126" w:rsidRPr="00226C43" w:rsidRDefault="005142BC" w:rsidP="00925CC1">
      <w:pPr>
        <w:pStyle w:val="ListBullet10"/>
        <w:numPr>
          <w:ilvl w:val="0"/>
          <w:numId w:val="7"/>
        </w:numPr>
      </w:pPr>
      <w:r w:rsidRPr="00226C43">
        <w:t xml:space="preserve">1.1. </w:t>
      </w:r>
      <w:r w:rsidR="4DD21A85" w:rsidRPr="00226C43">
        <w:t xml:space="preserve">To what extent does AAAEP–P align with GPH’s development policies? </w:t>
      </w:r>
    </w:p>
    <w:p w14:paraId="03337B04" w14:textId="192AE2C8" w:rsidR="00E70126" w:rsidRPr="00226C43" w:rsidRDefault="005142BC" w:rsidP="00925CC1">
      <w:pPr>
        <w:pStyle w:val="ListBullet10"/>
        <w:numPr>
          <w:ilvl w:val="0"/>
          <w:numId w:val="7"/>
        </w:numPr>
      </w:pPr>
      <w:r w:rsidRPr="00226C43">
        <w:t xml:space="preserve">1.2 </w:t>
      </w:r>
      <w:r w:rsidR="4DD21A85" w:rsidRPr="00226C43">
        <w:t xml:space="preserve">To what extent is AAAEP–P consistent with the </w:t>
      </w:r>
      <w:proofErr w:type="spellStart"/>
      <w:r w:rsidR="4DD21A85" w:rsidRPr="00226C43">
        <w:t>GoA’s</w:t>
      </w:r>
      <w:proofErr w:type="spellEnd"/>
      <w:r w:rsidR="4DD21A85" w:rsidRPr="00226C43">
        <w:t xml:space="preserve"> strategic priorities? </w:t>
      </w:r>
    </w:p>
    <w:p w14:paraId="690303CB" w14:textId="4C573575" w:rsidR="00E70126" w:rsidRPr="00226C43" w:rsidRDefault="005142BC" w:rsidP="00925CC1">
      <w:pPr>
        <w:pStyle w:val="ListBullet10"/>
        <w:numPr>
          <w:ilvl w:val="0"/>
          <w:numId w:val="7"/>
        </w:numPr>
      </w:pPr>
      <w:r w:rsidRPr="00226C43">
        <w:t xml:space="preserve">1.3 </w:t>
      </w:r>
      <w:r w:rsidR="4DD21A85" w:rsidRPr="00226C43">
        <w:t xml:space="preserve">To what extent is AAAEP–P consistent with Australian development policies, including but not limited to GEDSI? </w:t>
      </w:r>
    </w:p>
    <w:p w14:paraId="33B57D8F" w14:textId="4A5BA820" w:rsidR="00E70126" w:rsidRPr="00226C43" w:rsidRDefault="005142BC" w:rsidP="00925CC1">
      <w:pPr>
        <w:pStyle w:val="ListBullet10"/>
        <w:numPr>
          <w:ilvl w:val="0"/>
          <w:numId w:val="7"/>
        </w:numPr>
      </w:pPr>
      <w:r w:rsidRPr="00226C43">
        <w:t xml:space="preserve">1.4 </w:t>
      </w:r>
      <w:r w:rsidR="00E70126" w:rsidRPr="00226C43">
        <w:t>To what extent do AAAEP–P's GEDSI priorities align with and support GPH priorities</w:t>
      </w:r>
      <w:r w:rsidR="00E70126" w:rsidRPr="00226C43">
        <w:rPr>
          <w:rFonts w:cs="Cordia New (Body CS)"/>
          <w:vertAlign w:val="superscript"/>
        </w:rPr>
        <w:footnoteReference w:id="36"/>
      </w:r>
      <w:r w:rsidR="00E70126" w:rsidRPr="00226C43">
        <w:t>?</w:t>
      </w:r>
    </w:p>
    <w:p w14:paraId="549E9643" w14:textId="1886158F" w:rsidR="00E70126" w:rsidRPr="00226C43" w:rsidRDefault="005142BC" w:rsidP="00925CC1">
      <w:pPr>
        <w:pStyle w:val="ListBullet10"/>
        <w:numPr>
          <w:ilvl w:val="0"/>
          <w:numId w:val="7"/>
        </w:numPr>
      </w:pPr>
      <w:r w:rsidRPr="00226C43">
        <w:t xml:space="preserve">1.5 </w:t>
      </w:r>
      <w:r w:rsidR="4DD21A85" w:rsidRPr="00226C43">
        <w:t xml:space="preserve">To what extent does AAAEP–P substitute or complement other interventions in the Philippines, regardless of funder? (coherence) </w:t>
      </w:r>
    </w:p>
    <w:p w14:paraId="62F774D6" w14:textId="4AB2319F" w:rsidR="00E70126" w:rsidRPr="00226C43" w:rsidRDefault="005142BC" w:rsidP="4DD21A85">
      <w:r w:rsidRPr="00226C43">
        <w:rPr>
          <w:b/>
          <w:bCs/>
        </w:rPr>
        <w:t xml:space="preserve">KEQ2. </w:t>
      </w:r>
      <w:r w:rsidR="4DD21A85" w:rsidRPr="00226C43">
        <w:rPr>
          <w:b/>
          <w:bCs/>
        </w:rPr>
        <w:t>Effectiveness:</w:t>
      </w:r>
      <w:r w:rsidR="4DD21A85" w:rsidRPr="00226C43">
        <w:t xml:space="preserve"> To what extent has AAAEP–P achieved its IOs and EOPOs? </w:t>
      </w:r>
    </w:p>
    <w:p w14:paraId="4A4A102E" w14:textId="77777777" w:rsidR="00E70126" w:rsidRPr="00226C43" w:rsidRDefault="005142BC" w:rsidP="00925CC1">
      <w:pPr>
        <w:pStyle w:val="ListBullet10"/>
        <w:numPr>
          <w:ilvl w:val="0"/>
          <w:numId w:val="7"/>
        </w:numPr>
      </w:pPr>
      <w:r w:rsidRPr="00226C43">
        <w:t xml:space="preserve">2.1 </w:t>
      </w:r>
      <w:r w:rsidR="4DD21A85" w:rsidRPr="00226C43">
        <w:t xml:space="preserve">To what extent have targets for the IOs and EOPOs been attained? </w:t>
      </w:r>
    </w:p>
    <w:p w14:paraId="165B97C5" w14:textId="2A59EF3C" w:rsidR="00E70126" w:rsidRPr="00226C43" w:rsidRDefault="005142BC" w:rsidP="00925CC1">
      <w:pPr>
        <w:pStyle w:val="ListBullet10"/>
        <w:numPr>
          <w:ilvl w:val="0"/>
          <w:numId w:val="7"/>
        </w:numPr>
      </w:pPr>
      <w:r w:rsidRPr="00226C43">
        <w:t xml:space="preserve">2.2 </w:t>
      </w:r>
      <w:r w:rsidR="4DD21A85" w:rsidRPr="00226C43">
        <w:t xml:space="preserve">What factors were crucial for the achievement or failure to achieve AAAEP–P outcomes? </w:t>
      </w:r>
    </w:p>
    <w:p w14:paraId="52DA18FD" w14:textId="5409561C" w:rsidR="00E70126" w:rsidRPr="00226C43" w:rsidRDefault="005142BC" w:rsidP="00925CC1">
      <w:pPr>
        <w:pStyle w:val="ListBullet10"/>
        <w:numPr>
          <w:ilvl w:val="0"/>
          <w:numId w:val="7"/>
        </w:numPr>
      </w:pPr>
      <w:r w:rsidRPr="00226C43">
        <w:t xml:space="preserve">2.3 </w:t>
      </w:r>
      <w:r w:rsidR="4DD21A85" w:rsidRPr="00226C43">
        <w:t xml:space="preserve">Was AAAEP–P’s reach (e.g., number of long–term scholarship slots and short course participants, etc.) sufficient to realise the required scale of change? </w:t>
      </w:r>
    </w:p>
    <w:p w14:paraId="13FD7323" w14:textId="2CDDFD4E" w:rsidR="00E70126" w:rsidRPr="00226C43" w:rsidRDefault="005142BC" w:rsidP="00925CC1">
      <w:pPr>
        <w:pStyle w:val="ListBullet10"/>
        <w:numPr>
          <w:ilvl w:val="0"/>
          <w:numId w:val="7"/>
        </w:numPr>
      </w:pPr>
      <w:r w:rsidRPr="00226C43">
        <w:t xml:space="preserve">2.4 </w:t>
      </w:r>
      <w:r w:rsidR="00E70126" w:rsidRPr="00226C43">
        <w:t>To what extent has AAAEP–P changed norms or processes among its partner GPH agencies (i.e., the processes for utilising the benefits of alumni)?</w:t>
      </w:r>
      <w:r w:rsidR="00E70126" w:rsidRPr="00226C43">
        <w:rPr>
          <w:rFonts w:cs="Cordia New (Body CS)"/>
          <w:vertAlign w:val="superscript"/>
        </w:rPr>
        <w:footnoteReference w:id="37"/>
      </w:r>
      <w:r w:rsidR="00E70126" w:rsidRPr="00226C43">
        <w:t xml:space="preserve"> </w:t>
      </w:r>
    </w:p>
    <w:p w14:paraId="7D36B54A" w14:textId="19FADEC3" w:rsidR="00E70126" w:rsidRPr="00226C43" w:rsidRDefault="005142BC" w:rsidP="00925CC1">
      <w:pPr>
        <w:pStyle w:val="ListBullet10"/>
        <w:numPr>
          <w:ilvl w:val="0"/>
          <w:numId w:val="7"/>
        </w:numPr>
        <w:rPr>
          <w:rFonts w:cs="Cordia New (Body CS)"/>
          <w:vertAlign w:val="superscript"/>
        </w:rPr>
      </w:pPr>
      <w:r w:rsidRPr="00226C43">
        <w:t xml:space="preserve">2.5 </w:t>
      </w:r>
      <w:r w:rsidR="00E70126" w:rsidRPr="00226C43">
        <w:t>To what extent has AAAEP–P changed the lives of its beneficiaries (alumni) in the priority sectors?</w:t>
      </w:r>
      <w:r w:rsidR="00E70126" w:rsidRPr="00226C43">
        <w:rPr>
          <w:rFonts w:cs="Cordia New (Body CS)"/>
          <w:vertAlign w:val="superscript"/>
        </w:rPr>
        <w:footnoteReference w:id="38"/>
      </w:r>
      <w:r w:rsidR="00E70126" w:rsidRPr="00226C43">
        <w:rPr>
          <w:rFonts w:cs="Cordia New (Body CS)"/>
          <w:vertAlign w:val="superscript"/>
        </w:rPr>
        <w:t xml:space="preserve"> </w:t>
      </w:r>
    </w:p>
    <w:p w14:paraId="36D5E533" w14:textId="24FACB14" w:rsidR="00E70126" w:rsidRPr="00226C43" w:rsidRDefault="005142BC" w:rsidP="00925CC1">
      <w:pPr>
        <w:pStyle w:val="ListBullet10"/>
        <w:numPr>
          <w:ilvl w:val="0"/>
          <w:numId w:val="7"/>
        </w:numPr>
      </w:pPr>
      <w:r w:rsidRPr="00226C43">
        <w:t xml:space="preserve">2.6 </w:t>
      </w:r>
      <w:r w:rsidR="4DD21A85" w:rsidRPr="00226C43">
        <w:t>How well does AAAEP–P routinely collect and use MEL data and reports, including for management decision–making, learning and accountability purposes?</w:t>
      </w:r>
    </w:p>
    <w:p w14:paraId="46C69F2F" w14:textId="0EEE6436" w:rsidR="00E70126" w:rsidRPr="00226C43" w:rsidRDefault="005142BC" w:rsidP="00925CC1">
      <w:pPr>
        <w:pStyle w:val="ListBullet10"/>
        <w:numPr>
          <w:ilvl w:val="0"/>
          <w:numId w:val="7"/>
        </w:numPr>
      </w:pPr>
      <w:r w:rsidRPr="00226C43">
        <w:t xml:space="preserve">2.7 </w:t>
      </w:r>
      <w:r w:rsidR="4DD21A85" w:rsidRPr="00226C43">
        <w:t>How well does AAAEP–P manage risk and to what extent are risk management policies and procedures (including in relation to fraud control and safeguards) followed?</w:t>
      </w:r>
    </w:p>
    <w:p w14:paraId="4CD596C1" w14:textId="65A3951D" w:rsidR="00E70126" w:rsidRPr="00226C43" w:rsidRDefault="005142BC" w:rsidP="00925CC1">
      <w:pPr>
        <w:pStyle w:val="ListBullet10"/>
        <w:numPr>
          <w:ilvl w:val="0"/>
          <w:numId w:val="7"/>
        </w:numPr>
      </w:pPr>
      <w:r w:rsidRPr="00226C43">
        <w:t xml:space="preserve">2.8 </w:t>
      </w:r>
      <w:r w:rsidR="4DD21A85" w:rsidRPr="00226C43">
        <w:t xml:space="preserve">To what extent has the AAAEP–P achieved its GEDSI (mainstreaming) targets with reference to Post’s Gender/GEDSI Action Plan and the AAAEP–P's specific GEDSI targets? </w:t>
      </w:r>
    </w:p>
    <w:p w14:paraId="39054B4C" w14:textId="77777777" w:rsidR="00E70126" w:rsidRPr="00226C43" w:rsidRDefault="005142BC" w:rsidP="00925CC1">
      <w:pPr>
        <w:pStyle w:val="ListBullet10"/>
        <w:numPr>
          <w:ilvl w:val="0"/>
          <w:numId w:val="7"/>
        </w:numPr>
      </w:pPr>
      <w:r w:rsidRPr="00226C43">
        <w:t xml:space="preserve">2.9 </w:t>
      </w:r>
      <w:r w:rsidR="4DD21A85" w:rsidRPr="00226C43">
        <w:t>Were the target outcomes appropriate and related to the program objectives?</w:t>
      </w:r>
    </w:p>
    <w:p w14:paraId="1B266CA4" w14:textId="34FAFD3D" w:rsidR="00E70126" w:rsidRPr="00226C43" w:rsidRDefault="005142BC" w:rsidP="4DD21A85">
      <w:r w:rsidRPr="00226C43">
        <w:rPr>
          <w:b/>
          <w:bCs/>
        </w:rPr>
        <w:t xml:space="preserve">KEQ3. </w:t>
      </w:r>
      <w:r w:rsidR="4DD21A85" w:rsidRPr="00226C43">
        <w:rPr>
          <w:b/>
          <w:bCs/>
        </w:rPr>
        <w:t>Efficiency:</w:t>
      </w:r>
      <w:r w:rsidR="4DD21A85" w:rsidRPr="00226C43">
        <w:t xml:space="preserve"> To what extent was AAAEP–P administered and delivered efficiently? </w:t>
      </w:r>
    </w:p>
    <w:p w14:paraId="2C2294BD" w14:textId="77777777" w:rsidR="00E70126" w:rsidRPr="00226C43" w:rsidRDefault="005142BC" w:rsidP="00925CC1">
      <w:pPr>
        <w:pStyle w:val="ListBullet10"/>
        <w:numPr>
          <w:ilvl w:val="0"/>
          <w:numId w:val="7"/>
        </w:numPr>
      </w:pPr>
      <w:r w:rsidRPr="00226C43">
        <w:lastRenderedPageBreak/>
        <w:t xml:space="preserve">3.1 </w:t>
      </w:r>
      <w:r w:rsidR="4DD21A85" w:rsidRPr="00226C43">
        <w:t xml:space="preserve">What, if any, significant administrative constraints or unexpected costs were experienced, and how were they managed? </w:t>
      </w:r>
    </w:p>
    <w:p w14:paraId="45B0E33D" w14:textId="77777777" w:rsidR="00E70126" w:rsidRPr="00226C43" w:rsidRDefault="005142BC" w:rsidP="00925CC1">
      <w:pPr>
        <w:pStyle w:val="ListBullet10"/>
        <w:numPr>
          <w:ilvl w:val="0"/>
          <w:numId w:val="7"/>
        </w:numPr>
      </w:pPr>
      <w:r w:rsidRPr="00226C43">
        <w:t xml:space="preserve">3.2 </w:t>
      </w:r>
      <w:r w:rsidR="4DD21A85" w:rsidRPr="00226C43">
        <w:t xml:space="preserve">Were program resources used appropriately/proportionally to the results achieved? </w:t>
      </w:r>
    </w:p>
    <w:p w14:paraId="2E0A6710" w14:textId="4486ED5A" w:rsidR="00E70126" w:rsidRPr="00226C43" w:rsidRDefault="005142BC" w:rsidP="00925CC1">
      <w:pPr>
        <w:pStyle w:val="ListBullet10"/>
        <w:numPr>
          <w:ilvl w:val="0"/>
          <w:numId w:val="7"/>
        </w:numPr>
      </w:pPr>
      <w:r w:rsidRPr="00226C43">
        <w:t xml:space="preserve">3.3 </w:t>
      </w:r>
      <w:r w:rsidR="4DD21A85" w:rsidRPr="00226C43">
        <w:t xml:space="preserve">Was AAAEP–P an efficient use of resources compared to similar programs or with alternative ways of achieving the same outcomes? </w:t>
      </w:r>
    </w:p>
    <w:p w14:paraId="6020AABA" w14:textId="7EF34BEA" w:rsidR="00E70126" w:rsidRPr="00226C43" w:rsidRDefault="005142BC" w:rsidP="00925CC1">
      <w:pPr>
        <w:pStyle w:val="ListBullet10"/>
        <w:numPr>
          <w:ilvl w:val="0"/>
          <w:numId w:val="7"/>
        </w:numPr>
      </w:pPr>
      <w:r w:rsidRPr="00226C43">
        <w:t xml:space="preserve">3.4 </w:t>
      </w:r>
      <w:r w:rsidR="4DD21A85" w:rsidRPr="00226C43">
        <w:t xml:space="preserve">How did AAAEP–P allocate resources to achieve inclusive, equitable and gender–transformative (if not, responsive) results? </w:t>
      </w:r>
    </w:p>
    <w:p w14:paraId="60427A35" w14:textId="6AEB73AA" w:rsidR="00E70126" w:rsidRPr="00226C43" w:rsidRDefault="005142BC" w:rsidP="4DD21A85">
      <w:r w:rsidRPr="00226C43">
        <w:rPr>
          <w:b/>
          <w:bCs/>
        </w:rPr>
        <w:t xml:space="preserve">KEQ4. </w:t>
      </w:r>
      <w:r w:rsidR="4DD21A85" w:rsidRPr="00226C43">
        <w:rPr>
          <w:b/>
          <w:bCs/>
        </w:rPr>
        <w:t>Sustainability:</w:t>
      </w:r>
      <w:r w:rsidR="4DD21A85" w:rsidRPr="00226C43">
        <w:t xml:space="preserve"> To what extent are AAAEP–P stakeholders (e.g., partner organisations and alumni communities, etc.) capable and prepared to continue the positive effects of the program without support in the long term (e.g., influencing a GPH enabling environment that supports GEDSI)?</w:t>
      </w:r>
    </w:p>
    <w:p w14:paraId="71573EE2" w14:textId="77777777" w:rsidR="00E70126" w:rsidRPr="00226C43" w:rsidRDefault="005142BC" w:rsidP="00925CC1">
      <w:pPr>
        <w:pStyle w:val="ListBullet10"/>
        <w:numPr>
          <w:ilvl w:val="0"/>
          <w:numId w:val="7"/>
        </w:numPr>
        <w:rPr>
          <w:lang w:bidi="th-TH"/>
        </w:rPr>
      </w:pPr>
      <w:r w:rsidRPr="00226C43">
        <w:t xml:space="preserve">4.1 </w:t>
      </w:r>
      <w:r w:rsidR="4DD21A85" w:rsidRPr="00226C43">
        <w:t>How will formal community of practice alumni groups continue</w:t>
      </w:r>
      <w:r w:rsidR="4DD21A85" w:rsidRPr="00226C43">
        <w:rPr>
          <w:lang w:bidi="th-TH"/>
        </w:rPr>
        <w:t xml:space="preserve"> to conduct activities without sustained funding from the Australian Government?</w:t>
      </w:r>
    </w:p>
    <w:p w14:paraId="7983F015" w14:textId="3EEBF4C4" w:rsidR="009C6630" w:rsidRPr="00226C43" w:rsidRDefault="009C6630" w:rsidP="00925CC1">
      <w:pPr>
        <w:pStyle w:val="ListBullet10"/>
        <w:numPr>
          <w:ilvl w:val="0"/>
          <w:numId w:val="7"/>
        </w:numPr>
      </w:pPr>
      <w:r w:rsidRPr="00226C43">
        <w:t>4.2 To what extent are stakeholders capable and willing to continue to influence a GPH enabling environment that supports GEDSI?</w:t>
      </w:r>
    </w:p>
    <w:p w14:paraId="3223B33B" w14:textId="3DE8720E" w:rsidR="00E70126" w:rsidRPr="00226C43" w:rsidRDefault="005142BC" w:rsidP="00724927">
      <w:r w:rsidRPr="00226C43">
        <w:rPr>
          <w:b/>
          <w:bCs/>
        </w:rPr>
        <w:t xml:space="preserve">KEQ5. </w:t>
      </w:r>
      <w:r w:rsidR="4DD21A85" w:rsidRPr="00226C43">
        <w:rPr>
          <w:b/>
          <w:bCs/>
        </w:rPr>
        <w:t>GEDSI:</w:t>
      </w:r>
      <w:r w:rsidR="4DD21A85" w:rsidRPr="00226C43">
        <w:t xml:space="preserve"> Questions related to equity and inclusion are integrated in each of the evaluation criteria to examine the extent, benefits, challenges and lessons learned in GEDSI mainstreaming used by the AAAEP–P.</w:t>
      </w:r>
    </w:p>
    <w:p w14:paraId="075E2E31" w14:textId="77777777" w:rsidR="003F2DD7" w:rsidRPr="00226C43" w:rsidRDefault="003F2DD7" w:rsidP="4DD21A85">
      <w:pPr>
        <w:suppressAutoHyphens w:val="0"/>
        <w:spacing w:after="0"/>
        <w:sectPr w:rsidR="003F2DD7" w:rsidRPr="00226C43" w:rsidSect="000E1C28">
          <w:headerReference w:type="default" r:id="rId21"/>
          <w:footerReference w:type="default" r:id="rId22"/>
          <w:pgSz w:w="11906" w:h="16838"/>
          <w:pgMar w:top="1440" w:right="1440" w:bottom="1440" w:left="1440" w:header="567" w:footer="567" w:gutter="0"/>
          <w:cols w:space="708"/>
          <w:titlePg/>
          <w:docGrid w:linePitch="360"/>
        </w:sectPr>
      </w:pPr>
    </w:p>
    <w:p w14:paraId="0E960AB5" w14:textId="256669B1" w:rsidR="003F2DD7" w:rsidRPr="00226C43" w:rsidRDefault="4DD21A85" w:rsidP="005A698C">
      <w:pPr>
        <w:pStyle w:val="Appendices"/>
        <w:rPr>
          <w:rFonts w:asciiTheme="minorHAnsi" w:hAnsiTheme="minorHAnsi"/>
          <w:color w:val="auto"/>
        </w:rPr>
      </w:pPr>
      <w:bookmarkStart w:id="60" w:name="_Toc190195430"/>
      <w:bookmarkStart w:id="61" w:name="_Toc190248327"/>
      <w:r w:rsidRPr="00226C43">
        <w:rPr>
          <w:rFonts w:asciiTheme="minorHAnsi" w:hAnsiTheme="minorHAnsi"/>
          <w:color w:val="auto"/>
        </w:rPr>
        <w:lastRenderedPageBreak/>
        <w:t>Data Collection Guide</w:t>
      </w:r>
      <w:bookmarkEnd w:id="60"/>
      <w:bookmarkEnd w:id="61"/>
    </w:p>
    <w:p w14:paraId="7F2BE434" w14:textId="2A0ABFD2" w:rsidR="004F4507" w:rsidRPr="00226C43" w:rsidRDefault="4DD21A85" w:rsidP="4DD21A85">
      <w:r w:rsidRPr="00226C43">
        <w:t>The Evaluation Team used the data collection guide below for information gathering.</w:t>
      </w:r>
      <w:r w:rsidR="0078429F" w:rsidRPr="00226C43">
        <w:t xml:space="preserve"> </w:t>
      </w:r>
      <w:r w:rsidRPr="00226C43">
        <w:t>Questions were tailored during interviews as needed.</w:t>
      </w:r>
    </w:p>
    <w:p w14:paraId="1597FF0E" w14:textId="44A25025" w:rsidR="00574D10" w:rsidRPr="00226C43" w:rsidRDefault="00511F8A" w:rsidP="00511F8A">
      <w:pPr>
        <w:spacing w:after="0"/>
        <w:jc w:val="center"/>
        <w:rPr>
          <w:b/>
          <w:bCs/>
        </w:rPr>
      </w:pPr>
      <w:r w:rsidRPr="00226C43">
        <w:rPr>
          <w:b/>
          <w:bCs/>
        </w:rPr>
        <w:t>SUMMATIVE EVALUATION</w:t>
      </w:r>
    </w:p>
    <w:p w14:paraId="03208A9D" w14:textId="77777777" w:rsidR="00574D10" w:rsidRDefault="00574D10" w:rsidP="00511F8A">
      <w:pPr>
        <w:spacing w:after="0"/>
        <w:jc w:val="center"/>
        <w:rPr>
          <w:b/>
          <w:bCs/>
        </w:rPr>
      </w:pPr>
      <w:r w:rsidRPr="00226C43">
        <w:rPr>
          <w:b/>
          <w:bCs/>
        </w:rPr>
        <w:t>Relevance</w:t>
      </w:r>
    </w:p>
    <w:p w14:paraId="720AED60" w14:textId="705F5AE0" w:rsidR="00724927" w:rsidRPr="00724927" w:rsidRDefault="00724927" w:rsidP="00724927">
      <w:pPr>
        <w:spacing w:after="0"/>
        <w:rPr>
          <w:b/>
          <w:bCs/>
          <w:sz w:val="20"/>
          <w:szCs w:val="20"/>
        </w:rPr>
      </w:pPr>
      <w:r w:rsidRPr="00724927">
        <w:rPr>
          <w:b/>
          <w:bCs/>
          <w:sz w:val="20"/>
          <w:szCs w:val="20"/>
        </w:rPr>
        <w:t>Key Evaluation Question (KEQ) 1</w:t>
      </w:r>
      <w:r>
        <w:rPr>
          <w:b/>
          <w:bCs/>
          <w:sz w:val="20"/>
          <w:szCs w:val="20"/>
        </w:rPr>
        <w:t xml:space="preserve">: </w:t>
      </w:r>
      <w:r w:rsidRPr="00724927">
        <w:rPr>
          <w:b/>
          <w:bCs/>
          <w:sz w:val="20"/>
          <w:szCs w:val="20"/>
        </w:rPr>
        <w:t xml:space="preserve">To what extent does AAAEP–P align with the strategic priorities and needs of the </w:t>
      </w:r>
      <w:proofErr w:type="spellStart"/>
      <w:r w:rsidRPr="00724927">
        <w:rPr>
          <w:b/>
          <w:bCs/>
          <w:sz w:val="20"/>
          <w:szCs w:val="20"/>
        </w:rPr>
        <w:t>GoA</w:t>
      </w:r>
      <w:proofErr w:type="spellEnd"/>
      <w:r w:rsidRPr="00724927">
        <w:rPr>
          <w:b/>
          <w:bCs/>
          <w:sz w:val="20"/>
          <w:szCs w:val="20"/>
        </w:rPr>
        <w:t xml:space="preserve"> and the GPH?</w:t>
      </w:r>
    </w:p>
    <w:tbl>
      <w:tblPr>
        <w:tblStyle w:val="TableGrid"/>
        <w:tblW w:w="0" w:type="auto"/>
        <w:tblLook w:val="0620" w:firstRow="1" w:lastRow="0" w:firstColumn="0" w:lastColumn="0" w:noHBand="1" w:noVBand="1"/>
      </w:tblPr>
      <w:tblGrid>
        <w:gridCol w:w="5763"/>
        <w:gridCol w:w="3253"/>
      </w:tblGrid>
      <w:tr w:rsidR="00226C43" w:rsidRPr="00226C43" w14:paraId="0F3A1352" w14:textId="77777777" w:rsidTr="00724927">
        <w:trPr>
          <w:tblHeader/>
        </w:trPr>
        <w:tc>
          <w:tcPr>
            <w:tcW w:w="0" w:type="auto"/>
            <w:shd w:val="clear" w:color="auto" w:fill="DEDFDF" w:themeFill="text2" w:themeFillTint="33"/>
            <w:hideMark/>
          </w:tcPr>
          <w:p w14:paraId="50F47FC4" w14:textId="77777777" w:rsidR="00574D10" w:rsidRPr="00226C43" w:rsidRDefault="00574D10" w:rsidP="00511F8A">
            <w:pPr>
              <w:spacing w:after="0"/>
              <w:rPr>
                <w:sz w:val="20"/>
                <w:szCs w:val="20"/>
              </w:rPr>
            </w:pPr>
            <w:r w:rsidRPr="00226C43">
              <w:rPr>
                <w:b/>
                <w:bCs/>
                <w:sz w:val="20"/>
                <w:szCs w:val="20"/>
              </w:rPr>
              <w:t>Sub-Questions</w:t>
            </w:r>
          </w:p>
        </w:tc>
        <w:tc>
          <w:tcPr>
            <w:tcW w:w="0" w:type="auto"/>
            <w:shd w:val="clear" w:color="auto" w:fill="DEDFDF" w:themeFill="text2" w:themeFillTint="33"/>
            <w:hideMark/>
          </w:tcPr>
          <w:p w14:paraId="4ED652FA" w14:textId="77777777" w:rsidR="00574D10" w:rsidRPr="00226C43" w:rsidRDefault="00574D10" w:rsidP="00511F8A">
            <w:pPr>
              <w:spacing w:after="0"/>
              <w:rPr>
                <w:sz w:val="20"/>
                <w:szCs w:val="20"/>
              </w:rPr>
            </w:pPr>
            <w:r w:rsidRPr="00226C43">
              <w:rPr>
                <w:b/>
                <w:bCs/>
                <w:sz w:val="20"/>
                <w:szCs w:val="20"/>
              </w:rPr>
              <w:t>Data Sources and Method</w:t>
            </w:r>
          </w:p>
        </w:tc>
      </w:tr>
      <w:tr w:rsidR="00226C43" w:rsidRPr="00226C43" w14:paraId="29381508" w14:textId="77777777" w:rsidTr="000166CB">
        <w:tc>
          <w:tcPr>
            <w:tcW w:w="0" w:type="auto"/>
            <w:hideMark/>
          </w:tcPr>
          <w:p w14:paraId="4203E3BE" w14:textId="77777777" w:rsidR="00574D10" w:rsidRPr="00226C43" w:rsidRDefault="00574D10" w:rsidP="00511F8A">
            <w:pPr>
              <w:spacing w:after="0"/>
              <w:rPr>
                <w:sz w:val="20"/>
                <w:szCs w:val="20"/>
              </w:rPr>
            </w:pPr>
            <w:r w:rsidRPr="00226C43">
              <w:rPr>
                <w:sz w:val="20"/>
                <w:szCs w:val="20"/>
              </w:rPr>
              <w:t>1.1 To what extent does AAAEP–P support the GPH in implementing its development policies?</w:t>
            </w:r>
          </w:p>
        </w:tc>
        <w:tc>
          <w:tcPr>
            <w:tcW w:w="0" w:type="auto"/>
            <w:hideMark/>
          </w:tcPr>
          <w:p w14:paraId="2A44B748" w14:textId="77777777" w:rsidR="00574D10" w:rsidRPr="00226C43" w:rsidRDefault="00574D10" w:rsidP="00511F8A">
            <w:pPr>
              <w:spacing w:after="0"/>
              <w:rPr>
                <w:sz w:val="20"/>
                <w:szCs w:val="20"/>
              </w:rPr>
            </w:pPr>
            <w:r w:rsidRPr="00226C43">
              <w:rPr>
                <w:sz w:val="20"/>
                <w:szCs w:val="20"/>
              </w:rPr>
              <w:t>Program Documents, GPH policies, Interviews, FGDs</w:t>
            </w:r>
          </w:p>
        </w:tc>
      </w:tr>
      <w:tr w:rsidR="00226C43" w:rsidRPr="00226C43" w14:paraId="4604639D" w14:textId="77777777" w:rsidTr="000166CB">
        <w:tc>
          <w:tcPr>
            <w:tcW w:w="0" w:type="auto"/>
            <w:hideMark/>
          </w:tcPr>
          <w:p w14:paraId="678B9F82" w14:textId="77777777" w:rsidR="00574D10" w:rsidRPr="00226C43" w:rsidRDefault="00574D10" w:rsidP="00511F8A">
            <w:pPr>
              <w:spacing w:after="0"/>
              <w:rPr>
                <w:sz w:val="20"/>
                <w:szCs w:val="20"/>
              </w:rPr>
            </w:pPr>
            <w:r w:rsidRPr="00226C43">
              <w:rPr>
                <w:sz w:val="20"/>
                <w:szCs w:val="20"/>
              </w:rPr>
              <w:t xml:space="preserve">1.2 To what extent is AAAEP–P consistent with the </w:t>
            </w:r>
            <w:proofErr w:type="spellStart"/>
            <w:r w:rsidRPr="00226C43">
              <w:rPr>
                <w:sz w:val="20"/>
                <w:szCs w:val="20"/>
              </w:rPr>
              <w:t>GoA’s</w:t>
            </w:r>
            <w:proofErr w:type="spellEnd"/>
            <w:r w:rsidRPr="00226C43">
              <w:rPr>
                <w:sz w:val="20"/>
                <w:szCs w:val="20"/>
              </w:rPr>
              <w:t xml:space="preserve"> strategic priorities?</w:t>
            </w:r>
          </w:p>
        </w:tc>
        <w:tc>
          <w:tcPr>
            <w:tcW w:w="0" w:type="auto"/>
            <w:hideMark/>
          </w:tcPr>
          <w:p w14:paraId="727322A1" w14:textId="77777777" w:rsidR="00574D10" w:rsidRPr="00226C43" w:rsidRDefault="00574D10" w:rsidP="00511F8A">
            <w:pPr>
              <w:spacing w:after="0"/>
              <w:rPr>
                <w:sz w:val="20"/>
                <w:szCs w:val="20"/>
              </w:rPr>
            </w:pPr>
            <w:proofErr w:type="spellStart"/>
            <w:r w:rsidRPr="00226C43">
              <w:rPr>
                <w:sz w:val="20"/>
                <w:szCs w:val="20"/>
              </w:rPr>
              <w:t>GoA</w:t>
            </w:r>
            <w:proofErr w:type="spellEnd"/>
            <w:r w:rsidRPr="00226C43">
              <w:rPr>
                <w:sz w:val="20"/>
                <w:szCs w:val="20"/>
              </w:rPr>
              <w:t xml:space="preserve"> documents, Interviews</w:t>
            </w:r>
          </w:p>
        </w:tc>
      </w:tr>
      <w:tr w:rsidR="00226C43" w:rsidRPr="00226C43" w14:paraId="1676D480" w14:textId="77777777" w:rsidTr="000166CB">
        <w:tc>
          <w:tcPr>
            <w:tcW w:w="0" w:type="auto"/>
            <w:hideMark/>
          </w:tcPr>
          <w:p w14:paraId="316E51E2" w14:textId="77777777" w:rsidR="00574D10" w:rsidRPr="00226C43" w:rsidRDefault="00574D10" w:rsidP="00511F8A">
            <w:pPr>
              <w:spacing w:after="0"/>
              <w:rPr>
                <w:sz w:val="20"/>
                <w:szCs w:val="20"/>
              </w:rPr>
            </w:pPr>
            <w:r w:rsidRPr="00226C43">
              <w:rPr>
                <w:sz w:val="20"/>
                <w:szCs w:val="20"/>
              </w:rPr>
              <w:t>1.3 To what extent do AAAEP–P's GEDSI priorities align with and support GPH priorities?</w:t>
            </w:r>
          </w:p>
        </w:tc>
        <w:tc>
          <w:tcPr>
            <w:tcW w:w="0" w:type="auto"/>
            <w:hideMark/>
          </w:tcPr>
          <w:p w14:paraId="70480864" w14:textId="77777777" w:rsidR="00574D10" w:rsidRPr="00226C43" w:rsidRDefault="00574D10" w:rsidP="00511F8A">
            <w:pPr>
              <w:spacing w:after="0"/>
              <w:rPr>
                <w:sz w:val="20"/>
                <w:szCs w:val="20"/>
              </w:rPr>
            </w:pPr>
            <w:proofErr w:type="spellStart"/>
            <w:r w:rsidRPr="00226C43">
              <w:rPr>
                <w:sz w:val="20"/>
                <w:szCs w:val="20"/>
              </w:rPr>
              <w:t>GoA</w:t>
            </w:r>
            <w:proofErr w:type="spellEnd"/>
            <w:r w:rsidRPr="00226C43">
              <w:rPr>
                <w:sz w:val="20"/>
                <w:szCs w:val="20"/>
              </w:rPr>
              <w:t xml:space="preserve"> documents, Interviews</w:t>
            </w:r>
          </w:p>
        </w:tc>
      </w:tr>
      <w:tr w:rsidR="00226C43" w:rsidRPr="00226C43" w14:paraId="119D50C2" w14:textId="77777777" w:rsidTr="000166CB">
        <w:tc>
          <w:tcPr>
            <w:tcW w:w="0" w:type="auto"/>
            <w:hideMark/>
          </w:tcPr>
          <w:p w14:paraId="67C2E2D4" w14:textId="77777777" w:rsidR="00574D10" w:rsidRPr="00226C43" w:rsidRDefault="00574D10" w:rsidP="00511F8A">
            <w:pPr>
              <w:spacing w:after="0"/>
              <w:rPr>
                <w:sz w:val="20"/>
                <w:szCs w:val="20"/>
              </w:rPr>
            </w:pPr>
            <w:r w:rsidRPr="00226C43">
              <w:rPr>
                <w:sz w:val="20"/>
                <w:szCs w:val="20"/>
              </w:rPr>
              <w:t>1.4 To what extent is AAAEP–P consistent with Australian development policies, including but not limited to gender equality and disability and social inclusion (GEDSI)?</w:t>
            </w:r>
          </w:p>
        </w:tc>
        <w:tc>
          <w:tcPr>
            <w:tcW w:w="0" w:type="auto"/>
            <w:hideMark/>
          </w:tcPr>
          <w:p w14:paraId="3A84BEED" w14:textId="77777777" w:rsidR="00574D10" w:rsidRPr="00226C43" w:rsidRDefault="00574D10" w:rsidP="00511F8A">
            <w:pPr>
              <w:spacing w:after="0"/>
              <w:rPr>
                <w:sz w:val="20"/>
                <w:szCs w:val="20"/>
              </w:rPr>
            </w:pPr>
            <w:proofErr w:type="spellStart"/>
            <w:r w:rsidRPr="00226C43">
              <w:rPr>
                <w:sz w:val="20"/>
                <w:szCs w:val="20"/>
              </w:rPr>
              <w:t>GoA</w:t>
            </w:r>
            <w:proofErr w:type="spellEnd"/>
            <w:r w:rsidRPr="00226C43">
              <w:rPr>
                <w:sz w:val="20"/>
                <w:szCs w:val="20"/>
              </w:rPr>
              <w:t xml:space="preserve"> documents – International Development Policy; GEDSI Policies, Interviews</w:t>
            </w:r>
          </w:p>
        </w:tc>
      </w:tr>
      <w:tr w:rsidR="00226C43" w:rsidRPr="00226C43" w14:paraId="76D37B60" w14:textId="77777777" w:rsidTr="000166CB">
        <w:tc>
          <w:tcPr>
            <w:tcW w:w="0" w:type="auto"/>
            <w:hideMark/>
          </w:tcPr>
          <w:p w14:paraId="5B2FE0F7" w14:textId="77777777" w:rsidR="00574D10" w:rsidRPr="00226C43" w:rsidRDefault="00574D10" w:rsidP="00511F8A">
            <w:pPr>
              <w:spacing w:after="0"/>
              <w:rPr>
                <w:sz w:val="20"/>
                <w:szCs w:val="20"/>
              </w:rPr>
            </w:pPr>
            <w:r w:rsidRPr="00226C43">
              <w:rPr>
                <w:sz w:val="20"/>
                <w:szCs w:val="20"/>
              </w:rPr>
              <w:t>1.5 To what extent does AAAEP–P substitute or complement other interventions in the Philippines, regardless of funder?</w:t>
            </w:r>
          </w:p>
        </w:tc>
        <w:tc>
          <w:tcPr>
            <w:tcW w:w="0" w:type="auto"/>
            <w:hideMark/>
          </w:tcPr>
          <w:p w14:paraId="56D6504D" w14:textId="77777777" w:rsidR="00574D10" w:rsidRPr="00226C43" w:rsidRDefault="00574D10" w:rsidP="00511F8A">
            <w:pPr>
              <w:spacing w:after="0"/>
              <w:rPr>
                <w:sz w:val="20"/>
                <w:szCs w:val="20"/>
              </w:rPr>
            </w:pPr>
            <w:r w:rsidRPr="00226C43">
              <w:rPr>
                <w:sz w:val="20"/>
                <w:szCs w:val="20"/>
              </w:rPr>
              <w:t>Other DP’s program documents, Interviews</w:t>
            </w:r>
          </w:p>
        </w:tc>
      </w:tr>
    </w:tbl>
    <w:p w14:paraId="47FAE118" w14:textId="77777777" w:rsidR="00511F8A" w:rsidRPr="00226C43" w:rsidRDefault="00511F8A" w:rsidP="00511F8A">
      <w:pPr>
        <w:spacing w:after="0"/>
        <w:jc w:val="center"/>
        <w:rPr>
          <w:b/>
          <w:bCs/>
        </w:rPr>
      </w:pPr>
    </w:p>
    <w:p w14:paraId="2A31172D" w14:textId="352783DF" w:rsidR="00574D10" w:rsidRDefault="00574D10" w:rsidP="00511F8A">
      <w:pPr>
        <w:spacing w:after="0"/>
        <w:jc w:val="center"/>
        <w:rPr>
          <w:b/>
          <w:bCs/>
        </w:rPr>
      </w:pPr>
      <w:r w:rsidRPr="00226C43">
        <w:rPr>
          <w:b/>
          <w:bCs/>
        </w:rPr>
        <w:t>Effectiveness</w:t>
      </w:r>
    </w:p>
    <w:p w14:paraId="0F2BD0C5" w14:textId="72488813" w:rsidR="00724927" w:rsidRPr="00724927" w:rsidRDefault="00724927" w:rsidP="00724927">
      <w:pPr>
        <w:spacing w:after="0"/>
        <w:rPr>
          <w:b/>
          <w:bCs/>
          <w:sz w:val="20"/>
          <w:szCs w:val="20"/>
        </w:rPr>
      </w:pPr>
      <w:r w:rsidRPr="00724927">
        <w:rPr>
          <w:b/>
          <w:bCs/>
          <w:sz w:val="20"/>
          <w:szCs w:val="20"/>
        </w:rPr>
        <w:t>Key Evaluation Question (KEQ) 2</w:t>
      </w:r>
      <w:r>
        <w:rPr>
          <w:b/>
          <w:bCs/>
          <w:sz w:val="20"/>
          <w:szCs w:val="20"/>
        </w:rPr>
        <w:t xml:space="preserve">: </w:t>
      </w:r>
      <w:r w:rsidRPr="00724927">
        <w:rPr>
          <w:b/>
          <w:bCs/>
          <w:sz w:val="20"/>
          <w:szCs w:val="20"/>
        </w:rPr>
        <w:t>To what extent has AAAEP–P achieved its IOs and EOPOs?</w:t>
      </w:r>
    </w:p>
    <w:tbl>
      <w:tblPr>
        <w:tblStyle w:val="TableGrid"/>
        <w:tblW w:w="0" w:type="auto"/>
        <w:tblLook w:val="0620" w:firstRow="1" w:lastRow="0" w:firstColumn="0" w:lastColumn="0" w:noHBand="1" w:noVBand="1"/>
      </w:tblPr>
      <w:tblGrid>
        <w:gridCol w:w="5977"/>
        <w:gridCol w:w="3039"/>
      </w:tblGrid>
      <w:tr w:rsidR="00226C43" w:rsidRPr="00226C43" w14:paraId="779B599B" w14:textId="77777777" w:rsidTr="00724927">
        <w:trPr>
          <w:tblHeader/>
        </w:trPr>
        <w:tc>
          <w:tcPr>
            <w:tcW w:w="0" w:type="auto"/>
            <w:shd w:val="clear" w:color="auto" w:fill="DEDFDF" w:themeFill="text2" w:themeFillTint="33"/>
            <w:hideMark/>
          </w:tcPr>
          <w:p w14:paraId="432FA252" w14:textId="77777777" w:rsidR="00574D10" w:rsidRPr="00226C43" w:rsidRDefault="00574D10" w:rsidP="00511F8A">
            <w:pPr>
              <w:spacing w:after="0"/>
              <w:rPr>
                <w:sz w:val="20"/>
                <w:szCs w:val="20"/>
              </w:rPr>
            </w:pPr>
            <w:r w:rsidRPr="00226C43">
              <w:rPr>
                <w:b/>
                <w:bCs/>
                <w:sz w:val="20"/>
                <w:szCs w:val="20"/>
              </w:rPr>
              <w:t>Sub-Questions</w:t>
            </w:r>
          </w:p>
        </w:tc>
        <w:tc>
          <w:tcPr>
            <w:tcW w:w="0" w:type="auto"/>
            <w:shd w:val="clear" w:color="auto" w:fill="DEDFDF" w:themeFill="text2" w:themeFillTint="33"/>
            <w:hideMark/>
          </w:tcPr>
          <w:p w14:paraId="1572FE88" w14:textId="77777777" w:rsidR="00574D10" w:rsidRPr="00226C43" w:rsidRDefault="00574D10" w:rsidP="00511F8A">
            <w:pPr>
              <w:spacing w:after="0"/>
              <w:rPr>
                <w:sz w:val="20"/>
                <w:szCs w:val="20"/>
              </w:rPr>
            </w:pPr>
            <w:r w:rsidRPr="00226C43">
              <w:rPr>
                <w:b/>
                <w:bCs/>
                <w:sz w:val="20"/>
                <w:szCs w:val="20"/>
              </w:rPr>
              <w:t>Data Sources and Method</w:t>
            </w:r>
          </w:p>
        </w:tc>
      </w:tr>
      <w:tr w:rsidR="00226C43" w:rsidRPr="00226C43" w14:paraId="536E1E70" w14:textId="77777777" w:rsidTr="000166CB">
        <w:tc>
          <w:tcPr>
            <w:tcW w:w="0" w:type="auto"/>
            <w:hideMark/>
          </w:tcPr>
          <w:p w14:paraId="1DC983F9" w14:textId="77777777" w:rsidR="00574D10" w:rsidRPr="00226C43" w:rsidRDefault="00574D10" w:rsidP="00511F8A">
            <w:pPr>
              <w:spacing w:after="0"/>
              <w:rPr>
                <w:sz w:val="20"/>
                <w:szCs w:val="20"/>
              </w:rPr>
            </w:pPr>
            <w:r w:rsidRPr="00226C43">
              <w:rPr>
                <w:sz w:val="20"/>
                <w:szCs w:val="20"/>
              </w:rPr>
              <w:t>2.1 To what extent have targets for the IOs and EOPOs been attained?</w:t>
            </w:r>
          </w:p>
        </w:tc>
        <w:tc>
          <w:tcPr>
            <w:tcW w:w="0" w:type="auto"/>
            <w:hideMark/>
          </w:tcPr>
          <w:p w14:paraId="56D8BA40" w14:textId="77777777" w:rsidR="00574D10" w:rsidRPr="00226C43" w:rsidRDefault="00574D10" w:rsidP="00511F8A">
            <w:pPr>
              <w:spacing w:after="0"/>
              <w:rPr>
                <w:sz w:val="20"/>
                <w:szCs w:val="20"/>
              </w:rPr>
            </w:pPr>
            <w:r w:rsidRPr="00226C43">
              <w:rPr>
                <w:sz w:val="20"/>
                <w:szCs w:val="20"/>
              </w:rPr>
              <w:t>Program Reports, MTR, IMRs etc., Interviews</w:t>
            </w:r>
          </w:p>
        </w:tc>
      </w:tr>
      <w:tr w:rsidR="00226C43" w:rsidRPr="00226C43" w14:paraId="3D809D0F" w14:textId="77777777" w:rsidTr="000166CB">
        <w:tc>
          <w:tcPr>
            <w:tcW w:w="0" w:type="auto"/>
            <w:hideMark/>
          </w:tcPr>
          <w:p w14:paraId="42928BD3" w14:textId="77777777" w:rsidR="00574D10" w:rsidRPr="00226C43" w:rsidRDefault="00574D10" w:rsidP="00511F8A">
            <w:pPr>
              <w:spacing w:after="0"/>
              <w:rPr>
                <w:sz w:val="20"/>
                <w:szCs w:val="20"/>
              </w:rPr>
            </w:pPr>
            <w:r w:rsidRPr="00226C43">
              <w:rPr>
                <w:sz w:val="20"/>
                <w:szCs w:val="20"/>
              </w:rPr>
              <w:t>2.2 What factors were crucial for the achievement or failure to achieve AAAEP–P outcomes?</w:t>
            </w:r>
          </w:p>
        </w:tc>
        <w:tc>
          <w:tcPr>
            <w:tcW w:w="0" w:type="auto"/>
            <w:hideMark/>
          </w:tcPr>
          <w:p w14:paraId="0B0AEF07" w14:textId="77777777" w:rsidR="00574D10" w:rsidRPr="00226C43" w:rsidRDefault="00574D10" w:rsidP="00511F8A">
            <w:pPr>
              <w:spacing w:after="0"/>
              <w:rPr>
                <w:sz w:val="20"/>
                <w:szCs w:val="20"/>
              </w:rPr>
            </w:pPr>
            <w:r w:rsidRPr="00226C43">
              <w:rPr>
                <w:sz w:val="20"/>
                <w:szCs w:val="20"/>
              </w:rPr>
              <w:t>Program Reports, MTR, IMRs etc., PPA of MC, Interviews</w:t>
            </w:r>
          </w:p>
        </w:tc>
      </w:tr>
      <w:tr w:rsidR="00226C43" w:rsidRPr="00226C43" w14:paraId="1F9CFDDF" w14:textId="77777777" w:rsidTr="000166CB">
        <w:tc>
          <w:tcPr>
            <w:tcW w:w="0" w:type="auto"/>
            <w:hideMark/>
          </w:tcPr>
          <w:p w14:paraId="0A16272A" w14:textId="77777777" w:rsidR="00574D10" w:rsidRPr="00226C43" w:rsidRDefault="00574D10" w:rsidP="00511F8A">
            <w:pPr>
              <w:spacing w:after="0"/>
              <w:rPr>
                <w:sz w:val="20"/>
                <w:szCs w:val="20"/>
              </w:rPr>
            </w:pPr>
            <w:r w:rsidRPr="00226C43">
              <w:rPr>
                <w:sz w:val="20"/>
                <w:szCs w:val="20"/>
              </w:rPr>
              <w:t>2.3 Was AAAEP–P’s reach (e.g., number of long–term scholarship slots and short course participants, etc.) sufficient to realise the required scale of change?</w:t>
            </w:r>
          </w:p>
        </w:tc>
        <w:tc>
          <w:tcPr>
            <w:tcW w:w="0" w:type="auto"/>
            <w:hideMark/>
          </w:tcPr>
          <w:p w14:paraId="0EE91A27" w14:textId="77777777" w:rsidR="00574D10" w:rsidRPr="00226C43" w:rsidRDefault="00574D10" w:rsidP="00511F8A">
            <w:pPr>
              <w:spacing w:after="0"/>
              <w:rPr>
                <w:sz w:val="20"/>
                <w:szCs w:val="20"/>
              </w:rPr>
            </w:pPr>
            <w:r w:rsidRPr="00226C43">
              <w:rPr>
                <w:sz w:val="20"/>
                <w:szCs w:val="20"/>
              </w:rPr>
              <w:t>Program Reports, MTR, IMRs etc., Interviews</w:t>
            </w:r>
          </w:p>
        </w:tc>
      </w:tr>
      <w:tr w:rsidR="00226C43" w:rsidRPr="00226C43" w14:paraId="6F4B086E" w14:textId="77777777" w:rsidTr="000166CB">
        <w:tc>
          <w:tcPr>
            <w:tcW w:w="0" w:type="auto"/>
            <w:hideMark/>
          </w:tcPr>
          <w:p w14:paraId="64C41439" w14:textId="77777777" w:rsidR="00574D10" w:rsidRPr="00226C43" w:rsidRDefault="00574D10" w:rsidP="00511F8A">
            <w:pPr>
              <w:spacing w:after="0"/>
              <w:rPr>
                <w:sz w:val="20"/>
                <w:szCs w:val="20"/>
              </w:rPr>
            </w:pPr>
            <w:r w:rsidRPr="00226C43">
              <w:rPr>
                <w:sz w:val="20"/>
                <w:szCs w:val="20"/>
              </w:rPr>
              <w:t>2.4 To what extent has AAAEP–P changed norms or processes among its partner GPH agencies?</w:t>
            </w:r>
          </w:p>
        </w:tc>
        <w:tc>
          <w:tcPr>
            <w:tcW w:w="0" w:type="auto"/>
            <w:hideMark/>
          </w:tcPr>
          <w:p w14:paraId="5148C219" w14:textId="77777777" w:rsidR="00574D10" w:rsidRPr="00226C43" w:rsidRDefault="00574D10" w:rsidP="00511F8A">
            <w:pPr>
              <w:spacing w:after="0"/>
              <w:rPr>
                <w:sz w:val="20"/>
                <w:szCs w:val="20"/>
              </w:rPr>
            </w:pPr>
            <w:r w:rsidRPr="00226C43">
              <w:rPr>
                <w:sz w:val="20"/>
                <w:szCs w:val="20"/>
              </w:rPr>
              <w:t>GPH documents, Program Reports, MTR, IMRs etc., Interviews, FGDs, Survey</w:t>
            </w:r>
          </w:p>
        </w:tc>
      </w:tr>
      <w:tr w:rsidR="00226C43" w:rsidRPr="00226C43" w14:paraId="043ADD91" w14:textId="77777777" w:rsidTr="000166CB">
        <w:tc>
          <w:tcPr>
            <w:tcW w:w="0" w:type="auto"/>
            <w:hideMark/>
          </w:tcPr>
          <w:p w14:paraId="2C8F4B83" w14:textId="77777777" w:rsidR="00574D10" w:rsidRPr="00226C43" w:rsidRDefault="00574D10" w:rsidP="00511F8A">
            <w:pPr>
              <w:spacing w:after="0"/>
              <w:rPr>
                <w:sz w:val="20"/>
                <w:szCs w:val="20"/>
              </w:rPr>
            </w:pPr>
            <w:r w:rsidRPr="00226C43">
              <w:rPr>
                <w:sz w:val="20"/>
                <w:szCs w:val="20"/>
              </w:rPr>
              <w:t>2.5 To what extent has AAAEP–P changed the lives of its beneficiaries?</w:t>
            </w:r>
          </w:p>
        </w:tc>
        <w:tc>
          <w:tcPr>
            <w:tcW w:w="0" w:type="auto"/>
            <w:hideMark/>
          </w:tcPr>
          <w:p w14:paraId="1050BBA2" w14:textId="77777777" w:rsidR="00574D10" w:rsidRPr="00226C43" w:rsidRDefault="00574D10" w:rsidP="00511F8A">
            <w:pPr>
              <w:spacing w:after="0"/>
              <w:rPr>
                <w:sz w:val="20"/>
                <w:szCs w:val="20"/>
              </w:rPr>
            </w:pPr>
            <w:r w:rsidRPr="00226C43">
              <w:rPr>
                <w:sz w:val="20"/>
                <w:szCs w:val="20"/>
              </w:rPr>
              <w:t>Program Reports, MTR, IMRs etc., Interviews, FGDs, Survey</w:t>
            </w:r>
          </w:p>
        </w:tc>
      </w:tr>
      <w:tr w:rsidR="00226C43" w:rsidRPr="00226C43" w14:paraId="2C0C3A68" w14:textId="77777777" w:rsidTr="000166CB">
        <w:tc>
          <w:tcPr>
            <w:tcW w:w="0" w:type="auto"/>
            <w:hideMark/>
          </w:tcPr>
          <w:p w14:paraId="6152C17D" w14:textId="77777777" w:rsidR="00574D10" w:rsidRPr="00226C43" w:rsidRDefault="00574D10" w:rsidP="00511F8A">
            <w:pPr>
              <w:spacing w:after="0"/>
              <w:rPr>
                <w:sz w:val="20"/>
                <w:szCs w:val="20"/>
              </w:rPr>
            </w:pPr>
            <w:r w:rsidRPr="00226C43">
              <w:rPr>
                <w:sz w:val="20"/>
                <w:szCs w:val="20"/>
              </w:rPr>
              <w:t>2.6 How well does AAAEP–P routinely collect and use MEL data and reports, including for management decision–making, learning and accountability purposes?</w:t>
            </w:r>
          </w:p>
        </w:tc>
        <w:tc>
          <w:tcPr>
            <w:tcW w:w="0" w:type="auto"/>
            <w:hideMark/>
          </w:tcPr>
          <w:p w14:paraId="3ED5D2FE" w14:textId="77777777" w:rsidR="00574D10" w:rsidRPr="00226C43" w:rsidRDefault="00574D10" w:rsidP="00511F8A">
            <w:pPr>
              <w:spacing w:after="0"/>
              <w:rPr>
                <w:sz w:val="20"/>
                <w:szCs w:val="20"/>
              </w:rPr>
            </w:pPr>
            <w:r w:rsidRPr="00226C43">
              <w:rPr>
                <w:sz w:val="20"/>
                <w:szCs w:val="20"/>
              </w:rPr>
              <w:t>Program Reports, MTR, IMRs etc., Program Financial Reports, Interviews</w:t>
            </w:r>
          </w:p>
        </w:tc>
      </w:tr>
      <w:tr w:rsidR="00226C43" w:rsidRPr="00226C43" w14:paraId="20123947" w14:textId="77777777" w:rsidTr="000166CB">
        <w:tc>
          <w:tcPr>
            <w:tcW w:w="0" w:type="auto"/>
            <w:hideMark/>
          </w:tcPr>
          <w:p w14:paraId="6C298357" w14:textId="77777777" w:rsidR="00574D10" w:rsidRPr="00226C43" w:rsidRDefault="00574D10" w:rsidP="00511F8A">
            <w:pPr>
              <w:spacing w:after="0"/>
              <w:rPr>
                <w:sz w:val="20"/>
                <w:szCs w:val="20"/>
              </w:rPr>
            </w:pPr>
            <w:r w:rsidRPr="00226C43">
              <w:rPr>
                <w:sz w:val="20"/>
                <w:szCs w:val="20"/>
              </w:rPr>
              <w:t>2.7 How well does AAAEP–P manage risk and to what extent are risk management policies and procedures (including in relation to fraud control and safeguards) followed?</w:t>
            </w:r>
          </w:p>
        </w:tc>
        <w:tc>
          <w:tcPr>
            <w:tcW w:w="0" w:type="auto"/>
            <w:hideMark/>
          </w:tcPr>
          <w:p w14:paraId="0FA09F76" w14:textId="77777777" w:rsidR="00574D10" w:rsidRPr="00226C43" w:rsidRDefault="00574D10" w:rsidP="00511F8A">
            <w:pPr>
              <w:spacing w:after="0"/>
              <w:rPr>
                <w:sz w:val="20"/>
                <w:szCs w:val="20"/>
              </w:rPr>
            </w:pPr>
            <w:r w:rsidRPr="00226C43">
              <w:rPr>
                <w:sz w:val="20"/>
                <w:szCs w:val="20"/>
              </w:rPr>
              <w:t>Program Reports, MTR and Interviews</w:t>
            </w:r>
          </w:p>
        </w:tc>
      </w:tr>
      <w:tr w:rsidR="00226C43" w:rsidRPr="00226C43" w14:paraId="78880C54" w14:textId="77777777" w:rsidTr="000166CB">
        <w:tc>
          <w:tcPr>
            <w:tcW w:w="0" w:type="auto"/>
            <w:hideMark/>
          </w:tcPr>
          <w:p w14:paraId="762C103D" w14:textId="77777777" w:rsidR="00574D10" w:rsidRPr="00226C43" w:rsidRDefault="00574D10" w:rsidP="00511F8A">
            <w:pPr>
              <w:spacing w:after="0"/>
              <w:rPr>
                <w:sz w:val="20"/>
                <w:szCs w:val="20"/>
              </w:rPr>
            </w:pPr>
            <w:r w:rsidRPr="00226C43">
              <w:rPr>
                <w:sz w:val="20"/>
                <w:szCs w:val="20"/>
              </w:rPr>
              <w:t>2.8 To what extent has the AAAEP–P achieved its GEDSI (mainstreaming) targets with reference to Post’s Gender/GEDSI Action Plan and the AAAEP–P's specific GEDSI targets?</w:t>
            </w:r>
          </w:p>
        </w:tc>
        <w:tc>
          <w:tcPr>
            <w:tcW w:w="0" w:type="auto"/>
            <w:hideMark/>
          </w:tcPr>
          <w:p w14:paraId="1377DDE3" w14:textId="77777777" w:rsidR="00574D10" w:rsidRPr="00226C43" w:rsidRDefault="00574D10" w:rsidP="00511F8A">
            <w:pPr>
              <w:spacing w:after="0"/>
              <w:rPr>
                <w:sz w:val="20"/>
                <w:szCs w:val="20"/>
              </w:rPr>
            </w:pPr>
            <w:r w:rsidRPr="00226C43">
              <w:rPr>
                <w:sz w:val="20"/>
                <w:szCs w:val="20"/>
              </w:rPr>
              <w:t>Program Reports, MTR, IMRs etc., Interviews, FGDs, Survey</w:t>
            </w:r>
          </w:p>
        </w:tc>
      </w:tr>
      <w:tr w:rsidR="00226C43" w:rsidRPr="00226C43" w14:paraId="7989E6DE" w14:textId="77777777" w:rsidTr="000166CB">
        <w:tc>
          <w:tcPr>
            <w:tcW w:w="0" w:type="auto"/>
            <w:hideMark/>
          </w:tcPr>
          <w:p w14:paraId="164DDB91" w14:textId="77777777" w:rsidR="00574D10" w:rsidRPr="00226C43" w:rsidRDefault="00574D10" w:rsidP="00511F8A">
            <w:pPr>
              <w:spacing w:after="0"/>
              <w:rPr>
                <w:sz w:val="20"/>
                <w:szCs w:val="20"/>
              </w:rPr>
            </w:pPr>
            <w:r w:rsidRPr="00226C43">
              <w:rPr>
                <w:sz w:val="20"/>
                <w:szCs w:val="20"/>
              </w:rPr>
              <w:t>2.9 Were the target outcomes appropriate and related to the program objectives?</w:t>
            </w:r>
          </w:p>
        </w:tc>
        <w:tc>
          <w:tcPr>
            <w:tcW w:w="0" w:type="auto"/>
            <w:hideMark/>
          </w:tcPr>
          <w:p w14:paraId="43ED16A1" w14:textId="77777777" w:rsidR="00574D10" w:rsidRPr="00226C43" w:rsidRDefault="00574D10" w:rsidP="00511F8A">
            <w:pPr>
              <w:spacing w:after="0"/>
              <w:rPr>
                <w:sz w:val="20"/>
                <w:szCs w:val="20"/>
              </w:rPr>
            </w:pPr>
            <w:r w:rsidRPr="00226C43">
              <w:rPr>
                <w:sz w:val="20"/>
                <w:szCs w:val="20"/>
              </w:rPr>
              <w:t>Program Reports, MTR and Interviews</w:t>
            </w:r>
          </w:p>
        </w:tc>
      </w:tr>
    </w:tbl>
    <w:p w14:paraId="532DDE20" w14:textId="58CFBD86" w:rsidR="00724927" w:rsidRDefault="00724927" w:rsidP="00511F8A">
      <w:pPr>
        <w:spacing w:after="0"/>
        <w:rPr>
          <w:b/>
          <w:bCs/>
        </w:rPr>
      </w:pPr>
    </w:p>
    <w:p w14:paraId="34A6999E" w14:textId="77777777" w:rsidR="00724927" w:rsidRDefault="00724927">
      <w:pPr>
        <w:suppressAutoHyphens w:val="0"/>
        <w:spacing w:after="0"/>
        <w:rPr>
          <w:b/>
          <w:bCs/>
        </w:rPr>
      </w:pPr>
      <w:r>
        <w:rPr>
          <w:b/>
          <w:bCs/>
        </w:rPr>
        <w:br w:type="page"/>
      </w:r>
    </w:p>
    <w:p w14:paraId="3A6ABE52" w14:textId="3DE84BBD" w:rsidR="00574D10" w:rsidRDefault="00574D10" w:rsidP="00511F8A">
      <w:pPr>
        <w:spacing w:after="0"/>
        <w:jc w:val="center"/>
        <w:rPr>
          <w:b/>
          <w:bCs/>
        </w:rPr>
      </w:pPr>
      <w:r w:rsidRPr="00226C43">
        <w:rPr>
          <w:b/>
          <w:bCs/>
        </w:rPr>
        <w:lastRenderedPageBreak/>
        <w:t>Efficiency</w:t>
      </w:r>
    </w:p>
    <w:p w14:paraId="15504952" w14:textId="16E27C5D" w:rsidR="00724927" w:rsidRPr="00724927" w:rsidRDefault="00724927" w:rsidP="00724927">
      <w:pPr>
        <w:spacing w:after="0"/>
        <w:rPr>
          <w:b/>
          <w:bCs/>
          <w:sz w:val="20"/>
          <w:szCs w:val="20"/>
        </w:rPr>
      </w:pPr>
      <w:r w:rsidRPr="00724927">
        <w:rPr>
          <w:b/>
          <w:bCs/>
          <w:sz w:val="20"/>
          <w:szCs w:val="20"/>
        </w:rPr>
        <w:t>Key Evaluation Question (KEQ) 3: To what extent was AAAEP–P administered and delivered efficiently?</w:t>
      </w:r>
    </w:p>
    <w:tbl>
      <w:tblPr>
        <w:tblStyle w:val="TableGrid"/>
        <w:tblW w:w="0" w:type="auto"/>
        <w:tblLook w:val="0620" w:firstRow="1" w:lastRow="0" w:firstColumn="0" w:lastColumn="0" w:noHBand="1" w:noVBand="1"/>
      </w:tblPr>
      <w:tblGrid>
        <w:gridCol w:w="5934"/>
        <w:gridCol w:w="3082"/>
      </w:tblGrid>
      <w:tr w:rsidR="00226C43" w:rsidRPr="00226C43" w14:paraId="7B055831" w14:textId="77777777" w:rsidTr="00724927">
        <w:trPr>
          <w:tblHeader/>
        </w:trPr>
        <w:tc>
          <w:tcPr>
            <w:tcW w:w="0" w:type="auto"/>
            <w:shd w:val="clear" w:color="auto" w:fill="DEDFDF" w:themeFill="text2" w:themeFillTint="33"/>
            <w:hideMark/>
          </w:tcPr>
          <w:p w14:paraId="6FC5F5C5" w14:textId="77777777" w:rsidR="00574D10" w:rsidRPr="00226C43" w:rsidRDefault="00574D10" w:rsidP="00511F8A">
            <w:pPr>
              <w:spacing w:after="0"/>
              <w:rPr>
                <w:sz w:val="20"/>
                <w:szCs w:val="20"/>
              </w:rPr>
            </w:pPr>
            <w:r w:rsidRPr="00226C43">
              <w:rPr>
                <w:b/>
                <w:bCs/>
                <w:sz w:val="20"/>
                <w:szCs w:val="20"/>
              </w:rPr>
              <w:t>Sub-Questions</w:t>
            </w:r>
          </w:p>
        </w:tc>
        <w:tc>
          <w:tcPr>
            <w:tcW w:w="0" w:type="auto"/>
            <w:shd w:val="clear" w:color="auto" w:fill="DEDFDF" w:themeFill="text2" w:themeFillTint="33"/>
            <w:hideMark/>
          </w:tcPr>
          <w:p w14:paraId="18727BD5" w14:textId="77777777" w:rsidR="00574D10" w:rsidRPr="00226C43" w:rsidRDefault="00574D10" w:rsidP="00511F8A">
            <w:pPr>
              <w:spacing w:after="0"/>
              <w:rPr>
                <w:sz w:val="20"/>
                <w:szCs w:val="20"/>
              </w:rPr>
            </w:pPr>
            <w:r w:rsidRPr="00226C43">
              <w:rPr>
                <w:b/>
                <w:bCs/>
                <w:sz w:val="20"/>
                <w:szCs w:val="20"/>
              </w:rPr>
              <w:t>Data Sources and Method</w:t>
            </w:r>
          </w:p>
        </w:tc>
      </w:tr>
      <w:tr w:rsidR="00226C43" w:rsidRPr="00226C43" w14:paraId="18BF14DD" w14:textId="77777777" w:rsidTr="000166CB">
        <w:tc>
          <w:tcPr>
            <w:tcW w:w="0" w:type="auto"/>
            <w:hideMark/>
          </w:tcPr>
          <w:p w14:paraId="17154A63" w14:textId="77777777" w:rsidR="00574D10" w:rsidRPr="00226C43" w:rsidRDefault="00574D10" w:rsidP="00511F8A">
            <w:pPr>
              <w:spacing w:after="0"/>
              <w:rPr>
                <w:sz w:val="20"/>
                <w:szCs w:val="20"/>
              </w:rPr>
            </w:pPr>
            <w:r w:rsidRPr="00226C43">
              <w:rPr>
                <w:sz w:val="20"/>
                <w:szCs w:val="20"/>
              </w:rPr>
              <w:t>3.1 What, if any, significant administrative constraints or costs were experienced, and how were they managed?</w:t>
            </w:r>
          </w:p>
        </w:tc>
        <w:tc>
          <w:tcPr>
            <w:tcW w:w="0" w:type="auto"/>
            <w:hideMark/>
          </w:tcPr>
          <w:p w14:paraId="26D371BD" w14:textId="77777777" w:rsidR="00574D10" w:rsidRPr="00226C43" w:rsidRDefault="00574D10" w:rsidP="00511F8A">
            <w:pPr>
              <w:spacing w:after="0"/>
              <w:rPr>
                <w:sz w:val="20"/>
                <w:szCs w:val="20"/>
              </w:rPr>
            </w:pPr>
            <w:r w:rsidRPr="00226C43">
              <w:rPr>
                <w:sz w:val="20"/>
                <w:szCs w:val="20"/>
              </w:rPr>
              <w:t>Program Reports, MTR, IMRs etc., Interviews</w:t>
            </w:r>
          </w:p>
        </w:tc>
      </w:tr>
      <w:tr w:rsidR="00226C43" w:rsidRPr="00226C43" w14:paraId="4E9027F2" w14:textId="77777777" w:rsidTr="000166CB">
        <w:tc>
          <w:tcPr>
            <w:tcW w:w="0" w:type="auto"/>
            <w:hideMark/>
          </w:tcPr>
          <w:p w14:paraId="75901469" w14:textId="77777777" w:rsidR="00574D10" w:rsidRPr="00226C43" w:rsidRDefault="00574D10" w:rsidP="00511F8A">
            <w:pPr>
              <w:spacing w:after="0"/>
              <w:rPr>
                <w:sz w:val="20"/>
                <w:szCs w:val="20"/>
              </w:rPr>
            </w:pPr>
            <w:r w:rsidRPr="00226C43">
              <w:rPr>
                <w:sz w:val="20"/>
                <w:szCs w:val="20"/>
              </w:rPr>
              <w:t>3.2 Were program resources used appropriately/proportional to results achieved?</w:t>
            </w:r>
          </w:p>
        </w:tc>
        <w:tc>
          <w:tcPr>
            <w:tcW w:w="0" w:type="auto"/>
            <w:hideMark/>
          </w:tcPr>
          <w:p w14:paraId="336BEDD7" w14:textId="77777777" w:rsidR="00574D10" w:rsidRPr="00226C43" w:rsidRDefault="00574D10" w:rsidP="00511F8A">
            <w:pPr>
              <w:spacing w:after="0"/>
              <w:rPr>
                <w:sz w:val="20"/>
                <w:szCs w:val="20"/>
              </w:rPr>
            </w:pPr>
            <w:r w:rsidRPr="00226C43">
              <w:rPr>
                <w:sz w:val="20"/>
                <w:szCs w:val="20"/>
              </w:rPr>
              <w:t>Program Reports, MTR, IMRs etc., Program Financial Reports, Interviews</w:t>
            </w:r>
          </w:p>
        </w:tc>
      </w:tr>
      <w:tr w:rsidR="00226C43" w:rsidRPr="00226C43" w14:paraId="3A149A37" w14:textId="77777777" w:rsidTr="000166CB">
        <w:tc>
          <w:tcPr>
            <w:tcW w:w="0" w:type="auto"/>
            <w:hideMark/>
          </w:tcPr>
          <w:p w14:paraId="0B595CC3" w14:textId="77777777" w:rsidR="00574D10" w:rsidRPr="00226C43" w:rsidRDefault="00574D10" w:rsidP="00511F8A">
            <w:pPr>
              <w:spacing w:after="0"/>
              <w:rPr>
                <w:sz w:val="20"/>
                <w:szCs w:val="20"/>
              </w:rPr>
            </w:pPr>
            <w:r w:rsidRPr="00226C43">
              <w:rPr>
                <w:sz w:val="20"/>
                <w:szCs w:val="20"/>
              </w:rPr>
              <w:t>3.3 Was AAAEP–P an efficient use of resources compared to similar programs or with alternative ways of achieving the same outcomes?</w:t>
            </w:r>
          </w:p>
        </w:tc>
        <w:tc>
          <w:tcPr>
            <w:tcW w:w="0" w:type="auto"/>
            <w:hideMark/>
          </w:tcPr>
          <w:p w14:paraId="7E486340" w14:textId="77777777" w:rsidR="00574D10" w:rsidRPr="00226C43" w:rsidRDefault="00574D10" w:rsidP="00511F8A">
            <w:pPr>
              <w:spacing w:after="0"/>
              <w:rPr>
                <w:sz w:val="20"/>
                <w:szCs w:val="20"/>
              </w:rPr>
            </w:pPr>
            <w:r w:rsidRPr="00226C43">
              <w:rPr>
                <w:sz w:val="20"/>
                <w:szCs w:val="20"/>
              </w:rPr>
              <w:t>Program Reports, MTR, IMRs etc., Other DPs’ reports, Interviews, FGDs</w:t>
            </w:r>
          </w:p>
        </w:tc>
      </w:tr>
      <w:tr w:rsidR="00226C43" w:rsidRPr="00226C43" w14:paraId="6747D3B3" w14:textId="77777777" w:rsidTr="000166CB">
        <w:tc>
          <w:tcPr>
            <w:tcW w:w="0" w:type="auto"/>
            <w:hideMark/>
          </w:tcPr>
          <w:p w14:paraId="436D1582" w14:textId="77777777" w:rsidR="00574D10" w:rsidRPr="00226C43" w:rsidRDefault="00574D10" w:rsidP="00511F8A">
            <w:pPr>
              <w:spacing w:after="0"/>
              <w:rPr>
                <w:sz w:val="20"/>
                <w:szCs w:val="20"/>
              </w:rPr>
            </w:pPr>
            <w:r w:rsidRPr="00226C43">
              <w:rPr>
                <w:sz w:val="20"/>
                <w:szCs w:val="20"/>
              </w:rPr>
              <w:t>3.4 How did AAAEP–P allocate resources to achieve inclusive, equitable and gender transformative (if not, responsive) results?</w:t>
            </w:r>
          </w:p>
        </w:tc>
        <w:tc>
          <w:tcPr>
            <w:tcW w:w="0" w:type="auto"/>
            <w:hideMark/>
          </w:tcPr>
          <w:p w14:paraId="4ADEFAC9" w14:textId="77777777" w:rsidR="00574D10" w:rsidRPr="00226C43" w:rsidRDefault="00574D10" w:rsidP="00511F8A">
            <w:pPr>
              <w:spacing w:after="0"/>
              <w:rPr>
                <w:sz w:val="20"/>
                <w:szCs w:val="20"/>
              </w:rPr>
            </w:pPr>
            <w:r w:rsidRPr="00226C43">
              <w:rPr>
                <w:sz w:val="20"/>
                <w:szCs w:val="20"/>
              </w:rPr>
              <w:t>Program Reports, MTR, IMRs etc., Interviews, FGDs</w:t>
            </w:r>
          </w:p>
        </w:tc>
      </w:tr>
    </w:tbl>
    <w:p w14:paraId="36EDCABB" w14:textId="77777777" w:rsidR="002D0E9D" w:rsidRPr="00226C43" w:rsidRDefault="002D0E9D" w:rsidP="00511F8A">
      <w:pPr>
        <w:spacing w:after="0"/>
        <w:rPr>
          <w:b/>
          <w:bCs/>
        </w:rPr>
      </w:pPr>
    </w:p>
    <w:p w14:paraId="49915C55" w14:textId="3AD921AD" w:rsidR="00574D10" w:rsidRDefault="00574D10" w:rsidP="00511F8A">
      <w:pPr>
        <w:spacing w:after="0"/>
        <w:jc w:val="center"/>
        <w:rPr>
          <w:b/>
          <w:bCs/>
        </w:rPr>
      </w:pPr>
      <w:r w:rsidRPr="00226C43">
        <w:rPr>
          <w:b/>
          <w:bCs/>
        </w:rPr>
        <w:t>Sustainability</w:t>
      </w:r>
    </w:p>
    <w:p w14:paraId="091F7104" w14:textId="0800963F" w:rsidR="00724927" w:rsidRPr="00724927" w:rsidRDefault="00724927" w:rsidP="00724927">
      <w:pPr>
        <w:spacing w:after="0"/>
        <w:rPr>
          <w:b/>
          <w:bCs/>
          <w:sz w:val="20"/>
          <w:szCs w:val="20"/>
        </w:rPr>
      </w:pPr>
      <w:r w:rsidRPr="00724927">
        <w:rPr>
          <w:b/>
          <w:bCs/>
          <w:sz w:val="20"/>
          <w:szCs w:val="20"/>
        </w:rPr>
        <w:t>Key Evaluation Question (KEQ) 4</w:t>
      </w:r>
      <w:r>
        <w:rPr>
          <w:b/>
          <w:bCs/>
          <w:sz w:val="20"/>
          <w:szCs w:val="20"/>
        </w:rPr>
        <w:t xml:space="preserve">: </w:t>
      </w:r>
      <w:r w:rsidRPr="00724927">
        <w:rPr>
          <w:b/>
          <w:bCs/>
          <w:sz w:val="20"/>
          <w:szCs w:val="20"/>
        </w:rPr>
        <w:t>To what extent are AAAEP–P stakeholders (e.g., partner organisations and alumni communities, etc) capable and prepared to continue the positive effects of the program without support in the long term?</w:t>
      </w:r>
    </w:p>
    <w:tbl>
      <w:tblPr>
        <w:tblStyle w:val="TableGrid"/>
        <w:tblW w:w="0" w:type="auto"/>
        <w:tblLook w:val="0620" w:firstRow="1" w:lastRow="0" w:firstColumn="0" w:lastColumn="0" w:noHBand="1" w:noVBand="1"/>
      </w:tblPr>
      <w:tblGrid>
        <w:gridCol w:w="6159"/>
        <w:gridCol w:w="2857"/>
      </w:tblGrid>
      <w:tr w:rsidR="00226C43" w:rsidRPr="00226C43" w14:paraId="2BEDD445" w14:textId="77777777" w:rsidTr="00724927">
        <w:trPr>
          <w:tblHeader/>
        </w:trPr>
        <w:tc>
          <w:tcPr>
            <w:tcW w:w="0" w:type="auto"/>
            <w:shd w:val="clear" w:color="auto" w:fill="DEDFDF" w:themeFill="text2" w:themeFillTint="33"/>
            <w:hideMark/>
          </w:tcPr>
          <w:p w14:paraId="507729B6" w14:textId="77777777" w:rsidR="00574D10" w:rsidRPr="00226C43" w:rsidRDefault="00574D10" w:rsidP="00511F8A">
            <w:pPr>
              <w:spacing w:after="0"/>
              <w:rPr>
                <w:sz w:val="20"/>
                <w:szCs w:val="20"/>
              </w:rPr>
            </w:pPr>
            <w:r w:rsidRPr="00226C43">
              <w:rPr>
                <w:b/>
                <w:bCs/>
                <w:sz w:val="20"/>
                <w:szCs w:val="20"/>
              </w:rPr>
              <w:t>Sub-Questions</w:t>
            </w:r>
          </w:p>
        </w:tc>
        <w:tc>
          <w:tcPr>
            <w:tcW w:w="0" w:type="auto"/>
            <w:shd w:val="clear" w:color="auto" w:fill="DEDFDF" w:themeFill="text2" w:themeFillTint="33"/>
            <w:hideMark/>
          </w:tcPr>
          <w:p w14:paraId="068809D5" w14:textId="77777777" w:rsidR="00574D10" w:rsidRPr="00226C43" w:rsidRDefault="00574D10" w:rsidP="00511F8A">
            <w:pPr>
              <w:spacing w:after="0"/>
              <w:rPr>
                <w:sz w:val="20"/>
                <w:szCs w:val="20"/>
              </w:rPr>
            </w:pPr>
            <w:r w:rsidRPr="00226C43">
              <w:rPr>
                <w:b/>
                <w:bCs/>
                <w:sz w:val="20"/>
                <w:szCs w:val="20"/>
              </w:rPr>
              <w:t>Data Sources and Method</w:t>
            </w:r>
          </w:p>
        </w:tc>
      </w:tr>
      <w:tr w:rsidR="00226C43" w:rsidRPr="00226C43" w14:paraId="6F559CB3" w14:textId="77777777" w:rsidTr="000166CB">
        <w:tc>
          <w:tcPr>
            <w:tcW w:w="0" w:type="auto"/>
            <w:hideMark/>
          </w:tcPr>
          <w:p w14:paraId="5DF53521" w14:textId="77777777" w:rsidR="00574D10" w:rsidRPr="00226C43" w:rsidRDefault="00574D10" w:rsidP="00511F8A">
            <w:pPr>
              <w:spacing w:after="0"/>
              <w:rPr>
                <w:sz w:val="20"/>
                <w:szCs w:val="20"/>
              </w:rPr>
            </w:pPr>
            <w:r w:rsidRPr="00226C43">
              <w:rPr>
                <w:sz w:val="20"/>
                <w:szCs w:val="20"/>
              </w:rPr>
              <w:t>4.1 How will formal community of practice alumni groups continue to conduct activities without sustained funding from the Australian Government?</w:t>
            </w:r>
          </w:p>
        </w:tc>
        <w:tc>
          <w:tcPr>
            <w:tcW w:w="0" w:type="auto"/>
            <w:hideMark/>
          </w:tcPr>
          <w:p w14:paraId="23041991" w14:textId="77777777" w:rsidR="00574D10" w:rsidRPr="00226C43" w:rsidRDefault="00574D10" w:rsidP="00511F8A">
            <w:pPr>
              <w:spacing w:after="0"/>
              <w:rPr>
                <w:sz w:val="20"/>
                <w:szCs w:val="20"/>
              </w:rPr>
            </w:pPr>
            <w:r w:rsidRPr="00226C43">
              <w:rPr>
                <w:sz w:val="20"/>
                <w:szCs w:val="20"/>
              </w:rPr>
              <w:t>Program Reports, MTR, IMRs etc., Interviews, FGDs, Survey</w:t>
            </w:r>
          </w:p>
        </w:tc>
      </w:tr>
      <w:tr w:rsidR="00226C43" w:rsidRPr="00226C43" w14:paraId="231DF861" w14:textId="77777777" w:rsidTr="000166CB">
        <w:tc>
          <w:tcPr>
            <w:tcW w:w="0" w:type="auto"/>
            <w:hideMark/>
          </w:tcPr>
          <w:p w14:paraId="426974BD" w14:textId="77777777" w:rsidR="00574D10" w:rsidRPr="00226C43" w:rsidRDefault="00574D10" w:rsidP="00511F8A">
            <w:pPr>
              <w:spacing w:after="0"/>
              <w:rPr>
                <w:sz w:val="20"/>
                <w:szCs w:val="20"/>
              </w:rPr>
            </w:pPr>
            <w:r w:rsidRPr="00226C43">
              <w:rPr>
                <w:sz w:val="20"/>
                <w:szCs w:val="20"/>
              </w:rPr>
              <w:t>4.2 To what extent are stakeholders capable and willing to continue to influence a GPH enabling environment that supports GEDSI?</w:t>
            </w:r>
          </w:p>
        </w:tc>
        <w:tc>
          <w:tcPr>
            <w:tcW w:w="0" w:type="auto"/>
            <w:hideMark/>
          </w:tcPr>
          <w:p w14:paraId="62B05E49" w14:textId="77777777" w:rsidR="00574D10" w:rsidRPr="00226C43" w:rsidRDefault="00574D10" w:rsidP="00511F8A">
            <w:pPr>
              <w:spacing w:after="0"/>
              <w:rPr>
                <w:sz w:val="20"/>
                <w:szCs w:val="20"/>
              </w:rPr>
            </w:pPr>
            <w:r w:rsidRPr="00226C43">
              <w:rPr>
                <w:sz w:val="20"/>
                <w:szCs w:val="20"/>
              </w:rPr>
              <w:t>Program Reports, MTR, IMRs etc., Interviews, FGDs, Survey</w:t>
            </w:r>
          </w:p>
        </w:tc>
      </w:tr>
    </w:tbl>
    <w:p w14:paraId="7E0AB5E6" w14:textId="77777777" w:rsidR="00520C76" w:rsidRPr="00226C43" w:rsidRDefault="00520C76" w:rsidP="00511F8A">
      <w:pPr>
        <w:spacing w:after="0"/>
        <w:rPr>
          <w:b/>
          <w:bCs/>
        </w:rPr>
      </w:pPr>
    </w:p>
    <w:p w14:paraId="4FCE5D41" w14:textId="75ACB78E" w:rsidR="00574D10" w:rsidRDefault="00574D10" w:rsidP="00511F8A">
      <w:pPr>
        <w:spacing w:after="0"/>
        <w:jc w:val="center"/>
        <w:rPr>
          <w:b/>
          <w:bCs/>
        </w:rPr>
      </w:pPr>
      <w:r w:rsidRPr="00226C43">
        <w:rPr>
          <w:b/>
          <w:bCs/>
        </w:rPr>
        <w:t>Equity and Inclusion</w:t>
      </w:r>
    </w:p>
    <w:p w14:paraId="5F6D4A3D" w14:textId="57E6517E" w:rsidR="00724927" w:rsidRPr="00724927" w:rsidRDefault="00724927" w:rsidP="00724927">
      <w:pPr>
        <w:spacing w:after="0"/>
        <w:rPr>
          <w:b/>
          <w:bCs/>
          <w:sz w:val="20"/>
          <w:szCs w:val="20"/>
        </w:rPr>
      </w:pPr>
      <w:r w:rsidRPr="00724927">
        <w:rPr>
          <w:b/>
          <w:bCs/>
          <w:sz w:val="20"/>
          <w:szCs w:val="20"/>
        </w:rPr>
        <w:t>Key Evaluation Question (KEQ) 5: Questions related to equity and inclusion are integrated in each of the evaluation criteria to examine the extent, benefits, challenges and lessons learned in GEDSI mainstreaming used by the AAAEP–P. This reflects the updated program logic which weaves GEDSI into all outcomes.</w:t>
      </w:r>
    </w:p>
    <w:tbl>
      <w:tblPr>
        <w:tblStyle w:val="TableGrid"/>
        <w:tblW w:w="0" w:type="auto"/>
        <w:tblLook w:val="0620" w:firstRow="1" w:lastRow="0" w:firstColumn="0" w:lastColumn="0" w:noHBand="1" w:noVBand="1"/>
      </w:tblPr>
      <w:tblGrid>
        <w:gridCol w:w="1579"/>
        <w:gridCol w:w="2553"/>
      </w:tblGrid>
      <w:tr w:rsidR="00226C43" w:rsidRPr="00226C43" w14:paraId="42216F98" w14:textId="77777777" w:rsidTr="00724927">
        <w:trPr>
          <w:tblHeader/>
        </w:trPr>
        <w:tc>
          <w:tcPr>
            <w:tcW w:w="0" w:type="auto"/>
            <w:shd w:val="clear" w:color="auto" w:fill="DEDFDF" w:themeFill="text2" w:themeFillTint="33"/>
            <w:hideMark/>
          </w:tcPr>
          <w:p w14:paraId="59DD012A" w14:textId="77777777" w:rsidR="00574D10" w:rsidRPr="00226C43" w:rsidRDefault="00574D10" w:rsidP="00511F8A">
            <w:pPr>
              <w:spacing w:after="0"/>
              <w:rPr>
                <w:sz w:val="20"/>
                <w:szCs w:val="20"/>
              </w:rPr>
            </w:pPr>
            <w:r w:rsidRPr="00226C43">
              <w:rPr>
                <w:b/>
                <w:bCs/>
                <w:sz w:val="20"/>
                <w:szCs w:val="20"/>
              </w:rPr>
              <w:t>Sub-Questions</w:t>
            </w:r>
          </w:p>
        </w:tc>
        <w:tc>
          <w:tcPr>
            <w:tcW w:w="0" w:type="auto"/>
            <w:shd w:val="clear" w:color="auto" w:fill="DEDFDF" w:themeFill="text2" w:themeFillTint="33"/>
            <w:hideMark/>
          </w:tcPr>
          <w:p w14:paraId="0E8291D6" w14:textId="77777777" w:rsidR="00574D10" w:rsidRPr="00226C43" w:rsidRDefault="00574D10" w:rsidP="00511F8A">
            <w:pPr>
              <w:spacing w:after="0"/>
              <w:rPr>
                <w:sz w:val="20"/>
                <w:szCs w:val="20"/>
              </w:rPr>
            </w:pPr>
            <w:r w:rsidRPr="00226C43">
              <w:rPr>
                <w:b/>
                <w:bCs/>
                <w:sz w:val="20"/>
                <w:szCs w:val="20"/>
              </w:rPr>
              <w:t>Data Sources and Method</w:t>
            </w:r>
          </w:p>
        </w:tc>
      </w:tr>
      <w:tr w:rsidR="00226C43" w:rsidRPr="00226C43" w14:paraId="12C93F9A" w14:textId="77777777" w:rsidTr="000166CB">
        <w:tc>
          <w:tcPr>
            <w:tcW w:w="0" w:type="auto"/>
            <w:hideMark/>
          </w:tcPr>
          <w:p w14:paraId="17C3048B" w14:textId="77777777" w:rsidR="00574D10" w:rsidRPr="00226C43" w:rsidRDefault="00574D10" w:rsidP="00511F8A">
            <w:pPr>
              <w:spacing w:after="0"/>
              <w:rPr>
                <w:sz w:val="20"/>
                <w:szCs w:val="20"/>
              </w:rPr>
            </w:pPr>
            <w:r w:rsidRPr="00226C43">
              <w:rPr>
                <w:sz w:val="20"/>
                <w:szCs w:val="20"/>
              </w:rPr>
              <w:t>n/a</w:t>
            </w:r>
          </w:p>
        </w:tc>
        <w:tc>
          <w:tcPr>
            <w:tcW w:w="0" w:type="auto"/>
            <w:hideMark/>
          </w:tcPr>
          <w:p w14:paraId="2F9218AC" w14:textId="77777777" w:rsidR="00574D10" w:rsidRPr="00226C43" w:rsidRDefault="00574D10" w:rsidP="00511F8A">
            <w:pPr>
              <w:spacing w:after="0"/>
              <w:rPr>
                <w:sz w:val="20"/>
                <w:szCs w:val="20"/>
              </w:rPr>
            </w:pPr>
            <w:r w:rsidRPr="00226C43">
              <w:rPr>
                <w:sz w:val="20"/>
                <w:szCs w:val="20"/>
              </w:rPr>
              <w:t>n/a</w:t>
            </w:r>
          </w:p>
        </w:tc>
      </w:tr>
    </w:tbl>
    <w:p w14:paraId="4D99A480" w14:textId="03188AD9" w:rsidR="00724927" w:rsidRDefault="00724927" w:rsidP="00511F8A">
      <w:pPr>
        <w:spacing w:after="0"/>
      </w:pPr>
    </w:p>
    <w:p w14:paraId="5F935835" w14:textId="77777777" w:rsidR="00724927" w:rsidRDefault="00724927">
      <w:pPr>
        <w:suppressAutoHyphens w:val="0"/>
        <w:spacing w:after="0"/>
      </w:pPr>
      <w:r>
        <w:br w:type="page"/>
      </w:r>
    </w:p>
    <w:p w14:paraId="1A48AD20" w14:textId="15CC0B3E" w:rsidR="00574D10" w:rsidRPr="00226C43" w:rsidRDefault="00511F8A" w:rsidP="00511F8A">
      <w:pPr>
        <w:spacing w:after="0"/>
        <w:jc w:val="center"/>
        <w:rPr>
          <w:b/>
          <w:bCs/>
        </w:rPr>
      </w:pPr>
      <w:r w:rsidRPr="00226C43">
        <w:rPr>
          <w:b/>
          <w:bCs/>
        </w:rPr>
        <w:lastRenderedPageBreak/>
        <w:t>FORMATIVE EVALUATION</w:t>
      </w:r>
    </w:p>
    <w:p w14:paraId="71266A4E" w14:textId="77777777" w:rsidR="00574D10" w:rsidRDefault="00574D10" w:rsidP="00511F8A">
      <w:pPr>
        <w:spacing w:after="0"/>
        <w:jc w:val="center"/>
        <w:rPr>
          <w:b/>
          <w:bCs/>
        </w:rPr>
      </w:pPr>
      <w:r w:rsidRPr="00226C43">
        <w:rPr>
          <w:b/>
          <w:bCs/>
        </w:rPr>
        <w:t>Lessons Learned</w:t>
      </w:r>
    </w:p>
    <w:p w14:paraId="23FFE77F" w14:textId="3CAC7A26" w:rsidR="00724927" w:rsidRPr="00724927" w:rsidRDefault="00724927" w:rsidP="00724927">
      <w:pPr>
        <w:spacing w:after="0"/>
        <w:rPr>
          <w:b/>
          <w:bCs/>
          <w:sz w:val="20"/>
          <w:szCs w:val="20"/>
        </w:rPr>
      </w:pPr>
      <w:r w:rsidRPr="00724927">
        <w:rPr>
          <w:b/>
          <w:bCs/>
          <w:sz w:val="20"/>
          <w:szCs w:val="20"/>
        </w:rPr>
        <w:t>Key Evaluation Question</w:t>
      </w:r>
      <w:r>
        <w:rPr>
          <w:b/>
          <w:bCs/>
          <w:sz w:val="20"/>
          <w:szCs w:val="20"/>
        </w:rPr>
        <w:t xml:space="preserve">: </w:t>
      </w:r>
      <w:r w:rsidRPr="00724927">
        <w:rPr>
          <w:b/>
          <w:bCs/>
          <w:sz w:val="20"/>
          <w:szCs w:val="20"/>
        </w:rPr>
        <w:t>What lessons can be drawn from AAAEP–P’s implementation to improve outcomes and inform its successor program?</w:t>
      </w:r>
    </w:p>
    <w:tbl>
      <w:tblPr>
        <w:tblStyle w:val="TableGrid"/>
        <w:tblW w:w="9488" w:type="dxa"/>
        <w:tblLook w:val="0620" w:firstRow="1" w:lastRow="0" w:firstColumn="0" w:lastColumn="0" w:noHBand="1" w:noVBand="1"/>
      </w:tblPr>
      <w:tblGrid>
        <w:gridCol w:w="4706"/>
        <w:gridCol w:w="4782"/>
      </w:tblGrid>
      <w:tr w:rsidR="00226C43" w:rsidRPr="00226C43" w14:paraId="3DD428F9" w14:textId="77777777" w:rsidTr="00724927">
        <w:trPr>
          <w:tblHeader/>
        </w:trPr>
        <w:tc>
          <w:tcPr>
            <w:tcW w:w="4706" w:type="dxa"/>
            <w:shd w:val="clear" w:color="auto" w:fill="DEDFDF" w:themeFill="text2" w:themeFillTint="33"/>
            <w:hideMark/>
          </w:tcPr>
          <w:p w14:paraId="2D502BE1" w14:textId="77777777" w:rsidR="006B2947" w:rsidRPr="00226C43" w:rsidRDefault="006B2947" w:rsidP="00511F8A">
            <w:pPr>
              <w:spacing w:after="0"/>
              <w:rPr>
                <w:sz w:val="20"/>
                <w:szCs w:val="20"/>
              </w:rPr>
            </w:pPr>
            <w:r w:rsidRPr="00226C43">
              <w:rPr>
                <w:b/>
                <w:bCs/>
                <w:sz w:val="20"/>
                <w:szCs w:val="20"/>
              </w:rPr>
              <w:t>Sub-Questions</w:t>
            </w:r>
          </w:p>
        </w:tc>
        <w:tc>
          <w:tcPr>
            <w:tcW w:w="0" w:type="auto"/>
            <w:shd w:val="clear" w:color="auto" w:fill="DEDFDF" w:themeFill="text2" w:themeFillTint="33"/>
            <w:hideMark/>
          </w:tcPr>
          <w:p w14:paraId="77B03452" w14:textId="77777777" w:rsidR="006B2947" w:rsidRPr="00226C43" w:rsidRDefault="006B2947" w:rsidP="00511F8A">
            <w:pPr>
              <w:spacing w:after="0"/>
              <w:rPr>
                <w:sz w:val="20"/>
                <w:szCs w:val="20"/>
              </w:rPr>
            </w:pPr>
            <w:r w:rsidRPr="00226C43">
              <w:rPr>
                <w:b/>
                <w:bCs/>
                <w:sz w:val="20"/>
                <w:szCs w:val="20"/>
              </w:rPr>
              <w:t>Data Sources and Method</w:t>
            </w:r>
          </w:p>
        </w:tc>
      </w:tr>
      <w:tr w:rsidR="00226C43" w:rsidRPr="00226C43" w14:paraId="42A193FA" w14:textId="77777777" w:rsidTr="00724927">
        <w:trPr>
          <w:tblHeader/>
        </w:trPr>
        <w:tc>
          <w:tcPr>
            <w:tcW w:w="4706" w:type="dxa"/>
            <w:hideMark/>
          </w:tcPr>
          <w:p w14:paraId="0F34A39D" w14:textId="77777777" w:rsidR="006B2947" w:rsidRPr="00226C43" w:rsidRDefault="006B2947" w:rsidP="00511F8A">
            <w:pPr>
              <w:spacing w:after="0"/>
              <w:rPr>
                <w:sz w:val="20"/>
                <w:szCs w:val="20"/>
              </w:rPr>
            </w:pPr>
            <w:r w:rsidRPr="00226C43">
              <w:rPr>
                <w:sz w:val="20"/>
                <w:szCs w:val="20"/>
              </w:rPr>
              <w:t>Relevance: What would improve the AAAEP–P’s relevance?</w:t>
            </w:r>
          </w:p>
        </w:tc>
        <w:tc>
          <w:tcPr>
            <w:tcW w:w="0" w:type="auto"/>
            <w:hideMark/>
          </w:tcPr>
          <w:p w14:paraId="717578A0" w14:textId="77777777" w:rsidR="006B2947" w:rsidRPr="00226C43" w:rsidRDefault="006B2947" w:rsidP="00511F8A">
            <w:pPr>
              <w:spacing w:after="0"/>
              <w:rPr>
                <w:sz w:val="20"/>
                <w:szCs w:val="20"/>
              </w:rPr>
            </w:pPr>
            <w:r w:rsidRPr="00226C43">
              <w:rPr>
                <w:sz w:val="20"/>
                <w:szCs w:val="20"/>
              </w:rPr>
              <w:t>Interviews, FGDs, Survey</w:t>
            </w:r>
          </w:p>
        </w:tc>
      </w:tr>
      <w:tr w:rsidR="00226C43" w:rsidRPr="00226C43" w14:paraId="1FB80598" w14:textId="77777777" w:rsidTr="00724927">
        <w:trPr>
          <w:tblHeader/>
        </w:trPr>
        <w:tc>
          <w:tcPr>
            <w:tcW w:w="4706" w:type="dxa"/>
            <w:hideMark/>
          </w:tcPr>
          <w:p w14:paraId="4BB6AF6B" w14:textId="77777777" w:rsidR="006B2947" w:rsidRPr="00226C43" w:rsidRDefault="006B2947" w:rsidP="00511F8A">
            <w:pPr>
              <w:spacing w:after="0"/>
              <w:rPr>
                <w:sz w:val="20"/>
                <w:szCs w:val="20"/>
              </w:rPr>
            </w:pPr>
            <w:r w:rsidRPr="00226C43">
              <w:rPr>
                <w:sz w:val="20"/>
                <w:szCs w:val="20"/>
              </w:rPr>
              <w:t>Effectiveness: What would improve the effectiveness of the AAAEP–P?</w:t>
            </w:r>
          </w:p>
        </w:tc>
        <w:tc>
          <w:tcPr>
            <w:tcW w:w="0" w:type="auto"/>
            <w:hideMark/>
          </w:tcPr>
          <w:p w14:paraId="3A746E4B" w14:textId="77777777" w:rsidR="006B2947" w:rsidRPr="00226C43" w:rsidRDefault="006B2947" w:rsidP="00511F8A">
            <w:pPr>
              <w:spacing w:after="0"/>
              <w:rPr>
                <w:sz w:val="20"/>
                <w:szCs w:val="20"/>
              </w:rPr>
            </w:pPr>
            <w:r w:rsidRPr="00226C43">
              <w:rPr>
                <w:sz w:val="20"/>
                <w:szCs w:val="20"/>
              </w:rPr>
              <w:t>Interviews, FGDs, Survey</w:t>
            </w:r>
          </w:p>
        </w:tc>
      </w:tr>
      <w:tr w:rsidR="00226C43" w:rsidRPr="00226C43" w14:paraId="465158D4" w14:textId="77777777" w:rsidTr="00724927">
        <w:trPr>
          <w:tblHeader/>
        </w:trPr>
        <w:tc>
          <w:tcPr>
            <w:tcW w:w="4706" w:type="dxa"/>
            <w:hideMark/>
          </w:tcPr>
          <w:p w14:paraId="71BB6398" w14:textId="77777777" w:rsidR="006B2947" w:rsidRPr="00226C43" w:rsidRDefault="006B2947" w:rsidP="00511F8A">
            <w:pPr>
              <w:spacing w:after="0"/>
              <w:rPr>
                <w:sz w:val="20"/>
                <w:szCs w:val="20"/>
              </w:rPr>
            </w:pPr>
            <w:r w:rsidRPr="00226C43">
              <w:rPr>
                <w:sz w:val="20"/>
                <w:szCs w:val="20"/>
              </w:rPr>
              <w:t>Efficiency: What would improve the AAAEP–P’s efficiency?</w:t>
            </w:r>
          </w:p>
        </w:tc>
        <w:tc>
          <w:tcPr>
            <w:tcW w:w="0" w:type="auto"/>
            <w:hideMark/>
          </w:tcPr>
          <w:p w14:paraId="3CE8B415" w14:textId="77777777" w:rsidR="006B2947" w:rsidRPr="00226C43" w:rsidRDefault="006B2947" w:rsidP="00511F8A">
            <w:pPr>
              <w:spacing w:after="0"/>
              <w:rPr>
                <w:sz w:val="20"/>
                <w:szCs w:val="20"/>
              </w:rPr>
            </w:pPr>
            <w:r w:rsidRPr="00226C43">
              <w:rPr>
                <w:sz w:val="20"/>
                <w:szCs w:val="20"/>
              </w:rPr>
              <w:t>Interviews, FGDs, Survey</w:t>
            </w:r>
          </w:p>
        </w:tc>
      </w:tr>
      <w:tr w:rsidR="00226C43" w:rsidRPr="00226C43" w14:paraId="130D7027" w14:textId="77777777" w:rsidTr="00724927">
        <w:trPr>
          <w:tblHeader/>
        </w:trPr>
        <w:tc>
          <w:tcPr>
            <w:tcW w:w="4706" w:type="dxa"/>
            <w:hideMark/>
          </w:tcPr>
          <w:p w14:paraId="39C996A1" w14:textId="77777777" w:rsidR="006B2947" w:rsidRPr="00226C43" w:rsidRDefault="006B2947" w:rsidP="00511F8A">
            <w:pPr>
              <w:spacing w:after="0"/>
              <w:rPr>
                <w:sz w:val="20"/>
                <w:szCs w:val="20"/>
              </w:rPr>
            </w:pPr>
            <w:r w:rsidRPr="00226C43">
              <w:rPr>
                <w:sz w:val="20"/>
                <w:szCs w:val="20"/>
              </w:rPr>
              <w:t>Sustainability: What would make the outcomes of the AAAEP–P more sustainable, equitable and inclusive?</w:t>
            </w:r>
          </w:p>
        </w:tc>
        <w:tc>
          <w:tcPr>
            <w:tcW w:w="0" w:type="auto"/>
            <w:hideMark/>
          </w:tcPr>
          <w:p w14:paraId="05A4819F" w14:textId="77777777" w:rsidR="006B2947" w:rsidRPr="00226C43" w:rsidRDefault="006B2947" w:rsidP="00511F8A">
            <w:pPr>
              <w:spacing w:after="0"/>
              <w:rPr>
                <w:sz w:val="20"/>
                <w:szCs w:val="20"/>
              </w:rPr>
            </w:pPr>
            <w:r w:rsidRPr="00226C43">
              <w:rPr>
                <w:sz w:val="20"/>
                <w:szCs w:val="20"/>
              </w:rPr>
              <w:t>Interviews, FGDs, Survey</w:t>
            </w:r>
          </w:p>
        </w:tc>
      </w:tr>
    </w:tbl>
    <w:p w14:paraId="01FB838E" w14:textId="5C76BBB9" w:rsidR="00FF254C" w:rsidRPr="00226C43" w:rsidRDefault="00093BB7" w:rsidP="005A698C">
      <w:pPr>
        <w:pStyle w:val="Appendices"/>
        <w:rPr>
          <w:rFonts w:asciiTheme="minorHAnsi" w:hAnsiTheme="minorHAnsi"/>
          <w:color w:val="auto"/>
        </w:rPr>
      </w:pPr>
      <w:bookmarkStart w:id="62" w:name="_Toc190195431"/>
      <w:bookmarkStart w:id="63" w:name="_Toc190248328"/>
      <w:r w:rsidRPr="00226C43">
        <w:rPr>
          <w:rFonts w:asciiTheme="minorHAnsi" w:hAnsiTheme="minorHAnsi"/>
          <w:color w:val="auto"/>
        </w:rPr>
        <w:t>Consultation</w:t>
      </w:r>
      <w:r w:rsidR="00C139D9" w:rsidRPr="00226C43">
        <w:rPr>
          <w:rFonts w:asciiTheme="minorHAnsi" w:hAnsiTheme="minorHAnsi"/>
          <w:color w:val="auto"/>
        </w:rPr>
        <w:t>s with Stakeholders</w:t>
      </w:r>
      <w:bookmarkEnd w:id="62"/>
      <w:bookmarkEnd w:id="63"/>
    </w:p>
    <w:p w14:paraId="56C58368" w14:textId="5657E02E" w:rsidR="00B73A5F" w:rsidRPr="00226C43" w:rsidRDefault="0023673C" w:rsidP="00061D40">
      <w:r w:rsidRPr="00226C43">
        <w:t xml:space="preserve">In total, 329 stakeholders were reached during the evaluation. </w:t>
      </w:r>
      <w:r w:rsidR="000D4774" w:rsidRPr="00226C43">
        <w:t>The evaluation team conducted 58</w:t>
      </w:r>
      <w:r w:rsidR="00136A6D" w:rsidRPr="00226C43">
        <w:t xml:space="preserve"> </w:t>
      </w:r>
      <w:r w:rsidR="009A0A38" w:rsidRPr="00226C43">
        <w:t>one-hour</w:t>
      </w:r>
      <w:r w:rsidR="00136A6D" w:rsidRPr="00226C43">
        <w:t xml:space="preserve"> interviews </w:t>
      </w:r>
      <w:r w:rsidR="000D4774" w:rsidRPr="00226C43">
        <w:t>in-country</w:t>
      </w:r>
      <w:r w:rsidR="00136A6D" w:rsidRPr="00226C43">
        <w:t xml:space="preserve">. Additionally, the evaluation team's GEDSI specialist conducted brief interviews with 21 stakeholders in the margins of the Australia Awards 2nd Regional GEDSI Alumni Leadership Summit, held on 9–10 September 2024 at the Novotel Manila. In total there were 250 responses to the online alumni survey, including a slightly higher proportion of females than males. </w:t>
      </w:r>
    </w:p>
    <w:p w14:paraId="623E9244" w14:textId="1153C1FC" w:rsidR="00FF6ECA" w:rsidRPr="00226C43" w:rsidRDefault="00FF6ECA" w:rsidP="00FF6ECA">
      <w:pPr>
        <w:pStyle w:val="Caption"/>
        <w:rPr>
          <w:color w:val="auto"/>
        </w:rPr>
      </w:pPr>
      <w:bookmarkStart w:id="64" w:name="_Toc190939915"/>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003735AF" w:rsidRPr="00226C43">
        <w:rPr>
          <w:noProof/>
          <w:color w:val="auto"/>
        </w:rPr>
        <w:t>16</w:t>
      </w:r>
      <w:r w:rsidR="000113F9" w:rsidRPr="00226C43">
        <w:rPr>
          <w:noProof/>
          <w:color w:val="auto"/>
        </w:rPr>
        <w:fldChar w:fldCharType="end"/>
      </w:r>
      <w:r w:rsidRPr="00226C43">
        <w:rPr>
          <w:color w:val="auto"/>
        </w:rPr>
        <w:t>:</w:t>
      </w:r>
      <w:r w:rsidR="0078429F" w:rsidRPr="00226C43">
        <w:rPr>
          <w:color w:val="auto"/>
        </w:rPr>
        <w:t xml:space="preserve"> </w:t>
      </w:r>
      <w:r w:rsidRPr="00226C43">
        <w:rPr>
          <w:color w:val="auto"/>
        </w:rPr>
        <w:t>List of Stakeholders consul</w:t>
      </w:r>
      <w:r w:rsidR="008F206C" w:rsidRPr="00226C43">
        <w:rPr>
          <w:color w:val="auto"/>
        </w:rPr>
        <w:t xml:space="preserve">ted during the </w:t>
      </w:r>
      <w:r w:rsidR="006B2947" w:rsidRPr="00226C43">
        <w:rPr>
          <w:color w:val="auto"/>
        </w:rPr>
        <w:t>evaluation</w:t>
      </w:r>
      <w:bookmarkEnd w:id="64"/>
    </w:p>
    <w:p w14:paraId="2A8E7C8C" w14:textId="77777777" w:rsidR="006B2947" w:rsidRPr="00226C43" w:rsidRDefault="006B2947" w:rsidP="00511F8A">
      <w:pPr>
        <w:spacing w:after="0"/>
        <w:rPr>
          <w:b/>
          <w:bCs/>
          <w:sz w:val="20"/>
          <w:szCs w:val="20"/>
        </w:rPr>
      </w:pPr>
      <w:r w:rsidRPr="00226C43">
        <w:rPr>
          <w:b/>
          <w:bCs/>
          <w:sz w:val="20"/>
          <w:szCs w:val="20"/>
        </w:rPr>
        <w:t>Australian Department of Foreign Affairs and Trade</w:t>
      </w:r>
    </w:p>
    <w:p w14:paraId="374CBF5B" w14:textId="77777777" w:rsidR="006B2947" w:rsidRPr="00226C43" w:rsidRDefault="006B2947" w:rsidP="00511F8A">
      <w:pPr>
        <w:numPr>
          <w:ilvl w:val="0"/>
          <w:numId w:val="46"/>
        </w:numPr>
        <w:spacing w:after="0"/>
        <w:rPr>
          <w:sz w:val="20"/>
          <w:szCs w:val="20"/>
        </w:rPr>
      </w:pPr>
      <w:r w:rsidRPr="00226C43">
        <w:rPr>
          <w:b/>
          <w:bCs/>
          <w:sz w:val="20"/>
          <w:szCs w:val="20"/>
        </w:rPr>
        <w:t>Moya Collett</w:t>
      </w:r>
      <w:r w:rsidRPr="00226C43">
        <w:rPr>
          <w:sz w:val="20"/>
          <w:szCs w:val="20"/>
        </w:rPr>
        <w:t xml:space="preserve"> - Deputy Head </w:t>
      </w:r>
      <w:proofErr w:type="gramStart"/>
      <w:r w:rsidRPr="00226C43">
        <w:rPr>
          <w:sz w:val="20"/>
          <w:szCs w:val="20"/>
        </w:rPr>
        <w:t>Of</w:t>
      </w:r>
      <w:proofErr w:type="gramEnd"/>
      <w:r w:rsidRPr="00226C43">
        <w:rPr>
          <w:sz w:val="20"/>
          <w:szCs w:val="20"/>
        </w:rPr>
        <w:t xml:space="preserve"> Mission, DFAT Post – Philippines</w:t>
      </w:r>
    </w:p>
    <w:p w14:paraId="1655DE41" w14:textId="77777777" w:rsidR="006B2947" w:rsidRPr="00226C43" w:rsidRDefault="006B2947" w:rsidP="00511F8A">
      <w:pPr>
        <w:numPr>
          <w:ilvl w:val="0"/>
          <w:numId w:val="46"/>
        </w:numPr>
        <w:spacing w:after="0"/>
        <w:rPr>
          <w:sz w:val="20"/>
          <w:szCs w:val="20"/>
        </w:rPr>
      </w:pPr>
      <w:r w:rsidRPr="00226C43">
        <w:rPr>
          <w:b/>
          <w:bCs/>
          <w:sz w:val="20"/>
          <w:szCs w:val="20"/>
        </w:rPr>
        <w:t>Johanna Stratton</w:t>
      </w:r>
      <w:r w:rsidRPr="00226C43">
        <w:rPr>
          <w:sz w:val="20"/>
          <w:szCs w:val="20"/>
        </w:rPr>
        <w:t> - Counsellor, Political, DFAT Post – Philippines</w:t>
      </w:r>
    </w:p>
    <w:p w14:paraId="773C0F12" w14:textId="77777777" w:rsidR="006B2947" w:rsidRPr="00226C43" w:rsidRDefault="006B2947" w:rsidP="00511F8A">
      <w:pPr>
        <w:numPr>
          <w:ilvl w:val="0"/>
          <w:numId w:val="46"/>
        </w:numPr>
        <w:spacing w:after="0"/>
        <w:rPr>
          <w:sz w:val="20"/>
          <w:szCs w:val="20"/>
        </w:rPr>
      </w:pPr>
      <w:r w:rsidRPr="00226C43">
        <w:rPr>
          <w:b/>
          <w:bCs/>
          <w:sz w:val="20"/>
          <w:szCs w:val="20"/>
        </w:rPr>
        <w:t>Peter Adams</w:t>
      </w:r>
      <w:r w:rsidRPr="00226C43">
        <w:rPr>
          <w:sz w:val="20"/>
          <w:szCs w:val="20"/>
        </w:rPr>
        <w:t> - Counsellor, Development, DFAT Post – Philippines</w:t>
      </w:r>
    </w:p>
    <w:p w14:paraId="561B0CDD" w14:textId="77777777" w:rsidR="006B2947" w:rsidRPr="00226C43" w:rsidRDefault="006B2947" w:rsidP="00511F8A">
      <w:pPr>
        <w:numPr>
          <w:ilvl w:val="0"/>
          <w:numId w:val="46"/>
        </w:numPr>
        <w:spacing w:after="0"/>
        <w:rPr>
          <w:sz w:val="20"/>
          <w:szCs w:val="20"/>
        </w:rPr>
      </w:pPr>
      <w:r w:rsidRPr="00226C43">
        <w:rPr>
          <w:b/>
          <w:bCs/>
          <w:sz w:val="20"/>
          <w:szCs w:val="20"/>
        </w:rPr>
        <w:t>Rollie De la Cruz</w:t>
      </w:r>
      <w:r w:rsidRPr="00226C43">
        <w:rPr>
          <w:sz w:val="20"/>
          <w:szCs w:val="20"/>
        </w:rPr>
        <w:t> - Portfolio Manager, Australia in the Philippines, DFAT Post – Philippines</w:t>
      </w:r>
    </w:p>
    <w:p w14:paraId="66C966B4" w14:textId="77777777" w:rsidR="006B2947" w:rsidRPr="00226C43" w:rsidRDefault="006B2947" w:rsidP="00511F8A">
      <w:pPr>
        <w:numPr>
          <w:ilvl w:val="0"/>
          <w:numId w:val="46"/>
        </w:numPr>
        <w:spacing w:after="0"/>
        <w:rPr>
          <w:sz w:val="20"/>
          <w:szCs w:val="20"/>
        </w:rPr>
      </w:pPr>
      <w:r w:rsidRPr="00226C43">
        <w:rPr>
          <w:b/>
          <w:bCs/>
          <w:sz w:val="20"/>
          <w:szCs w:val="20"/>
        </w:rPr>
        <w:t>Grace Borja</w:t>
      </w:r>
      <w:r w:rsidRPr="00226C43">
        <w:rPr>
          <w:sz w:val="20"/>
          <w:szCs w:val="20"/>
        </w:rPr>
        <w:t> - Senior Program Officer, Economics, DFAT Post – Philippines</w:t>
      </w:r>
    </w:p>
    <w:p w14:paraId="57760139" w14:textId="77777777" w:rsidR="006B2947" w:rsidRPr="00226C43" w:rsidRDefault="006B2947" w:rsidP="00511F8A">
      <w:pPr>
        <w:numPr>
          <w:ilvl w:val="0"/>
          <w:numId w:val="46"/>
        </w:numPr>
        <w:spacing w:after="0"/>
        <w:rPr>
          <w:sz w:val="20"/>
          <w:szCs w:val="20"/>
        </w:rPr>
      </w:pPr>
      <w:r w:rsidRPr="00226C43">
        <w:rPr>
          <w:b/>
          <w:bCs/>
          <w:sz w:val="20"/>
          <w:szCs w:val="20"/>
        </w:rPr>
        <w:t>Jonathan Monis</w:t>
      </w:r>
      <w:r w:rsidRPr="00226C43">
        <w:rPr>
          <w:sz w:val="20"/>
          <w:szCs w:val="20"/>
        </w:rPr>
        <w:t> - Program Officer, Health, DFAT – Philippines Post</w:t>
      </w:r>
    </w:p>
    <w:p w14:paraId="6519CEE2" w14:textId="77777777" w:rsidR="006B2947" w:rsidRPr="00226C43" w:rsidRDefault="006B2947" w:rsidP="00511F8A">
      <w:pPr>
        <w:numPr>
          <w:ilvl w:val="0"/>
          <w:numId w:val="46"/>
        </w:numPr>
        <w:spacing w:after="0"/>
        <w:rPr>
          <w:sz w:val="20"/>
          <w:szCs w:val="20"/>
        </w:rPr>
      </w:pPr>
      <w:r w:rsidRPr="00226C43">
        <w:rPr>
          <w:b/>
          <w:bCs/>
          <w:sz w:val="20"/>
          <w:szCs w:val="20"/>
        </w:rPr>
        <w:t>Eduardo Cajina</w:t>
      </w:r>
      <w:r w:rsidRPr="00226C43">
        <w:rPr>
          <w:sz w:val="20"/>
          <w:szCs w:val="20"/>
        </w:rPr>
        <w:t> - Assistant Director, Development Agreement Management, DFAT – Canberra</w:t>
      </w:r>
    </w:p>
    <w:p w14:paraId="2A229283" w14:textId="77777777" w:rsidR="006B2947" w:rsidRPr="00226C43" w:rsidRDefault="006B2947" w:rsidP="00511F8A">
      <w:pPr>
        <w:numPr>
          <w:ilvl w:val="0"/>
          <w:numId w:val="46"/>
        </w:numPr>
        <w:spacing w:after="0"/>
        <w:rPr>
          <w:sz w:val="20"/>
          <w:szCs w:val="20"/>
        </w:rPr>
      </w:pPr>
      <w:r w:rsidRPr="00226C43">
        <w:rPr>
          <w:b/>
          <w:bCs/>
          <w:sz w:val="20"/>
          <w:szCs w:val="20"/>
        </w:rPr>
        <w:t>Lea Hekimian</w:t>
      </w:r>
      <w:r w:rsidRPr="00226C43">
        <w:rPr>
          <w:sz w:val="20"/>
          <w:szCs w:val="20"/>
        </w:rPr>
        <w:t> - Procurement Manager, DFAT – Canberra</w:t>
      </w:r>
    </w:p>
    <w:p w14:paraId="5057276D" w14:textId="77777777" w:rsidR="006B2947" w:rsidRPr="00226C43" w:rsidRDefault="006B2947" w:rsidP="00511F8A">
      <w:pPr>
        <w:spacing w:after="0"/>
        <w:rPr>
          <w:b/>
          <w:bCs/>
          <w:sz w:val="20"/>
          <w:szCs w:val="20"/>
        </w:rPr>
      </w:pPr>
      <w:r w:rsidRPr="00226C43">
        <w:rPr>
          <w:b/>
          <w:bCs/>
          <w:sz w:val="20"/>
          <w:szCs w:val="20"/>
        </w:rPr>
        <w:t>Managing Contractor</w:t>
      </w:r>
    </w:p>
    <w:p w14:paraId="3A9065AD" w14:textId="77777777" w:rsidR="006B2947" w:rsidRPr="00226C43" w:rsidRDefault="006B2947" w:rsidP="00511F8A">
      <w:pPr>
        <w:numPr>
          <w:ilvl w:val="0"/>
          <w:numId w:val="47"/>
        </w:numPr>
        <w:spacing w:after="0"/>
        <w:rPr>
          <w:sz w:val="20"/>
          <w:szCs w:val="20"/>
        </w:rPr>
      </w:pPr>
      <w:proofErr w:type="spellStart"/>
      <w:r w:rsidRPr="00226C43">
        <w:rPr>
          <w:b/>
          <w:bCs/>
          <w:sz w:val="20"/>
          <w:szCs w:val="20"/>
        </w:rPr>
        <w:t>Mialin</w:t>
      </w:r>
      <w:proofErr w:type="spellEnd"/>
      <w:r w:rsidRPr="00226C43">
        <w:rPr>
          <w:b/>
          <w:bCs/>
          <w:sz w:val="20"/>
          <w:szCs w:val="20"/>
        </w:rPr>
        <w:t xml:space="preserve"> </w:t>
      </w:r>
      <w:proofErr w:type="spellStart"/>
      <w:r w:rsidRPr="00226C43">
        <w:rPr>
          <w:b/>
          <w:bCs/>
          <w:sz w:val="20"/>
          <w:szCs w:val="20"/>
        </w:rPr>
        <w:t>Javallena</w:t>
      </w:r>
      <w:proofErr w:type="spellEnd"/>
      <w:r w:rsidRPr="00226C43">
        <w:rPr>
          <w:sz w:val="20"/>
          <w:szCs w:val="20"/>
        </w:rPr>
        <w:t> - Program Director, Tetra-Tech International Development – Implementation Team</w:t>
      </w:r>
    </w:p>
    <w:p w14:paraId="509978F6" w14:textId="77777777" w:rsidR="006B2947" w:rsidRPr="00226C43" w:rsidRDefault="006B2947" w:rsidP="00511F8A">
      <w:pPr>
        <w:numPr>
          <w:ilvl w:val="0"/>
          <w:numId w:val="47"/>
        </w:numPr>
        <w:spacing w:after="0"/>
        <w:rPr>
          <w:sz w:val="20"/>
          <w:szCs w:val="20"/>
        </w:rPr>
      </w:pPr>
      <w:r w:rsidRPr="00226C43">
        <w:rPr>
          <w:b/>
          <w:bCs/>
          <w:sz w:val="20"/>
          <w:szCs w:val="20"/>
        </w:rPr>
        <w:t>Ramel Sangalang</w:t>
      </w:r>
      <w:r w:rsidRPr="00226C43">
        <w:rPr>
          <w:sz w:val="20"/>
          <w:szCs w:val="20"/>
        </w:rPr>
        <w:t> - MELQI Advisor, Tetra-Tech International Development – Implementation Team</w:t>
      </w:r>
    </w:p>
    <w:p w14:paraId="2AC24A6A" w14:textId="77777777" w:rsidR="006B2947" w:rsidRPr="00226C43" w:rsidRDefault="006B2947" w:rsidP="00511F8A">
      <w:pPr>
        <w:numPr>
          <w:ilvl w:val="0"/>
          <w:numId w:val="47"/>
        </w:numPr>
        <w:spacing w:after="0"/>
        <w:rPr>
          <w:sz w:val="20"/>
          <w:szCs w:val="20"/>
        </w:rPr>
      </w:pPr>
      <w:r w:rsidRPr="00226C43">
        <w:rPr>
          <w:b/>
          <w:bCs/>
          <w:sz w:val="20"/>
          <w:szCs w:val="20"/>
        </w:rPr>
        <w:t>Felipe Sasa</w:t>
      </w:r>
      <w:r w:rsidRPr="00226C43">
        <w:rPr>
          <w:sz w:val="20"/>
          <w:szCs w:val="20"/>
        </w:rPr>
        <w:t> - IT/Knowledge Management, and soon-to-be Mindanao Engagement Manager handling the in-country scholarship in BARMM, Tetra-Tech International Development – Implementation Team</w:t>
      </w:r>
    </w:p>
    <w:p w14:paraId="7AAD7E33" w14:textId="77777777" w:rsidR="006B2947" w:rsidRPr="00226C43" w:rsidRDefault="006B2947" w:rsidP="00511F8A">
      <w:pPr>
        <w:numPr>
          <w:ilvl w:val="0"/>
          <w:numId w:val="47"/>
        </w:numPr>
        <w:spacing w:after="0"/>
        <w:rPr>
          <w:sz w:val="20"/>
          <w:szCs w:val="20"/>
        </w:rPr>
      </w:pPr>
      <w:r w:rsidRPr="00226C43">
        <w:rPr>
          <w:b/>
          <w:bCs/>
          <w:sz w:val="20"/>
          <w:szCs w:val="20"/>
        </w:rPr>
        <w:t>Angela Ferrer</w:t>
      </w:r>
      <w:r w:rsidRPr="00226C43">
        <w:rPr>
          <w:sz w:val="20"/>
          <w:szCs w:val="20"/>
        </w:rPr>
        <w:t> - Senior Program Manager, Alumni Engagement, Tetra-Tech International Development – Implementation Team</w:t>
      </w:r>
    </w:p>
    <w:p w14:paraId="6CCF657B" w14:textId="77777777" w:rsidR="006B2947" w:rsidRPr="00226C43" w:rsidRDefault="006B2947" w:rsidP="00511F8A">
      <w:pPr>
        <w:numPr>
          <w:ilvl w:val="0"/>
          <w:numId w:val="47"/>
        </w:numPr>
        <w:spacing w:after="0"/>
        <w:rPr>
          <w:sz w:val="20"/>
          <w:szCs w:val="20"/>
        </w:rPr>
      </w:pPr>
      <w:r w:rsidRPr="00226C43">
        <w:rPr>
          <w:b/>
          <w:bCs/>
          <w:sz w:val="20"/>
          <w:szCs w:val="20"/>
        </w:rPr>
        <w:t>Jen Alcantara</w:t>
      </w:r>
      <w:r w:rsidRPr="00226C43">
        <w:rPr>
          <w:sz w:val="20"/>
          <w:szCs w:val="20"/>
        </w:rPr>
        <w:t> - Communications Specialist, Tetra-Tech International Development – Implementation Team</w:t>
      </w:r>
    </w:p>
    <w:p w14:paraId="6B7522BB" w14:textId="77777777" w:rsidR="006B2947" w:rsidRPr="00226C43" w:rsidRDefault="006B2947" w:rsidP="00511F8A">
      <w:pPr>
        <w:numPr>
          <w:ilvl w:val="0"/>
          <w:numId w:val="47"/>
        </w:numPr>
        <w:spacing w:after="0"/>
        <w:rPr>
          <w:sz w:val="20"/>
          <w:szCs w:val="20"/>
        </w:rPr>
      </w:pPr>
      <w:r w:rsidRPr="00226C43">
        <w:rPr>
          <w:b/>
          <w:bCs/>
          <w:sz w:val="20"/>
          <w:szCs w:val="20"/>
        </w:rPr>
        <w:t>Laine Buenaventura</w:t>
      </w:r>
      <w:r w:rsidRPr="00226C43">
        <w:rPr>
          <w:sz w:val="20"/>
          <w:szCs w:val="20"/>
        </w:rPr>
        <w:t> - Finance and Administration Management, Tetra-Tech International Development – Implementation Team</w:t>
      </w:r>
    </w:p>
    <w:p w14:paraId="07C2544D" w14:textId="77777777" w:rsidR="006B2947" w:rsidRPr="00226C43" w:rsidRDefault="006B2947" w:rsidP="00511F8A">
      <w:pPr>
        <w:numPr>
          <w:ilvl w:val="0"/>
          <w:numId w:val="47"/>
        </w:numPr>
        <w:spacing w:after="0"/>
        <w:rPr>
          <w:sz w:val="20"/>
          <w:szCs w:val="20"/>
        </w:rPr>
      </w:pPr>
      <w:r w:rsidRPr="00226C43">
        <w:rPr>
          <w:b/>
          <w:bCs/>
          <w:sz w:val="20"/>
          <w:szCs w:val="20"/>
        </w:rPr>
        <w:t>Nayra Simeon</w:t>
      </w:r>
      <w:r w:rsidRPr="00226C43">
        <w:rPr>
          <w:sz w:val="20"/>
          <w:szCs w:val="20"/>
        </w:rPr>
        <w:t> - Senior Program Manager, Scholarship, Tetra-Tech International Development – Implementation Team</w:t>
      </w:r>
    </w:p>
    <w:p w14:paraId="4528C4E5" w14:textId="77777777" w:rsidR="006B2947" w:rsidRPr="00226C43" w:rsidRDefault="006B2947" w:rsidP="00511F8A">
      <w:pPr>
        <w:numPr>
          <w:ilvl w:val="0"/>
          <w:numId w:val="47"/>
        </w:numPr>
        <w:spacing w:after="0"/>
        <w:rPr>
          <w:sz w:val="20"/>
          <w:szCs w:val="20"/>
        </w:rPr>
      </w:pPr>
      <w:r w:rsidRPr="00226C43">
        <w:rPr>
          <w:b/>
          <w:bCs/>
          <w:sz w:val="20"/>
          <w:szCs w:val="20"/>
        </w:rPr>
        <w:t xml:space="preserve">Nelson </w:t>
      </w:r>
      <w:proofErr w:type="spellStart"/>
      <w:r w:rsidRPr="00226C43">
        <w:rPr>
          <w:b/>
          <w:bCs/>
          <w:sz w:val="20"/>
          <w:szCs w:val="20"/>
        </w:rPr>
        <w:t>Salansan</w:t>
      </w:r>
      <w:proofErr w:type="spellEnd"/>
      <w:r w:rsidRPr="00226C43">
        <w:rPr>
          <w:sz w:val="20"/>
          <w:szCs w:val="20"/>
        </w:rPr>
        <w:t> - Associate Director, Transformational Education, Short Course Advisor, Tetra-Tech International Development – Implementation Team</w:t>
      </w:r>
    </w:p>
    <w:p w14:paraId="48166480" w14:textId="77777777" w:rsidR="006B2947" w:rsidRPr="00226C43" w:rsidRDefault="006B2947" w:rsidP="00511F8A">
      <w:pPr>
        <w:numPr>
          <w:ilvl w:val="0"/>
          <w:numId w:val="47"/>
        </w:numPr>
        <w:spacing w:after="0"/>
        <w:rPr>
          <w:sz w:val="20"/>
          <w:szCs w:val="20"/>
        </w:rPr>
      </w:pPr>
      <w:r w:rsidRPr="00226C43">
        <w:rPr>
          <w:b/>
          <w:bCs/>
          <w:sz w:val="20"/>
          <w:szCs w:val="20"/>
        </w:rPr>
        <w:t>Gretchen Dobson</w:t>
      </w:r>
      <w:r w:rsidRPr="00226C43">
        <w:rPr>
          <w:sz w:val="20"/>
          <w:szCs w:val="20"/>
        </w:rPr>
        <w:t> - Associate Director, Scholarships, Tetra-Tech International Development – Corporate Office</w:t>
      </w:r>
    </w:p>
    <w:p w14:paraId="749A442C" w14:textId="1F1C8A51" w:rsidR="006B2947" w:rsidRPr="00226C43" w:rsidRDefault="006B2947" w:rsidP="00511F8A">
      <w:pPr>
        <w:numPr>
          <w:ilvl w:val="0"/>
          <w:numId w:val="47"/>
        </w:numPr>
        <w:spacing w:after="0"/>
        <w:rPr>
          <w:sz w:val="20"/>
          <w:szCs w:val="20"/>
        </w:rPr>
      </w:pPr>
      <w:r w:rsidRPr="00226C43">
        <w:rPr>
          <w:b/>
          <w:bCs/>
          <w:sz w:val="20"/>
          <w:szCs w:val="20"/>
        </w:rPr>
        <w:lastRenderedPageBreak/>
        <w:t>Tham Dinh</w:t>
      </w:r>
      <w:r w:rsidRPr="00226C43">
        <w:rPr>
          <w:sz w:val="20"/>
          <w:szCs w:val="20"/>
        </w:rPr>
        <w:t> - Senior Program Manager, Tetra-Tech International Development – Corporate Office</w:t>
      </w:r>
    </w:p>
    <w:p w14:paraId="5D36358F" w14:textId="77777777" w:rsidR="006B2947" w:rsidRPr="00226C43" w:rsidRDefault="006B2947" w:rsidP="00511F8A">
      <w:pPr>
        <w:spacing w:after="0"/>
        <w:rPr>
          <w:b/>
          <w:bCs/>
          <w:sz w:val="20"/>
          <w:szCs w:val="20"/>
        </w:rPr>
      </w:pPr>
      <w:r w:rsidRPr="00226C43">
        <w:rPr>
          <w:b/>
          <w:bCs/>
          <w:sz w:val="20"/>
          <w:szCs w:val="20"/>
        </w:rPr>
        <w:t>Alumni – Scholarship</w:t>
      </w:r>
    </w:p>
    <w:p w14:paraId="03B1863F" w14:textId="77777777" w:rsidR="006B2947" w:rsidRPr="00226C43" w:rsidRDefault="006B2947" w:rsidP="00511F8A">
      <w:pPr>
        <w:numPr>
          <w:ilvl w:val="0"/>
          <w:numId w:val="48"/>
        </w:numPr>
        <w:spacing w:after="0"/>
        <w:rPr>
          <w:sz w:val="20"/>
          <w:szCs w:val="20"/>
        </w:rPr>
      </w:pPr>
      <w:r w:rsidRPr="00226C43">
        <w:rPr>
          <w:b/>
          <w:bCs/>
          <w:sz w:val="20"/>
          <w:szCs w:val="20"/>
        </w:rPr>
        <w:t>Maximo Macalipes</w:t>
      </w:r>
      <w:r w:rsidRPr="00226C43">
        <w:rPr>
          <w:sz w:val="20"/>
          <w:szCs w:val="20"/>
        </w:rPr>
        <w:t> - Economic Enterprise, City Government of Davao</w:t>
      </w:r>
    </w:p>
    <w:p w14:paraId="4C77C374" w14:textId="77777777" w:rsidR="006B2947" w:rsidRPr="00226C43" w:rsidRDefault="006B2947" w:rsidP="00511F8A">
      <w:pPr>
        <w:numPr>
          <w:ilvl w:val="0"/>
          <w:numId w:val="48"/>
        </w:numPr>
        <w:spacing w:after="0"/>
        <w:rPr>
          <w:sz w:val="20"/>
          <w:szCs w:val="20"/>
        </w:rPr>
      </w:pPr>
      <w:r w:rsidRPr="00226C43">
        <w:rPr>
          <w:b/>
          <w:bCs/>
          <w:sz w:val="20"/>
          <w:szCs w:val="20"/>
        </w:rPr>
        <w:t>Kristian Ablan</w:t>
      </w:r>
      <w:r w:rsidRPr="00226C43">
        <w:rPr>
          <w:sz w:val="20"/>
          <w:szCs w:val="20"/>
        </w:rPr>
        <w:t> - Assistant Director, Department of Trade and Industry</w:t>
      </w:r>
    </w:p>
    <w:p w14:paraId="29920532" w14:textId="77777777" w:rsidR="006B2947" w:rsidRPr="00226C43" w:rsidRDefault="006B2947" w:rsidP="00511F8A">
      <w:pPr>
        <w:numPr>
          <w:ilvl w:val="0"/>
          <w:numId w:val="48"/>
        </w:numPr>
        <w:spacing w:after="0"/>
        <w:rPr>
          <w:sz w:val="20"/>
          <w:szCs w:val="20"/>
        </w:rPr>
      </w:pPr>
      <w:r w:rsidRPr="00226C43">
        <w:rPr>
          <w:b/>
          <w:bCs/>
          <w:sz w:val="20"/>
          <w:szCs w:val="20"/>
        </w:rPr>
        <w:t xml:space="preserve">Marby </w:t>
      </w:r>
      <w:proofErr w:type="spellStart"/>
      <w:r w:rsidRPr="00226C43">
        <w:rPr>
          <w:b/>
          <w:bCs/>
          <w:sz w:val="20"/>
          <w:szCs w:val="20"/>
        </w:rPr>
        <w:t>Tarbungar</w:t>
      </w:r>
      <w:proofErr w:type="spellEnd"/>
      <w:r w:rsidRPr="00226C43">
        <w:rPr>
          <w:sz w:val="20"/>
          <w:szCs w:val="20"/>
        </w:rPr>
        <w:t xml:space="preserve"> - National Convenor 2024-2026 – </w:t>
      </w:r>
      <w:proofErr w:type="spellStart"/>
      <w:r w:rsidRPr="00226C43">
        <w:rPr>
          <w:sz w:val="20"/>
          <w:szCs w:val="20"/>
        </w:rPr>
        <w:t>AACPh</w:t>
      </w:r>
      <w:proofErr w:type="spellEnd"/>
      <w:r w:rsidRPr="00226C43">
        <w:rPr>
          <w:sz w:val="20"/>
          <w:szCs w:val="20"/>
        </w:rPr>
        <w:t>; Founder and Lead Consultant, Prevo Design x Innovation</w:t>
      </w:r>
    </w:p>
    <w:p w14:paraId="61DE10A6" w14:textId="77777777" w:rsidR="006B2947" w:rsidRPr="00226C43" w:rsidRDefault="006B2947" w:rsidP="00511F8A">
      <w:pPr>
        <w:numPr>
          <w:ilvl w:val="0"/>
          <w:numId w:val="48"/>
        </w:numPr>
        <w:spacing w:after="0"/>
        <w:rPr>
          <w:sz w:val="20"/>
          <w:szCs w:val="20"/>
        </w:rPr>
      </w:pPr>
      <w:r w:rsidRPr="00226C43">
        <w:rPr>
          <w:b/>
          <w:bCs/>
          <w:sz w:val="20"/>
          <w:szCs w:val="20"/>
        </w:rPr>
        <w:t>Christabel Ribo</w:t>
      </w:r>
      <w:r w:rsidRPr="00226C43">
        <w:rPr>
          <w:sz w:val="20"/>
          <w:szCs w:val="20"/>
        </w:rPr>
        <w:t> - Municipal Planning and Development Coordinator, LGU Jaro</w:t>
      </w:r>
    </w:p>
    <w:p w14:paraId="1F31A711" w14:textId="77777777" w:rsidR="006B2947" w:rsidRPr="00226C43" w:rsidRDefault="006B2947" w:rsidP="00511F8A">
      <w:pPr>
        <w:numPr>
          <w:ilvl w:val="0"/>
          <w:numId w:val="48"/>
        </w:numPr>
        <w:spacing w:after="0"/>
        <w:rPr>
          <w:sz w:val="20"/>
          <w:szCs w:val="20"/>
        </w:rPr>
      </w:pPr>
      <w:r w:rsidRPr="00226C43">
        <w:rPr>
          <w:b/>
          <w:bCs/>
          <w:sz w:val="20"/>
          <w:szCs w:val="20"/>
        </w:rPr>
        <w:t>Ava Melia Remonde</w:t>
      </w:r>
      <w:r w:rsidRPr="00226C43">
        <w:rPr>
          <w:sz w:val="20"/>
          <w:szCs w:val="20"/>
        </w:rPr>
        <w:t> - Instructor V, University of San Carlos</w:t>
      </w:r>
    </w:p>
    <w:p w14:paraId="4EE30D31" w14:textId="77777777" w:rsidR="006B2947" w:rsidRPr="00226C43" w:rsidRDefault="006B2947" w:rsidP="00511F8A">
      <w:pPr>
        <w:numPr>
          <w:ilvl w:val="0"/>
          <w:numId w:val="48"/>
        </w:numPr>
        <w:spacing w:after="0"/>
        <w:rPr>
          <w:sz w:val="20"/>
          <w:szCs w:val="20"/>
        </w:rPr>
      </w:pPr>
      <w:r w:rsidRPr="00226C43">
        <w:rPr>
          <w:b/>
          <w:bCs/>
          <w:sz w:val="20"/>
          <w:szCs w:val="20"/>
        </w:rPr>
        <w:t xml:space="preserve">Erwin </w:t>
      </w:r>
      <w:proofErr w:type="spellStart"/>
      <w:r w:rsidRPr="00226C43">
        <w:rPr>
          <w:b/>
          <w:bCs/>
          <w:sz w:val="20"/>
          <w:szCs w:val="20"/>
        </w:rPr>
        <w:t>Cudis</w:t>
      </w:r>
      <w:proofErr w:type="spellEnd"/>
      <w:r w:rsidRPr="00226C43">
        <w:rPr>
          <w:sz w:val="20"/>
          <w:szCs w:val="20"/>
        </w:rPr>
        <w:t> - Assistant Professor; Assistant Human Resource Director, University of San Carlos</w:t>
      </w:r>
    </w:p>
    <w:p w14:paraId="777DFEB8" w14:textId="77777777" w:rsidR="006B2947" w:rsidRPr="00226C43" w:rsidRDefault="006B2947" w:rsidP="00511F8A">
      <w:pPr>
        <w:numPr>
          <w:ilvl w:val="0"/>
          <w:numId w:val="48"/>
        </w:numPr>
        <w:spacing w:after="0"/>
        <w:rPr>
          <w:sz w:val="20"/>
          <w:szCs w:val="20"/>
        </w:rPr>
      </w:pPr>
      <w:r w:rsidRPr="00226C43">
        <w:rPr>
          <w:b/>
          <w:bCs/>
          <w:sz w:val="20"/>
          <w:szCs w:val="20"/>
        </w:rPr>
        <w:t xml:space="preserve">Mary Grace &amp; Emmanel </w:t>
      </w:r>
      <w:proofErr w:type="spellStart"/>
      <w:r w:rsidRPr="00226C43">
        <w:rPr>
          <w:b/>
          <w:bCs/>
          <w:sz w:val="20"/>
          <w:szCs w:val="20"/>
        </w:rPr>
        <w:t>Belviz</w:t>
      </w:r>
      <w:proofErr w:type="spellEnd"/>
      <w:r w:rsidRPr="00226C43">
        <w:rPr>
          <w:sz w:val="20"/>
          <w:szCs w:val="20"/>
        </w:rPr>
        <w:t> - Owner/Manager, Rosarios Delicacies</w:t>
      </w:r>
    </w:p>
    <w:p w14:paraId="37A1C497" w14:textId="77777777" w:rsidR="006B2947" w:rsidRPr="00226C43" w:rsidRDefault="006B2947" w:rsidP="00511F8A">
      <w:pPr>
        <w:numPr>
          <w:ilvl w:val="0"/>
          <w:numId w:val="48"/>
        </w:numPr>
        <w:spacing w:after="0"/>
        <w:rPr>
          <w:sz w:val="20"/>
          <w:szCs w:val="20"/>
        </w:rPr>
      </w:pPr>
      <w:r w:rsidRPr="00226C43">
        <w:rPr>
          <w:b/>
          <w:bCs/>
          <w:sz w:val="20"/>
          <w:szCs w:val="20"/>
        </w:rPr>
        <w:t>John Maynard Gan</w:t>
      </w:r>
      <w:r w:rsidRPr="00226C43">
        <w:rPr>
          <w:sz w:val="20"/>
          <w:szCs w:val="20"/>
        </w:rPr>
        <w:t> - Co-op Specialist – Member Services &amp; Innovation, Advancing Innovation and Systems-thinking for Social Change (ACDI/VOCA)</w:t>
      </w:r>
    </w:p>
    <w:p w14:paraId="53FFB67C" w14:textId="77777777" w:rsidR="006B2947" w:rsidRPr="00226C43" w:rsidRDefault="006B2947" w:rsidP="00511F8A">
      <w:pPr>
        <w:numPr>
          <w:ilvl w:val="0"/>
          <w:numId w:val="48"/>
        </w:numPr>
        <w:spacing w:after="0"/>
        <w:rPr>
          <w:sz w:val="20"/>
          <w:szCs w:val="20"/>
        </w:rPr>
      </w:pPr>
      <w:r w:rsidRPr="00226C43">
        <w:rPr>
          <w:b/>
          <w:bCs/>
          <w:sz w:val="20"/>
          <w:szCs w:val="20"/>
        </w:rPr>
        <w:t>Michael Angelo Malicsi</w:t>
      </w:r>
      <w:r w:rsidRPr="00226C43">
        <w:rPr>
          <w:sz w:val="20"/>
          <w:szCs w:val="20"/>
        </w:rPr>
        <w:t xml:space="preserve"> - Founding National Convenor – </w:t>
      </w:r>
      <w:proofErr w:type="spellStart"/>
      <w:r w:rsidRPr="00226C43">
        <w:rPr>
          <w:sz w:val="20"/>
          <w:szCs w:val="20"/>
        </w:rPr>
        <w:t>AACPh</w:t>
      </w:r>
      <w:proofErr w:type="spellEnd"/>
      <w:r w:rsidRPr="00226C43">
        <w:rPr>
          <w:sz w:val="20"/>
          <w:szCs w:val="20"/>
        </w:rPr>
        <w:t xml:space="preserve">; Head of Culture and Growth, </w:t>
      </w:r>
      <w:proofErr w:type="spellStart"/>
      <w:r w:rsidRPr="00226C43">
        <w:rPr>
          <w:sz w:val="20"/>
          <w:szCs w:val="20"/>
        </w:rPr>
        <w:t>UnionDigital</w:t>
      </w:r>
      <w:proofErr w:type="spellEnd"/>
      <w:r w:rsidRPr="00226C43">
        <w:rPr>
          <w:sz w:val="20"/>
          <w:szCs w:val="20"/>
        </w:rPr>
        <w:t xml:space="preserve"> Bank</w:t>
      </w:r>
    </w:p>
    <w:p w14:paraId="1408A6E4" w14:textId="77777777" w:rsidR="006B2947" w:rsidRPr="00226C43" w:rsidRDefault="006B2947" w:rsidP="00511F8A">
      <w:pPr>
        <w:numPr>
          <w:ilvl w:val="0"/>
          <w:numId w:val="48"/>
        </w:numPr>
        <w:spacing w:after="0"/>
        <w:rPr>
          <w:sz w:val="20"/>
          <w:szCs w:val="20"/>
        </w:rPr>
      </w:pPr>
      <w:r w:rsidRPr="00226C43">
        <w:rPr>
          <w:b/>
          <w:bCs/>
          <w:sz w:val="20"/>
          <w:szCs w:val="20"/>
        </w:rPr>
        <w:t xml:space="preserve">Jose </w:t>
      </w:r>
      <w:proofErr w:type="spellStart"/>
      <w:r w:rsidRPr="00226C43">
        <w:rPr>
          <w:b/>
          <w:bCs/>
          <w:sz w:val="20"/>
          <w:szCs w:val="20"/>
        </w:rPr>
        <w:t>Decolongon</w:t>
      </w:r>
      <w:proofErr w:type="spellEnd"/>
      <w:r w:rsidRPr="00226C43">
        <w:rPr>
          <w:sz w:val="20"/>
          <w:szCs w:val="20"/>
        </w:rPr>
        <w:t xml:space="preserve"> - Former National Co-Convenor – </w:t>
      </w:r>
      <w:proofErr w:type="spellStart"/>
      <w:r w:rsidRPr="00226C43">
        <w:rPr>
          <w:sz w:val="20"/>
          <w:szCs w:val="20"/>
        </w:rPr>
        <w:t>AACPh</w:t>
      </w:r>
      <w:proofErr w:type="spellEnd"/>
      <w:r w:rsidRPr="00226C43">
        <w:rPr>
          <w:sz w:val="20"/>
          <w:szCs w:val="20"/>
        </w:rPr>
        <w:t>; Adjunct Faculty, Asian Institute of Management</w:t>
      </w:r>
    </w:p>
    <w:p w14:paraId="2AF72543" w14:textId="77777777" w:rsidR="006B2947" w:rsidRPr="00226C43" w:rsidRDefault="006B2947" w:rsidP="00511F8A">
      <w:pPr>
        <w:numPr>
          <w:ilvl w:val="0"/>
          <w:numId w:val="48"/>
        </w:numPr>
        <w:spacing w:after="0"/>
        <w:rPr>
          <w:sz w:val="20"/>
          <w:szCs w:val="20"/>
        </w:rPr>
      </w:pPr>
      <w:r w:rsidRPr="00226C43">
        <w:rPr>
          <w:b/>
          <w:bCs/>
          <w:sz w:val="20"/>
          <w:szCs w:val="20"/>
        </w:rPr>
        <w:t>Joji Ilagan-</w:t>
      </w:r>
      <w:proofErr w:type="spellStart"/>
      <w:r w:rsidRPr="00226C43">
        <w:rPr>
          <w:b/>
          <w:bCs/>
          <w:sz w:val="20"/>
          <w:szCs w:val="20"/>
        </w:rPr>
        <w:t>BIan</w:t>
      </w:r>
      <w:proofErr w:type="spellEnd"/>
      <w:r w:rsidRPr="00226C43">
        <w:rPr>
          <w:sz w:val="20"/>
          <w:szCs w:val="20"/>
        </w:rPr>
        <w:t> - Founding Chair; Chairman; President, AA Alumni Association in Davao, Mindanao Technical Vocational Education and Training Association (</w:t>
      </w:r>
      <w:proofErr w:type="spellStart"/>
      <w:r w:rsidRPr="00226C43">
        <w:rPr>
          <w:sz w:val="20"/>
          <w:szCs w:val="20"/>
        </w:rPr>
        <w:t>MinTVET</w:t>
      </w:r>
      <w:proofErr w:type="spellEnd"/>
      <w:r w:rsidRPr="00226C43">
        <w:rPr>
          <w:sz w:val="20"/>
          <w:szCs w:val="20"/>
        </w:rPr>
        <w:t>); Joji Ilagan-Bian (JIB) International Schools</w:t>
      </w:r>
    </w:p>
    <w:p w14:paraId="23F30A65" w14:textId="0396A279" w:rsidR="006B2947" w:rsidRPr="00226C43" w:rsidRDefault="006B2947" w:rsidP="00511F8A">
      <w:pPr>
        <w:numPr>
          <w:ilvl w:val="0"/>
          <w:numId w:val="48"/>
        </w:numPr>
        <w:spacing w:after="0"/>
        <w:rPr>
          <w:sz w:val="20"/>
          <w:szCs w:val="20"/>
        </w:rPr>
      </w:pPr>
      <w:proofErr w:type="spellStart"/>
      <w:r w:rsidRPr="00226C43">
        <w:rPr>
          <w:b/>
          <w:bCs/>
          <w:sz w:val="20"/>
          <w:szCs w:val="20"/>
        </w:rPr>
        <w:t>Naprey</w:t>
      </w:r>
      <w:proofErr w:type="spellEnd"/>
      <w:r w:rsidRPr="00226C43">
        <w:rPr>
          <w:b/>
          <w:bCs/>
          <w:sz w:val="20"/>
          <w:szCs w:val="20"/>
        </w:rPr>
        <w:t xml:space="preserve"> Almario</w:t>
      </w:r>
      <w:r w:rsidRPr="00226C43">
        <w:rPr>
          <w:sz w:val="20"/>
          <w:szCs w:val="20"/>
        </w:rPr>
        <w:t xml:space="preserve"> - Member; GEDSI Convenor – </w:t>
      </w:r>
      <w:proofErr w:type="spellStart"/>
      <w:r w:rsidRPr="00226C43">
        <w:rPr>
          <w:sz w:val="20"/>
          <w:szCs w:val="20"/>
        </w:rPr>
        <w:t>AACPh</w:t>
      </w:r>
      <w:proofErr w:type="spellEnd"/>
      <w:r w:rsidRPr="00226C43">
        <w:rPr>
          <w:sz w:val="20"/>
          <w:szCs w:val="20"/>
        </w:rPr>
        <w:t>, Association of Differently Abled Persons</w:t>
      </w:r>
    </w:p>
    <w:p w14:paraId="3DE29610" w14:textId="77777777" w:rsidR="006B2947" w:rsidRPr="00226C43" w:rsidRDefault="006B2947" w:rsidP="00511F8A">
      <w:pPr>
        <w:spacing w:after="0"/>
        <w:rPr>
          <w:b/>
          <w:bCs/>
          <w:sz w:val="20"/>
          <w:szCs w:val="20"/>
        </w:rPr>
      </w:pPr>
      <w:r w:rsidRPr="00226C43">
        <w:rPr>
          <w:b/>
          <w:bCs/>
          <w:sz w:val="20"/>
          <w:szCs w:val="20"/>
        </w:rPr>
        <w:t>Alumni – ICSP</w:t>
      </w:r>
    </w:p>
    <w:p w14:paraId="38A3C7B1" w14:textId="77777777" w:rsidR="006B2947" w:rsidRPr="00226C43" w:rsidRDefault="006B2947" w:rsidP="00511F8A">
      <w:pPr>
        <w:numPr>
          <w:ilvl w:val="0"/>
          <w:numId w:val="49"/>
        </w:numPr>
        <w:spacing w:after="0"/>
        <w:rPr>
          <w:sz w:val="20"/>
          <w:szCs w:val="20"/>
        </w:rPr>
      </w:pPr>
      <w:r w:rsidRPr="00226C43">
        <w:rPr>
          <w:b/>
          <w:bCs/>
          <w:sz w:val="20"/>
          <w:szCs w:val="20"/>
        </w:rPr>
        <w:t xml:space="preserve">Dir. Windel </w:t>
      </w:r>
      <w:proofErr w:type="spellStart"/>
      <w:r w:rsidRPr="00226C43">
        <w:rPr>
          <w:b/>
          <w:bCs/>
          <w:sz w:val="20"/>
          <w:szCs w:val="20"/>
        </w:rPr>
        <w:t>Diangcalan</w:t>
      </w:r>
      <w:proofErr w:type="spellEnd"/>
      <w:r w:rsidRPr="00226C43">
        <w:rPr>
          <w:sz w:val="20"/>
          <w:szCs w:val="20"/>
        </w:rPr>
        <w:t> - Director, Technical Management Service (TMS), Office of the Chief Minister, BARMM</w:t>
      </w:r>
    </w:p>
    <w:p w14:paraId="7E30B002" w14:textId="77777777" w:rsidR="006B2947" w:rsidRPr="00226C43" w:rsidRDefault="006B2947" w:rsidP="00511F8A">
      <w:pPr>
        <w:numPr>
          <w:ilvl w:val="0"/>
          <w:numId w:val="49"/>
        </w:numPr>
        <w:spacing w:after="0"/>
        <w:rPr>
          <w:sz w:val="20"/>
          <w:szCs w:val="20"/>
        </w:rPr>
      </w:pPr>
      <w:proofErr w:type="spellStart"/>
      <w:r w:rsidRPr="00226C43">
        <w:rPr>
          <w:b/>
          <w:bCs/>
          <w:sz w:val="20"/>
          <w:szCs w:val="20"/>
        </w:rPr>
        <w:t>Zuhaina</w:t>
      </w:r>
      <w:proofErr w:type="spellEnd"/>
      <w:r w:rsidRPr="00226C43">
        <w:rPr>
          <w:b/>
          <w:bCs/>
          <w:sz w:val="20"/>
          <w:szCs w:val="20"/>
        </w:rPr>
        <w:t xml:space="preserve"> Abubacar</w:t>
      </w:r>
      <w:r w:rsidRPr="00226C43">
        <w:rPr>
          <w:sz w:val="20"/>
          <w:szCs w:val="20"/>
        </w:rPr>
        <w:t> - Senior Program Associate, United Nations (UN) – World Food Programme (WFP)</w:t>
      </w:r>
    </w:p>
    <w:p w14:paraId="3C21631C" w14:textId="1DAB5696" w:rsidR="006B2947" w:rsidRPr="00226C43" w:rsidRDefault="006B2947" w:rsidP="00511F8A">
      <w:pPr>
        <w:numPr>
          <w:ilvl w:val="0"/>
          <w:numId w:val="49"/>
        </w:numPr>
        <w:spacing w:after="0"/>
        <w:rPr>
          <w:sz w:val="20"/>
          <w:szCs w:val="20"/>
        </w:rPr>
      </w:pPr>
      <w:r w:rsidRPr="00226C43">
        <w:rPr>
          <w:b/>
          <w:bCs/>
          <w:sz w:val="20"/>
          <w:szCs w:val="20"/>
        </w:rPr>
        <w:t>Janor Balo</w:t>
      </w:r>
      <w:r w:rsidRPr="00226C43">
        <w:rPr>
          <w:sz w:val="20"/>
          <w:szCs w:val="20"/>
        </w:rPr>
        <w:t> - Program Coordinator/Department Chair, Ateneo de Davao University</w:t>
      </w:r>
    </w:p>
    <w:p w14:paraId="67E3F05A" w14:textId="77777777" w:rsidR="006B2947" w:rsidRPr="00226C43" w:rsidRDefault="006B2947" w:rsidP="00511F8A">
      <w:pPr>
        <w:spacing w:after="0"/>
        <w:rPr>
          <w:b/>
          <w:bCs/>
          <w:sz w:val="20"/>
          <w:szCs w:val="20"/>
        </w:rPr>
      </w:pPr>
      <w:r w:rsidRPr="00226C43">
        <w:rPr>
          <w:b/>
          <w:bCs/>
          <w:sz w:val="20"/>
          <w:szCs w:val="20"/>
        </w:rPr>
        <w:t>Alumni – Short Course (including fellowships &amp; study visits)</w:t>
      </w:r>
    </w:p>
    <w:p w14:paraId="2E889BF7" w14:textId="77777777" w:rsidR="006B2947" w:rsidRPr="00226C43" w:rsidRDefault="006B2947" w:rsidP="00511F8A">
      <w:pPr>
        <w:numPr>
          <w:ilvl w:val="0"/>
          <w:numId w:val="50"/>
        </w:numPr>
        <w:spacing w:after="0"/>
        <w:rPr>
          <w:sz w:val="20"/>
          <w:szCs w:val="20"/>
        </w:rPr>
      </w:pPr>
      <w:proofErr w:type="spellStart"/>
      <w:r w:rsidRPr="00226C43">
        <w:rPr>
          <w:b/>
          <w:bCs/>
          <w:sz w:val="20"/>
          <w:szCs w:val="20"/>
        </w:rPr>
        <w:t>Cherizalyn</w:t>
      </w:r>
      <w:proofErr w:type="spellEnd"/>
      <w:r w:rsidRPr="00226C43">
        <w:rPr>
          <w:b/>
          <w:bCs/>
          <w:sz w:val="20"/>
          <w:szCs w:val="20"/>
        </w:rPr>
        <w:t xml:space="preserve"> Unabia</w:t>
      </w:r>
      <w:r w:rsidRPr="00226C43">
        <w:rPr>
          <w:sz w:val="20"/>
          <w:szCs w:val="20"/>
        </w:rPr>
        <w:t> - Section Chief, Bureau of Construction</w:t>
      </w:r>
    </w:p>
    <w:p w14:paraId="49D42274" w14:textId="77777777" w:rsidR="006B2947" w:rsidRPr="00226C43" w:rsidRDefault="006B2947" w:rsidP="00511F8A">
      <w:pPr>
        <w:numPr>
          <w:ilvl w:val="0"/>
          <w:numId w:val="50"/>
        </w:numPr>
        <w:spacing w:after="0"/>
        <w:rPr>
          <w:sz w:val="20"/>
          <w:szCs w:val="20"/>
        </w:rPr>
      </w:pPr>
      <w:r w:rsidRPr="00226C43">
        <w:rPr>
          <w:b/>
          <w:bCs/>
          <w:sz w:val="20"/>
          <w:szCs w:val="20"/>
        </w:rPr>
        <w:t xml:space="preserve">Julia Judith </w:t>
      </w:r>
      <w:proofErr w:type="spellStart"/>
      <w:r w:rsidRPr="00226C43">
        <w:rPr>
          <w:b/>
          <w:bCs/>
          <w:sz w:val="20"/>
          <w:szCs w:val="20"/>
        </w:rPr>
        <w:t>Geveso</w:t>
      </w:r>
      <w:proofErr w:type="spellEnd"/>
      <w:r w:rsidRPr="00226C43">
        <w:rPr>
          <w:sz w:val="20"/>
          <w:szCs w:val="20"/>
        </w:rPr>
        <w:t> - Local Government Operations Officer VI, Department of Interior and Local Government</w:t>
      </w:r>
    </w:p>
    <w:p w14:paraId="6A3AA02B" w14:textId="77777777" w:rsidR="006B2947" w:rsidRPr="00226C43" w:rsidRDefault="006B2947" w:rsidP="00511F8A">
      <w:pPr>
        <w:numPr>
          <w:ilvl w:val="0"/>
          <w:numId w:val="50"/>
        </w:numPr>
        <w:spacing w:after="0"/>
        <w:rPr>
          <w:sz w:val="20"/>
          <w:szCs w:val="20"/>
        </w:rPr>
      </w:pPr>
      <w:r w:rsidRPr="00226C43">
        <w:rPr>
          <w:b/>
          <w:bCs/>
          <w:sz w:val="20"/>
          <w:szCs w:val="20"/>
        </w:rPr>
        <w:t xml:space="preserve">Leim Jonni </w:t>
      </w:r>
      <w:proofErr w:type="spellStart"/>
      <w:r w:rsidRPr="00226C43">
        <w:rPr>
          <w:b/>
          <w:bCs/>
          <w:sz w:val="20"/>
          <w:szCs w:val="20"/>
        </w:rPr>
        <w:t>Lactuan</w:t>
      </w:r>
      <w:proofErr w:type="spellEnd"/>
      <w:r w:rsidRPr="00226C43">
        <w:rPr>
          <w:sz w:val="20"/>
          <w:szCs w:val="20"/>
        </w:rPr>
        <w:t> - Senior Labor and Employment Officer, Department of Migrant Workers (DMW)</w:t>
      </w:r>
    </w:p>
    <w:p w14:paraId="661F7E44" w14:textId="77777777" w:rsidR="006B2947" w:rsidRPr="00226C43" w:rsidRDefault="006B2947" w:rsidP="00511F8A">
      <w:pPr>
        <w:numPr>
          <w:ilvl w:val="0"/>
          <w:numId w:val="50"/>
        </w:numPr>
        <w:spacing w:after="0"/>
        <w:rPr>
          <w:sz w:val="20"/>
          <w:szCs w:val="20"/>
        </w:rPr>
      </w:pPr>
      <w:r w:rsidRPr="00226C43">
        <w:rPr>
          <w:b/>
          <w:bCs/>
          <w:sz w:val="20"/>
          <w:szCs w:val="20"/>
        </w:rPr>
        <w:t>DIR Rey Albert Uy</w:t>
      </w:r>
      <w:r w:rsidRPr="00226C43">
        <w:rPr>
          <w:sz w:val="20"/>
          <w:szCs w:val="20"/>
        </w:rPr>
        <w:t> - Director II, Civil Service Commissions (CSC) – Region VIII</w:t>
      </w:r>
    </w:p>
    <w:p w14:paraId="613BDF14" w14:textId="77777777" w:rsidR="006B2947" w:rsidRPr="00226C43" w:rsidRDefault="006B2947" w:rsidP="00511F8A">
      <w:pPr>
        <w:numPr>
          <w:ilvl w:val="0"/>
          <w:numId w:val="50"/>
        </w:numPr>
        <w:spacing w:after="0"/>
        <w:rPr>
          <w:sz w:val="20"/>
          <w:szCs w:val="20"/>
        </w:rPr>
      </w:pPr>
      <w:proofErr w:type="spellStart"/>
      <w:r w:rsidRPr="00226C43">
        <w:rPr>
          <w:b/>
          <w:bCs/>
          <w:sz w:val="20"/>
          <w:szCs w:val="20"/>
        </w:rPr>
        <w:t>Momer</w:t>
      </w:r>
      <w:proofErr w:type="spellEnd"/>
      <w:r w:rsidRPr="00226C43">
        <w:rPr>
          <w:b/>
          <w:bCs/>
          <w:sz w:val="20"/>
          <w:szCs w:val="20"/>
        </w:rPr>
        <w:t xml:space="preserve"> </w:t>
      </w:r>
      <w:proofErr w:type="spellStart"/>
      <w:r w:rsidRPr="00226C43">
        <w:rPr>
          <w:b/>
          <w:bCs/>
          <w:sz w:val="20"/>
          <w:szCs w:val="20"/>
        </w:rPr>
        <w:t>Suringa</w:t>
      </w:r>
      <w:proofErr w:type="spellEnd"/>
      <w:r w:rsidRPr="00226C43">
        <w:rPr>
          <w:sz w:val="20"/>
          <w:szCs w:val="20"/>
        </w:rPr>
        <w:t> - Chief Human Resource Specialist, Civil Service Commission (CSC) – Region IV</w:t>
      </w:r>
    </w:p>
    <w:p w14:paraId="50E9DD14" w14:textId="77777777" w:rsidR="006B2947" w:rsidRPr="00226C43" w:rsidRDefault="006B2947" w:rsidP="00511F8A">
      <w:pPr>
        <w:numPr>
          <w:ilvl w:val="0"/>
          <w:numId w:val="50"/>
        </w:numPr>
        <w:spacing w:after="0"/>
        <w:rPr>
          <w:sz w:val="20"/>
          <w:szCs w:val="20"/>
        </w:rPr>
      </w:pPr>
      <w:proofErr w:type="spellStart"/>
      <w:r w:rsidRPr="00226C43">
        <w:rPr>
          <w:b/>
          <w:bCs/>
          <w:sz w:val="20"/>
          <w:szCs w:val="20"/>
        </w:rPr>
        <w:t>Cherizalyn</w:t>
      </w:r>
      <w:proofErr w:type="spellEnd"/>
      <w:r w:rsidRPr="00226C43">
        <w:rPr>
          <w:b/>
          <w:bCs/>
          <w:sz w:val="20"/>
          <w:szCs w:val="20"/>
        </w:rPr>
        <w:t xml:space="preserve"> Unabia</w:t>
      </w:r>
      <w:r w:rsidRPr="00226C43">
        <w:rPr>
          <w:sz w:val="20"/>
          <w:szCs w:val="20"/>
        </w:rPr>
        <w:t> - Section Chief, Bureau of Construction</w:t>
      </w:r>
    </w:p>
    <w:p w14:paraId="36D327CD" w14:textId="77777777" w:rsidR="006B2947" w:rsidRPr="00226C43" w:rsidRDefault="006B2947" w:rsidP="00511F8A">
      <w:pPr>
        <w:numPr>
          <w:ilvl w:val="0"/>
          <w:numId w:val="50"/>
        </w:numPr>
        <w:spacing w:after="0"/>
        <w:rPr>
          <w:sz w:val="20"/>
          <w:szCs w:val="20"/>
        </w:rPr>
      </w:pPr>
      <w:r w:rsidRPr="00226C43">
        <w:rPr>
          <w:b/>
          <w:bCs/>
          <w:sz w:val="20"/>
          <w:szCs w:val="20"/>
        </w:rPr>
        <w:t>Dr. Amy Dy</w:t>
      </w:r>
      <w:r w:rsidRPr="00226C43">
        <w:rPr>
          <w:sz w:val="20"/>
          <w:szCs w:val="20"/>
        </w:rPr>
        <w:t xml:space="preserve"> - Executive Director; Chairman Emeritus; Head – </w:t>
      </w:r>
      <w:proofErr w:type="spellStart"/>
      <w:r w:rsidRPr="00226C43">
        <w:rPr>
          <w:sz w:val="20"/>
          <w:szCs w:val="20"/>
        </w:rPr>
        <w:t>Pediatric</w:t>
      </w:r>
      <w:proofErr w:type="spellEnd"/>
      <w:r w:rsidRPr="00226C43">
        <w:rPr>
          <w:sz w:val="20"/>
          <w:szCs w:val="20"/>
        </w:rPr>
        <w:t xml:space="preserve"> Oncology Section, Cancer Treatment and Support Foundation, Inc; Philippine Board of </w:t>
      </w:r>
      <w:proofErr w:type="spellStart"/>
      <w:r w:rsidRPr="00226C43">
        <w:rPr>
          <w:sz w:val="20"/>
          <w:szCs w:val="20"/>
        </w:rPr>
        <w:t>Pediatric</w:t>
      </w:r>
      <w:proofErr w:type="spellEnd"/>
      <w:r w:rsidRPr="00226C43">
        <w:rPr>
          <w:sz w:val="20"/>
          <w:szCs w:val="20"/>
        </w:rPr>
        <w:t xml:space="preserve"> Oncology; St. Luke's Medical </w:t>
      </w:r>
      <w:proofErr w:type="spellStart"/>
      <w:r w:rsidRPr="00226C43">
        <w:rPr>
          <w:sz w:val="20"/>
          <w:szCs w:val="20"/>
        </w:rPr>
        <w:t>Center</w:t>
      </w:r>
      <w:proofErr w:type="spellEnd"/>
      <w:r w:rsidRPr="00226C43">
        <w:rPr>
          <w:sz w:val="20"/>
          <w:szCs w:val="20"/>
        </w:rPr>
        <w:t xml:space="preserve"> Global City</w:t>
      </w:r>
    </w:p>
    <w:p w14:paraId="5DAAADA6" w14:textId="77777777" w:rsidR="006B2947" w:rsidRPr="00226C43" w:rsidRDefault="006B2947" w:rsidP="00511F8A">
      <w:pPr>
        <w:numPr>
          <w:ilvl w:val="0"/>
          <w:numId w:val="50"/>
        </w:numPr>
        <w:spacing w:after="0"/>
        <w:rPr>
          <w:sz w:val="20"/>
          <w:szCs w:val="20"/>
        </w:rPr>
      </w:pPr>
      <w:r w:rsidRPr="00226C43">
        <w:rPr>
          <w:b/>
          <w:bCs/>
          <w:sz w:val="20"/>
          <w:szCs w:val="20"/>
        </w:rPr>
        <w:t xml:space="preserve">Rowena </w:t>
      </w:r>
      <w:proofErr w:type="spellStart"/>
      <w:r w:rsidRPr="00226C43">
        <w:rPr>
          <w:b/>
          <w:bCs/>
          <w:sz w:val="20"/>
          <w:szCs w:val="20"/>
        </w:rPr>
        <w:t>Taliping</w:t>
      </w:r>
      <w:proofErr w:type="spellEnd"/>
      <w:r w:rsidRPr="00226C43">
        <w:rPr>
          <w:sz w:val="20"/>
          <w:szCs w:val="20"/>
        </w:rPr>
        <w:t> - Project Evaluation Officer V, Department of the Interior and Local Government (DILG)</w:t>
      </w:r>
    </w:p>
    <w:p w14:paraId="77D4B2C3" w14:textId="77777777" w:rsidR="006B2947" w:rsidRPr="00226C43" w:rsidRDefault="006B2947" w:rsidP="00511F8A">
      <w:pPr>
        <w:numPr>
          <w:ilvl w:val="0"/>
          <w:numId w:val="50"/>
        </w:numPr>
        <w:spacing w:after="0"/>
        <w:rPr>
          <w:sz w:val="20"/>
          <w:szCs w:val="20"/>
        </w:rPr>
      </w:pPr>
      <w:r w:rsidRPr="00226C43">
        <w:rPr>
          <w:b/>
          <w:bCs/>
          <w:sz w:val="20"/>
          <w:szCs w:val="20"/>
        </w:rPr>
        <w:t>Joji Ilagan-Bian</w:t>
      </w:r>
      <w:r w:rsidRPr="00226C43">
        <w:rPr>
          <w:sz w:val="20"/>
          <w:szCs w:val="20"/>
        </w:rPr>
        <w:t> - Supervising Legislative Staff Officer II, House of Representatives, Congress of the Philippines – Committee on Foreign Affairs</w:t>
      </w:r>
    </w:p>
    <w:p w14:paraId="260BF3C9" w14:textId="28C2AA6C" w:rsidR="006B2947" w:rsidRPr="00226C43" w:rsidRDefault="006B2947" w:rsidP="00511F8A">
      <w:pPr>
        <w:numPr>
          <w:ilvl w:val="0"/>
          <w:numId w:val="50"/>
        </w:numPr>
        <w:spacing w:after="0"/>
        <w:rPr>
          <w:sz w:val="20"/>
          <w:szCs w:val="20"/>
        </w:rPr>
      </w:pPr>
      <w:r w:rsidRPr="00226C43">
        <w:rPr>
          <w:b/>
          <w:bCs/>
          <w:sz w:val="20"/>
          <w:szCs w:val="20"/>
        </w:rPr>
        <w:t xml:space="preserve">Nerissa </w:t>
      </w:r>
      <w:proofErr w:type="spellStart"/>
      <w:r w:rsidRPr="00226C43">
        <w:rPr>
          <w:b/>
          <w:bCs/>
          <w:sz w:val="20"/>
          <w:szCs w:val="20"/>
        </w:rPr>
        <w:t>Canguilan</w:t>
      </w:r>
      <w:proofErr w:type="spellEnd"/>
      <w:r w:rsidRPr="00226C43">
        <w:rPr>
          <w:sz w:val="20"/>
          <w:szCs w:val="20"/>
        </w:rPr>
        <w:t> - Assistant Commissioner, Civil Service Commission (CSC)</w:t>
      </w:r>
    </w:p>
    <w:p w14:paraId="339438E4" w14:textId="77777777" w:rsidR="006B2947" w:rsidRPr="00226C43" w:rsidRDefault="006B2947" w:rsidP="00511F8A">
      <w:pPr>
        <w:spacing w:after="0"/>
        <w:rPr>
          <w:b/>
          <w:bCs/>
          <w:sz w:val="20"/>
          <w:szCs w:val="20"/>
        </w:rPr>
      </w:pPr>
      <w:r w:rsidRPr="00226C43">
        <w:rPr>
          <w:b/>
          <w:bCs/>
          <w:sz w:val="20"/>
          <w:szCs w:val="20"/>
        </w:rPr>
        <w:t>Alumni – Self Pay</w:t>
      </w:r>
    </w:p>
    <w:p w14:paraId="5857589F" w14:textId="77777777" w:rsidR="006B2947" w:rsidRPr="00226C43" w:rsidRDefault="006B2947" w:rsidP="00511F8A">
      <w:pPr>
        <w:numPr>
          <w:ilvl w:val="0"/>
          <w:numId w:val="51"/>
        </w:numPr>
        <w:spacing w:after="0"/>
        <w:rPr>
          <w:sz w:val="20"/>
          <w:szCs w:val="20"/>
        </w:rPr>
      </w:pPr>
      <w:r w:rsidRPr="00226C43">
        <w:rPr>
          <w:b/>
          <w:bCs/>
          <w:sz w:val="20"/>
          <w:szCs w:val="20"/>
        </w:rPr>
        <w:t>April Valle</w:t>
      </w:r>
      <w:r w:rsidRPr="00226C43">
        <w:rPr>
          <w:sz w:val="20"/>
          <w:szCs w:val="20"/>
        </w:rPr>
        <w:t> - Urban Planner, Self-employed</w:t>
      </w:r>
    </w:p>
    <w:p w14:paraId="6991380A" w14:textId="53BF21DF" w:rsidR="006B2947" w:rsidRPr="00226C43" w:rsidRDefault="006B2947" w:rsidP="00511F8A">
      <w:pPr>
        <w:numPr>
          <w:ilvl w:val="0"/>
          <w:numId w:val="51"/>
        </w:numPr>
        <w:spacing w:after="0"/>
        <w:rPr>
          <w:sz w:val="20"/>
          <w:szCs w:val="20"/>
        </w:rPr>
      </w:pPr>
      <w:r w:rsidRPr="00226C43">
        <w:rPr>
          <w:b/>
          <w:bCs/>
          <w:sz w:val="20"/>
          <w:szCs w:val="20"/>
        </w:rPr>
        <w:t>Mark Penalver</w:t>
      </w:r>
      <w:r w:rsidRPr="00226C43">
        <w:rPr>
          <w:sz w:val="20"/>
          <w:szCs w:val="20"/>
        </w:rPr>
        <w:t> - Executive Director, Interfacing Development Interventions for Sustainability</w:t>
      </w:r>
    </w:p>
    <w:p w14:paraId="031FB7FF" w14:textId="77777777" w:rsidR="006B2947" w:rsidRPr="00226C43" w:rsidRDefault="006B2947" w:rsidP="00511F8A">
      <w:pPr>
        <w:spacing w:after="0"/>
        <w:rPr>
          <w:b/>
          <w:bCs/>
          <w:sz w:val="20"/>
          <w:szCs w:val="20"/>
        </w:rPr>
      </w:pPr>
      <w:r w:rsidRPr="00226C43">
        <w:rPr>
          <w:b/>
          <w:bCs/>
          <w:sz w:val="20"/>
          <w:szCs w:val="20"/>
        </w:rPr>
        <w:t>Alumni – GEDSI Champion</w:t>
      </w:r>
    </w:p>
    <w:p w14:paraId="72E25560" w14:textId="77777777" w:rsidR="006B2947" w:rsidRPr="00226C43" w:rsidRDefault="006B2947" w:rsidP="00511F8A">
      <w:pPr>
        <w:numPr>
          <w:ilvl w:val="0"/>
          <w:numId w:val="52"/>
        </w:numPr>
        <w:spacing w:after="0"/>
        <w:rPr>
          <w:sz w:val="20"/>
          <w:szCs w:val="20"/>
        </w:rPr>
      </w:pPr>
      <w:r w:rsidRPr="00226C43">
        <w:rPr>
          <w:b/>
          <w:bCs/>
          <w:sz w:val="20"/>
          <w:szCs w:val="20"/>
        </w:rPr>
        <w:t xml:space="preserve">Daisy Punzalan </w:t>
      </w:r>
      <w:proofErr w:type="spellStart"/>
      <w:r w:rsidRPr="00226C43">
        <w:rPr>
          <w:b/>
          <w:bCs/>
          <w:sz w:val="20"/>
          <w:szCs w:val="20"/>
        </w:rPr>
        <w:t>Bragais</w:t>
      </w:r>
      <w:proofErr w:type="spellEnd"/>
      <w:r w:rsidRPr="00226C43">
        <w:rPr>
          <w:sz w:val="20"/>
          <w:szCs w:val="20"/>
        </w:rPr>
        <w:t> - Director IV, Civil Service Commission (CSC)</w:t>
      </w:r>
    </w:p>
    <w:p w14:paraId="6FF2365D" w14:textId="77777777" w:rsidR="006B2947" w:rsidRPr="00226C43" w:rsidRDefault="006B2947" w:rsidP="00511F8A">
      <w:pPr>
        <w:numPr>
          <w:ilvl w:val="0"/>
          <w:numId w:val="52"/>
        </w:numPr>
        <w:spacing w:after="0"/>
        <w:rPr>
          <w:sz w:val="20"/>
          <w:szCs w:val="20"/>
        </w:rPr>
      </w:pPr>
      <w:r w:rsidRPr="00226C43">
        <w:rPr>
          <w:b/>
          <w:bCs/>
          <w:sz w:val="20"/>
          <w:szCs w:val="20"/>
        </w:rPr>
        <w:t>Carmen Zubiaga</w:t>
      </w:r>
      <w:r w:rsidRPr="00226C43">
        <w:rPr>
          <w:sz w:val="20"/>
          <w:szCs w:val="20"/>
        </w:rPr>
        <w:t xml:space="preserve"> - President, Women </w:t>
      </w:r>
      <w:proofErr w:type="gramStart"/>
      <w:r w:rsidRPr="00226C43">
        <w:rPr>
          <w:sz w:val="20"/>
          <w:szCs w:val="20"/>
        </w:rPr>
        <w:t>With</w:t>
      </w:r>
      <w:proofErr w:type="gramEnd"/>
      <w:r w:rsidRPr="00226C43">
        <w:rPr>
          <w:sz w:val="20"/>
          <w:szCs w:val="20"/>
        </w:rPr>
        <w:t xml:space="preserve"> Disabilities Leap to Social and Economic Progress (WOW-LEAP Inc)</w:t>
      </w:r>
    </w:p>
    <w:p w14:paraId="755A6AD3" w14:textId="7ED82A99" w:rsidR="006B2947" w:rsidRPr="00226C43" w:rsidRDefault="006B2947" w:rsidP="00511F8A">
      <w:pPr>
        <w:numPr>
          <w:ilvl w:val="0"/>
          <w:numId w:val="52"/>
        </w:numPr>
        <w:spacing w:after="0"/>
        <w:rPr>
          <w:sz w:val="20"/>
          <w:szCs w:val="20"/>
        </w:rPr>
      </w:pPr>
      <w:r w:rsidRPr="00226C43">
        <w:rPr>
          <w:b/>
          <w:bCs/>
          <w:sz w:val="20"/>
          <w:szCs w:val="20"/>
        </w:rPr>
        <w:t xml:space="preserve">Ma. Corazon De </w:t>
      </w:r>
      <w:proofErr w:type="spellStart"/>
      <w:r w:rsidRPr="00226C43">
        <w:rPr>
          <w:b/>
          <w:bCs/>
          <w:sz w:val="20"/>
          <w:szCs w:val="20"/>
        </w:rPr>
        <w:t>Ungria</w:t>
      </w:r>
      <w:proofErr w:type="spellEnd"/>
      <w:r w:rsidRPr="00226C43">
        <w:rPr>
          <w:sz w:val="20"/>
          <w:szCs w:val="20"/>
        </w:rPr>
        <w:t xml:space="preserve"> - Director; University Researcher V and Head of Laboratory, Philippine Genome </w:t>
      </w:r>
      <w:proofErr w:type="spellStart"/>
      <w:r w:rsidRPr="00226C43">
        <w:rPr>
          <w:sz w:val="20"/>
          <w:szCs w:val="20"/>
        </w:rPr>
        <w:t>Center</w:t>
      </w:r>
      <w:proofErr w:type="spellEnd"/>
      <w:r w:rsidRPr="00226C43">
        <w:rPr>
          <w:sz w:val="20"/>
          <w:szCs w:val="20"/>
        </w:rPr>
        <w:t>; University of the Philippines (UP) – Diliman</w:t>
      </w:r>
    </w:p>
    <w:p w14:paraId="28C12115" w14:textId="77777777" w:rsidR="006B2947" w:rsidRPr="00226C43" w:rsidRDefault="006B2947" w:rsidP="00511F8A">
      <w:pPr>
        <w:spacing w:after="0"/>
        <w:rPr>
          <w:b/>
          <w:bCs/>
          <w:sz w:val="20"/>
          <w:szCs w:val="20"/>
        </w:rPr>
      </w:pPr>
      <w:r w:rsidRPr="00226C43">
        <w:rPr>
          <w:b/>
          <w:bCs/>
          <w:sz w:val="20"/>
          <w:szCs w:val="20"/>
        </w:rPr>
        <w:t>Alumni – Climate Change Champion</w:t>
      </w:r>
    </w:p>
    <w:p w14:paraId="141EE2FF" w14:textId="77777777" w:rsidR="006B2947" w:rsidRPr="00226C43" w:rsidRDefault="006B2947" w:rsidP="00511F8A">
      <w:pPr>
        <w:numPr>
          <w:ilvl w:val="0"/>
          <w:numId w:val="53"/>
        </w:numPr>
        <w:spacing w:after="0"/>
        <w:rPr>
          <w:sz w:val="20"/>
          <w:szCs w:val="20"/>
        </w:rPr>
      </w:pPr>
      <w:r w:rsidRPr="00226C43">
        <w:rPr>
          <w:b/>
          <w:bCs/>
          <w:sz w:val="20"/>
          <w:szCs w:val="20"/>
        </w:rPr>
        <w:t>Dr. Jayson Ibanez</w:t>
      </w:r>
      <w:r w:rsidRPr="00226C43">
        <w:rPr>
          <w:sz w:val="20"/>
          <w:szCs w:val="20"/>
        </w:rPr>
        <w:t> - Director – Research and Conservation, Philippine Eagle Foundation</w:t>
      </w:r>
    </w:p>
    <w:p w14:paraId="4290BC44" w14:textId="7FDA37A1" w:rsidR="006B2947" w:rsidRPr="00226C43" w:rsidRDefault="006B2947" w:rsidP="00511F8A">
      <w:pPr>
        <w:numPr>
          <w:ilvl w:val="0"/>
          <w:numId w:val="53"/>
        </w:numPr>
        <w:spacing w:after="0"/>
        <w:rPr>
          <w:sz w:val="20"/>
          <w:szCs w:val="20"/>
        </w:rPr>
      </w:pPr>
      <w:r w:rsidRPr="00226C43">
        <w:rPr>
          <w:b/>
          <w:bCs/>
          <w:sz w:val="20"/>
          <w:szCs w:val="20"/>
        </w:rPr>
        <w:t>Dr. Jaime Manalo</w:t>
      </w:r>
      <w:r w:rsidRPr="00226C43">
        <w:rPr>
          <w:sz w:val="20"/>
          <w:szCs w:val="20"/>
        </w:rPr>
        <w:t> - Scientist II and Head of Socioeconomics, Philippine Rice Research Institute</w:t>
      </w:r>
    </w:p>
    <w:p w14:paraId="45936514" w14:textId="77777777" w:rsidR="006B2947" w:rsidRPr="00226C43" w:rsidRDefault="006B2947" w:rsidP="00511F8A">
      <w:pPr>
        <w:spacing w:after="0"/>
        <w:rPr>
          <w:b/>
          <w:bCs/>
          <w:sz w:val="20"/>
          <w:szCs w:val="20"/>
        </w:rPr>
      </w:pPr>
      <w:r w:rsidRPr="00226C43">
        <w:rPr>
          <w:b/>
          <w:bCs/>
          <w:sz w:val="20"/>
          <w:szCs w:val="20"/>
        </w:rPr>
        <w:t>Alumni – Private Sector</w:t>
      </w:r>
    </w:p>
    <w:p w14:paraId="17795DCD" w14:textId="48FD0FB7" w:rsidR="006B2947" w:rsidRPr="00226C43" w:rsidRDefault="006B2947" w:rsidP="00511F8A">
      <w:pPr>
        <w:numPr>
          <w:ilvl w:val="0"/>
          <w:numId w:val="54"/>
        </w:numPr>
        <w:spacing w:after="0"/>
        <w:rPr>
          <w:sz w:val="20"/>
          <w:szCs w:val="20"/>
        </w:rPr>
      </w:pPr>
      <w:r w:rsidRPr="00226C43">
        <w:rPr>
          <w:b/>
          <w:bCs/>
          <w:sz w:val="20"/>
          <w:szCs w:val="20"/>
        </w:rPr>
        <w:lastRenderedPageBreak/>
        <w:t xml:space="preserve">Jeffrey </w:t>
      </w:r>
      <w:proofErr w:type="spellStart"/>
      <w:r w:rsidRPr="00226C43">
        <w:rPr>
          <w:b/>
          <w:bCs/>
          <w:sz w:val="20"/>
          <w:szCs w:val="20"/>
        </w:rPr>
        <w:t>Tarayao</w:t>
      </w:r>
      <w:proofErr w:type="spellEnd"/>
      <w:r w:rsidRPr="00226C43">
        <w:rPr>
          <w:sz w:val="20"/>
          <w:szCs w:val="20"/>
        </w:rPr>
        <w:t> - President (One Meralco Foundation) and Chief Corporate Social Responsibility Officer (Meralco), One Meralco Foundation and Manila Electric Company (MERALCO)</w:t>
      </w:r>
    </w:p>
    <w:p w14:paraId="26104BA7" w14:textId="77777777" w:rsidR="006B2947" w:rsidRPr="00226C43" w:rsidRDefault="006B2947" w:rsidP="00511F8A">
      <w:pPr>
        <w:spacing w:after="0"/>
        <w:rPr>
          <w:b/>
          <w:bCs/>
          <w:sz w:val="20"/>
          <w:szCs w:val="20"/>
        </w:rPr>
      </w:pPr>
      <w:r w:rsidRPr="00226C43">
        <w:rPr>
          <w:b/>
          <w:bCs/>
          <w:sz w:val="20"/>
          <w:szCs w:val="20"/>
        </w:rPr>
        <w:t>Alumni – Education Institutions</w:t>
      </w:r>
    </w:p>
    <w:p w14:paraId="7549DB89" w14:textId="394C837D" w:rsidR="006B2947" w:rsidRPr="00226C43" w:rsidRDefault="006B2947" w:rsidP="00511F8A">
      <w:pPr>
        <w:numPr>
          <w:ilvl w:val="0"/>
          <w:numId w:val="55"/>
        </w:numPr>
        <w:spacing w:after="0"/>
        <w:rPr>
          <w:sz w:val="20"/>
          <w:szCs w:val="20"/>
        </w:rPr>
      </w:pPr>
      <w:r w:rsidRPr="00226C43">
        <w:rPr>
          <w:b/>
          <w:bCs/>
          <w:sz w:val="20"/>
          <w:szCs w:val="20"/>
        </w:rPr>
        <w:t>Gabriel Lizada</w:t>
      </w:r>
      <w:r w:rsidRPr="00226C43">
        <w:rPr>
          <w:sz w:val="20"/>
          <w:szCs w:val="20"/>
        </w:rPr>
        <w:t> - Assistant Professor, Ateneo de Davao University (</w:t>
      </w:r>
      <w:proofErr w:type="spellStart"/>
      <w:r w:rsidRPr="00226C43">
        <w:rPr>
          <w:sz w:val="20"/>
          <w:szCs w:val="20"/>
        </w:rPr>
        <w:t>AdDU</w:t>
      </w:r>
      <w:proofErr w:type="spellEnd"/>
      <w:r w:rsidRPr="00226C43">
        <w:rPr>
          <w:sz w:val="20"/>
          <w:szCs w:val="20"/>
        </w:rPr>
        <w:t>)</w:t>
      </w:r>
    </w:p>
    <w:p w14:paraId="2D7809C9" w14:textId="77777777" w:rsidR="006B2947" w:rsidRPr="00226C43" w:rsidRDefault="006B2947" w:rsidP="00511F8A">
      <w:pPr>
        <w:spacing w:after="0"/>
        <w:rPr>
          <w:b/>
          <w:bCs/>
          <w:sz w:val="20"/>
          <w:szCs w:val="20"/>
        </w:rPr>
      </w:pPr>
      <w:r w:rsidRPr="00226C43">
        <w:rPr>
          <w:b/>
          <w:bCs/>
          <w:sz w:val="20"/>
          <w:szCs w:val="20"/>
        </w:rPr>
        <w:t>Alumni - PA3i</w:t>
      </w:r>
    </w:p>
    <w:p w14:paraId="62757E7D" w14:textId="67A53C6E" w:rsidR="006B2947" w:rsidRPr="00226C43" w:rsidRDefault="006B2947" w:rsidP="00511F8A">
      <w:pPr>
        <w:numPr>
          <w:ilvl w:val="0"/>
          <w:numId w:val="56"/>
        </w:numPr>
        <w:spacing w:after="0"/>
        <w:rPr>
          <w:sz w:val="20"/>
          <w:szCs w:val="20"/>
        </w:rPr>
      </w:pPr>
      <w:r w:rsidRPr="00226C43">
        <w:rPr>
          <w:b/>
          <w:bCs/>
          <w:sz w:val="20"/>
          <w:szCs w:val="20"/>
        </w:rPr>
        <w:t>Jonalyn Villasante</w:t>
      </w:r>
      <w:r w:rsidRPr="00226C43">
        <w:rPr>
          <w:sz w:val="20"/>
          <w:szCs w:val="20"/>
        </w:rPr>
        <w:t> - OIC Committee Secretary of the Committee on Foreign Affairs, and Supervising Legislative Staff, House of Representatives</w:t>
      </w:r>
    </w:p>
    <w:p w14:paraId="50827CD1" w14:textId="77777777" w:rsidR="006B2947" w:rsidRPr="00226C43" w:rsidRDefault="006B2947" w:rsidP="00511F8A">
      <w:pPr>
        <w:spacing w:after="0"/>
        <w:rPr>
          <w:b/>
          <w:bCs/>
          <w:sz w:val="20"/>
          <w:szCs w:val="20"/>
        </w:rPr>
      </w:pPr>
      <w:r w:rsidRPr="00226C43">
        <w:rPr>
          <w:b/>
          <w:bCs/>
          <w:sz w:val="20"/>
          <w:szCs w:val="20"/>
        </w:rPr>
        <w:t>Other Organisations</w:t>
      </w:r>
    </w:p>
    <w:p w14:paraId="38FB3DFC" w14:textId="77777777" w:rsidR="006B2947" w:rsidRPr="00226C43" w:rsidRDefault="006B2947" w:rsidP="00511F8A">
      <w:pPr>
        <w:numPr>
          <w:ilvl w:val="0"/>
          <w:numId w:val="57"/>
        </w:numPr>
        <w:spacing w:after="0"/>
        <w:rPr>
          <w:sz w:val="20"/>
          <w:szCs w:val="20"/>
        </w:rPr>
      </w:pPr>
      <w:r w:rsidRPr="00226C43">
        <w:rPr>
          <w:b/>
          <w:bCs/>
          <w:sz w:val="20"/>
          <w:szCs w:val="20"/>
        </w:rPr>
        <w:t>Bernice Vanguardia</w:t>
      </w:r>
      <w:r w:rsidRPr="00226C43">
        <w:rPr>
          <w:sz w:val="20"/>
          <w:szCs w:val="20"/>
        </w:rPr>
        <w:t xml:space="preserve"> - Trade and Investment Commissioner to Manila, </w:t>
      </w:r>
      <w:proofErr w:type="spellStart"/>
      <w:r w:rsidRPr="00226C43">
        <w:rPr>
          <w:sz w:val="20"/>
          <w:szCs w:val="20"/>
        </w:rPr>
        <w:t>AusTrade</w:t>
      </w:r>
      <w:proofErr w:type="spellEnd"/>
    </w:p>
    <w:p w14:paraId="1985C125" w14:textId="77777777" w:rsidR="006B2947" w:rsidRPr="00226C43" w:rsidRDefault="006B2947" w:rsidP="00511F8A">
      <w:pPr>
        <w:numPr>
          <w:ilvl w:val="0"/>
          <w:numId w:val="57"/>
        </w:numPr>
        <w:spacing w:after="0"/>
        <w:rPr>
          <w:sz w:val="20"/>
          <w:szCs w:val="20"/>
        </w:rPr>
      </w:pPr>
      <w:r w:rsidRPr="00226C43">
        <w:rPr>
          <w:b/>
          <w:bCs/>
          <w:sz w:val="20"/>
          <w:szCs w:val="20"/>
        </w:rPr>
        <w:t>Kimberley Cuesta</w:t>
      </w:r>
      <w:r w:rsidRPr="00226C43">
        <w:rPr>
          <w:sz w:val="20"/>
          <w:szCs w:val="20"/>
        </w:rPr>
        <w:t xml:space="preserve"> - Business Development Manager, </w:t>
      </w:r>
      <w:proofErr w:type="spellStart"/>
      <w:r w:rsidRPr="00226C43">
        <w:rPr>
          <w:sz w:val="20"/>
          <w:szCs w:val="20"/>
        </w:rPr>
        <w:t>AusTrade</w:t>
      </w:r>
      <w:proofErr w:type="spellEnd"/>
    </w:p>
    <w:p w14:paraId="3B4F5EB1" w14:textId="77777777" w:rsidR="006B2947" w:rsidRPr="00226C43" w:rsidRDefault="006B2947" w:rsidP="00511F8A">
      <w:pPr>
        <w:numPr>
          <w:ilvl w:val="0"/>
          <w:numId w:val="57"/>
        </w:numPr>
        <w:spacing w:after="0"/>
        <w:rPr>
          <w:sz w:val="20"/>
          <w:szCs w:val="20"/>
        </w:rPr>
      </w:pPr>
      <w:r w:rsidRPr="00226C43">
        <w:rPr>
          <w:b/>
          <w:bCs/>
          <w:sz w:val="20"/>
          <w:szCs w:val="20"/>
        </w:rPr>
        <w:t>Gerald Divinagracia</w:t>
      </w:r>
      <w:r w:rsidRPr="00226C43">
        <w:rPr>
          <w:sz w:val="20"/>
          <w:szCs w:val="20"/>
        </w:rPr>
        <w:t> - Deputy Director General, Anti-Red Tape Authority (ARTA)</w:t>
      </w:r>
    </w:p>
    <w:p w14:paraId="6EF07341" w14:textId="77777777" w:rsidR="006B2947" w:rsidRPr="00226C43" w:rsidRDefault="006B2947" w:rsidP="00511F8A">
      <w:pPr>
        <w:numPr>
          <w:ilvl w:val="0"/>
          <w:numId w:val="57"/>
        </w:numPr>
        <w:spacing w:after="0"/>
        <w:rPr>
          <w:sz w:val="20"/>
          <w:szCs w:val="20"/>
        </w:rPr>
      </w:pPr>
      <w:r w:rsidRPr="00226C43">
        <w:rPr>
          <w:b/>
          <w:bCs/>
          <w:sz w:val="20"/>
          <w:szCs w:val="20"/>
        </w:rPr>
        <w:t>Joel Cruz</w:t>
      </w:r>
      <w:r w:rsidRPr="00226C43">
        <w:rPr>
          <w:sz w:val="20"/>
          <w:szCs w:val="20"/>
        </w:rPr>
        <w:t> - Director, Department of Trade and Industry</w:t>
      </w:r>
    </w:p>
    <w:bookmarkEnd w:id="48"/>
    <w:bookmarkEnd w:id="49"/>
    <w:p w14:paraId="224544A2" w14:textId="77777777" w:rsidR="00511F8A" w:rsidRPr="00226C43" w:rsidRDefault="00511F8A" w:rsidP="00511F8A">
      <w:pPr>
        <w:spacing w:after="0" w:line="259" w:lineRule="auto"/>
        <w:rPr>
          <w:b/>
          <w:bCs/>
        </w:rPr>
      </w:pPr>
    </w:p>
    <w:p w14:paraId="1343DBD8" w14:textId="77777777" w:rsidR="00764A92" w:rsidRDefault="00764A92" w:rsidP="00566F71">
      <w:pPr>
        <w:spacing w:after="0" w:line="259" w:lineRule="auto"/>
        <w:rPr>
          <w:b/>
          <w:bCs/>
        </w:rPr>
      </w:pPr>
    </w:p>
    <w:p w14:paraId="3D44F026" w14:textId="2DB8528E" w:rsidR="00FE657B" w:rsidRPr="00226C43" w:rsidRDefault="00741BDE" w:rsidP="00566F71">
      <w:pPr>
        <w:spacing w:after="0" w:line="259" w:lineRule="auto"/>
        <w:rPr>
          <w:b/>
          <w:bCs/>
        </w:rPr>
      </w:pPr>
      <w:r w:rsidRPr="00226C43">
        <w:rPr>
          <w:b/>
          <w:bCs/>
        </w:rPr>
        <w:t>Stakeholders interviewed at the 2024 GEDSI Summit, Manila</w:t>
      </w:r>
    </w:p>
    <w:p w14:paraId="7C3A066D" w14:textId="3011B9D2" w:rsidR="16FE9A91" w:rsidRPr="00764A92" w:rsidRDefault="16FE9A91" w:rsidP="6F80F90D">
      <w:pPr>
        <w:spacing w:after="240" w:line="259" w:lineRule="auto"/>
        <w:rPr>
          <w:rFonts w:eastAsia="Aptos" w:cs="Aptos"/>
          <w:sz w:val="22"/>
          <w:szCs w:val="22"/>
        </w:rPr>
      </w:pPr>
      <w:r w:rsidRPr="00764A92">
        <w:rPr>
          <w:rFonts w:eastAsia="Aptos" w:cs="Aptos"/>
          <w:sz w:val="22"/>
          <w:szCs w:val="22"/>
        </w:rPr>
        <w:t xml:space="preserve">The Evaluation Team’s GEDSI Specialist participated in the Australia Awards 2nd Regional GEDSI Alumni Leadership Summit, held on 9–10 September 2024 at the Novotel Manila. The event, titled </w:t>
      </w:r>
      <w:r w:rsidRPr="00764A92">
        <w:rPr>
          <w:rFonts w:eastAsia="Aptos" w:cs="Aptos"/>
          <w:i/>
          <w:iCs/>
          <w:sz w:val="22"/>
          <w:szCs w:val="22"/>
        </w:rPr>
        <w:t>GEDSI-</w:t>
      </w:r>
      <w:proofErr w:type="spellStart"/>
      <w:r w:rsidRPr="00764A92">
        <w:rPr>
          <w:rFonts w:eastAsia="Aptos" w:cs="Aptos"/>
          <w:i/>
          <w:iCs/>
          <w:sz w:val="22"/>
          <w:szCs w:val="22"/>
        </w:rPr>
        <w:t>liency</w:t>
      </w:r>
      <w:proofErr w:type="spellEnd"/>
      <w:r w:rsidRPr="00764A92">
        <w:rPr>
          <w:rFonts w:eastAsia="Aptos" w:cs="Aptos"/>
          <w:i/>
          <w:iCs/>
          <w:sz w:val="22"/>
          <w:szCs w:val="22"/>
        </w:rPr>
        <w:t>: A Collaborative Journey towards Inclusive Climate Action</w:t>
      </w:r>
      <w:r w:rsidRPr="00764A92">
        <w:rPr>
          <w:rFonts w:eastAsia="Aptos" w:cs="Aptos"/>
          <w:sz w:val="22"/>
          <w:szCs w:val="22"/>
        </w:rPr>
        <w:t xml:space="preserve">, brought together approximately 100 participants, including Australia-educated alumni from the Philippines and the broader Indo-Pacific region. Many of these alumni hold leadership positions across key sectors of society, underscoring the significant influence of the </w:t>
      </w:r>
      <w:r w:rsidR="45E0B99D" w:rsidRPr="00764A92">
        <w:rPr>
          <w:sz w:val="22"/>
          <w:szCs w:val="22"/>
        </w:rPr>
        <w:t>AA</w:t>
      </w:r>
      <w:r w:rsidRPr="00764A92">
        <w:rPr>
          <w:rFonts w:eastAsia="Aptos" w:cs="Aptos"/>
          <w:sz w:val="22"/>
          <w:szCs w:val="22"/>
        </w:rPr>
        <w:t xml:space="preserve"> on regional leadership and inclusive development.</w:t>
      </w:r>
    </w:p>
    <w:p w14:paraId="08796810" w14:textId="5233B6BF" w:rsidR="16FE9A91" w:rsidRPr="00764A92" w:rsidRDefault="16FE9A91" w:rsidP="00855E4C">
      <w:pPr>
        <w:spacing w:before="240" w:after="240"/>
        <w:rPr>
          <w:rFonts w:eastAsia="Aptos" w:cs="Aptos"/>
          <w:sz w:val="22"/>
          <w:szCs w:val="22"/>
        </w:rPr>
      </w:pPr>
      <w:r w:rsidRPr="00764A92">
        <w:rPr>
          <w:rFonts w:eastAsia="Aptos" w:cs="Aptos"/>
          <w:sz w:val="22"/>
          <w:szCs w:val="22"/>
        </w:rPr>
        <w:t>During the summit, the GEDSI Specialist conducted short interviews with several participants during conference breaks and interactive learning excursions. These engagements provided rich qualitative insights into the alumni’s experiences, their current roles, and how they integrate GEDSI principles in their professional and personal spheres. The GEDSI Advisor had meaningful interactions with the following individuals:</w:t>
      </w:r>
    </w:p>
    <w:p w14:paraId="03376413" w14:textId="77777777" w:rsidR="00511F8A" w:rsidRPr="00764A92" w:rsidRDefault="009C6A10" w:rsidP="00511F8A">
      <w:pPr>
        <w:pStyle w:val="ListParagraph"/>
        <w:numPr>
          <w:ilvl w:val="2"/>
          <w:numId w:val="8"/>
        </w:numPr>
        <w:ind w:left="709" w:hanging="425"/>
        <w:rPr>
          <w:sz w:val="22"/>
          <w:szCs w:val="22"/>
        </w:rPr>
      </w:pPr>
      <w:r w:rsidRPr="00764A92">
        <w:rPr>
          <w:sz w:val="22"/>
          <w:szCs w:val="22"/>
        </w:rPr>
        <w:t xml:space="preserve">Ramon </w:t>
      </w:r>
      <w:proofErr w:type="spellStart"/>
      <w:r w:rsidRPr="00764A92">
        <w:rPr>
          <w:sz w:val="22"/>
          <w:szCs w:val="22"/>
        </w:rPr>
        <w:t>Reyemmanuel</w:t>
      </w:r>
      <w:proofErr w:type="spellEnd"/>
      <w:r w:rsidRPr="00764A92">
        <w:rPr>
          <w:sz w:val="22"/>
          <w:szCs w:val="22"/>
        </w:rPr>
        <w:t xml:space="preserve"> Apilado, Administrative Manager, </w:t>
      </w:r>
      <w:proofErr w:type="spellStart"/>
      <w:r w:rsidRPr="00764A92">
        <w:rPr>
          <w:sz w:val="22"/>
          <w:szCs w:val="22"/>
        </w:rPr>
        <w:t>Tahanang</w:t>
      </w:r>
      <w:proofErr w:type="spellEnd"/>
      <w:r w:rsidRPr="00764A92">
        <w:rPr>
          <w:sz w:val="22"/>
          <w:szCs w:val="22"/>
        </w:rPr>
        <w:t xml:space="preserve"> Walang </w:t>
      </w:r>
      <w:proofErr w:type="spellStart"/>
      <w:r w:rsidRPr="00764A92">
        <w:rPr>
          <w:sz w:val="22"/>
          <w:szCs w:val="22"/>
        </w:rPr>
        <w:t>Hagdanan</w:t>
      </w:r>
      <w:proofErr w:type="spellEnd"/>
      <w:r w:rsidRPr="00764A92">
        <w:rPr>
          <w:sz w:val="22"/>
          <w:szCs w:val="22"/>
        </w:rPr>
        <w:t>, Inc. (</w:t>
      </w:r>
      <w:proofErr w:type="spellStart"/>
      <w:r w:rsidRPr="00764A92">
        <w:rPr>
          <w:sz w:val="22"/>
          <w:szCs w:val="22"/>
        </w:rPr>
        <w:t>TWHi</w:t>
      </w:r>
      <w:proofErr w:type="spellEnd"/>
      <w:r w:rsidRPr="00764A92">
        <w:rPr>
          <w:sz w:val="22"/>
          <w:szCs w:val="22"/>
        </w:rPr>
        <w:t>)</w:t>
      </w:r>
    </w:p>
    <w:p w14:paraId="0626746C" w14:textId="77777777" w:rsidR="00511F8A" w:rsidRPr="00764A92" w:rsidRDefault="009C6A10" w:rsidP="00511F8A">
      <w:pPr>
        <w:pStyle w:val="ListParagraph"/>
        <w:numPr>
          <w:ilvl w:val="2"/>
          <w:numId w:val="8"/>
        </w:numPr>
        <w:ind w:left="709" w:hanging="425"/>
        <w:rPr>
          <w:sz w:val="22"/>
          <w:szCs w:val="22"/>
        </w:rPr>
      </w:pPr>
      <w:r w:rsidRPr="00764A92">
        <w:rPr>
          <w:sz w:val="22"/>
          <w:szCs w:val="22"/>
        </w:rPr>
        <w:t>Gil Francis Arevalo, Disaster Management Specialist, United Nations</w:t>
      </w:r>
    </w:p>
    <w:p w14:paraId="5C6AD02E" w14:textId="77777777" w:rsidR="00511F8A" w:rsidRPr="00764A92" w:rsidRDefault="009C6A10" w:rsidP="00511F8A">
      <w:pPr>
        <w:pStyle w:val="ListParagraph"/>
        <w:numPr>
          <w:ilvl w:val="2"/>
          <w:numId w:val="8"/>
        </w:numPr>
        <w:ind w:left="709" w:hanging="425"/>
        <w:rPr>
          <w:sz w:val="22"/>
          <w:szCs w:val="22"/>
        </w:rPr>
      </w:pPr>
      <w:r w:rsidRPr="00764A92">
        <w:rPr>
          <w:sz w:val="22"/>
          <w:szCs w:val="22"/>
        </w:rPr>
        <w:t>Alvaro Calara, UPLB</w:t>
      </w:r>
    </w:p>
    <w:p w14:paraId="5CA8C732" w14:textId="77777777" w:rsidR="00511F8A" w:rsidRPr="00764A92" w:rsidRDefault="009C6A10" w:rsidP="00511F8A">
      <w:pPr>
        <w:pStyle w:val="ListParagraph"/>
        <w:numPr>
          <w:ilvl w:val="2"/>
          <w:numId w:val="8"/>
        </w:numPr>
        <w:ind w:left="709" w:hanging="425"/>
        <w:rPr>
          <w:sz w:val="22"/>
          <w:szCs w:val="22"/>
        </w:rPr>
      </w:pPr>
      <w:r w:rsidRPr="00764A92">
        <w:rPr>
          <w:sz w:val="22"/>
          <w:szCs w:val="22"/>
        </w:rPr>
        <w:t>Errol Dela Cruz, Phil Navy</w:t>
      </w:r>
      <w:r w:rsidR="0078429F" w:rsidRPr="00764A92">
        <w:rPr>
          <w:sz w:val="22"/>
          <w:szCs w:val="22"/>
        </w:rPr>
        <w:t xml:space="preserve"> </w:t>
      </w:r>
    </w:p>
    <w:p w14:paraId="5951FE03" w14:textId="77777777" w:rsidR="00511F8A" w:rsidRPr="00764A92" w:rsidRDefault="009C6A10" w:rsidP="00511F8A">
      <w:pPr>
        <w:pStyle w:val="ListParagraph"/>
        <w:numPr>
          <w:ilvl w:val="2"/>
          <w:numId w:val="8"/>
        </w:numPr>
        <w:ind w:left="709" w:hanging="425"/>
        <w:rPr>
          <w:sz w:val="22"/>
          <w:szCs w:val="22"/>
        </w:rPr>
      </w:pPr>
      <w:proofErr w:type="spellStart"/>
      <w:r w:rsidRPr="00764A92">
        <w:rPr>
          <w:sz w:val="22"/>
          <w:szCs w:val="22"/>
        </w:rPr>
        <w:t>Jackiya</w:t>
      </w:r>
      <w:proofErr w:type="spellEnd"/>
      <w:r w:rsidRPr="00764A92">
        <w:rPr>
          <w:sz w:val="22"/>
          <w:szCs w:val="22"/>
        </w:rPr>
        <w:t xml:space="preserve"> Lao, DSWD FO 12 Division Chief</w:t>
      </w:r>
    </w:p>
    <w:p w14:paraId="5B54823F" w14:textId="77777777" w:rsidR="00511F8A" w:rsidRPr="00764A92" w:rsidRDefault="009C6A10" w:rsidP="00511F8A">
      <w:pPr>
        <w:pStyle w:val="ListParagraph"/>
        <w:numPr>
          <w:ilvl w:val="2"/>
          <w:numId w:val="8"/>
        </w:numPr>
        <w:ind w:left="709" w:hanging="425"/>
        <w:rPr>
          <w:sz w:val="22"/>
          <w:szCs w:val="22"/>
        </w:rPr>
      </w:pPr>
      <w:r w:rsidRPr="00764A92">
        <w:rPr>
          <w:sz w:val="22"/>
          <w:szCs w:val="22"/>
        </w:rPr>
        <w:t>Amina Rasul</w:t>
      </w:r>
    </w:p>
    <w:p w14:paraId="66F3ABD7" w14:textId="77777777" w:rsidR="00511F8A" w:rsidRPr="00764A92" w:rsidRDefault="009C6A10" w:rsidP="00511F8A">
      <w:pPr>
        <w:pStyle w:val="ListParagraph"/>
        <w:numPr>
          <w:ilvl w:val="2"/>
          <w:numId w:val="8"/>
        </w:numPr>
        <w:ind w:left="709" w:hanging="425"/>
        <w:rPr>
          <w:sz w:val="22"/>
          <w:szCs w:val="22"/>
        </w:rPr>
      </w:pPr>
      <w:r w:rsidRPr="00764A92">
        <w:rPr>
          <w:sz w:val="22"/>
          <w:szCs w:val="22"/>
        </w:rPr>
        <w:t>Christianne “Kritzia” Santos</w:t>
      </w:r>
    </w:p>
    <w:p w14:paraId="6BC429D5" w14:textId="77777777" w:rsidR="00511F8A" w:rsidRPr="00764A92" w:rsidRDefault="009C6A10" w:rsidP="00511F8A">
      <w:pPr>
        <w:pStyle w:val="ListParagraph"/>
        <w:numPr>
          <w:ilvl w:val="2"/>
          <w:numId w:val="8"/>
        </w:numPr>
        <w:ind w:left="709" w:hanging="425"/>
        <w:rPr>
          <w:sz w:val="22"/>
          <w:szCs w:val="22"/>
        </w:rPr>
      </w:pPr>
      <w:r w:rsidRPr="00764A92">
        <w:rPr>
          <w:sz w:val="22"/>
          <w:szCs w:val="22"/>
        </w:rPr>
        <w:t xml:space="preserve">Faridah Kristi </w:t>
      </w:r>
      <w:proofErr w:type="spellStart"/>
      <w:r w:rsidRPr="00764A92">
        <w:rPr>
          <w:sz w:val="22"/>
          <w:szCs w:val="22"/>
        </w:rPr>
        <w:t>Wetherick</w:t>
      </w:r>
      <w:proofErr w:type="spellEnd"/>
    </w:p>
    <w:p w14:paraId="77FBC208" w14:textId="77777777" w:rsidR="00511F8A" w:rsidRPr="00764A92" w:rsidRDefault="009C6A10" w:rsidP="00511F8A">
      <w:pPr>
        <w:pStyle w:val="ListParagraph"/>
        <w:numPr>
          <w:ilvl w:val="2"/>
          <w:numId w:val="8"/>
        </w:numPr>
        <w:ind w:left="709" w:hanging="425"/>
        <w:rPr>
          <w:sz w:val="22"/>
          <w:szCs w:val="22"/>
        </w:rPr>
      </w:pPr>
      <w:r w:rsidRPr="00764A92">
        <w:rPr>
          <w:sz w:val="22"/>
          <w:szCs w:val="22"/>
        </w:rPr>
        <w:t xml:space="preserve">Krissy </w:t>
      </w:r>
      <w:proofErr w:type="spellStart"/>
      <w:r w:rsidRPr="00764A92">
        <w:rPr>
          <w:sz w:val="22"/>
          <w:szCs w:val="22"/>
        </w:rPr>
        <w:t>Bisda</w:t>
      </w:r>
      <w:proofErr w:type="spellEnd"/>
      <w:r w:rsidRPr="00764A92">
        <w:rPr>
          <w:sz w:val="22"/>
          <w:szCs w:val="22"/>
        </w:rPr>
        <w:t xml:space="preserve"> </w:t>
      </w:r>
    </w:p>
    <w:p w14:paraId="14348A53" w14:textId="77777777" w:rsidR="00511F8A" w:rsidRPr="00764A92" w:rsidRDefault="009C6A10" w:rsidP="00511F8A">
      <w:pPr>
        <w:pStyle w:val="ListParagraph"/>
        <w:numPr>
          <w:ilvl w:val="2"/>
          <w:numId w:val="8"/>
        </w:numPr>
        <w:ind w:left="709" w:hanging="425"/>
        <w:rPr>
          <w:sz w:val="22"/>
          <w:szCs w:val="22"/>
        </w:rPr>
      </w:pPr>
      <w:r w:rsidRPr="00764A92">
        <w:rPr>
          <w:sz w:val="22"/>
          <w:szCs w:val="22"/>
        </w:rPr>
        <w:t xml:space="preserve">Joel </w:t>
      </w:r>
      <w:proofErr w:type="spellStart"/>
      <w:r w:rsidRPr="00764A92">
        <w:rPr>
          <w:sz w:val="22"/>
          <w:szCs w:val="22"/>
        </w:rPr>
        <w:t>Dannug</w:t>
      </w:r>
      <w:proofErr w:type="spellEnd"/>
    </w:p>
    <w:p w14:paraId="4FA6DA1A" w14:textId="77777777" w:rsidR="00511F8A" w:rsidRPr="00764A92" w:rsidRDefault="009C6A10" w:rsidP="00511F8A">
      <w:pPr>
        <w:pStyle w:val="ListParagraph"/>
        <w:numPr>
          <w:ilvl w:val="2"/>
          <w:numId w:val="8"/>
        </w:numPr>
        <w:ind w:left="709" w:hanging="425"/>
        <w:rPr>
          <w:sz w:val="22"/>
          <w:szCs w:val="22"/>
        </w:rPr>
      </w:pPr>
      <w:r w:rsidRPr="00764A92">
        <w:rPr>
          <w:sz w:val="22"/>
          <w:szCs w:val="22"/>
        </w:rPr>
        <w:t>Dr Kat Roa</w:t>
      </w:r>
    </w:p>
    <w:p w14:paraId="488CA60F" w14:textId="77777777" w:rsidR="00511F8A" w:rsidRPr="00764A92" w:rsidRDefault="009C6A10" w:rsidP="00511F8A">
      <w:pPr>
        <w:pStyle w:val="ListParagraph"/>
        <w:numPr>
          <w:ilvl w:val="2"/>
          <w:numId w:val="8"/>
        </w:numPr>
        <w:ind w:left="709" w:hanging="425"/>
        <w:rPr>
          <w:sz w:val="22"/>
          <w:szCs w:val="22"/>
        </w:rPr>
      </w:pPr>
      <w:proofErr w:type="spellStart"/>
      <w:r w:rsidRPr="00764A92">
        <w:rPr>
          <w:sz w:val="22"/>
          <w:szCs w:val="22"/>
          <w:lang w:val="fr-CA"/>
        </w:rPr>
        <w:t>Atty</w:t>
      </w:r>
      <w:proofErr w:type="spellEnd"/>
      <w:r w:rsidRPr="00764A92">
        <w:rPr>
          <w:sz w:val="22"/>
          <w:szCs w:val="22"/>
          <w:lang w:val="fr-CA"/>
        </w:rPr>
        <w:t xml:space="preserve"> </w:t>
      </w:r>
      <w:proofErr w:type="spellStart"/>
      <w:r w:rsidRPr="00764A92">
        <w:rPr>
          <w:sz w:val="22"/>
          <w:szCs w:val="22"/>
          <w:lang w:val="fr-CA"/>
        </w:rPr>
        <w:t>Amanah</w:t>
      </w:r>
      <w:proofErr w:type="spellEnd"/>
      <w:r w:rsidRPr="00764A92">
        <w:rPr>
          <w:sz w:val="22"/>
          <w:szCs w:val="22"/>
          <w:lang w:val="fr-CA"/>
        </w:rPr>
        <w:t xml:space="preserve"> Lao</w:t>
      </w:r>
    </w:p>
    <w:p w14:paraId="0A84AA65" w14:textId="77777777" w:rsidR="00511F8A" w:rsidRPr="00764A92" w:rsidRDefault="009C6A10" w:rsidP="00511F8A">
      <w:pPr>
        <w:pStyle w:val="ListParagraph"/>
        <w:numPr>
          <w:ilvl w:val="2"/>
          <w:numId w:val="8"/>
        </w:numPr>
        <w:ind w:left="709" w:hanging="425"/>
        <w:rPr>
          <w:sz w:val="22"/>
          <w:szCs w:val="22"/>
        </w:rPr>
      </w:pPr>
      <w:r w:rsidRPr="00764A92">
        <w:rPr>
          <w:sz w:val="22"/>
          <w:szCs w:val="22"/>
          <w:lang w:val="fr-CA"/>
        </w:rPr>
        <w:t xml:space="preserve">Ma </w:t>
      </w:r>
      <w:proofErr w:type="spellStart"/>
      <w:r w:rsidRPr="00764A92">
        <w:rPr>
          <w:sz w:val="22"/>
          <w:szCs w:val="22"/>
          <w:lang w:val="fr-CA"/>
        </w:rPr>
        <w:t>Cyrrel</w:t>
      </w:r>
      <w:proofErr w:type="spellEnd"/>
      <w:r w:rsidRPr="00764A92">
        <w:rPr>
          <w:sz w:val="22"/>
          <w:szCs w:val="22"/>
          <w:lang w:val="fr-CA"/>
        </w:rPr>
        <w:t xml:space="preserve"> Valentin</w:t>
      </w:r>
    </w:p>
    <w:p w14:paraId="11EC0A85" w14:textId="77777777" w:rsidR="00511F8A" w:rsidRPr="00764A92" w:rsidRDefault="009C6A10" w:rsidP="00511F8A">
      <w:pPr>
        <w:pStyle w:val="ListParagraph"/>
        <w:numPr>
          <w:ilvl w:val="2"/>
          <w:numId w:val="8"/>
        </w:numPr>
        <w:ind w:left="709" w:hanging="425"/>
        <w:rPr>
          <w:sz w:val="22"/>
          <w:szCs w:val="22"/>
        </w:rPr>
      </w:pPr>
      <w:proofErr w:type="spellStart"/>
      <w:r w:rsidRPr="00764A92">
        <w:rPr>
          <w:sz w:val="22"/>
          <w:szCs w:val="22"/>
          <w:lang w:val="fr-CA"/>
        </w:rPr>
        <w:t>Agnes</w:t>
      </w:r>
      <w:proofErr w:type="spellEnd"/>
      <w:r w:rsidRPr="00764A92">
        <w:rPr>
          <w:sz w:val="22"/>
          <w:szCs w:val="22"/>
          <w:lang w:val="fr-CA"/>
        </w:rPr>
        <w:t xml:space="preserve"> </w:t>
      </w:r>
      <w:proofErr w:type="spellStart"/>
      <w:r w:rsidRPr="00764A92">
        <w:rPr>
          <w:sz w:val="22"/>
          <w:szCs w:val="22"/>
          <w:lang w:val="fr-CA"/>
        </w:rPr>
        <w:t>Radam</w:t>
      </w:r>
      <w:proofErr w:type="spellEnd"/>
    </w:p>
    <w:p w14:paraId="7E5BC433" w14:textId="77777777" w:rsidR="00511F8A" w:rsidRPr="00764A92" w:rsidRDefault="009C6A10" w:rsidP="00511F8A">
      <w:pPr>
        <w:pStyle w:val="ListParagraph"/>
        <w:numPr>
          <w:ilvl w:val="2"/>
          <w:numId w:val="8"/>
        </w:numPr>
        <w:ind w:left="709" w:hanging="425"/>
        <w:rPr>
          <w:sz w:val="22"/>
          <w:szCs w:val="22"/>
        </w:rPr>
      </w:pPr>
      <w:proofErr w:type="spellStart"/>
      <w:r w:rsidRPr="00764A92">
        <w:rPr>
          <w:sz w:val="22"/>
          <w:szCs w:val="22"/>
          <w:lang w:val="fr-CA"/>
        </w:rPr>
        <w:t>Charmine</w:t>
      </w:r>
      <w:proofErr w:type="spellEnd"/>
      <w:r w:rsidRPr="00764A92">
        <w:rPr>
          <w:sz w:val="22"/>
          <w:szCs w:val="22"/>
          <w:lang w:val="fr-CA"/>
        </w:rPr>
        <w:t xml:space="preserve"> Puig</w:t>
      </w:r>
    </w:p>
    <w:p w14:paraId="264B11B5" w14:textId="77777777" w:rsidR="00511F8A" w:rsidRPr="00764A92" w:rsidRDefault="009C6A10" w:rsidP="00511F8A">
      <w:pPr>
        <w:pStyle w:val="ListParagraph"/>
        <w:numPr>
          <w:ilvl w:val="2"/>
          <w:numId w:val="8"/>
        </w:numPr>
        <w:ind w:left="709" w:hanging="425"/>
        <w:rPr>
          <w:sz w:val="22"/>
          <w:szCs w:val="22"/>
        </w:rPr>
      </w:pPr>
      <w:r w:rsidRPr="00764A92">
        <w:rPr>
          <w:sz w:val="22"/>
          <w:szCs w:val="22"/>
        </w:rPr>
        <w:t xml:space="preserve">Lady Hanifah </w:t>
      </w:r>
      <w:proofErr w:type="spellStart"/>
      <w:r w:rsidRPr="00764A92">
        <w:rPr>
          <w:sz w:val="22"/>
          <w:szCs w:val="22"/>
        </w:rPr>
        <w:t>Mindalano</w:t>
      </w:r>
      <w:proofErr w:type="spellEnd"/>
      <w:r w:rsidRPr="00764A92">
        <w:rPr>
          <w:sz w:val="22"/>
          <w:szCs w:val="22"/>
        </w:rPr>
        <w:t>-Alonto</w:t>
      </w:r>
    </w:p>
    <w:p w14:paraId="11525A22" w14:textId="77777777" w:rsidR="00511F8A" w:rsidRPr="00764A92" w:rsidRDefault="009C6A10" w:rsidP="00511F8A">
      <w:pPr>
        <w:pStyle w:val="ListParagraph"/>
        <w:numPr>
          <w:ilvl w:val="2"/>
          <w:numId w:val="8"/>
        </w:numPr>
        <w:ind w:left="709" w:hanging="425"/>
        <w:rPr>
          <w:sz w:val="22"/>
          <w:szCs w:val="22"/>
        </w:rPr>
      </w:pPr>
      <w:r w:rsidRPr="00764A92">
        <w:rPr>
          <w:sz w:val="22"/>
          <w:szCs w:val="22"/>
        </w:rPr>
        <w:t xml:space="preserve">Ma Lourdes </w:t>
      </w:r>
      <w:proofErr w:type="spellStart"/>
      <w:r w:rsidRPr="00764A92">
        <w:rPr>
          <w:sz w:val="22"/>
          <w:szCs w:val="22"/>
        </w:rPr>
        <w:t>Eudela</w:t>
      </w:r>
      <w:proofErr w:type="spellEnd"/>
    </w:p>
    <w:p w14:paraId="7FD05983" w14:textId="77777777" w:rsidR="00511F8A" w:rsidRPr="00764A92" w:rsidRDefault="009C6A10" w:rsidP="00511F8A">
      <w:pPr>
        <w:pStyle w:val="ListParagraph"/>
        <w:numPr>
          <w:ilvl w:val="2"/>
          <w:numId w:val="8"/>
        </w:numPr>
        <w:ind w:left="709" w:hanging="425"/>
        <w:rPr>
          <w:sz w:val="22"/>
          <w:szCs w:val="22"/>
        </w:rPr>
      </w:pPr>
      <w:proofErr w:type="spellStart"/>
      <w:r w:rsidRPr="00764A92">
        <w:rPr>
          <w:sz w:val="22"/>
          <w:szCs w:val="22"/>
        </w:rPr>
        <w:t>Mariechell</w:t>
      </w:r>
      <w:proofErr w:type="spellEnd"/>
      <w:r w:rsidRPr="00764A92">
        <w:rPr>
          <w:sz w:val="22"/>
          <w:szCs w:val="22"/>
        </w:rPr>
        <w:t xml:space="preserve"> Arma</w:t>
      </w:r>
    </w:p>
    <w:p w14:paraId="17EAC9B2" w14:textId="77777777" w:rsidR="00511F8A" w:rsidRPr="00764A92" w:rsidRDefault="009C6A10" w:rsidP="00511F8A">
      <w:pPr>
        <w:pStyle w:val="ListParagraph"/>
        <w:numPr>
          <w:ilvl w:val="2"/>
          <w:numId w:val="8"/>
        </w:numPr>
        <w:ind w:left="709" w:hanging="425"/>
        <w:rPr>
          <w:sz w:val="22"/>
          <w:szCs w:val="22"/>
        </w:rPr>
      </w:pPr>
      <w:r w:rsidRPr="00764A92">
        <w:rPr>
          <w:sz w:val="22"/>
          <w:szCs w:val="22"/>
        </w:rPr>
        <w:t>Dr Wilham Hailaya</w:t>
      </w:r>
    </w:p>
    <w:p w14:paraId="3BA9F5F7" w14:textId="77777777" w:rsidR="00511F8A" w:rsidRPr="00764A92" w:rsidRDefault="009C6A10" w:rsidP="00511F8A">
      <w:pPr>
        <w:pStyle w:val="ListParagraph"/>
        <w:numPr>
          <w:ilvl w:val="2"/>
          <w:numId w:val="8"/>
        </w:numPr>
        <w:ind w:left="709" w:hanging="425"/>
        <w:rPr>
          <w:sz w:val="22"/>
          <w:szCs w:val="22"/>
        </w:rPr>
      </w:pPr>
      <w:r w:rsidRPr="00764A92">
        <w:rPr>
          <w:sz w:val="22"/>
          <w:szCs w:val="22"/>
        </w:rPr>
        <w:t>Cherrie Atilano</w:t>
      </w:r>
    </w:p>
    <w:p w14:paraId="67D22160" w14:textId="78143E61" w:rsidR="009C6A10" w:rsidRPr="00764A92" w:rsidRDefault="009C6A10" w:rsidP="00511F8A">
      <w:pPr>
        <w:pStyle w:val="ListParagraph"/>
        <w:numPr>
          <w:ilvl w:val="2"/>
          <w:numId w:val="8"/>
        </w:numPr>
        <w:ind w:left="709" w:hanging="425"/>
        <w:rPr>
          <w:sz w:val="22"/>
          <w:szCs w:val="22"/>
        </w:rPr>
      </w:pPr>
      <w:r w:rsidRPr="00764A92">
        <w:rPr>
          <w:sz w:val="22"/>
          <w:szCs w:val="22"/>
        </w:rPr>
        <w:t xml:space="preserve">Joel </w:t>
      </w:r>
      <w:proofErr w:type="spellStart"/>
      <w:r w:rsidRPr="00764A92">
        <w:rPr>
          <w:sz w:val="22"/>
          <w:szCs w:val="22"/>
        </w:rPr>
        <w:t>Dannug</w:t>
      </w:r>
      <w:proofErr w:type="spellEnd"/>
    </w:p>
    <w:p w14:paraId="58879F9D" w14:textId="34F73EF4" w:rsidR="7B8030FB" w:rsidRPr="00764A92" w:rsidRDefault="7B8030FB" w:rsidP="7B8030FB">
      <w:pPr>
        <w:rPr>
          <w:sz w:val="22"/>
          <w:szCs w:val="22"/>
        </w:rPr>
        <w:sectPr w:rsidR="7B8030FB" w:rsidRPr="00764A92" w:rsidSect="000E1C28">
          <w:headerReference w:type="first" r:id="rId23"/>
          <w:footerReference w:type="first" r:id="rId24"/>
          <w:pgSz w:w="11906" w:h="16838"/>
          <w:pgMar w:top="1440" w:right="1440" w:bottom="1440" w:left="1440" w:header="567" w:footer="567" w:gutter="0"/>
          <w:cols w:space="708"/>
          <w:titlePg/>
          <w:docGrid w:linePitch="360"/>
        </w:sectPr>
      </w:pPr>
      <w:r w:rsidRPr="00764A92">
        <w:rPr>
          <w:rFonts w:eastAsia="Aptos" w:cs="Aptos"/>
          <w:sz w:val="22"/>
          <w:szCs w:val="22"/>
        </w:rPr>
        <w:lastRenderedPageBreak/>
        <w:t xml:space="preserve">The information gathered during these brief interviews was triangulated with </w:t>
      </w:r>
      <w:r w:rsidR="01213F97" w:rsidRPr="00764A92">
        <w:rPr>
          <w:rFonts w:eastAsia="Aptos" w:cs="Aptos"/>
          <w:sz w:val="22"/>
          <w:szCs w:val="22"/>
        </w:rPr>
        <w:t>documented</w:t>
      </w:r>
      <w:r w:rsidRPr="00764A92">
        <w:rPr>
          <w:rFonts w:eastAsia="Aptos" w:cs="Aptos"/>
          <w:sz w:val="22"/>
          <w:szCs w:val="22"/>
        </w:rPr>
        <w:t xml:space="preserve"> evidence, KIIs</w:t>
      </w:r>
      <w:r w:rsidR="01213F97" w:rsidRPr="00764A92">
        <w:rPr>
          <w:rFonts w:eastAsia="Aptos" w:cs="Aptos"/>
          <w:sz w:val="22"/>
          <w:szCs w:val="22"/>
        </w:rPr>
        <w:t>,</w:t>
      </w:r>
      <w:r w:rsidRPr="00764A92">
        <w:rPr>
          <w:rFonts w:eastAsia="Aptos" w:cs="Aptos"/>
          <w:sz w:val="22"/>
          <w:szCs w:val="22"/>
        </w:rPr>
        <w:t xml:space="preserve"> and responses from the Alumni Survey</w:t>
      </w:r>
      <w:r w:rsidR="00764A92">
        <w:rPr>
          <w:rFonts w:eastAsia="Aptos" w:cs="Aptos"/>
          <w:sz w:val="22"/>
          <w:szCs w:val="22"/>
        </w:rPr>
        <w:t>.</w:t>
      </w:r>
    </w:p>
    <w:p w14:paraId="7FB5D3F0" w14:textId="7368B9CF" w:rsidR="00B85CCE" w:rsidRPr="00226C43" w:rsidRDefault="00B85CCE" w:rsidP="005A698C">
      <w:pPr>
        <w:pStyle w:val="Appendices"/>
        <w:rPr>
          <w:rFonts w:asciiTheme="minorHAnsi" w:hAnsiTheme="minorHAnsi"/>
          <w:color w:val="auto"/>
        </w:rPr>
      </w:pPr>
      <w:bookmarkStart w:id="65" w:name="_Toc190195432"/>
      <w:bookmarkStart w:id="66" w:name="_Toc190248329"/>
      <w:r w:rsidRPr="00226C43">
        <w:rPr>
          <w:rFonts w:asciiTheme="minorHAnsi" w:hAnsiTheme="minorHAnsi"/>
          <w:color w:val="auto"/>
        </w:rPr>
        <w:lastRenderedPageBreak/>
        <w:t>Key Informants’ responses</w:t>
      </w:r>
      <w:r w:rsidR="00DD6FEF" w:rsidRPr="00226C43">
        <w:rPr>
          <w:rFonts w:asciiTheme="minorHAnsi" w:hAnsiTheme="minorHAnsi"/>
          <w:color w:val="auto"/>
        </w:rPr>
        <w:t xml:space="preserve"> grouped</w:t>
      </w:r>
      <w:r w:rsidRPr="00226C43">
        <w:rPr>
          <w:rFonts w:asciiTheme="minorHAnsi" w:hAnsiTheme="minorHAnsi"/>
          <w:color w:val="auto"/>
        </w:rPr>
        <w:t xml:space="preserve"> by evaluation criteria</w:t>
      </w:r>
      <w:bookmarkEnd w:id="65"/>
      <w:bookmarkEnd w:id="66"/>
    </w:p>
    <w:p w14:paraId="23B9054F" w14:textId="77777777" w:rsidR="00625C9A" w:rsidRPr="00764A92" w:rsidRDefault="00625C9A" w:rsidP="00061D40">
      <w:pPr>
        <w:pStyle w:val="ListParagraph"/>
        <w:spacing w:before="120" w:after="120"/>
        <w:ind w:left="0"/>
        <w:rPr>
          <w:b/>
          <w:bCs/>
          <w:sz w:val="22"/>
          <w:szCs w:val="22"/>
        </w:rPr>
      </w:pPr>
      <w:r w:rsidRPr="00764A92">
        <w:rPr>
          <w:b/>
          <w:bCs/>
          <w:sz w:val="22"/>
          <w:szCs w:val="22"/>
          <w:u w:val="single"/>
        </w:rPr>
        <w:t>Thematic</w:t>
      </w:r>
      <w:r w:rsidRPr="00764A92">
        <w:rPr>
          <w:b/>
          <w:bCs/>
          <w:sz w:val="22"/>
          <w:szCs w:val="22"/>
        </w:rPr>
        <w:t xml:space="preserve"> Analysis of Stakeholders’ Comments</w:t>
      </w:r>
    </w:p>
    <w:p w14:paraId="0C0D7CBF" w14:textId="3A3B5212" w:rsidR="00625C9A" w:rsidRPr="00764A92" w:rsidRDefault="00625C9A" w:rsidP="0015013F">
      <w:pPr>
        <w:pStyle w:val="ListParagraph"/>
        <w:spacing w:before="120" w:after="120"/>
        <w:ind w:left="0"/>
        <w:rPr>
          <w:sz w:val="22"/>
          <w:szCs w:val="22"/>
        </w:rPr>
      </w:pPr>
      <w:r w:rsidRPr="00764A92">
        <w:rPr>
          <w:sz w:val="22"/>
          <w:szCs w:val="22"/>
        </w:rPr>
        <w:t>The Design Team conducted a thematic analysis of stakeholders’ responses elicited during interviews.</w:t>
      </w:r>
      <w:r w:rsidR="0078429F" w:rsidRPr="00764A92">
        <w:rPr>
          <w:sz w:val="22"/>
          <w:szCs w:val="22"/>
        </w:rPr>
        <w:t xml:space="preserve"> </w:t>
      </w:r>
      <w:r w:rsidRPr="00764A92">
        <w:rPr>
          <w:sz w:val="22"/>
          <w:szCs w:val="22"/>
        </w:rPr>
        <w:t>Emerging themes are set out below with reference to the evaluation criteria.</w:t>
      </w:r>
      <w:r w:rsidR="0078429F" w:rsidRPr="00764A92">
        <w:rPr>
          <w:sz w:val="22"/>
          <w:szCs w:val="22"/>
        </w:rPr>
        <w:t xml:space="preserve"> </w:t>
      </w:r>
      <w:r w:rsidRPr="00764A92">
        <w:rPr>
          <w:sz w:val="22"/>
          <w:szCs w:val="22"/>
        </w:rPr>
        <w:t>A list of statements which underpins this analysis has been retained. Illustrative quotes are included.</w:t>
      </w:r>
    </w:p>
    <w:p w14:paraId="1D6FCC6B" w14:textId="77777777" w:rsidR="000B777B" w:rsidRPr="00764A92" w:rsidRDefault="000B777B" w:rsidP="00061D40">
      <w:pPr>
        <w:pStyle w:val="ListParagraph"/>
        <w:spacing w:before="120" w:after="120"/>
        <w:ind w:left="-720"/>
        <w:rPr>
          <w:sz w:val="22"/>
          <w:szCs w:val="22"/>
        </w:rPr>
      </w:pPr>
    </w:p>
    <w:p w14:paraId="7C776514" w14:textId="77777777" w:rsidR="00625C9A" w:rsidRPr="00764A92" w:rsidRDefault="00625C9A" w:rsidP="00061D40">
      <w:pPr>
        <w:pStyle w:val="ListParagraph"/>
        <w:spacing w:before="120" w:after="120"/>
        <w:ind w:left="0"/>
        <w:rPr>
          <w:b/>
          <w:bCs/>
          <w:sz w:val="22"/>
          <w:szCs w:val="22"/>
          <w:u w:val="single"/>
        </w:rPr>
      </w:pPr>
      <w:r w:rsidRPr="00764A92">
        <w:rPr>
          <w:b/>
          <w:bCs/>
          <w:sz w:val="22"/>
          <w:szCs w:val="22"/>
          <w:u w:val="single"/>
        </w:rPr>
        <w:t>Relevance</w:t>
      </w:r>
    </w:p>
    <w:p w14:paraId="69A4753B" w14:textId="05C5D23B" w:rsidR="00C002FE" w:rsidRPr="00764A92" w:rsidRDefault="00625C9A" w:rsidP="0015013F">
      <w:pPr>
        <w:pStyle w:val="ListParagraph"/>
        <w:spacing w:before="120" w:after="120"/>
        <w:ind w:left="0"/>
        <w:rPr>
          <w:sz w:val="22"/>
          <w:szCs w:val="22"/>
        </w:rPr>
      </w:pPr>
      <w:r w:rsidRPr="00764A92">
        <w:rPr>
          <w:sz w:val="22"/>
          <w:szCs w:val="22"/>
        </w:rPr>
        <w:t xml:space="preserve">Stakeholders’ responses </w:t>
      </w:r>
      <w:r w:rsidRPr="00764A92">
        <w:rPr>
          <w:b/>
          <w:bCs/>
          <w:sz w:val="22"/>
          <w:szCs w:val="22"/>
        </w:rPr>
        <w:t>emphasised practical applicability</w:t>
      </w:r>
      <w:r w:rsidRPr="00764A92">
        <w:rPr>
          <w:sz w:val="22"/>
          <w:szCs w:val="22"/>
        </w:rPr>
        <w:t xml:space="preserve">, </w:t>
      </w:r>
      <w:r w:rsidRPr="00764A92">
        <w:rPr>
          <w:b/>
          <w:bCs/>
          <w:sz w:val="22"/>
          <w:szCs w:val="22"/>
        </w:rPr>
        <w:t>alignment with national and international priorities, and addressing gaps in critical sectors</w:t>
      </w:r>
      <w:r w:rsidRPr="00764A92">
        <w:rPr>
          <w:sz w:val="22"/>
          <w:szCs w:val="22"/>
        </w:rPr>
        <w:t xml:space="preserve"> </w:t>
      </w:r>
      <w:r w:rsidRPr="00764A92">
        <w:rPr>
          <w:b/>
          <w:bCs/>
          <w:sz w:val="22"/>
          <w:szCs w:val="22"/>
        </w:rPr>
        <w:t>as key elements of the program’s relevance</w:t>
      </w:r>
      <w:r w:rsidRPr="00764A92">
        <w:rPr>
          <w:sz w:val="22"/>
          <w:szCs w:val="22"/>
        </w:rPr>
        <w:t>. Participants not only found the training useful but were able to implement their learnings in ways that benefited both their personal development and the public sector’s broader goals</w:t>
      </w:r>
      <w:r w:rsidR="00F07F87" w:rsidRPr="00764A92">
        <w:rPr>
          <w:sz w:val="22"/>
          <w:szCs w:val="22"/>
        </w:rPr>
        <w:t>.</w:t>
      </w:r>
    </w:p>
    <w:p w14:paraId="74D10A56" w14:textId="77777777" w:rsidR="00F07F87" w:rsidRPr="00764A92" w:rsidRDefault="00F07F87" w:rsidP="00061D40">
      <w:pPr>
        <w:pStyle w:val="ListParagraph"/>
        <w:spacing w:before="120" w:after="120"/>
        <w:ind w:left="0"/>
        <w:rPr>
          <w:sz w:val="22"/>
          <w:szCs w:val="22"/>
        </w:rPr>
      </w:pPr>
    </w:p>
    <w:p w14:paraId="094E8666" w14:textId="10C85602" w:rsidR="00625C9A" w:rsidRPr="00764A92" w:rsidRDefault="00625C9A" w:rsidP="00061D40">
      <w:pPr>
        <w:pStyle w:val="ListParagraph"/>
        <w:spacing w:before="120" w:after="120"/>
        <w:ind w:left="0"/>
        <w:rPr>
          <w:i/>
          <w:iCs/>
          <w:sz w:val="22"/>
          <w:szCs w:val="22"/>
        </w:rPr>
      </w:pPr>
      <w:r w:rsidRPr="00764A92">
        <w:rPr>
          <w:sz w:val="22"/>
          <w:szCs w:val="22"/>
        </w:rPr>
        <w:t xml:space="preserve">Responses </w:t>
      </w:r>
      <w:r w:rsidRPr="00764A92">
        <w:rPr>
          <w:b/>
          <w:bCs/>
          <w:sz w:val="22"/>
          <w:szCs w:val="22"/>
        </w:rPr>
        <w:t>emphasised how the program directly aligned with the needs of the participants' organisations or sectors</w:t>
      </w:r>
      <w:r w:rsidRPr="00764A92">
        <w:rPr>
          <w:sz w:val="22"/>
          <w:szCs w:val="22"/>
        </w:rPr>
        <w:t>. "</w:t>
      </w:r>
      <w:r w:rsidRPr="00764A92">
        <w:rPr>
          <w:i/>
          <w:iCs/>
          <w:sz w:val="22"/>
          <w:szCs w:val="22"/>
        </w:rPr>
        <w:t xml:space="preserve">The re-entry action plan we developed focused on automating processes in our department, addressing a critical backlog issue and directly aligning with organisational priorities." </w:t>
      </w:r>
    </w:p>
    <w:p w14:paraId="0EA04524" w14:textId="77777777" w:rsidR="00F07F87" w:rsidRPr="00764A92" w:rsidRDefault="00F07F87" w:rsidP="0015013F">
      <w:pPr>
        <w:pStyle w:val="ListParagraph"/>
        <w:spacing w:before="120" w:after="120"/>
        <w:ind w:left="0"/>
        <w:rPr>
          <w:sz w:val="22"/>
          <w:szCs w:val="22"/>
        </w:rPr>
      </w:pPr>
    </w:p>
    <w:p w14:paraId="24869E9E" w14:textId="1AE4EA95" w:rsidR="00625C9A" w:rsidRPr="00764A92" w:rsidRDefault="00625C9A" w:rsidP="00061D40">
      <w:pPr>
        <w:pStyle w:val="ListParagraph"/>
        <w:spacing w:before="120" w:after="120"/>
        <w:ind w:left="0"/>
        <w:rPr>
          <w:sz w:val="22"/>
          <w:szCs w:val="22"/>
        </w:rPr>
      </w:pPr>
      <w:r w:rsidRPr="00764A92">
        <w:rPr>
          <w:sz w:val="22"/>
          <w:szCs w:val="22"/>
        </w:rPr>
        <w:t xml:space="preserve">Responses note how </w:t>
      </w:r>
      <w:r w:rsidRPr="00764A92">
        <w:rPr>
          <w:b/>
          <w:bCs/>
          <w:sz w:val="22"/>
          <w:szCs w:val="22"/>
        </w:rPr>
        <w:t>the program's focus areas align with both national and international development objectives</w:t>
      </w:r>
      <w:r w:rsidRPr="00764A92">
        <w:rPr>
          <w:sz w:val="22"/>
          <w:szCs w:val="22"/>
        </w:rPr>
        <w:t>.</w:t>
      </w:r>
      <w:r w:rsidR="0078429F" w:rsidRPr="00764A92">
        <w:rPr>
          <w:sz w:val="22"/>
          <w:szCs w:val="22"/>
        </w:rPr>
        <w:t xml:space="preserve"> </w:t>
      </w:r>
      <w:r w:rsidRPr="00764A92">
        <w:rPr>
          <w:i/>
          <w:iCs/>
          <w:sz w:val="22"/>
          <w:szCs w:val="22"/>
        </w:rPr>
        <w:t>"The benchmarking trip to Australia was incredibly relevant as it allowed us to align our technical-vocational curricula with Australian standards, enhancing the employability of our graduates."</w:t>
      </w:r>
      <w:r w:rsidRPr="00764A92">
        <w:rPr>
          <w:sz w:val="22"/>
          <w:szCs w:val="22"/>
        </w:rPr>
        <w:t xml:space="preserve"> </w:t>
      </w:r>
    </w:p>
    <w:p w14:paraId="45276E38" w14:textId="77777777" w:rsidR="00F07F87" w:rsidRPr="00764A92" w:rsidRDefault="00F07F87" w:rsidP="0015013F">
      <w:pPr>
        <w:pStyle w:val="ListParagraph"/>
        <w:spacing w:before="120" w:after="120"/>
        <w:ind w:left="0"/>
        <w:rPr>
          <w:sz w:val="22"/>
          <w:szCs w:val="22"/>
        </w:rPr>
      </w:pPr>
    </w:p>
    <w:p w14:paraId="5B7FE9A4" w14:textId="7331DA45" w:rsidR="00625C9A" w:rsidRPr="00764A92" w:rsidRDefault="00625C9A" w:rsidP="00061D40">
      <w:pPr>
        <w:pStyle w:val="ListParagraph"/>
        <w:spacing w:before="120" w:after="120"/>
        <w:ind w:left="0"/>
        <w:rPr>
          <w:sz w:val="22"/>
          <w:szCs w:val="22"/>
        </w:rPr>
      </w:pPr>
      <w:r w:rsidRPr="00764A92">
        <w:rPr>
          <w:sz w:val="22"/>
          <w:szCs w:val="22"/>
        </w:rPr>
        <w:t xml:space="preserve">Several participants </w:t>
      </w:r>
      <w:r w:rsidRPr="00764A92">
        <w:rPr>
          <w:b/>
          <w:bCs/>
          <w:sz w:val="22"/>
          <w:szCs w:val="22"/>
        </w:rPr>
        <w:t>highlighted how the program provided essential skills that helped address critical gaps in their sectors, particularly in areas like healthcare, disaster management, and governance</w:t>
      </w:r>
      <w:r w:rsidRPr="00764A92">
        <w:rPr>
          <w:sz w:val="22"/>
          <w:szCs w:val="22"/>
        </w:rPr>
        <w:t>.</w:t>
      </w:r>
      <w:r w:rsidR="0078429F" w:rsidRPr="00764A92">
        <w:rPr>
          <w:sz w:val="22"/>
          <w:szCs w:val="22"/>
        </w:rPr>
        <w:t xml:space="preserve"> </w:t>
      </w:r>
      <w:r w:rsidRPr="00764A92">
        <w:rPr>
          <w:i/>
          <w:iCs/>
          <w:sz w:val="22"/>
          <w:szCs w:val="22"/>
        </w:rPr>
        <w:t xml:space="preserve">"The program gave me the opportunity to focus on mental health, a critical area in the Philippines that is often overlooked, especially in disaster response and relief operations." </w:t>
      </w:r>
    </w:p>
    <w:p w14:paraId="0C3A15A4" w14:textId="77777777" w:rsidR="00F07F87" w:rsidRPr="00764A92" w:rsidRDefault="00F07F87" w:rsidP="0015013F">
      <w:pPr>
        <w:pStyle w:val="ListParagraph"/>
        <w:spacing w:before="120" w:after="120"/>
        <w:ind w:left="0"/>
        <w:rPr>
          <w:sz w:val="22"/>
          <w:szCs w:val="22"/>
        </w:rPr>
      </w:pPr>
    </w:p>
    <w:p w14:paraId="5533150A" w14:textId="5A8F86F2" w:rsidR="00625C9A" w:rsidRPr="00764A92" w:rsidRDefault="00625C9A" w:rsidP="00061D40">
      <w:pPr>
        <w:pStyle w:val="ListParagraph"/>
        <w:spacing w:before="120" w:after="120"/>
        <w:ind w:left="0"/>
        <w:rPr>
          <w:sz w:val="22"/>
          <w:szCs w:val="22"/>
        </w:rPr>
      </w:pPr>
      <w:r w:rsidRPr="00764A92">
        <w:rPr>
          <w:sz w:val="22"/>
          <w:szCs w:val="22"/>
        </w:rPr>
        <w:t xml:space="preserve">Responses </w:t>
      </w:r>
      <w:r w:rsidRPr="00764A92">
        <w:rPr>
          <w:b/>
          <w:bCs/>
          <w:sz w:val="22"/>
          <w:szCs w:val="22"/>
        </w:rPr>
        <w:t xml:space="preserve">highlighted how the learning gained from the program had immediate, tangible </w:t>
      </w:r>
      <w:proofErr w:type="gramStart"/>
      <w:r w:rsidRPr="00764A92">
        <w:rPr>
          <w:b/>
          <w:bCs/>
          <w:sz w:val="22"/>
          <w:szCs w:val="22"/>
        </w:rPr>
        <w:t>real world</w:t>
      </w:r>
      <w:proofErr w:type="gramEnd"/>
      <w:r w:rsidRPr="00764A92">
        <w:rPr>
          <w:b/>
          <w:bCs/>
          <w:sz w:val="22"/>
          <w:szCs w:val="22"/>
        </w:rPr>
        <w:t xml:space="preserve"> impacts on the participants' work and the communities they served</w:t>
      </w:r>
      <w:r w:rsidRPr="00764A92">
        <w:rPr>
          <w:sz w:val="22"/>
          <w:szCs w:val="22"/>
        </w:rPr>
        <w:t>. "</w:t>
      </w:r>
      <w:r w:rsidRPr="00764A92">
        <w:rPr>
          <w:i/>
          <w:iCs/>
          <w:sz w:val="22"/>
          <w:szCs w:val="22"/>
        </w:rPr>
        <w:t xml:space="preserve">The ICSP scholarship program gave me the knowledge to address disaster risk management and climate change adaptation, which are critical to my role in providing strategic advice to the government." </w:t>
      </w:r>
    </w:p>
    <w:p w14:paraId="0B660B62" w14:textId="77777777" w:rsidR="000B777B" w:rsidRPr="00764A92" w:rsidRDefault="000B777B" w:rsidP="0015013F">
      <w:pPr>
        <w:pStyle w:val="ListParagraph"/>
        <w:spacing w:before="120" w:after="120"/>
        <w:ind w:left="0"/>
        <w:rPr>
          <w:b/>
          <w:bCs/>
          <w:sz w:val="22"/>
          <w:szCs w:val="22"/>
        </w:rPr>
      </w:pPr>
    </w:p>
    <w:p w14:paraId="23BB0005" w14:textId="7913E5DB" w:rsidR="00625C9A" w:rsidRPr="00764A92" w:rsidRDefault="00625C9A" w:rsidP="00061D40">
      <w:pPr>
        <w:pStyle w:val="ListParagraph"/>
        <w:spacing w:before="120" w:after="120"/>
        <w:ind w:left="0"/>
        <w:rPr>
          <w:b/>
          <w:bCs/>
          <w:sz w:val="22"/>
          <w:szCs w:val="22"/>
          <w:u w:val="single"/>
        </w:rPr>
      </w:pPr>
      <w:r w:rsidRPr="00764A92">
        <w:rPr>
          <w:b/>
          <w:bCs/>
          <w:sz w:val="22"/>
          <w:szCs w:val="22"/>
          <w:u w:val="single"/>
        </w:rPr>
        <w:t>Effectiveness</w:t>
      </w:r>
    </w:p>
    <w:p w14:paraId="57FC7C0F" w14:textId="0C36E83E" w:rsidR="00625C9A" w:rsidRDefault="00625C9A" w:rsidP="00061D40">
      <w:pPr>
        <w:pStyle w:val="ListParagraph"/>
        <w:spacing w:before="120" w:after="120"/>
        <w:ind w:left="0"/>
        <w:rPr>
          <w:sz w:val="22"/>
          <w:szCs w:val="22"/>
        </w:rPr>
      </w:pPr>
      <w:r w:rsidRPr="00764A92">
        <w:rPr>
          <w:b/>
          <w:bCs/>
          <w:sz w:val="22"/>
          <w:szCs w:val="22"/>
        </w:rPr>
        <w:t>The overall theme of stakeholders’ responses on effectiveness showed that the program was highly effective, with substantial impacts across multiple sectors</w:t>
      </w:r>
      <w:r w:rsidRPr="00764A92">
        <w:rPr>
          <w:sz w:val="22"/>
          <w:szCs w:val="22"/>
        </w:rPr>
        <w:t>. Whether it was improving organisational performance, developing leadership capacity, addressing community needs, or creating sustainable practices, participants successfully applied their learning to achieve measurable and meaningful outcomes. The role of mentoring and program design also emerged as a key contributor to the program's success</w:t>
      </w:r>
      <w:r w:rsidR="00764A92">
        <w:rPr>
          <w:sz w:val="22"/>
          <w:szCs w:val="22"/>
        </w:rPr>
        <w:t>.</w:t>
      </w:r>
    </w:p>
    <w:p w14:paraId="6D05AC79" w14:textId="77777777" w:rsidR="00764A92" w:rsidRPr="00764A92" w:rsidRDefault="00764A92" w:rsidP="00061D40">
      <w:pPr>
        <w:pStyle w:val="ListParagraph"/>
        <w:spacing w:before="120" w:after="120"/>
        <w:ind w:left="0"/>
        <w:rPr>
          <w:sz w:val="22"/>
          <w:szCs w:val="22"/>
        </w:rPr>
      </w:pPr>
    </w:p>
    <w:p w14:paraId="0C3026CA" w14:textId="51D37270" w:rsidR="00625C9A" w:rsidRPr="00764A92" w:rsidRDefault="00625C9A" w:rsidP="00061D40">
      <w:pPr>
        <w:pStyle w:val="ListParagraph"/>
        <w:spacing w:before="120" w:after="120"/>
        <w:ind w:left="0"/>
        <w:rPr>
          <w:sz w:val="22"/>
          <w:szCs w:val="22"/>
        </w:rPr>
      </w:pPr>
      <w:r w:rsidRPr="00764A92">
        <w:rPr>
          <w:b/>
          <w:bCs/>
          <w:sz w:val="22"/>
          <w:szCs w:val="22"/>
        </w:rPr>
        <w:t>Participants highlighted how the knowledge and skills they gained directly impacted their work or community with real world application and tangible outcomes</w:t>
      </w:r>
      <w:r w:rsidRPr="00764A92">
        <w:rPr>
          <w:sz w:val="22"/>
          <w:szCs w:val="22"/>
        </w:rPr>
        <w:t>.</w:t>
      </w:r>
      <w:r w:rsidR="0078429F" w:rsidRPr="00764A92">
        <w:rPr>
          <w:sz w:val="22"/>
          <w:szCs w:val="22"/>
        </w:rPr>
        <w:t xml:space="preserve"> </w:t>
      </w:r>
      <w:r w:rsidRPr="00764A92">
        <w:rPr>
          <w:i/>
          <w:iCs/>
          <w:sz w:val="22"/>
          <w:szCs w:val="22"/>
        </w:rPr>
        <w:t xml:space="preserve">"The DNA analysis laboratory I now head was built on the foundation of my Australian education, enabling us to provide critical forensic support in the Philippines." </w:t>
      </w:r>
    </w:p>
    <w:p w14:paraId="424CB2DA" w14:textId="77777777" w:rsidR="00D93B2F" w:rsidRPr="00764A92" w:rsidRDefault="00D93B2F" w:rsidP="0015013F">
      <w:pPr>
        <w:pStyle w:val="ListParagraph"/>
        <w:spacing w:before="120" w:after="120"/>
        <w:ind w:left="0"/>
        <w:rPr>
          <w:b/>
          <w:bCs/>
          <w:sz w:val="22"/>
          <w:szCs w:val="22"/>
        </w:rPr>
      </w:pPr>
    </w:p>
    <w:p w14:paraId="2E4CD6F8" w14:textId="37DA1BAA" w:rsidR="00625C9A" w:rsidRPr="00764A92" w:rsidRDefault="00625C9A" w:rsidP="00061D40">
      <w:pPr>
        <w:pStyle w:val="ListParagraph"/>
        <w:spacing w:before="120" w:after="120"/>
        <w:ind w:left="0"/>
        <w:rPr>
          <w:sz w:val="22"/>
          <w:szCs w:val="22"/>
        </w:rPr>
      </w:pPr>
      <w:r w:rsidRPr="00764A92">
        <w:rPr>
          <w:b/>
          <w:bCs/>
          <w:sz w:val="22"/>
          <w:szCs w:val="22"/>
        </w:rPr>
        <w:lastRenderedPageBreak/>
        <w:t>Leadership development was also a recurrent theme</w:t>
      </w:r>
      <w:r w:rsidRPr="00764A92">
        <w:rPr>
          <w:sz w:val="22"/>
          <w:szCs w:val="22"/>
        </w:rPr>
        <w:t>, with participants applying the skills gained to improve governance, develop new departments, and lead initiatives. "</w:t>
      </w:r>
      <w:r w:rsidRPr="00764A92">
        <w:rPr>
          <w:i/>
          <w:iCs/>
          <w:sz w:val="22"/>
          <w:szCs w:val="22"/>
        </w:rPr>
        <w:t xml:space="preserve">The pilot program in process mining has significantly improved ARTA’s capability to </w:t>
      </w:r>
      <w:proofErr w:type="spellStart"/>
      <w:r w:rsidRPr="00764A92">
        <w:rPr>
          <w:i/>
          <w:iCs/>
          <w:sz w:val="22"/>
          <w:szCs w:val="22"/>
        </w:rPr>
        <w:t>analyze</w:t>
      </w:r>
      <w:proofErr w:type="spellEnd"/>
      <w:r w:rsidRPr="00764A92">
        <w:rPr>
          <w:i/>
          <w:iCs/>
          <w:sz w:val="22"/>
          <w:szCs w:val="22"/>
        </w:rPr>
        <w:t xml:space="preserve"> and streamline government processes, leading to tangible improvements in service delivery."</w:t>
      </w:r>
      <w:r w:rsidRPr="00764A92">
        <w:rPr>
          <w:sz w:val="22"/>
          <w:szCs w:val="22"/>
        </w:rPr>
        <w:t xml:space="preserve"> </w:t>
      </w:r>
    </w:p>
    <w:p w14:paraId="31E7933A" w14:textId="77777777" w:rsidR="00D93B2F" w:rsidRPr="00764A92" w:rsidRDefault="00D93B2F" w:rsidP="0015013F">
      <w:pPr>
        <w:pStyle w:val="ListParagraph"/>
        <w:spacing w:before="120" w:after="120"/>
        <w:ind w:left="0"/>
        <w:rPr>
          <w:b/>
          <w:bCs/>
          <w:sz w:val="22"/>
          <w:szCs w:val="22"/>
        </w:rPr>
      </w:pPr>
    </w:p>
    <w:p w14:paraId="54DFBBCA" w14:textId="08B53B33" w:rsidR="00625C9A" w:rsidRPr="00764A92" w:rsidRDefault="00625C9A" w:rsidP="00061D40">
      <w:pPr>
        <w:pStyle w:val="ListParagraph"/>
        <w:spacing w:before="120" w:after="120"/>
        <w:ind w:left="0"/>
        <w:rPr>
          <w:sz w:val="22"/>
          <w:szCs w:val="22"/>
        </w:rPr>
      </w:pPr>
      <w:r w:rsidRPr="00764A92">
        <w:rPr>
          <w:b/>
          <w:bCs/>
          <w:sz w:val="22"/>
          <w:szCs w:val="22"/>
        </w:rPr>
        <w:t>Another significant theme was the impact on community development, particularly in the areas of health, education, and social welfare</w:t>
      </w:r>
      <w:r w:rsidRPr="00764A92">
        <w:rPr>
          <w:sz w:val="22"/>
          <w:szCs w:val="22"/>
        </w:rPr>
        <w:t>.</w:t>
      </w:r>
      <w:r w:rsidR="0078429F" w:rsidRPr="00764A92">
        <w:rPr>
          <w:sz w:val="22"/>
          <w:szCs w:val="22"/>
        </w:rPr>
        <w:t xml:space="preserve"> </w:t>
      </w:r>
      <w:r w:rsidRPr="00764A92">
        <w:rPr>
          <w:i/>
          <w:iCs/>
          <w:sz w:val="22"/>
          <w:szCs w:val="22"/>
        </w:rPr>
        <w:t>"The grant we received under the Australian Embassy’s program enabled us to establish the first HIPAA-compliant mental health platform in the Philippines, addressing a critical gap in the healthcare system."</w:t>
      </w:r>
    </w:p>
    <w:p w14:paraId="3D77CE23" w14:textId="77777777" w:rsidR="00D93B2F" w:rsidRPr="00764A92" w:rsidRDefault="00D93B2F" w:rsidP="0015013F">
      <w:pPr>
        <w:pStyle w:val="ListParagraph"/>
        <w:spacing w:before="120" w:after="120"/>
        <w:ind w:left="0"/>
        <w:rPr>
          <w:b/>
          <w:bCs/>
          <w:sz w:val="22"/>
          <w:szCs w:val="22"/>
        </w:rPr>
      </w:pPr>
    </w:p>
    <w:p w14:paraId="26340A1A" w14:textId="558F4FF2" w:rsidR="00625C9A" w:rsidRPr="00764A92" w:rsidRDefault="00625C9A" w:rsidP="00061D40">
      <w:pPr>
        <w:pStyle w:val="ListParagraph"/>
        <w:spacing w:before="120" w:after="120"/>
        <w:ind w:left="0"/>
        <w:rPr>
          <w:sz w:val="22"/>
          <w:szCs w:val="22"/>
        </w:rPr>
      </w:pPr>
      <w:r w:rsidRPr="00764A92">
        <w:rPr>
          <w:b/>
          <w:bCs/>
          <w:sz w:val="22"/>
          <w:szCs w:val="22"/>
        </w:rPr>
        <w:t>Responses indicated that the impact of the program extended beyond the individuals and their immediate projects, contributing to sustainable practices and long-term benefits</w:t>
      </w:r>
      <w:r w:rsidRPr="00764A92">
        <w:rPr>
          <w:sz w:val="22"/>
          <w:szCs w:val="22"/>
        </w:rPr>
        <w:t xml:space="preserve">. </w:t>
      </w:r>
      <w:r w:rsidRPr="00764A92">
        <w:rPr>
          <w:i/>
          <w:iCs/>
          <w:sz w:val="22"/>
          <w:szCs w:val="22"/>
        </w:rPr>
        <w:t xml:space="preserve">"I successfully implemented my re-entry action plan by establishing the Islamic Studies program at Ateneo, which remains a full-fledged department today." </w:t>
      </w:r>
    </w:p>
    <w:p w14:paraId="7C3630D3" w14:textId="77777777" w:rsidR="00D93B2F" w:rsidRPr="00764A92" w:rsidRDefault="00D93B2F" w:rsidP="0015013F">
      <w:pPr>
        <w:pStyle w:val="ListParagraph"/>
        <w:spacing w:before="120" w:after="120"/>
        <w:ind w:left="0"/>
        <w:rPr>
          <w:sz w:val="22"/>
          <w:szCs w:val="22"/>
        </w:rPr>
      </w:pPr>
    </w:p>
    <w:p w14:paraId="3574597E" w14:textId="3488B25E" w:rsidR="00625C9A" w:rsidRPr="00764A92" w:rsidRDefault="00625C9A" w:rsidP="00061D40">
      <w:pPr>
        <w:pStyle w:val="ListParagraph"/>
        <w:spacing w:before="120" w:after="120"/>
        <w:ind w:left="0"/>
        <w:rPr>
          <w:sz w:val="22"/>
          <w:szCs w:val="22"/>
        </w:rPr>
      </w:pPr>
      <w:r w:rsidRPr="00764A92">
        <w:rPr>
          <w:sz w:val="22"/>
          <w:szCs w:val="22"/>
        </w:rPr>
        <w:t xml:space="preserve">Stakeholders also highlighted that </w:t>
      </w:r>
      <w:r w:rsidRPr="00764A92">
        <w:rPr>
          <w:b/>
          <w:bCs/>
          <w:sz w:val="22"/>
          <w:szCs w:val="22"/>
        </w:rPr>
        <w:t>the impact of program design, particularly mentoring and guidance on shaping their REAPs and their successful implementation</w:t>
      </w:r>
      <w:r w:rsidRPr="00764A92">
        <w:rPr>
          <w:sz w:val="22"/>
          <w:szCs w:val="22"/>
        </w:rPr>
        <w:t>.</w:t>
      </w:r>
      <w:r w:rsidR="0078429F" w:rsidRPr="00764A92">
        <w:rPr>
          <w:sz w:val="22"/>
          <w:szCs w:val="22"/>
        </w:rPr>
        <w:t xml:space="preserve"> </w:t>
      </w:r>
      <w:r w:rsidRPr="00764A92">
        <w:rPr>
          <w:i/>
          <w:iCs/>
          <w:sz w:val="22"/>
          <w:szCs w:val="22"/>
        </w:rPr>
        <w:t xml:space="preserve">"The mentoring I received from Dr. Francisco Magno was invaluable in shaping my re-entry action plan, which is now being integrated into the public sector’s policy framework." </w:t>
      </w:r>
    </w:p>
    <w:p w14:paraId="600807BC" w14:textId="77777777" w:rsidR="00C002FE" w:rsidRPr="00764A92" w:rsidRDefault="00C002FE" w:rsidP="0015013F">
      <w:pPr>
        <w:pStyle w:val="ListParagraph"/>
        <w:spacing w:before="120" w:after="120"/>
        <w:ind w:left="0"/>
        <w:rPr>
          <w:b/>
          <w:bCs/>
          <w:sz w:val="22"/>
          <w:szCs w:val="22"/>
        </w:rPr>
      </w:pPr>
    </w:p>
    <w:p w14:paraId="4B9A0CA4" w14:textId="67DE8E5A" w:rsidR="00625C9A" w:rsidRPr="00764A92" w:rsidRDefault="00625C9A" w:rsidP="00061D40">
      <w:pPr>
        <w:pStyle w:val="ListParagraph"/>
        <w:spacing w:before="120" w:after="120"/>
        <w:ind w:left="0"/>
        <w:rPr>
          <w:b/>
          <w:bCs/>
          <w:sz w:val="22"/>
          <w:szCs w:val="22"/>
          <w:u w:val="single"/>
        </w:rPr>
      </w:pPr>
      <w:r w:rsidRPr="00764A92">
        <w:rPr>
          <w:b/>
          <w:bCs/>
          <w:sz w:val="22"/>
          <w:szCs w:val="22"/>
          <w:u w:val="single"/>
        </w:rPr>
        <w:t>Efficiency</w:t>
      </w:r>
    </w:p>
    <w:p w14:paraId="6FE3CF8F" w14:textId="77777777" w:rsidR="00625C9A" w:rsidRPr="00764A92" w:rsidRDefault="00625C9A" w:rsidP="00061D40">
      <w:pPr>
        <w:pStyle w:val="ListParagraph"/>
        <w:spacing w:before="120" w:after="120"/>
        <w:ind w:left="0"/>
        <w:rPr>
          <w:sz w:val="22"/>
          <w:szCs w:val="22"/>
        </w:rPr>
      </w:pPr>
      <w:r w:rsidRPr="00764A92">
        <w:rPr>
          <w:sz w:val="22"/>
          <w:szCs w:val="22"/>
        </w:rPr>
        <w:t xml:space="preserve">Responses on efficiency focussed on </w:t>
      </w:r>
      <w:r w:rsidRPr="00764A92">
        <w:rPr>
          <w:b/>
          <w:bCs/>
          <w:sz w:val="22"/>
          <w:szCs w:val="22"/>
        </w:rPr>
        <w:t>the need for careful planning, resource management, and organisational support</w:t>
      </w:r>
      <w:r w:rsidRPr="00764A92">
        <w:rPr>
          <w:sz w:val="22"/>
          <w:szCs w:val="22"/>
        </w:rPr>
        <w:t xml:space="preserve">. </w:t>
      </w:r>
    </w:p>
    <w:p w14:paraId="616CABF0" w14:textId="77777777" w:rsidR="00D93B2F" w:rsidRPr="00764A92" w:rsidRDefault="00D93B2F" w:rsidP="0015013F">
      <w:pPr>
        <w:pStyle w:val="ListParagraph"/>
        <w:spacing w:before="120" w:after="120"/>
        <w:ind w:left="0"/>
        <w:rPr>
          <w:sz w:val="22"/>
          <w:szCs w:val="22"/>
        </w:rPr>
      </w:pPr>
    </w:p>
    <w:p w14:paraId="119E94F1" w14:textId="7B2FA260" w:rsidR="00625C9A" w:rsidRPr="00764A92" w:rsidRDefault="00625C9A" w:rsidP="00061D40">
      <w:pPr>
        <w:pStyle w:val="ListParagraph"/>
        <w:spacing w:before="120" w:after="120"/>
        <w:ind w:left="0"/>
        <w:rPr>
          <w:sz w:val="22"/>
          <w:szCs w:val="22"/>
        </w:rPr>
      </w:pPr>
      <w:r w:rsidRPr="00764A92">
        <w:rPr>
          <w:sz w:val="22"/>
          <w:szCs w:val="22"/>
        </w:rPr>
        <w:t xml:space="preserve">Responses highlighted how </w:t>
      </w:r>
      <w:r w:rsidRPr="00764A92">
        <w:rPr>
          <w:b/>
          <w:bCs/>
          <w:sz w:val="22"/>
          <w:szCs w:val="22"/>
        </w:rPr>
        <w:t>the program efficiently streamlined various processes to enhance delivery, ensuring smooth operations even under challenging conditions</w:t>
      </w:r>
      <w:r w:rsidRPr="00764A92">
        <w:rPr>
          <w:sz w:val="22"/>
          <w:szCs w:val="22"/>
        </w:rPr>
        <w:t xml:space="preserve"> such as limited resources or transitions in government leadership. "</w:t>
      </w:r>
      <w:r w:rsidRPr="00764A92">
        <w:rPr>
          <w:i/>
          <w:iCs/>
          <w:sz w:val="22"/>
          <w:szCs w:val="22"/>
        </w:rPr>
        <w:t xml:space="preserve">Despite the challenges of government transitions, the program still managed to deliver results quickly, showing its ability to adapt and work within the constraints of changing administrations." </w:t>
      </w:r>
    </w:p>
    <w:p w14:paraId="64DABF41" w14:textId="77777777" w:rsidR="00D93B2F" w:rsidRPr="00764A92" w:rsidRDefault="00D93B2F" w:rsidP="0015013F">
      <w:pPr>
        <w:pStyle w:val="ListParagraph"/>
        <w:spacing w:before="120" w:after="120"/>
        <w:ind w:left="0"/>
        <w:rPr>
          <w:sz w:val="22"/>
          <w:szCs w:val="22"/>
        </w:rPr>
      </w:pPr>
    </w:p>
    <w:p w14:paraId="0BC49BEC" w14:textId="6D754218" w:rsidR="00625C9A" w:rsidRPr="00764A92" w:rsidRDefault="00625C9A" w:rsidP="00061D40">
      <w:pPr>
        <w:pStyle w:val="ListParagraph"/>
        <w:spacing w:before="120" w:after="120"/>
        <w:ind w:left="0"/>
        <w:rPr>
          <w:sz w:val="22"/>
          <w:szCs w:val="22"/>
        </w:rPr>
      </w:pPr>
      <w:r w:rsidRPr="00764A92">
        <w:rPr>
          <w:sz w:val="22"/>
          <w:szCs w:val="22"/>
        </w:rPr>
        <w:t xml:space="preserve">Another prominent theme was </w:t>
      </w:r>
      <w:r w:rsidRPr="00764A92">
        <w:rPr>
          <w:b/>
          <w:bCs/>
          <w:sz w:val="22"/>
          <w:szCs w:val="22"/>
        </w:rPr>
        <w:t>the optimisation of available resources—both human and financial—to achieve effective outcomes without overspending</w:t>
      </w:r>
      <w:r w:rsidRPr="00764A92">
        <w:rPr>
          <w:sz w:val="22"/>
          <w:szCs w:val="22"/>
        </w:rPr>
        <w:t xml:space="preserve">. </w:t>
      </w:r>
      <w:r w:rsidRPr="00764A92">
        <w:rPr>
          <w:i/>
          <w:iCs/>
          <w:sz w:val="22"/>
          <w:szCs w:val="22"/>
        </w:rPr>
        <w:t xml:space="preserve">"Using local coaches for REAP monitoring has reduced costs while still achieving effective outcomes for participants and organisations." </w:t>
      </w:r>
    </w:p>
    <w:p w14:paraId="48E33D9C" w14:textId="77777777" w:rsidR="00D93B2F" w:rsidRPr="00764A92" w:rsidRDefault="00D93B2F" w:rsidP="0015013F">
      <w:pPr>
        <w:pStyle w:val="ListParagraph"/>
        <w:spacing w:before="120" w:after="120"/>
        <w:ind w:left="0"/>
        <w:rPr>
          <w:b/>
          <w:bCs/>
          <w:sz w:val="22"/>
          <w:szCs w:val="22"/>
        </w:rPr>
      </w:pPr>
    </w:p>
    <w:p w14:paraId="109E7352" w14:textId="4675916C" w:rsidR="00625C9A" w:rsidRPr="00764A92" w:rsidRDefault="00625C9A" w:rsidP="00061D40">
      <w:pPr>
        <w:pStyle w:val="ListParagraph"/>
        <w:spacing w:before="120" w:after="120"/>
        <w:ind w:left="0"/>
        <w:rPr>
          <w:sz w:val="22"/>
          <w:szCs w:val="22"/>
        </w:rPr>
      </w:pPr>
      <w:r w:rsidRPr="00764A92">
        <w:rPr>
          <w:b/>
          <w:bCs/>
          <w:sz w:val="22"/>
          <w:szCs w:val="22"/>
        </w:rPr>
        <w:t>Several responses mentioned how logistical challenges</w:t>
      </w:r>
      <w:r w:rsidRPr="00764A92">
        <w:rPr>
          <w:sz w:val="22"/>
          <w:szCs w:val="22"/>
        </w:rPr>
        <w:t xml:space="preserve">, including pre-departure briefings, coaching, and continuous support, were handled in ways that </w:t>
      </w:r>
      <w:r w:rsidRPr="00764A92">
        <w:rPr>
          <w:b/>
          <w:bCs/>
          <w:sz w:val="22"/>
          <w:szCs w:val="22"/>
        </w:rPr>
        <w:t>minimised administrative burdens on participants while maintaining a high standard of service</w:t>
      </w:r>
      <w:r w:rsidRPr="00764A92">
        <w:rPr>
          <w:sz w:val="22"/>
          <w:szCs w:val="22"/>
        </w:rPr>
        <w:t>. "</w:t>
      </w:r>
      <w:r w:rsidRPr="00764A92">
        <w:rPr>
          <w:i/>
          <w:iCs/>
          <w:sz w:val="22"/>
          <w:szCs w:val="22"/>
        </w:rPr>
        <w:t>The logistical support provided by the embassy ensured a smooth process from application to the completion of my studies, allowing me to focus on my</w:t>
      </w:r>
      <w:r w:rsidRPr="00764A92">
        <w:rPr>
          <w:sz w:val="22"/>
          <w:szCs w:val="22"/>
        </w:rPr>
        <w:t xml:space="preserve"> </w:t>
      </w:r>
      <w:r w:rsidRPr="00764A92">
        <w:rPr>
          <w:i/>
          <w:iCs/>
          <w:sz w:val="22"/>
          <w:szCs w:val="22"/>
        </w:rPr>
        <w:t xml:space="preserve">professional development." </w:t>
      </w:r>
    </w:p>
    <w:p w14:paraId="0C610C83" w14:textId="77777777" w:rsidR="00AF3480" w:rsidRPr="00764A92" w:rsidRDefault="00AF3480">
      <w:pPr>
        <w:pStyle w:val="ListParagraph"/>
        <w:spacing w:before="120" w:after="120"/>
        <w:ind w:left="0"/>
        <w:rPr>
          <w:b/>
          <w:bCs/>
          <w:sz w:val="22"/>
          <w:szCs w:val="22"/>
          <w:u w:val="single"/>
        </w:rPr>
      </w:pPr>
    </w:p>
    <w:p w14:paraId="29BAC850" w14:textId="212465C5" w:rsidR="00625C9A" w:rsidRPr="00764A92" w:rsidRDefault="00625C9A" w:rsidP="00061D40">
      <w:pPr>
        <w:pStyle w:val="ListParagraph"/>
        <w:spacing w:before="120" w:after="120"/>
        <w:ind w:left="0"/>
        <w:rPr>
          <w:b/>
          <w:bCs/>
          <w:sz w:val="22"/>
          <w:szCs w:val="22"/>
          <w:u w:val="single"/>
        </w:rPr>
      </w:pPr>
      <w:r w:rsidRPr="00764A92">
        <w:rPr>
          <w:b/>
          <w:bCs/>
          <w:sz w:val="22"/>
          <w:szCs w:val="22"/>
          <w:u w:val="single"/>
        </w:rPr>
        <w:t>Sustainability</w:t>
      </w:r>
    </w:p>
    <w:p w14:paraId="7DA36F63" w14:textId="77777777" w:rsidR="00625C9A" w:rsidRPr="00764A92" w:rsidRDefault="00625C9A" w:rsidP="00061D40">
      <w:pPr>
        <w:pStyle w:val="ListParagraph"/>
        <w:spacing w:before="120" w:after="120"/>
        <w:ind w:left="0"/>
        <w:rPr>
          <w:sz w:val="22"/>
          <w:szCs w:val="22"/>
        </w:rPr>
      </w:pPr>
      <w:r w:rsidRPr="00764A92">
        <w:rPr>
          <w:sz w:val="22"/>
          <w:szCs w:val="22"/>
        </w:rPr>
        <w:t xml:space="preserve">Responses on sustainability illustrated that </w:t>
      </w:r>
      <w:r w:rsidRPr="00764A92">
        <w:rPr>
          <w:b/>
          <w:bCs/>
          <w:sz w:val="22"/>
          <w:szCs w:val="22"/>
        </w:rPr>
        <w:t>sustainability was achieved through multiple intertwined approaches</w:t>
      </w:r>
      <w:r w:rsidRPr="00764A92">
        <w:rPr>
          <w:sz w:val="22"/>
          <w:szCs w:val="22"/>
        </w:rPr>
        <w:t>: embedding changes into institutional practices, fostering continuous improvement, leveraging alumni networks for knowledge-sharing, and building lasting collaborations.</w:t>
      </w:r>
    </w:p>
    <w:p w14:paraId="7224FA58" w14:textId="77777777" w:rsidR="00D93B2F" w:rsidRPr="00764A92" w:rsidRDefault="00D93B2F" w:rsidP="0015013F">
      <w:pPr>
        <w:pStyle w:val="ListParagraph"/>
        <w:spacing w:before="120" w:after="120"/>
        <w:ind w:left="0"/>
        <w:rPr>
          <w:sz w:val="22"/>
          <w:szCs w:val="22"/>
        </w:rPr>
      </w:pPr>
    </w:p>
    <w:p w14:paraId="01F5305D" w14:textId="2758BC12" w:rsidR="00625C9A" w:rsidRPr="00764A92" w:rsidRDefault="00625C9A" w:rsidP="00061D40">
      <w:pPr>
        <w:pStyle w:val="ListParagraph"/>
        <w:spacing w:before="120" w:after="120"/>
        <w:ind w:left="0"/>
        <w:rPr>
          <w:sz w:val="22"/>
          <w:szCs w:val="22"/>
        </w:rPr>
      </w:pPr>
      <w:r w:rsidRPr="00764A92">
        <w:rPr>
          <w:sz w:val="22"/>
          <w:szCs w:val="22"/>
        </w:rPr>
        <w:t xml:space="preserve">Responses also </w:t>
      </w:r>
      <w:r w:rsidRPr="00764A92">
        <w:rPr>
          <w:b/>
          <w:bCs/>
          <w:sz w:val="22"/>
          <w:szCs w:val="22"/>
        </w:rPr>
        <w:t>emphasised the importance of institutionalisation of learning</w:t>
      </w:r>
      <w:r w:rsidRPr="00764A92">
        <w:rPr>
          <w:sz w:val="22"/>
          <w:szCs w:val="22"/>
        </w:rPr>
        <w:t>. "</w:t>
      </w:r>
      <w:r w:rsidRPr="00764A92">
        <w:rPr>
          <w:i/>
          <w:iCs/>
          <w:sz w:val="22"/>
          <w:szCs w:val="22"/>
        </w:rPr>
        <w:t xml:space="preserve">Sustainability is about embedding systems and processes into normal operations so that they become the norm rather than an add-on." </w:t>
      </w:r>
    </w:p>
    <w:p w14:paraId="4ADD14A8" w14:textId="77777777" w:rsidR="00D93B2F" w:rsidRPr="00764A92" w:rsidRDefault="00D93B2F" w:rsidP="0015013F">
      <w:pPr>
        <w:pStyle w:val="ListParagraph"/>
        <w:spacing w:before="120" w:after="120"/>
        <w:ind w:left="0"/>
        <w:rPr>
          <w:b/>
          <w:bCs/>
          <w:sz w:val="22"/>
          <w:szCs w:val="22"/>
        </w:rPr>
      </w:pPr>
    </w:p>
    <w:p w14:paraId="364D1BF4" w14:textId="6615A00B" w:rsidR="00625C9A" w:rsidRPr="00764A92" w:rsidRDefault="00625C9A" w:rsidP="00061D40">
      <w:pPr>
        <w:pStyle w:val="ListParagraph"/>
        <w:spacing w:before="120" w:after="120"/>
        <w:ind w:left="0"/>
        <w:rPr>
          <w:sz w:val="22"/>
          <w:szCs w:val="22"/>
        </w:rPr>
      </w:pPr>
      <w:r w:rsidRPr="00764A92">
        <w:rPr>
          <w:b/>
          <w:bCs/>
          <w:sz w:val="22"/>
          <w:szCs w:val="22"/>
        </w:rPr>
        <w:lastRenderedPageBreak/>
        <w:t>A recurrent theme</w:t>
      </w:r>
      <w:r w:rsidRPr="00764A92">
        <w:rPr>
          <w:sz w:val="22"/>
          <w:szCs w:val="22"/>
        </w:rPr>
        <w:t xml:space="preserve"> </w:t>
      </w:r>
      <w:r w:rsidRPr="00764A92">
        <w:rPr>
          <w:b/>
          <w:bCs/>
          <w:sz w:val="22"/>
          <w:szCs w:val="22"/>
        </w:rPr>
        <w:t>was the role of alumni networks in sustaining the benefits of the program</w:t>
      </w:r>
      <w:r w:rsidRPr="00764A92">
        <w:rPr>
          <w:sz w:val="22"/>
          <w:szCs w:val="22"/>
        </w:rPr>
        <w:t>.</w:t>
      </w:r>
      <w:r w:rsidR="0078429F" w:rsidRPr="00764A92">
        <w:rPr>
          <w:sz w:val="22"/>
          <w:szCs w:val="22"/>
        </w:rPr>
        <w:t xml:space="preserve"> </w:t>
      </w:r>
      <w:r w:rsidRPr="00764A92">
        <w:rPr>
          <w:i/>
          <w:iCs/>
          <w:sz w:val="22"/>
          <w:szCs w:val="22"/>
        </w:rPr>
        <w:t>"Through the alumni engagement platform, we continue to share strategies and best practices, ensuring that the program’s benefits extend beyond individual scholars to broader communities</w:t>
      </w:r>
      <w:r w:rsidRPr="00764A92">
        <w:rPr>
          <w:sz w:val="22"/>
          <w:szCs w:val="22"/>
        </w:rPr>
        <w:t xml:space="preserve">." </w:t>
      </w:r>
    </w:p>
    <w:p w14:paraId="19E5329C" w14:textId="77777777" w:rsidR="00D93B2F" w:rsidRPr="00764A92" w:rsidRDefault="00D93B2F" w:rsidP="0015013F">
      <w:pPr>
        <w:pStyle w:val="ListParagraph"/>
        <w:spacing w:before="120" w:after="120"/>
        <w:ind w:left="0"/>
        <w:rPr>
          <w:sz w:val="22"/>
          <w:szCs w:val="22"/>
        </w:rPr>
      </w:pPr>
    </w:p>
    <w:p w14:paraId="47363403" w14:textId="66A9B231" w:rsidR="00625C9A" w:rsidRPr="00764A92" w:rsidRDefault="00625C9A" w:rsidP="00061D40">
      <w:pPr>
        <w:pStyle w:val="ListParagraph"/>
        <w:spacing w:before="120" w:after="120"/>
        <w:ind w:left="0"/>
        <w:rPr>
          <w:sz w:val="22"/>
          <w:szCs w:val="22"/>
        </w:rPr>
      </w:pPr>
      <w:r w:rsidRPr="00764A92">
        <w:rPr>
          <w:sz w:val="22"/>
          <w:szCs w:val="22"/>
        </w:rPr>
        <w:t xml:space="preserve">Responses also highlighted that </w:t>
      </w:r>
      <w:r w:rsidRPr="00764A92">
        <w:rPr>
          <w:b/>
          <w:bCs/>
          <w:sz w:val="22"/>
          <w:szCs w:val="22"/>
        </w:rPr>
        <w:t>the integration of new practices, tools, and frameworks into policy or organisational structures ensured sustainability</w:t>
      </w:r>
      <w:r w:rsidRPr="00764A92">
        <w:rPr>
          <w:sz w:val="22"/>
          <w:szCs w:val="22"/>
        </w:rPr>
        <w:t xml:space="preserve">. </w:t>
      </w:r>
      <w:r w:rsidRPr="00764A92">
        <w:rPr>
          <w:i/>
          <w:iCs/>
          <w:sz w:val="22"/>
          <w:szCs w:val="22"/>
        </w:rPr>
        <w:t>"The tools and frameworks introduced during the program have been embedded in institutional practices, ensuring that initiatives like gender mainstreaming continue to create long-term impacts</w:t>
      </w:r>
      <w:r w:rsidRPr="00764A92">
        <w:rPr>
          <w:sz w:val="22"/>
          <w:szCs w:val="22"/>
        </w:rPr>
        <w:t xml:space="preserve">." </w:t>
      </w:r>
    </w:p>
    <w:p w14:paraId="521DD012" w14:textId="77777777" w:rsidR="00D93B2F" w:rsidRPr="00764A92" w:rsidRDefault="00D93B2F" w:rsidP="0015013F">
      <w:pPr>
        <w:pStyle w:val="ListParagraph"/>
        <w:spacing w:before="120" w:after="120"/>
        <w:ind w:left="0"/>
        <w:rPr>
          <w:sz w:val="22"/>
          <w:szCs w:val="22"/>
        </w:rPr>
      </w:pPr>
    </w:p>
    <w:p w14:paraId="057635CE" w14:textId="2411611D" w:rsidR="00625C9A" w:rsidRPr="00764A92" w:rsidRDefault="00625C9A" w:rsidP="00061D40">
      <w:pPr>
        <w:pStyle w:val="ListParagraph"/>
        <w:spacing w:before="120" w:after="120"/>
        <w:ind w:left="0"/>
        <w:rPr>
          <w:sz w:val="22"/>
          <w:szCs w:val="22"/>
        </w:rPr>
      </w:pPr>
      <w:r w:rsidRPr="00764A92">
        <w:rPr>
          <w:sz w:val="22"/>
          <w:szCs w:val="22"/>
        </w:rPr>
        <w:t xml:space="preserve">Responses highlighted that </w:t>
      </w:r>
      <w:r w:rsidRPr="00764A92">
        <w:rPr>
          <w:b/>
          <w:bCs/>
          <w:sz w:val="22"/>
          <w:szCs w:val="22"/>
        </w:rPr>
        <w:t>sustainability was also about creating a culture of continuous improvement within organisations</w:t>
      </w:r>
      <w:r w:rsidRPr="00764A92">
        <w:rPr>
          <w:i/>
          <w:iCs/>
          <w:sz w:val="22"/>
          <w:szCs w:val="22"/>
        </w:rPr>
        <w:t>.</w:t>
      </w:r>
      <w:r w:rsidR="0078429F" w:rsidRPr="00764A92">
        <w:rPr>
          <w:i/>
          <w:iCs/>
          <w:sz w:val="22"/>
          <w:szCs w:val="22"/>
        </w:rPr>
        <w:t xml:space="preserve"> </w:t>
      </w:r>
      <w:r w:rsidRPr="00764A92">
        <w:rPr>
          <w:i/>
          <w:iCs/>
          <w:sz w:val="22"/>
          <w:szCs w:val="22"/>
        </w:rPr>
        <w:t>"By encouraging evidence-based policymaking, the program has left a lasting impact on how our office approaches its work, creating a culture of continuous improvement."</w:t>
      </w:r>
      <w:r w:rsidRPr="00764A92">
        <w:rPr>
          <w:sz w:val="22"/>
          <w:szCs w:val="22"/>
        </w:rPr>
        <w:t xml:space="preserve"> </w:t>
      </w:r>
    </w:p>
    <w:p w14:paraId="339DF86E" w14:textId="77777777" w:rsidR="00D93B2F" w:rsidRPr="00764A92" w:rsidRDefault="00D93B2F" w:rsidP="0015013F">
      <w:pPr>
        <w:pStyle w:val="ListParagraph"/>
        <w:spacing w:before="120" w:after="120"/>
        <w:ind w:left="0"/>
        <w:rPr>
          <w:b/>
          <w:bCs/>
          <w:sz w:val="22"/>
          <w:szCs w:val="22"/>
        </w:rPr>
      </w:pPr>
    </w:p>
    <w:p w14:paraId="22FAC3BB" w14:textId="49C74C75" w:rsidR="00625C9A" w:rsidRPr="00764A92" w:rsidRDefault="00625C9A" w:rsidP="00061D40">
      <w:pPr>
        <w:pStyle w:val="ListParagraph"/>
        <w:spacing w:before="120" w:after="120"/>
        <w:ind w:left="0"/>
        <w:rPr>
          <w:sz w:val="22"/>
          <w:szCs w:val="22"/>
        </w:rPr>
      </w:pPr>
      <w:r w:rsidRPr="00764A92">
        <w:rPr>
          <w:b/>
          <w:bCs/>
          <w:sz w:val="22"/>
          <w:szCs w:val="22"/>
        </w:rPr>
        <w:t>Collaboration with partners, including local government units, academic institutions, and NGOs, was also seen as a critical factor</w:t>
      </w:r>
      <w:r w:rsidRPr="00764A92">
        <w:rPr>
          <w:sz w:val="22"/>
          <w:szCs w:val="22"/>
        </w:rPr>
        <w:t xml:space="preserve"> for sustainability. </w:t>
      </w:r>
      <w:r w:rsidRPr="00764A92">
        <w:rPr>
          <w:i/>
          <w:iCs/>
          <w:sz w:val="22"/>
          <w:szCs w:val="22"/>
        </w:rPr>
        <w:t>"Partnering with HR units ensures continuity of initiatives, even during leadership transitions in government agencies</w:t>
      </w:r>
      <w:r w:rsidRPr="00764A92">
        <w:rPr>
          <w:sz w:val="22"/>
          <w:szCs w:val="22"/>
        </w:rPr>
        <w:t xml:space="preserve">." </w:t>
      </w:r>
    </w:p>
    <w:p w14:paraId="386CB379" w14:textId="77777777" w:rsidR="00C002FE" w:rsidRPr="00764A92" w:rsidRDefault="00C002FE" w:rsidP="0015013F">
      <w:pPr>
        <w:pStyle w:val="ListParagraph"/>
        <w:spacing w:before="120" w:after="120"/>
        <w:ind w:left="0"/>
        <w:rPr>
          <w:b/>
          <w:bCs/>
          <w:sz w:val="22"/>
          <w:szCs w:val="22"/>
        </w:rPr>
      </w:pPr>
    </w:p>
    <w:p w14:paraId="093390A3" w14:textId="6F234DCD" w:rsidR="00625C9A" w:rsidRPr="00764A92" w:rsidRDefault="00625C9A" w:rsidP="00061D40">
      <w:pPr>
        <w:pStyle w:val="ListParagraph"/>
        <w:spacing w:before="120" w:after="120"/>
        <w:ind w:left="0"/>
        <w:rPr>
          <w:b/>
          <w:bCs/>
          <w:sz w:val="22"/>
          <w:szCs w:val="22"/>
          <w:u w:val="single"/>
        </w:rPr>
      </w:pPr>
      <w:r w:rsidRPr="00764A92">
        <w:rPr>
          <w:b/>
          <w:bCs/>
          <w:sz w:val="22"/>
          <w:szCs w:val="22"/>
          <w:u w:val="single"/>
        </w:rPr>
        <w:t>GEDSI</w:t>
      </w:r>
    </w:p>
    <w:p w14:paraId="1A407D6E" w14:textId="77777777" w:rsidR="00625C9A" w:rsidRPr="00764A92" w:rsidRDefault="00625C9A" w:rsidP="00061D40">
      <w:pPr>
        <w:pStyle w:val="ListParagraph"/>
        <w:spacing w:before="120" w:after="120"/>
        <w:ind w:left="0"/>
        <w:rPr>
          <w:sz w:val="22"/>
          <w:szCs w:val="22"/>
        </w:rPr>
      </w:pPr>
      <w:r w:rsidRPr="00764A92">
        <w:rPr>
          <w:sz w:val="22"/>
          <w:szCs w:val="22"/>
        </w:rPr>
        <w:t xml:space="preserve">Responses on GEDSI indicated that </w:t>
      </w:r>
      <w:r w:rsidRPr="00764A92">
        <w:rPr>
          <w:b/>
          <w:bCs/>
          <w:sz w:val="22"/>
          <w:szCs w:val="22"/>
        </w:rPr>
        <w:t>while significant advancements have been made, challenges remain in ensuring consistent implementation across partner organisations</w:t>
      </w:r>
      <w:r w:rsidRPr="00764A92">
        <w:rPr>
          <w:sz w:val="22"/>
          <w:szCs w:val="22"/>
        </w:rPr>
        <w:t>.</w:t>
      </w:r>
    </w:p>
    <w:p w14:paraId="6221225E" w14:textId="77777777" w:rsidR="00D93B2F" w:rsidRPr="00764A92" w:rsidRDefault="00D93B2F" w:rsidP="0015013F">
      <w:pPr>
        <w:pStyle w:val="ListParagraph"/>
        <w:spacing w:before="120" w:after="120"/>
        <w:ind w:left="0"/>
        <w:rPr>
          <w:sz w:val="22"/>
          <w:szCs w:val="22"/>
        </w:rPr>
      </w:pPr>
    </w:p>
    <w:p w14:paraId="3718B1FD" w14:textId="7DCD03CF" w:rsidR="00625C9A" w:rsidRPr="00764A92" w:rsidRDefault="00625C9A" w:rsidP="00061D40">
      <w:pPr>
        <w:pStyle w:val="ListParagraph"/>
        <w:spacing w:before="120" w:after="120"/>
        <w:ind w:left="0"/>
        <w:rPr>
          <w:sz w:val="22"/>
          <w:szCs w:val="22"/>
        </w:rPr>
      </w:pPr>
      <w:r w:rsidRPr="00764A92">
        <w:rPr>
          <w:sz w:val="22"/>
          <w:szCs w:val="22"/>
        </w:rPr>
        <w:t xml:space="preserve">Responses </w:t>
      </w:r>
      <w:r w:rsidRPr="00764A92">
        <w:rPr>
          <w:b/>
          <w:bCs/>
          <w:sz w:val="22"/>
          <w:szCs w:val="22"/>
        </w:rPr>
        <w:t>emphasised how GEDSI principles are woven into coursework and training</w:t>
      </w:r>
      <w:r w:rsidRPr="00764A92">
        <w:rPr>
          <w:sz w:val="22"/>
          <w:szCs w:val="22"/>
        </w:rPr>
        <w:t>, including specific modules on disability inclusion, gender sensitivity, and diversity. This integration fosters understanding and action on inclusivity in real-world scenario. “</w:t>
      </w:r>
      <w:r w:rsidRPr="00764A92">
        <w:rPr>
          <w:i/>
          <w:iCs/>
          <w:sz w:val="22"/>
          <w:szCs w:val="22"/>
        </w:rPr>
        <w:t>Short courses now include specific modules on disability inclusion and gender sensitivity, ensuring participants can integrate these principles into their work</w:t>
      </w:r>
      <w:r w:rsidRPr="00764A92">
        <w:rPr>
          <w:sz w:val="22"/>
          <w:szCs w:val="22"/>
        </w:rPr>
        <w:t xml:space="preserve">." </w:t>
      </w:r>
    </w:p>
    <w:p w14:paraId="400FBEDB" w14:textId="77777777" w:rsidR="00D93B2F" w:rsidRPr="00764A92" w:rsidRDefault="00D93B2F" w:rsidP="0015013F">
      <w:pPr>
        <w:pStyle w:val="ListParagraph"/>
        <w:spacing w:before="120" w:after="120"/>
        <w:ind w:left="0"/>
        <w:rPr>
          <w:b/>
          <w:bCs/>
          <w:sz w:val="22"/>
          <w:szCs w:val="22"/>
        </w:rPr>
      </w:pPr>
    </w:p>
    <w:p w14:paraId="49710642" w14:textId="614B6A0F" w:rsidR="00625C9A" w:rsidRPr="00764A92" w:rsidRDefault="00625C9A" w:rsidP="00061D40">
      <w:pPr>
        <w:pStyle w:val="ListParagraph"/>
        <w:spacing w:before="120" w:after="120"/>
        <w:ind w:left="0"/>
        <w:rPr>
          <w:sz w:val="22"/>
          <w:szCs w:val="22"/>
        </w:rPr>
      </w:pPr>
      <w:r w:rsidRPr="00764A92">
        <w:rPr>
          <w:b/>
          <w:bCs/>
          <w:sz w:val="22"/>
          <w:szCs w:val="22"/>
        </w:rPr>
        <w:t>Respondents mentioned how GEDSI principles have been mainstreamed in their organisations and personal projects</w:t>
      </w:r>
      <w:r w:rsidRPr="00764A92">
        <w:rPr>
          <w:sz w:val="22"/>
          <w:szCs w:val="22"/>
        </w:rPr>
        <w:t xml:space="preserve">. There was an emphasis on creating environments that prioritised inclusivity in both public and private sectors. </w:t>
      </w:r>
      <w:r w:rsidRPr="00764A92">
        <w:rPr>
          <w:i/>
          <w:iCs/>
          <w:sz w:val="22"/>
          <w:szCs w:val="22"/>
        </w:rPr>
        <w:t>"Inclusivity is critical to process design. We emphasise accessibility for persons with disabilities in digitalised government services, though we recognise there’s much more to achieve."</w:t>
      </w:r>
    </w:p>
    <w:p w14:paraId="7D7EE736" w14:textId="77777777" w:rsidR="00D93B2F" w:rsidRPr="00764A92" w:rsidRDefault="00D93B2F" w:rsidP="0015013F">
      <w:pPr>
        <w:pStyle w:val="ListParagraph"/>
        <w:spacing w:before="120" w:after="120"/>
        <w:ind w:left="0"/>
        <w:rPr>
          <w:b/>
          <w:bCs/>
          <w:sz w:val="22"/>
          <w:szCs w:val="22"/>
        </w:rPr>
      </w:pPr>
    </w:p>
    <w:p w14:paraId="1009F988" w14:textId="2530B1FE" w:rsidR="00625C9A" w:rsidRPr="00764A92" w:rsidRDefault="00625C9A" w:rsidP="00061D40">
      <w:pPr>
        <w:pStyle w:val="ListParagraph"/>
        <w:spacing w:before="120" w:after="120"/>
        <w:ind w:left="0"/>
        <w:rPr>
          <w:sz w:val="22"/>
          <w:szCs w:val="22"/>
        </w:rPr>
      </w:pPr>
      <w:r w:rsidRPr="00764A92">
        <w:rPr>
          <w:b/>
          <w:bCs/>
          <w:sz w:val="22"/>
          <w:szCs w:val="22"/>
        </w:rPr>
        <w:t>Responses highlighted the benefits of initiatives aimed at empowering marginalised groups,</w:t>
      </w:r>
      <w:r w:rsidRPr="00764A92">
        <w:rPr>
          <w:sz w:val="22"/>
          <w:szCs w:val="22"/>
        </w:rPr>
        <w:t xml:space="preserve"> such as women, LGBTQ+ individuals, persons with disabilities, and indigenous communities. The focus is on breaking barriers and creating opportunities for leadership and participation</w:t>
      </w:r>
      <w:r w:rsidRPr="00764A92">
        <w:rPr>
          <w:i/>
          <w:iCs/>
          <w:sz w:val="22"/>
          <w:szCs w:val="22"/>
        </w:rPr>
        <w:t xml:space="preserve">. "The program emphasised gender sensitivity and inclusion, integrating these principles into Sharia law education and </w:t>
      </w:r>
      <w:proofErr w:type="gramStart"/>
      <w:r w:rsidRPr="00764A92">
        <w:rPr>
          <w:i/>
          <w:iCs/>
          <w:sz w:val="22"/>
          <w:szCs w:val="22"/>
        </w:rPr>
        <w:t>policy-making</w:t>
      </w:r>
      <w:proofErr w:type="gramEnd"/>
      <w:r w:rsidRPr="00764A92">
        <w:rPr>
          <w:i/>
          <w:iCs/>
          <w:sz w:val="22"/>
          <w:szCs w:val="22"/>
        </w:rPr>
        <w:t xml:space="preserve"> in the Bangsamoro region.</w:t>
      </w:r>
      <w:r w:rsidRPr="00764A92">
        <w:rPr>
          <w:sz w:val="22"/>
          <w:szCs w:val="22"/>
        </w:rPr>
        <w:t xml:space="preserve">" </w:t>
      </w:r>
    </w:p>
    <w:p w14:paraId="0E1AA2D2" w14:textId="77777777" w:rsidR="00D93B2F" w:rsidRPr="00764A92" w:rsidRDefault="00D93B2F" w:rsidP="0015013F">
      <w:pPr>
        <w:pStyle w:val="ListParagraph"/>
        <w:spacing w:before="120" w:after="120"/>
        <w:ind w:left="0"/>
        <w:rPr>
          <w:b/>
          <w:bCs/>
          <w:sz w:val="22"/>
          <w:szCs w:val="22"/>
        </w:rPr>
      </w:pPr>
    </w:p>
    <w:p w14:paraId="69B68AEE" w14:textId="66C3017B" w:rsidR="00625C9A" w:rsidRPr="00764A92" w:rsidRDefault="00625C9A" w:rsidP="00061D40">
      <w:pPr>
        <w:pStyle w:val="ListParagraph"/>
        <w:spacing w:before="120" w:after="120"/>
        <w:ind w:left="0"/>
        <w:rPr>
          <w:sz w:val="22"/>
          <w:szCs w:val="22"/>
        </w:rPr>
      </w:pPr>
      <w:r w:rsidRPr="00764A92">
        <w:rPr>
          <w:b/>
          <w:bCs/>
          <w:sz w:val="22"/>
          <w:szCs w:val="22"/>
        </w:rPr>
        <w:t>A recurrent theme was the challenge of ensuring that GEDSI principles are consistently and comprehensively embraced by partner organisations</w:t>
      </w:r>
      <w:r w:rsidRPr="00764A92">
        <w:rPr>
          <w:sz w:val="22"/>
          <w:szCs w:val="22"/>
        </w:rPr>
        <w:t>. Some responses noted that while GEDSI was integrated in principle, real action and engagement required continual effort and structure.</w:t>
      </w:r>
      <w:r w:rsidR="0078429F" w:rsidRPr="00764A92">
        <w:rPr>
          <w:sz w:val="22"/>
          <w:szCs w:val="22"/>
        </w:rPr>
        <w:t xml:space="preserve"> </w:t>
      </w:r>
      <w:r w:rsidRPr="00764A92">
        <w:rPr>
          <w:sz w:val="22"/>
          <w:szCs w:val="22"/>
        </w:rPr>
        <w:t>"</w:t>
      </w:r>
      <w:r w:rsidRPr="00764A92">
        <w:rPr>
          <w:i/>
          <w:iCs/>
          <w:sz w:val="22"/>
          <w:szCs w:val="22"/>
        </w:rPr>
        <w:t>The challenge lies in ensuring GEDSI principles are fully embraced by partner organisations and not treated as an add-on</w:t>
      </w:r>
      <w:r w:rsidRPr="00764A92">
        <w:rPr>
          <w:sz w:val="22"/>
          <w:szCs w:val="22"/>
        </w:rPr>
        <w:t xml:space="preserve">." </w:t>
      </w:r>
    </w:p>
    <w:p w14:paraId="1F263F8D" w14:textId="77777777" w:rsidR="00D93B2F" w:rsidRPr="00764A92" w:rsidRDefault="00D93B2F" w:rsidP="0015013F">
      <w:pPr>
        <w:pStyle w:val="ListParagraph"/>
        <w:spacing w:before="120" w:after="120"/>
        <w:ind w:left="0"/>
        <w:rPr>
          <w:b/>
          <w:bCs/>
          <w:sz w:val="22"/>
          <w:szCs w:val="22"/>
        </w:rPr>
      </w:pPr>
    </w:p>
    <w:p w14:paraId="1AFCB2F7" w14:textId="621CC4EA" w:rsidR="00625C9A" w:rsidRPr="00764A92" w:rsidRDefault="00625C9A" w:rsidP="00061D40">
      <w:pPr>
        <w:pStyle w:val="ListParagraph"/>
        <w:spacing w:before="120" w:after="120"/>
        <w:ind w:left="0"/>
        <w:rPr>
          <w:sz w:val="22"/>
          <w:szCs w:val="22"/>
        </w:rPr>
      </w:pPr>
      <w:r w:rsidRPr="00764A92">
        <w:rPr>
          <w:b/>
          <w:bCs/>
          <w:sz w:val="22"/>
          <w:szCs w:val="22"/>
        </w:rPr>
        <w:t>Alumni networks were noted as playing a critical role in promoting GEDSI</w:t>
      </w:r>
      <w:r w:rsidRPr="00764A92">
        <w:rPr>
          <w:sz w:val="22"/>
          <w:szCs w:val="22"/>
        </w:rPr>
        <w:t>, with many responses noting the importance of creating a more inclusive, consistent, and visible platform for alumni engagement</w:t>
      </w:r>
      <w:r w:rsidRPr="00764A92">
        <w:rPr>
          <w:i/>
          <w:iCs/>
          <w:sz w:val="22"/>
          <w:szCs w:val="22"/>
        </w:rPr>
        <w:t>. “The program’s focus on inclusivity, particularly in creating safe spaces for indigenous women to voice their perspectives, was groundbreaking and transformative."</w:t>
      </w:r>
      <w:r w:rsidRPr="00764A92">
        <w:rPr>
          <w:sz w:val="22"/>
          <w:szCs w:val="22"/>
        </w:rPr>
        <w:t xml:space="preserve"> </w:t>
      </w:r>
    </w:p>
    <w:p w14:paraId="25A4C540" w14:textId="77777777" w:rsidR="00D93B2F" w:rsidRPr="00764A92" w:rsidRDefault="00D93B2F" w:rsidP="0015013F">
      <w:pPr>
        <w:pStyle w:val="ListParagraph"/>
        <w:spacing w:before="120" w:after="120"/>
        <w:ind w:left="0"/>
        <w:rPr>
          <w:b/>
          <w:bCs/>
          <w:sz w:val="22"/>
          <w:szCs w:val="22"/>
        </w:rPr>
      </w:pPr>
    </w:p>
    <w:p w14:paraId="6B6A73C9" w14:textId="1EBFC146" w:rsidR="00625C9A" w:rsidRPr="00764A92" w:rsidRDefault="00625C9A" w:rsidP="00061D40">
      <w:pPr>
        <w:pStyle w:val="ListParagraph"/>
        <w:spacing w:before="120" w:after="120"/>
        <w:ind w:left="0"/>
        <w:rPr>
          <w:sz w:val="22"/>
          <w:szCs w:val="22"/>
        </w:rPr>
      </w:pPr>
      <w:r w:rsidRPr="00764A92">
        <w:rPr>
          <w:b/>
          <w:bCs/>
          <w:sz w:val="22"/>
          <w:szCs w:val="22"/>
        </w:rPr>
        <w:t>Several responses indicated that the program encouraged participants to integrate GEDSI principles into policy development</w:t>
      </w:r>
      <w:r w:rsidRPr="00764A92">
        <w:rPr>
          <w:sz w:val="22"/>
          <w:szCs w:val="22"/>
        </w:rPr>
        <w:t>, especially in areas like governance, peacebuilding, and public services.</w:t>
      </w:r>
      <w:r w:rsidR="0078429F" w:rsidRPr="00764A92">
        <w:rPr>
          <w:sz w:val="22"/>
          <w:szCs w:val="22"/>
        </w:rPr>
        <w:t xml:space="preserve"> </w:t>
      </w:r>
      <w:r w:rsidRPr="00764A92">
        <w:rPr>
          <w:i/>
          <w:iCs/>
          <w:sz w:val="22"/>
          <w:szCs w:val="22"/>
        </w:rPr>
        <w:t>The course highlighted the importance of crafting policies that address gender and disability biases, which has influenced my work on ensuring inclusivity in policy development."</w:t>
      </w:r>
      <w:r w:rsidRPr="00764A92">
        <w:rPr>
          <w:sz w:val="22"/>
          <w:szCs w:val="22"/>
        </w:rPr>
        <w:t>.</w:t>
      </w:r>
    </w:p>
    <w:p w14:paraId="54E8D55E" w14:textId="77777777" w:rsidR="00C002FE" w:rsidRPr="00764A92" w:rsidRDefault="00C002FE" w:rsidP="0015013F">
      <w:pPr>
        <w:pStyle w:val="ListParagraph"/>
        <w:spacing w:before="120" w:after="120"/>
        <w:ind w:left="0"/>
        <w:rPr>
          <w:b/>
          <w:bCs/>
          <w:sz w:val="22"/>
          <w:szCs w:val="22"/>
        </w:rPr>
      </w:pPr>
    </w:p>
    <w:p w14:paraId="6DE8DFDA" w14:textId="7403E804" w:rsidR="00625C9A" w:rsidRPr="00764A92" w:rsidRDefault="00625C9A" w:rsidP="00061D40">
      <w:pPr>
        <w:pStyle w:val="ListParagraph"/>
        <w:spacing w:before="120" w:after="120"/>
        <w:ind w:left="0"/>
        <w:rPr>
          <w:b/>
          <w:bCs/>
          <w:sz w:val="22"/>
          <w:szCs w:val="22"/>
          <w:u w:val="single"/>
        </w:rPr>
      </w:pPr>
      <w:r w:rsidRPr="00764A92">
        <w:rPr>
          <w:b/>
          <w:bCs/>
          <w:sz w:val="22"/>
          <w:szCs w:val="22"/>
          <w:u w:val="single"/>
        </w:rPr>
        <w:t>Lessons Learned</w:t>
      </w:r>
    </w:p>
    <w:p w14:paraId="19E09586" w14:textId="77777777" w:rsidR="00625C9A" w:rsidRPr="00764A92" w:rsidRDefault="00625C9A" w:rsidP="00061D40">
      <w:pPr>
        <w:pStyle w:val="ListParagraph"/>
        <w:spacing w:before="120" w:after="120"/>
        <w:ind w:left="0"/>
        <w:rPr>
          <w:sz w:val="22"/>
          <w:szCs w:val="22"/>
        </w:rPr>
      </w:pPr>
      <w:r w:rsidRPr="00764A92">
        <w:rPr>
          <w:sz w:val="22"/>
          <w:szCs w:val="22"/>
        </w:rPr>
        <w:t xml:space="preserve">Responses regarding lessons learned collectively </w:t>
      </w:r>
      <w:r w:rsidRPr="00764A92">
        <w:rPr>
          <w:b/>
          <w:bCs/>
          <w:sz w:val="22"/>
          <w:szCs w:val="22"/>
        </w:rPr>
        <w:t>highlighted the need for adaptive planning, collaborative execution, inclusive participation, and sustainable outcomes</w:t>
      </w:r>
      <w:r w:rsidRPr="00764A92">
        <w:rPr>
          <w:sz w:val="22"/>
          <w:szCs w:val="22"/>
        </w:rPr>
        <w:t>.</w:t>
      </w:r>
    </w:p>
    <w:p w14:paraId="49277F6F" w14:textId="77777777" w:rsidR="00D93B2F" w:rsidRPr="00764A92" w:rsidRDefault="00D93B2F" w:rsidP="0015013F">
      <w:pPr>
        <w:pStyle w:val="ListParagraph"/>
        <w:spacing w:before="120" w:after="120"/>
        <w:ind w:left="0"/>
        <w:rPr>
          <w:sz w:val="22"/>
          <w:szCs w:val="22"/>
        </w:rPr>
      </w:pPr>
    </w:p>
    <w:p w14:paraId="57D4FBBD" w14:textId="3D666C2D" w:rsidR="00625C9A" w:rsidRPr="00764A92" w:rsidRDefault="00625C9A" w:rsidP="00061D40">
      <w:pPr>
        <w:pStyle w:val="ListParagraph"/>
        <w:spacing w:before="120" w:after="120"/>
        <w:ind w:left="0"/>
        <w:rPr>
          <w:sz w:val="22"/>
          <w:szCs w:val="22"/>
        </w:rPr>
      </w:pPr>
      <w:r w:rsidRPr="00764A92">
        <w:rPr>
          <w:sz w:val="22"/>
          <w:szCs w:val="22"/>
        </w:rPr>
        <w:t xml:space="preserve">Responses </w:t>
      </w:r>
      <w:r w:rsidRPr="00764A92">
        <w:rPr>
          <w:b/>
          <w:bCs/>
          <w:sz w:val="22"/>
          <w:szCs w:val="22"/>
        </w:rPr>
        <w:t>highlighted the need to ensure flexibility in program design and execution to meet evolving needs and external challenges</w:t>
      </w:r>
      <w:r w:rsidRPr="00764A92">
        <w:rPr>
          <w:sz w:val="22"/>
          <w:szCs w:val="22"/>
        </w:rPr>
        <w:t xml:space="preserve">. </w:t>
      </w:r>
      <w:r w:rsidRPr="00764A92">
        <w:rPr>
          <w:i/>
          <w:iCs/>
          <w:sz w:val="22"/>
          <w:szCs w:val="22"/>
        </w:rPr>
        <w:t xml:space="preserve">"Programs must focus on adapting to current global geopolitical challenges, ensuring that alumni are equipped to contribute effectively </w:t>
      </w:r>
      <w:proofErr w:type="gramStart"/>
      <w:r w:rsidRPr="00764A92">
        <w:rPr>
          <w:i/>
          <w:iCs/>
          <w:sz w:val="22"/>
          <w:szCs w:val="22"/>
        </w:rPr>
        <w:t>in</w:t>
      </w:r>
      <w:proofErr w:type="gramEnd"/>
      <w:r w:rsidRPr="00764A92">
        <w:rPr>
          <w:i/>
          <w:iCs/>
          <w:sz w:val="22"/>
          <w:szCs w:val="22"/>
        </w:rPr>
        <w:t xml:space="preserve"> highly polarised contexts."</w:t>
      </w:r>
      <w:r w:rsidRPr="00764A92">
        <w:rPr>
          <w:sz w:val="22"/>
          <w:szCs w:val="22"/>
        </w:rPr>
        <w:t xml:space="preserve"> </w:t>
      </w:r>
    </w:p>
    <w:p w14:paraId="04D51454" w14:textId="77777777" w:rsidR="00D93B2F" w:rsidRPr="00764A92" w:rsidRDefault="00D93B2F" w:rsidP="0015013F">
      <w:pPr>
        <w:pStyle w:val="ListParagraph"/>
        <w:spacing w:before="120" w:after="120"/>
        <w:ind w:left="0"/>
        <w:rPr>
          <w:sz w:val="22"/>
          <w:szCs w:val="22"/>
        </w:rPr>
      </w:pPr>
    </w:p>
    <w:p w14:paraId="20CA5522" w14:textId="1D50DAB5" w:rsidR="00625C9A" w:rsidRPr="00764A92" w:rsidRDefault="00625C9A" w:rsidP="00061D40">
      <w:pPr>
        <w:pStyle w:val="ListParagraph"/>
        <w:spacing w:before="120" w:after="120"/>
        <w:ind w:left="0"/>
        <w:rPr>
          <w:sz w:val="22"/>
          <w:szCs w:val="22"/>
        </w:rPr>
      </w:pPr>
      <w:r w:rsidRPr="00764A92">
        <w:rPr>
          <w:sz w:val="22"/>
          <w:szCs w:val="22"/>
        </w:rPr>
        <w:t xml:space="preserve">Responses also </w:t>
      </w:r>
      <w:r w:rsidRPr="00764A92">
        <w:rPr>
          <w:b/>
          <w:bCs/>
          <w:sz w:val="22"/>
          <w:szCs w:val="22"/>
        </w:rPr>
        <w:t>highlighted the importance of thorough planning, clear communication, and structuring programs in a way that accommodates participants' needs and obligations</w:t>
      </w:r>
      <w:r w:rsidRPr="00764A92">
        <w:rPr>
          <w:sz w:val="22"/>
          <w:szCs w:val="22"/>
        </w:rPr>
        <w:t xml:space="preserve">. </w:t>
      </w:r>
      <w:r w:rsidRPr="00764A92">
        <w:rPr>
          <w:i/>
          <w:iCs/>
          <w:sz w:val="22"/>
          <w:szCs w:val="22"/>
        </w:rPr>
        <w:t>"Better pre-course information, particularly on the content and expectations, would help participants better prepare and align the training with organisational needs."</w:t>
      </w:r>
      <w:r w:rsidRPr="00764A92">
        <w:rPr>
          <w:sz w:val="22"/>
          <w:szCs w:val="22"/>
        </w:rPr>
        <w:t xml:space="preserve"> </w:t>
      </w:r>
    </w:p>
    <w:p w14:paraId="3C5134A2" w14:textId="77777777" w:rsidR="00D93B2F" w:rsidRPr="00764A92" w:rsidRDefault="00D93B2F" w:rsidP="0015013F">
      <w:pPr>
        <w:pStyle w:val="ListParagraph"/>
        <w:spacing w:before="120" w:after="120"/>
        <w:ind w:left="0"/>
        <w:rPr>
          <w:b/>
          <w:bCs/>
          <w:sz w:val="22"/>
          <w:szCs w:val="22"/>
        </w:rPr>
      </w:pPr>
    </w:p>
    <w:p w14:paraId="0D30BA2B" w14:textId="41E31BDC" w:rsidR="00625C9A" w:rsidRPr="00764A92" w:rsidRDefault="00625C9A" w:rsidP="00061D40">
      <w:pPr>
        <w:pStyle w:val="ListParagraph"/>
        <w:spacing w:before="120" w:after="120"/>
        <w:ind w:left="0"/>
        <w:rPr>
          <w:sz w:val="22"/>
          <w:szCs w:val="22"/>
        </w:rPr>
      </w:pPr>
      <w:r w:rsidRPr="00764A92">
        <w:rPr>
          <w:b/>
          <w:bCs/>
          <w:sz w:val="22"/>
          <w:szCs w:val="22"/>
        </w:rPr>
        <w:t>The importance of building strong relationships with stakeholders and fostering collaboration, particularly with alumni networks was mentioned as a key lesson</w:t>
      </w:r>
      <w:r w:rsidRPr="00764A92">
        <w:rPr>
          <w:sz w:val="22"/>
          <w:szCs w:val="22"/>
        </w:rPr>
        <w:t xml:space="preserve">. </w:t>
      </w:r>
      <w:r w:rsidRPr="00764A92">
        <w:rPr>
          <w:i/>
          <w:iCs/>
          <w:sz w:val="22"/>
          <w:szCs w:val="22"/>
        </w:rPr>
        <w:t>"Alumni networks are underutilised; more targeted activities could foster collaboration among participants from different agencies to further amplify program outcomes."</w:t>
      </w:r>
      <w:r w:rsidRPr="00764A92">
        <w:rPr>
          <w:sz w:val="22"/>
          <w:szCs w:val="22"/>
        </w:rPr>
        <w:t xml:space="preserve"> </w:t>
      </w:r>
    </w:p>
    <w:p w14:paraId="136C8114" w14:textId="77777777" w:rsidR="00D93B2F" w:rsidRPr="00764A92" w:rsidRDefault="00D93B2F" w:rsidP="0015013F">
      <w:pPr>
        <w:pStyle w:val="ListParagraph"/>
        <w:spacing w:before="120" w:after="120"/>
        <w:ind w:left="0"/>
        <w:rPr>
          <w:b/>
          <w:bCs/>
          <w:sz w:val="22"/>
          <w:szCs w:val="22"/>
        </w:rPr>
      </w:pPr>
    </w:p>
    <w:p w14:paraId="2162BBAB" w14:textId="40B0930D" w:rsidR="00625C9A" w:rsidRPr="00764A92" w:rsidRDefault="00625C9A" w:rsidP="00061D40">
      <w:pPr>
        <w:pStyle w:val="ListParagraph"/>
        <w:spacing w:before="120" w:after="120"/>
        <w:ind w:left="0"/>
        <w:rPr>
          <w:sz w:val="22"/>
          <w:szCs w:val="22"/>
        </w:rPr>
      </w:pPr>
      <w:r w:rsidRPr="00764A92">
        <w:rPr>
          <w:b/>
          <w:bCs/>
          <w:sz w:val="22"/>
          <w:szCs w:val="22"/>
        </w:rPr>
        <w:t>Actively ensuring marginalised groups have access to opportunities and fostering inclusive environments was also highlighted</w:t>
      </w:r>
      <w:r w:rsidRPr="00764A92">
        <w:rPr>
          <w:sz w:val="22"/>
          <w:szCs w:val="22"/>
        </w:rPr>
        <w:t xml:space="preserve">. </w:t>
      </w:r>
      <w:r w:rsidRPr="00764A92">
        <w:rPr>
          <w:i/>
          <w:iCs/>
          <w:sz w:val="22"/>
          <w:szCs w:val="22"/>
        </w:rPr>
        <w:t>"The importance of creating safe spaces for marginalised voices, especially indigenous women, is critical for driving inclusive conservation and development practices."</w:t>
      </w:r>
      <w:r w:rsidRPr="00764A92">
        <w:rPr>
          <w:sz w:val="22"/>
          <w:szCs w:val="22"/>
        </w:rPr>
        <w:t xml:space="preserve"> </w:t>
      </w:r>
    </w:p>
    <w:p w14:paraId="1FE91FF4" w14:textId="77777777" w:rsidR="00D93B2F" w:rsidRPr="00764A92" w:rsidRDefault="00D93B2F" w:rsidP="0015013F">
      <w:pPr>
        <w:pStyle w:val="ListParagraph"/>
        <w:spacing w:before="120" w:after="120"/>
        <w:ind w:left="0"/>
        <w:rPr>
          <w:b/>
          <w:bCs/>
          <w:sz w:val="22"/>
          <w:szCs w:val="22"/>
        </w:rPr>
      </w:pPr>
    </w:p>
    <w:p w14:paraId="6A2EB50A" w14:textId="5DB16FF2" w:rsidR="00625C9A" w:rsidRPr="00226C43" w:rsidRDefault="00625C9A" w:rsidP="00724927">
      <w:pPr>
        <w:pStyle w:val="ListParagraph"/>
        <w:spacing w:before="120" w:after="120"/>
        <w:ind w:left="0"/>
        <w:rPr>
          <w:b/>
          <w:bCs/>
          <w:i/>
          <w:iCs/>
        </w:rPr>
      </w:pPr>
      <w:r w:rsidRPr="00764A92">
        <w:rPr>
          <w:b/>
          <w:bCs/>
          <w:sz w:val="22"/>
          <w:szCs w:val="22"/>
        </w:rPr>
        <w:t>Responses also highlighted that effective monitoring, evaluation, and post-program support ensure long-term impact</w:t>
      </w:r>
      <w:r w:rsidRPr="00764A92">
        <w:rPr>
          <w:sz w:val="22"/>
          <w:szCs w:val="22"/>
        </w:rPr>
        <w:t xml:space="preserve">. </w:t>
      </w:r>
      <w:r w:rsidRPr="00764A92">
        <w:rPr>
          <w:i/>
          <w:iCs/>
          <w:sz w:val="22"/>
          <w:szCs w:val="22"/>
        </w:rPr>
        <w:t>"Sustaining post-program initiatives requires better collaboration with local government units and funding mechanisms to ensure long-term impact."</w:t>
      </w:r>
      <w:r w:rsidRPr="00764A92">
        <w:rPr>
          <w:sz w:val="22"/>
          <w:szCs w:val="22"/>
        </w:rPr>
        <w:t xml:space="preserve"> </w:t>
      </w:r>
    </w:p>
    <w:p w14:paraId="6237809E" w14:textId="77777777" w:rsidR="00B85CCE" w:rsidRPr="00226C43" w:rsidRDefault="00B85CCE" w:rsidP="00BD28EF">
      <w:pPr>
        <w:sectPr w:rsidR="00B85CCE" w:rsidRPr="00226C43" w:rsidSect="00061D40">
          <w:headerReference w:type="first" r:id="rId25"/>
          <w:footerReference w:type="first" r:id="rId26"/>
          <w:pgSz w:w="11906" w:h="16838"/>
          <w:pgMar w:top="1440" w:right="1440" w:bottom="1440" w:left="1440" w:header="567" w:footer="567" w:gutter="0"/>
          <w:cols w:space="708"/>
          <w:titlePg/>
          <w:docGrid w:linePitch="360"/>
        </w:sectPr>
      </w:pPr>
    </w:p>
    <w:p w14:paraId="5808E6C9" w14:textId="0A02EF44" w:rsidR="002204E7" w:rsidRPr="00226C43" w:rsidRDefault="002204E7" w:rsidP="005A698C">
      <w:pPr>
        <w:pStyle w:val="Appendices"/>
        <w:rPr>
          <w:rFonts w:asciiTheme="minorHAnsi" w:hAnsiTheme="minorHAnsi"/>
          <w:color w:val="auto"/>
        </w:rPr>
      </w:pPr>
      <w:bookmarkStart w:id="67" w:name="_Toc190195433"/>
      <w:bookmarkStart w:id="68" w:name="_Toc190248330"/>
      <w:r w:rsidRPr="00226C43">
        <w:rPr>
          <w:rFonts w:asciiTheme="minorHAnsi" w:hAnsiTheme="minorHAnsi"/>
          <w:color w:val="auto"/>
        </w:rPr>
        <w:lastRenderedPageBreak/>
        <w:t>Survey Questionnaire</w:t>
      </w:r>
      <w:bookmarkEnd w:id="67"/>
      <w:bookmarkEnd w:id="68"/>
    </w:p>
    <w:p w14:paraId="25509376" w14:textId="77777777" w:rsidR="003A4B47" w:rsidRPr="00226C43" w:rsidRDefault="003A4B47" w:rsidP="003A4B47">
      <w:pPr>
        <w:spacing w:after="0"/>
        <w:jc w:val="center"/>
        <w:rPr>
          <w:rFonts w:eastAsia="Times New Roman"/>
          <w:b/>
          <w:kern w:val="0"/>
          <w:sz w:val="22"/>
          <w14:ligatures w14:val="none"/>
        </w:rPr>
      </w:pPr>
      <w:r w:rsidRPr="00226C43">
        <w:rPr>
          <w:rFonts w:eastAsia="Times New Roman"/>
          <w:b/>
          <w:kern w:val="0"/>
          <w:sz w:val="22"/>
          <w14:ligatures w14:val="none"/>
        </w:rPr>
        <w:t>Australia Awards and Alumni Engagement Program Philippines</w:t>
      </w:r>
    </w:p>
    <w:p w14:paraId="71E693AF" w14:textId="77777777" w:rsidR="003A4B47" w:rsidRPr="00226C43" w:rsidRDefault="003A4B47" w:rsidP="003A4B47">
      <w:pPr>
        <w:spacing w:after="0"/>
        <w:jc w:val="center"/>
        <w:rPr>
          <w:rFonts w:eastAsia="Times New Roman"/>
          <w:b/>
          <w:kern w:val="0"/>
          <w:sz w:val="22"/>
          <w14:ligatures w14:val="none"/>
        </w:rPr>
      </w:pPr>
      <w:r w:rsidRPr="00226C43">
        <w:rPr>
          <w:rFonts w:eastAsia="Times New Roman"/>
          <w:b/>
          <w:kern w:val="0"/>
          <w:sz w:val="22"/>
          <w14:ligatures w14:val="none"/>
        </w:rPr>
        <w:t>Participant Survey</w:t>
      </w:r>
    </w:p>
    <w:p w14:paraId="35BC93E4" w14:textId="77777777" w:rsidR="003A4B47" w:rsidRPr="00226C43" w:rsidRDefault="003A4B47" w:rsidP="003A4B47">
      <w:pPr>
        <w:spacing w:after="0"/>
        <w:rPr>
          <w:rFonts w:eastAsia="Times New Roman"/>
          <w:b/>
          <w:kern w:val="0"/>
          <w:sz w:val="22"/>
          <w14:ligatures w14:val="none"/>
        </w:rPr>
      </w:pPr>
    </w:p>
    <w:p w14:paraId="1E825A49" w14:textId="61B90629" w:rsidR="003A4B47" w:rsidRPr="00226C43" w:rsidRDefault="003A4B47" w:rsidP="4DD21A85">
      <w:pPr>
        <w:spacing w:after="60"/>
        <w:jc w:val="both"/>
        <w:rPr>
          <w:rFonts w:eastAsia="Times New Roman"/>
          <w:b/>
          <w:kern w:val="0"/>
          <w:sz w:val="22"/>
          <w:szCs w:val="22"/>
          <w14:ligatures w14:val="none"/>
        </w:rPr>
      </w:pPr>
      <w:r w:rsidRPr="00226C43">
        <w:rPr>
          <w:rFonts w:eastAsia="Times New Roman"/>
          <w:b/>
          <w:kern w:val="0"/>
          <w:sz w:val="22"/>
          <w:szCs w:val="22"/>
          <w14:ligatures w14:val="none"/>
        </w:rPr>
        <w:t>About the AAAEP–P</w:t>
      </w:r>
    </w:p>
    <w:p w14:paraId="09CE6ECD" w14:textId="1C422E03" w:rsidR="003A4B47" w:rsidRDefault="003A4B47" w:rsidP="4DD21A85">
      <w:pPr>
        <w:spacing w:after="60"/>
        <w:jc w:val="both"/>
        <w:rPr>
          <w:rFonts w:eastAsia="Times New Roman"/>
          <w:kern w:val="0"/>
          <w:sz w:val="22"/>
          <w:szCs w:val="22"/>
          <w14:ligatures w14:val="none"/>
        </w:rPr>
      </w:pPr>
      <w:r w:rsidRPr="00226C43">
        <w:rPr>
          <w:rFonts w:eastAsia="Times New Roman"/>
          <w:kern w:val="0"/>
          <w:sz w:val="22"/>
          <w:szCs w:val="22"/>
          <w14:ligatures w14:val="none"/>
        </w:rPr>
        <w:t xml:space="preserve">The Australia Awards and Alumni Engagement Program – Philippines (AAAEP–P) is an eight–year (2018–2026), AUD$31 million program that provides Australia Awards scholarships, training and non-formal learning opportunities (e.g., short courses), local scholarships and alumni engagement activities to further contribute toward achieving the shared development goals of Australia and the Philippines. </w:t>
      </w:r>
    </w:p>
    <w:p w14:paraId="72A4ACAB" w14:textId="77777777" w:rsidR="00197CF4" w:rsidRPr="00226C43" w:rsidRDefault="00197CF4" w:rsidP="4DD21A85">
      <w:pPr>
        <w:spacing w:after="60"/>
        <w:jc w:val="both"/>
        <w:rPr>
          <w:rFonts w:eastAsia="Times New Roman"/>
          <w:b/>
          <w:kern w:val="0"/>
          <w:sz w:val="22"/>
          <w:szCs w:val="22"/>
          <w14:ligatures w14:val="none"/>
        </w:rPr>
      </w:pPr>
    </w:p>
    <w:p w14:paraId="4F7D5E80" w14:textId="54B55477" w:rsidR="003A4B47" w:rsidRPr="00226C43" w:rsidRDefault="003A4B47" w:rsidP="4DD21A85">
      <w:pPr>
        <w:jc w:val="both"/>
        <w:rPr>
          <w:rFonts w:eastAsia="Times New Roman"/>
          <w:kern w:val="0"/>
          <w:sz w:val="22"/>
          <w:szCs w:val="22"/>
          <w14:ligatures w14:val="none"/>
        </w:rPr>
      </w:pPr>
      <w:r w:rsidRPr="00226C43">
        <w:rPr>
          <w:rFonts w:eastAsia="Times New Roman"/>
          <w:kern w:val="0"/>
          <w:sz w:val="22"/>
          <w:szCs w:val="22"/>
          <w14:ligatures w14:val="none"/>
        </w:rPr>
        <w:t>AAAEP–P’s goal is: To support the Philippines to progress its development goals and have positive relationships with Australia that advances mutual interest.</w:t>
      </w:r>
    </w:p>
    <w:p w14:paraId="179F3EE7" w14:textId="5FC981C5" w:rsidR="003A4B47" w:rsidRPr="00226C43" w:rsidRDefault="003A4B47" w:rsidP="4DD21A85">
      <w:pPr>
        <w:ind w:left="2880" w:hanging="2880"/>
        <w:jc w:val="both"/>
        <w:rPr>
          <w:rFonts w:eastAsia="Times New Roman"/>
          <w:kern w:val="0"/>
          <w:sz w:val="22"/>
          <w:szCs w:val="22"/>
          <w14:ligatures w14:val="none"/>
        </w:rPr>
      </w:pPr>
      <w:r w:rsidRPr="00226C43">
        <w:rPr>
          <w:rFonts w:eastAsia="Times New Roman"/>
          <w:kern w:val="0"/>
          <w:sz w:val="22"/>
          <w:szCs w:val="22"/>
          <w14:ligatures w14:val="none"/>
        </w:rPr>
        <w:t>AAAEP–P’s End of Program Outcomes (EOPOs) are:</w:t>
      </w:r>
    </w:p>
    <w:p w14:paraId="533CD4B2" w14:textId="77777777" w:rsidR="003A4B47" w:rsidRPr="00226C43" w:rsidRDefault="003A4B47" w:rsidP="00925CC1">
      <w:pPr>
        <w:pStyle w:val="ListParagraph"/>
        <w:numPr>
          <w:ilvl w:val="0"/>
          <w:numId w:val="16"/>
        </w:numPr>
        <w:suppressAutoHyphens w:val="0"/>
        <w:spacing w:line="259" w:lineRule="auto"/>
        <w:ind w:left="180" w:hanging="180"/>
        <w:jc w:val="both"/>
        <w:rPr>
          <w:rFonts w:eastAsia="Times New Roman"/>
          <w:kern w:val="0"/>
          <w:sz w:val="22"/>
          <w14:ligatures w14:val="none"/>
        </w:rPr>
      </w:pPr>
      <w:r w:rsidRPr="00226C43">
        <w:rPr>
          <w:rFonts w:eastAsia="Times New Roman"/>
          <w:kern w:val="0"/>
          <w:sz w:val="22"/>
          <w14:ligatures w14:val="none"/>
        </w:rPr>
        <w:t>EOPO 1: Diverse alumni, and where relevant, their organisations use skills, knowledge, and networks to contribute to sustainable development, and</w:t>
      </w:r>
    </w:p>
    <w:p w14:paraId="5FB89404" w14:textId="77777777" w:rsidR="003A4B47" w:rsidRPr="00226C43" w:rsidRDefault="003A4B47" w:rsidP="00925CC1">
      <w:pPr>
        <w:pStyle w:val="ListParagraph"/>
        <w:numPr>
          <w:ilvl w:val="0"/>
          <w:numId w:val="16"/>
        </w:numPr>
        <w:suppressAutoHyphens w:val="0"/>
        <w:spacing w:line="259" w:lineRule="auto"/>
        <w:ind w:left="180" w:hanging="180"/>
        <w:jc w:val="both"/>
        <w:rPr>
          <w:rFonts w:eastAsia="Times New Roman"/>
          <w:kern w:val="0"/>
          <w:sz w:val="22"/>
          <w14:ligatures w14:val="none"/>
        </w:rPr>
      </w:pPr>
      <w:r w:rsidRPr="00226C43">
        <w:rPr>
          <w:rFonts w:eastAsia="Times New Roman"/>
          <w:kern w:val="0"/>
          <w:sz w:val="22"/>
          <w14:ligatures w14:val="none"/>
        </w:rPr>
        <w:t xml:space="preserve">EOPO 2: Diverse alumni have contributed to strengthening cooperation between the Philippines and Australia. </w:t>
      </w:r>
    </w:p>
    <w:p w14:paraId="4713581C" w14:textId="77777777" w:rsidR="003A4B47" w:rsidRPr="00226C43" w:rsidRDefault="003A4B47" w:rsidP="003A4B47">
      <w:pPr>
        <w:pStyle w:val="Default"/>
        <w:jc w:val="both"/>
        <w:rPr>
          <w:rFonts w:asciiTheme="minorHAnsi" w:hAnsiTheme="minorHAnsi"/>
          <w:color w:val="auto"/>
          <w:sz w:val="23"/>
          <w:szCs w:val="23"/>
        </w:rPr>
      </w:pPr>
      <w:r w:rsidRPr="00226C43">
        <w:rPr>
          <w:rFonts w:asciiTheme="minorHAnsi" w:hAnsiTheme="minorHAnsi"/>
          <w:color w:val="auto"/>
          <w:sz w:val="23"/>
          <w:szCs w:val="23"/>
        </w:rPr>
        <w:t xml:space="preserve">Gender equality, disability and social inclusion (GEDSI) is woven into all outcomes to ensure a diverse alumnus (men and women, Indigenous peoples, people with disabilities, marginalised groups). </w:t>
      </w:r>
    </w:p>
    <w:p w14:paraId="3FA92B8B" w14:textId="77777777" w:rsidR="00566F71" w:rsidRPr="00226C43" w:rsidRDefault="00566F71" w:rsidP="003A4B47">
      <w:pPr>
        <w:pStyle w:val="Default"/>
        <w:jc w:val="both"/>
        <w:rPr>
          <w:rFonts w:asciiTheme="minorHAnsi" w:hAnsiTheme="minorHAnsi"/>
          <w:color w:val="auto"/>
          <w:sz w:val="23"/>
          <w:szCs w:val="23"/>
        </w:rPr>
      </w:pPr>
    </w:p>
    <w:p w14:paraId="4C281146" w14:textId="77777777" w:rsidR="003A4B47" w:rsidRPr="00226C43" w:rsidRDefault="003A4B47" w:rsidP="003A4B47">
      <w:pPr>
        <w:spacing w:after="0"/>
        <w:rPr>
          <w:rFonts w:eastAsia="Times New Roman"/>
          <w:b/>
          <w:kern w:val="0"/>
          <w:sz w:val="22"/>
          <w14:ligatures w14:val="none"/>
        </w:rPr>
      </w:pPr>
      <w:r w:rsidRPr="00226C43">
        <w:rPr>
          <w:rFonts w:eastAsia="Times New Roman"/>
          <w:b/>
          <w:kern w:val="0"/>
          <w:sz w:val="22"/>
          <w14:ligatures w14:val="none"/>
        </w:rPr>
        <w:t>The Evaluation</w:t>
      </w:r>
    </w:p>
    <w:p w14:paraId="382B81DF" w14:textId="152D1A81" w:rsidR="003A4B47" w:rsidRPr="00226C43" w:rsidRDefault="003A4B47" w:rsidP="4DD21A85">
      <w:pPr>
        <w:spacing w:after="0"/>
        <w:rPr>
          <w:rFonts w:eastAsia="Times New Roman"/>
          <w:kern w:val="0"/>
          <w:sz w:val="22"/>
          <w:szCs w:val="22"/>
          <w14:ligatures w14:val="none"/>
        </w:rPr>
      </w:pPr>
      <w:r w:rsidRPr="00226C43">
        <w:rPr>
          <w:rFonts w:eastAsia="Times New Roman"/>
          <w:kern w:val="0"/>
          <w:sz w:val="22"/>
          <w:szCs w:val="22"/>
          <w14:ligatures w14:val="none"/>
        </w:rPr>
        <w:t xml:space="preserve">The Department of Foreign Affairs and Trade (DFAT) has commissioned Sustineo to undertake an evaluation of AAAEP–P and to prepare an End of Program Evaluation Report. </w:t>
      </w:r>
    </w:p>
    <w:p w14:paraId="782220E0" w14:textId="77777777" w:rsidR="003A4B47" w:rsidRPr="00226C43" w:rsidRDefault="003A4B47" w:rsidP="003A4B47">
      <w:pPr>
        <w:spacing w:after="0"/>
        <w:rPr>
          <w:rFonts w:eastAsia="Times New Roman"/>
          <w:kern w:val="0"/>
          <w:sz w:val="22"/>
          <w14:ligatures w14:val="none"/>
        </w:rPr>
      </w:pPr>
    </w:p>
    <w:p w14:paraId="50541B8C" w14:textId="7AEEE81C" w:rsidR="003A4B47" w:rsidRDefault="003A4B47" w:rsidP="4DD21A85">
      <w:pPr>
        <w:spacing w:after="0"/>
        <w:rPr>
          <w:rFonts w:eastAsia="Times New Roman"/>
          <w:kern w:val="0"/>
          <w:sz w:val="22"/>
          <w:szCs w:val="22"/>
          <w14:ligatures w14:val="none"/>
        </w:rPr>
      </w:pPr>
      <w:r w:rsidRPr="00226C43">
        <w:rPr>
          <w:rFonts w:eastAsia="Times New Roman"/>
          <w:kern w:val="0"/>
          <w:sz w:val="22"/>
          <w:szCs w:val="22"/>
          <w14:ligatures w14:val="none"/>
        </w:rPr>
        <w:t>The purpose of the evaluation is to assess whether and to what extent AAAEP–P has been delivering its outcomes. The evaluation will also provide recommendations for improvements for the remainder of the program, and for a future phase.</w:t>
      </w:r>
    </w:p>
    <w:p w14:paraId="6F66EE5C" w14:textId="77777777" w:rsidR="00197CF4" w:rsidRPr="00226C43" w:rsidRDefault="00197CF4" w:rsidP="4DD21A85">
      <w:pPr>
        <w:spacing w:after="0"/>
        <w:rPr>
          <w:rFonts w:eastAsia="Times New Roman"/>
          <w:kern w:val="0"/>
          <w:sz w:val="22"/>
          <w:szCs w:val="22"/>
          <w14:ligatures w14:val="none"/>
        </w:rPr>
      </w:pPr>
    </w:p>
    <w:p w14:paraId="45B1B289" w14:textId="77777777" w:rsidR="003A4B47" w:rsidRPr="00226C43" w:rsidRDefault="003A4B47" w:rsidP="003A4B47">
      <w:pPr>
        <w:jc w:val="both"/>
        <w:rPr>
          <w:rFonts w:eastAsia="Times New Roman"/>
          <w:kern w:val="0"/>
          <w:sz w:val="22"/>
          <w14:ligatures w14:val="none"/>
        </w:rPr>
      </w:pPr>
      <w:r w:rsidRPr="00226C43">
        <w:rPr>
          <w:rFonts w:eastAsia="Times New Roman"/>
          <w:kern w:val="0"/>
          <w:sz w:val="22"/>
          <w14:ligatures w14:val="none"/>
        </w:rPr>
        <w:t>The Evaluation Team has been tasked to evaluate the program against the following criteria: relevance, effectiveness, efficiency, sustainability, gender equality, disability and social inclusion (GEDSI). The team is also tasked to identify lessons learned.</w:t>
      </w:r>
    </w:p>
    <w:p w14:paraId="4D1B0218" w14:textId="77777777" w:rsidR="003A4B47" w:rsidRPr="00226C43" w:rsidRDefault="003A4B47" w:rsidP="003A4B47">
      <w:pPr>
        <w:spacing w:after="0"/>
        <w:jc w:val="both"/>
        <w:rPr>
          <w:rFonts w:eastAsia="Times New Roman"/>
          <w:b/>
          <w:kern w:val="0"/>
          <w:sz w:val="22"/>
          <w14:ligatures w14:val="none"/>
        </w:rPr>
      </w:pPr>
      <w:r w:rsidRPr="00226C43">
        <w:rPr>
          <w:rFonts w:eastAsia="Times New Roman"/>
          <w:b/>
          <w:kern w:val="0"/>
          <w:sz w:val="22"/>
          <w14:ligatures w14:val="none"/>
        </w:rPr>
        <w:t>The survey and your insights</w:t>
      </w:r>
    </w:p>
    <w:p w14:paraId="202C21C5" w14:textId="77777777" w:rsidR="003A4B47" w:rsidRPr="00226C43" w:rsidRDefault="003A4B47" w:rsidP="003A4B47">
      <w:pPr>
        <w:spacing w:after="0"/>
        <w:jc w:val="both"/>
        <w:rPr>
          <w:rFonts w:eastAsia="Times New Roman"/>
          <w:kern w:val="0"/>
          <w:sz w:val="22"/>
          <w14:ligatures w14:val="none"/>
        </w:rPr>
      </w:pPr>
      <w:r w:rsidRPr="00226C43">
        <w:rPr>
          <w:rFonts w:eastAsia="Times New Roman"/>
          <w:kern w:val="0"/>
          <w:sz w:val="22"/>
          <w14:ligatures w14:val="none"/>
        </w:rPr>
        <w:t>As a participant in the program’s activities, you are invited to complete this brief survey, (10 - 15 minutes in duration).</w:t>
      </w:r>
    </w:p>
    <w:p w14:paraId="58184E3E" w14:textId="77777777" w:rsidR="003A4B47" w:rsidRPr="00226C43" w:rsidRDefault="003A4B47" w:rsidP="003A4B47">
      <w:pPr>
        <w:spacing w:after="0"/>
        <w:jc w:val="both"/>
        <w:rPr>
          <w:rFonts w:eastAsia="Times New Roman"/>
          <w:kern w:val="0"/>
          <w:sz w:val="22"/>
          <w14:ligatures w14:val="none"/>
        </w:rPr>
      </w:pPr>
    </w:p>
    <w:p w14:paraId="377E8BE6" w14:textId="73225E94" w:rsidR="003A4B47" w:rsidRPr="00226C43" w:rsidRDefault="003A4B47" w:rsidP="4DD21A85">
      <w:pPr>
        <w:spacing w:after="0"/>
        <w:jc w:val="both"/>
        <w:rPr>
          <w:rFonts w:eastAsia="Times New Roman"/>
          <w:kern w:val="0"/>
          <w:sz w:val="22"/>
          <w:szCs w:val="22"/>
          <w14:ligatures w14:val="none"/>
        </w:rPr>
      </w:pPr>
      <w:r w:rsidRPr="00226C43">
        <w:rPr>
          <w:rFonts w:eastAsia="Times New Roman"/>
          <w:kern w:val="0"/>
          <w:sz w:val="22"/>
          <w:szCs w:val="22"/>
          <w14:ligatures w14:val="none"/>
        </w:rPr>
        <w:t>The survey is completely anonymous, and your identity will not be recorded or used in the evaluation report. The survey is structured on the AAAEP–P key activities - Australia Awards Long-term Scholarships (in Australia), In-Country Scholarship Program (ICSP), short courses, alumni engagement, and broader engagement.</w:t>
      </w:r>
    </w:p>
    <w:p w14:paraId="0CC9B533" w14:textId="77777777" w:rsidR="003A4B47" w:rsidRPr="00226C43" w:rsidRDefault="003A4B47" w:rsidP="003A4B47">
      <w:pPr>
        <w:spacing w:after="0"/>
        <w:jc w:val="both"/>
        <w:rPr>
          <w:rFonts w:eastAsia="Times New Roman"/>
          <w:kern w:val="0"/>
          <w:sz w:val="22"/>
          <w14:ligatures w14:val="none"/>
        </w:rPr>
      </w:pPr>
    </w:p>
    <w:p w14:paraId="3139134F" w14:textId="7CD248F6" w:rsidR="00E43F41" w:rsidRPr="00226C43" w:rsidRDefault="003A4B47" w:rsidP="003A4B47">
      <w:pPr>
        <w:spacing w:after="0"/>
        <w:jc w:val="both"/>
        <w:rPr>
          <w:rFonts w:eastAsia="Times New Roman"/>
          <w:kern w:val="0"/>
          <w:sz w:val="22"/>
          <w14:ligatures w14:val="none"/>
        </w:rPr>
      </w:pPr>
      <w:r w:rsidRPr="00226C43">
        <w:rPr>
          <w:rFonts w:eastAsia="Times New Roman"/>
          <w:kern w:val="0"/>
          <w:sz w:val="22"/>
          <w14:ligatures w14:val="none"/>
        </w:rPr>
        <w:t xml:space="preserve">If you have any questions about the </w:t>
      </w:r>
      <w:proofErr w:type="gramStart"/>
      <w:r w:rsidRPr="00226C43">
        <w:rPr>
          <w:rFonts w:eastAsia="Times New Roman"/>
          <w:kern w:val="0"/>
          <w:sz w:val="22"/>
          <w14:ligatures w14:val="none"/>
        </w:rPr>
        <w:t>survey</w:t>
      </w:r>
      <w:proofErr w:type="gramEnd"/>
      <w:r w:rsidRPr="00226C43">
        <w:rPr>
          <w:rFonts w:eastAsia="Times New Roman"/>
          <w:kern w:val="0"/>
          <w:sz w:val="22"/>
          <w14:ligatures w14:val="none"/>
        </w:rPr>
        <w:t xml:space="preserve"> you may contact the evaluation team’s M&amp;E specialist at: </w:t>
      </w:r>
      <w:hyperlink r:id="rId27" w:history="1">
        <w:r w:rsidRPr="00226C43">
          <w:rPr>
            <w:rStyle w:val="Hyperlink"/>
            <w:rFonts w:eastAsia="Times New Roman"/>
            <w:color w:val="auto"/>
            <w:kern w:val="0"/>
            <w:sz w:val="22"/>
            <w14:ligatures w14:val="none"/>
          </w:rPr>
          <w:t>Douglas.Smith@sustineo.com.au</w:t>
        </w:r>
      </w:hyperlink>
      <w:r w:rsidRPr="00226C43">
        <w:rPr>
          <w:rFonts w:eastAsia="Times New Roman"/>
          <w:kern w:val="0"/>
          <w:sz w:val="22"/>
          <w14:ligatures w14:val="none"/>
        </w:rPr>
        <w:t xml:space="preserve"> </w:t>
      </w:r>
      <w:r w:rsidR="00E43F41" w:rsidRPr="00226C43">
        <w:rPr>
          <w:rFonts w:eastAsia="Times New Roman"/>
          <w:kern w:val="0"/>
          <w:sz w:val="22"/>
          <w14:ligatures w14:val="none"/>
        </w:rPr>
        <w:br w:type="page"/>
      </w:r>
    </w:p>
    <w:p w14:paraId="12F67BF9" w14:textId="77777777" w:rsidR="003A4B47" w:rsidRPr="00226C43" w:rsidRDefault="003A4B47" w:rsidP="003A4B47">
      <w:pPr>
        <w:spacing w:after="0"/>
        <w:rPr>
          <w:rFonts w:eastAsia="Times New Roman"/>
          <w:kern w:val="0"/>
          <w:sz w:val="22"/>
          <w14:ligatures w14:val="none"/>
        </w:rPr>
      </w:pPr>
      <w:r w:rsidRPr="00226C43">
        <w:rPr>
          <w:rFonts w:eastAsia="Times New Roman"/>
          <w:b/>
          <w:kern w:val="0"/>
          <w:sz w:val="22"/>
          <w14:ligatures w14:val="none"/>
        </w:rPr>
        <w:lastRenderedPageBreak/>
        <w:t>1. Respondent Information</w:t>
      </w:r>
    </w:p>
    <w:p w14:paraId="14FEB14A" w14:textId="77777777" w:rsidR="003A4B47" w:rsidRPr="00226C43" w:rsidRDefault="003A4B47" w:rsidP="003A4B47">
      <w:pPr>
        <w:spacing w:after="0"/>
        <w:rPr>
          <w:rFonts w:eastAsia="Times New Roman"/>
          <w:kern w:val="0"/>
          <w:sz w:val="22"/>
          <w14:ligatures w14:val="none"/>
        </w:rPr>
      </w:pPr>
    </w:p>
    <w:p w14:paraId="09E40F58" w14:textId="77777777" w:rsidR="003A4B47" w:rsidRPr="00226C43" w:rsidRDefault="003A4B47" w:rsidP="003A4B47">
      <w:pPr>
        <w:spacing w:after="0"/>
        <w:rPr>
          <w:rFonts w:eastAsia="Times New Roman"/>
          <w:kern w:val="0"/>
          <w:sz w:val="22"/>
          <w14:ligatures w14:val="none"/>
        </w:rPr>
      </w:pPr>
      <w:r w:rsidRPr="00226C43">
        <w:rPr>
          <w:rFonts w:eastAsia="Times New Roman"/>
          <w:kern w:val="0"/>
          <w:sz w:val="22"/>
          <w14:ligatures w14:val="none"/>
        </w:rPr>
        <w:t>Please provide the following information about yourself.</w:t>
      </w:r>
    </w:p>
    <w:p w14:paraId="0D2D63EF" w14:textId="77777777" w:rsidR="003A4B47" w:rsidRPr="00226C43" w:rsidRDefault="003A4B47" w:rsidP="003A4B47">
      <w:pPr>
        <w:spacing w:after="0"/>
        <w:rPr>
          <w:rFonts w:eastAsia="Times New Roman"/>
          <w:kern w:val="0"/>
          <w:sz w:val="22"/>
          <w14:ligatures w14:val="none"/>
        </w:rPr>
      </w:pPr>
    </w:p>
    <w:p w14:paraId="215F8DCF" w14:textId="6461CAA6" w:rsidR="003A4B47" w:rsidRPr="00226C43" w:rsidRDefault="003A4B47" w:rsidP="003A4B47">
      <w:pPr>
        <w:tabs>
          <w:tab w:val="left" w:pos="851"/>
        </w:tabs>
        <w:spacing w:after="0"/>
        <w:rPr>
          <w:rFonts w:eastAsia="Times New Roman"/>
          <w:kern w:val="0"/>
          <w:sz w:val="22"/>
          <w14:ligatures w14:val="none"/>
        </w:rPr>
      </w:pPr>
      <w:r w:rsidRPr="00226C43">
        <w:rPr>
          <w:rFonts w:eastAsia="Times New Roman"/>
          <w:kern w:val="0"/>
          <w:sz w:val="22"/>
          <w14:ligatures w14:val="none"/>
        </w:rPr>
        <w:t>1.1</w:t>
      </w:r>
      <w:r w:rsidR="0078429F" w:rsidRPr="00226C43">
        <w:rPr>
          <w:rFonts w:eastAsia="Times New Roman"/>
          <w:kern w:val="0"/>
          <w:sz w:val="22"/>
          <w14:ligatures w14:val="none"/>
        </w:rPr>
        <w:t xml:space="preserve"> </w:t>
      </w:r>
      <w:r w:rsidRPr="00226C43">
        <w:rPr>
          <w:rFonts w:eastAsia="Times New Roman"/>
          <w:kern w:val="0"/>
          <w:sz w:val="22"/>
          <w14:ligatures w14:val="none"/>
        </w:rPr>
        <w:t xml:space="preserve">Gender </w:t>
      </w:r>
      <w:r w:rsidRPr="00226C43">
        <w:rPr>
          <w:rFonts w:eastAsia="Times New Roman"/>
          <w:kern w:val="0"/>
          <w:sz w:val="22"/>
          <w14:ligatures w14:val="none"/>
        </w:rPr>
        <w:tab/>
      </w:r>
    </w:p>
    <w:p w14:paraId="69D00AB3" w14:textId="0D24F543" w:rsidR="003A4B47" w:rsidRPr="00C668D9" w:rsidRDefault="003A4B47" w:rsidP="007D74C7">
      <w:pPr>
        <w:pStyle w:val="ListParagraph"/>
        <w:numPr>
          <w:ilvl w:val="0"/>
          <w:numId w:val="59"/>
        </w:numPr>
        <w:tabs>
          <w:tab w:val="left" w:pos="851"/>
        </w:tabs>
        <w:spacing w:after="0"/>
        <w:rPr>
          <w:rFonts w:eastAsia="Times New Roman"/>
          <w:kern w:val="0"/>
          <w:sz w:val="22"/>
          <w14:ligatures w14:val="none"/>
        </w:rPr>
      </w:pPr>
      <w:r w:rsidRPr="00C668D9">
        <w:rPr>
          <w:rFonts w:eastAsia="Times New Roman"/>
          <w:kern w:val="0"/>
          <w:sz w:val="22"/>
          <w14:ligatures w14:val="none"/>
        </w:rPr>
        <w:t>Male</w:t>
      </w:r>
    </w:p>
    <w:p w14:paraId="6D376052" w14:textId="36FAD9C4" w:rsidR="003A4B47" w:rsidRPr="00C668D9" w:rsidRDefault="003A4B47" w:rsidP="007D74C7">
      <w:pPr>
        <w:pStyle w:val="ListParagraph"/>
        <w:numPr>
          <w:ilvl w:val="0"/>
          <w:numId w:val="59"/>
        </w:numPr>
        <w:tabs>
          <w:tab w:val="left" w:pos="851"/>
          <w:tab w:val="left" w:pos="6840"/>
        </w:tabs>
        <w:spacing w:after="0"/>
        <w:rPr>
          <w:rFonts w:eastAsia="Times New Roman"/>
          <w:kern w:val="0"/>
          <w:sz w:val="22"/>
          <w14:ligatures w14:val="none"/>
        </w:rPr>
      </w:pPr>
      <w:r w:rsidRPr="00C668D9">
        <w:rPr>
          <w:rFonts w:eastAsia="Times New Roman"/>
          <w:kern w:val="0"/>
          <w:sz w:val="22"/>
          <w14:ligatures w14:val="none"/>
        </w:rPr>
        <w:t>Female</w:t>
      </w:r>
      <w:r w:rsidR="00CA2071" w:rsidRPr="00C668D9">
        <w:rPr>
          <w:rFonts w:eastAsia="Times New Roman"/>
          <w:kern w:val="0"/>
          <w:sz w:val="22"/>
          <w14:ligatures w14:val="none"/>
        </w:rPr>
        <w:tab/>
      </w:r>
    </w:p>
    <w:p w14:paraId="00772E31" w14:textId="7EA91455" w:rsidR="003A4B47" w:rsidRPr="00C668D9" w:rsidRDefault="003A4B47" w:rsidP="007D74C7">
      <w:pPr>
        <w:pStyle w:val="ListParagraph"/>
        <w:numPr>
          <w:ilvl w:val="0"/>
          <w:numId w:val="59"/>
        </w:numPr>
        <w:tabs>
          <w:tab w:val="left" w:pos="851"/>
        </w:tabs>
        <w:spacing w:after="0"/>
        <w:rPr>
          <w:rFonts w:eastAsia="Times New Roman"/>
          <w:kern w:val="0"/>
          <w:sz w:val="22"/>
          <w14:ligatures w14:val="none"/>
        </w:rPr>
      </w:pPr>
      <w:proofErr w:type="spellStart"/>
      <w:r w:rsidRPr="00C668D9">
        <w:rPr>
          <w:rFonts w:eastAsia="Times New Roman"/>
          <w:kern w:val="0"/>
          <w:sz w:val="22"/>
          <w14:ligatures w14:val="none"/>
        </w:rPr>
        <w:t>Self Identify</w:t>
      </w:r>
      <w:proofErr w:type="spellEnd"/>
    </w:p>
    <w:p w14:paraId="7733BFC6" w14:textId="789A6D56" w:rsidR="003A4B47" w:rsidRPr="00C668D9" w:rsidRDefault="003A4B47" w:rsidP="007D74C7">
      <w:pPr>
        <w:pStyle w:val="ListParagraph"/>
        <w:numPr>
          <w:ilvl w:val="0"/>
          <w:numId w:val="59"/>
        </w:numPr>
        <w:tabs>
          <w:tab w:val="left" w:pos="851"/>
        </w:tabs>
        <w:spacing w:after="0"/>
        <w:rPr>
          <w:rFonts w:eastAsia="Times New Roman"/>
          <w:kern w:val="0"/>
          <w:sz w:val="22"/>
          <w14:ligatures w14:val="none"/>
        </w:rPr>
      </w:pPr>
      <w:r w:rsidRPr="00C668D9">
        <w:rPr>
          <w:rFonts w:eastAsia="Times New Roman"/>
          <w:kern w:val="0"/>
          <w:sz w:val="22"/>
          <w14:ligatures w14:val="none"/>
        </w:rPr>
        <w:t xml:space="preserve">Prefer not to share this information </w:t>
      </w:r>
    </w:p>
    <w:p w14:paraId="1751150E" w14:textId="77777777" w:rsidR="003A4B47" w:rsidRPr="00226C43" w:rsidRDefault="003A4B47" w:rsidP="003A4B47">
      <w:pPr>
        <w:spacing w:after="0"/>
        <w:rPr>
          <w:rFonts w:eastAsia="Times New Roman"/>
          <w:kern w:val="0"/>
          <w:sz w:val="22"/>
          <w14:ligatures w14:val="none"/>
        </w:rPr>
      </w:pPr>
    </w:p>
    <w:p w14:paraId="7A78E203" w14:textId="77777777" w:rsidR="003A4B47" w:rsidRPr="00226C43" w:rsidRDefault="003A4B47" w:rsidP="003A4B47">
      <w:pPr>
        <w:spacing w:after="0"/>
        <w:rPr>
          <w:rFonts w:eastAsia="Times New Roman"/>
          <w:kern w:val="0"/>
          <w:sz w:val="22"/>
          <w14:ligatures w14:val="none"/>
        </w:rPr>
      </w:pPr>
      <w:r w:rsidRPr="00226C43">
        <w:rPr>
          <w:rFonts w:eastAsia="Times New Roman"/>
          <w:b/>
          <w:kern w:val="0"/>
          <w:sz w:val="22"/>
          <w14:ligatures w14:val="none"/>
        </w:rPr>
        <w:t>2. Australia Awards Postgraduate Scholarships (in Australia)</w:t>
      </w:r>
    </w:p>
    <w:p w14:paraId="0A838A73" w14:textId="454E9493" w:rsidR="003A4B47" w:rsidRPr="00226C43" w:rsidRDefault="003A4B47" w:rsidP="003A4B47">
      <w:pPr>
        <w:spacing w:after="0"/>
        <w:rPr>
          <w:rFonts w:eastAsia="Times New Roman"/>
          <w:kern w:val="0"/>
          <w:sz w:val="22"/>
          <w14:ligatures w14:val="none"/>
        </w:rPr>
      </w:pPr>
      <w:r w:rsidRPr="00226C43">
        <w:rPr>
          <w:rFonts w:eastAsia="Times New Roman"/>
          <w:kern w:val="0"/>
          <w:sz w:val="22"/>
          <w14:ligatures w14:val="none"/>
        </w:rPr>
        <w:t>2.1 Are you an Australia Awards scholar (in Australia)?</w:t>
      </w:r>
    </w:p>
    <w:p w14:paraId="73630CE8" w14:textId="63C69514" w:rsidR="003A4B47" w:rsidRPr="00C668D9" w:rsidRDefault="003A4B47" w:rsidP="007D74C7">
      <w:pPr>
        <w:pStyle w:val="ListParagraph"/>
        <w:numPr>
          <w:ilvl w:val="0"/>
          <w:numId w:val="60"/>
        </w:numPr>
        <w:spacing w:after="0"/>
        <w:rPr>
          <w:rFonts w:eastAsia="Times New Roman"/>
          <w:kern w:val="0"/>
          <w:sz w:val="22"/>
          <w14:ligatures w14:val="none"/>
        </w:rPr>
      </w:pPr>
      <w:r w:rsidRPr="00C668D9">
        <w:rPr>
          <w:rFonts w:eastAsia="Times New Roman"/>
          <w:kern w:val="0"/>
          <w:sz w:val="22"/>
          <w14:ligatures w14:val="none"/>
        </w:rPr>
        <w:t>Yes [if ‘Yes’ branch to Q2.2]</w:t>
      </w:r>
    </w:p>
    <w:p w14:paraId="39F303C9" w14:textId="69F73854" w:rsidR="003A4B47" w:rsidRPr="00C668D9" w:rsidRDefault="003A4B47" w:rsidP="007D74C7">
      <w:pPr>
        <w:pStyle w:val="ListParagraph"/>
        <w:numPr>
          <w:ilvl w:val="0"/>
          <w:numId w:val="60"/>
        </w:numPr>
        <w:spacing w:after="0"/>
        <w:rPr>
          <w:rFonts w:eastAsia="Times New Roman"/>
          <w:kern w:val="0"/>
          <w:sz w:val="22"/>
          <w14:ligatures w14:val="none"/>
        </w:rPr>
      </w:pPr>
      <w:r w:rsidRPr="00C668D9">
        <w:rPr>
          <w:rFonts w:eastAsia="Times New Roman"/>
          <w:kern w:val="0"/>
          <w:sz w:val="22"/>
          <w14:ligatures w14:val="none"/>
        </w:rPr>
        <w:t>No [if ‘No’ branch to</w:t>
      </w:r>
      <w:r w:rsidR="0078429F" w:rsidRPr="00C668D9">
        <w:rPr>
          <w:rFonts w:eastAsia="Times New Roman"/>
          <w:kern w:val="0"/>
          <w:sz w:val="22"/>
          <w14:ligatures w14:val="none"/>
        </w:rPr>
        <w:t xml:space="preserve"> </w:t>
      </w:r>
      <w:r w:rsidRPr="00C668D9">
        <w:rPr>
          <w:rFonts w:eastAsia="Times New Roman"/>
          <w:kern w:val="0"/>
          <w:sz w:val="22"/>
          <w14:ligatures w14:val="none"/>
        </w:rPr>
        <w:t>Q3]</w:t>
      </w:r>
    </w:p>
    <w:p w14:paraId="3AE51840" w14:textId="77777777" w:rsidR="003A4B47" w:rsidRPr="00226C43" w:rsidRDefault="003A4B47" w:rsidP="003A4B47">
      <w:pPr>
        <w:spacing w:after="0"/>
        <w:rPr>
          <w:rFonts w:eastAsia="Times New Roman"/>
          <w:kern w:val="0"/>
          <w:sz w:val="22"/>
          <w14:ligatures w14:val="none"/>
        </w:rPr>
      </w:pPr>
    </w:p>
    <w:p w14:paraId="1055C05E" w14:textId="42752087" w:rsidR="003A4B47" w:rsidRPr="00226C43" w:rsidRDefault="003A4B47" w:rsidP="003A4B47">
      <w:pPr>
        <w:spacing w:after="0"/>
        <w:rPr>
          <w:rFonts w:eastAsia="Times New Roman"/>
          <w:kern w:val="0"/>
          <w:sz w:val="22"/>
          <w14:ligatures w14:val="none"/>
        </w:rPr>
      </w:pPr>
      <w:r w:rsidRPr="00226C43">
        <w:rPr>
          <w:rFonts w:eastAsia="Times New Roman"/>
          <w:kern w:val="0"/>
          <w:sz w:val="22"/>
          <w14:ligatures w14:val="none"/>
        </w:rPr>
        <w:t>2.2</w:t>
      </w:r>
      <w:r w:rsidR="0078429F" w:rsidRPr="00226C43">
        <w:rPr>
          <w:rFonts w:eastAsia="Times New Roman"/>
          <w:kern w:val="0"/>
          <w:sz w:val="22"/>
          <w14:ligatures w14:val="none"/>
        </w:rPr>
        <w:t xml:space="preserve"> </w:t>
      </w:r>
      <w:r w:rsidRPr="00226C43">
        <w:rPr>
          <w:rFonts w:eastAsia="Times New Roman"/>
          <w:kern w:val="0"/>
          <w:sz w:val="22"/>
          <w14:ligatures w14:val="none"/>
        </w:rPr>
        <w:t>Year of commencement of Australia Award studies</w:t>
      </w:r>
    </w:p>
    <w:p w14:paraId="44C1819C" w14:textId="65F58BD6" w:rsidR="003A4B47" w:rsidRPr="00C668D9" w:rsidRDefault="003A4B47" w:rsidP="007D74C7">
      <w:pPr>
        <w:pStyle w:val="ListParagraph"/>
        <w:numPr>
          <w:ilvl w:val="0"/>
          <w:numId w:val="61"/>
        </w:numPr>
        <w:spacing w:after="0"/>
        <w:rPr>
          <w:rFonts w:eastAsia="Times New Roman"/>
          <w:sz w:val="22"/>
        </w:rPr>
      </w:pPr>
      <w:r w:rsidRPr="00C668D9">
        <w:rPr>
          <w:rFonts w:eastAsia="Times New Roman"/>
          <w:sz w:val="22"/>
        </w:rPr>
        <w:t>prior to 2018</w:t>
      </w:r>
    </w:p>
    <w:p w14:paraId="4E9615A3" w14:textId="24B8F0AB" w:rsidR="003A4B47" w:rsidRPr="00C668D9" w:rsidRDefault="003A4B47" w:rsidP="007D74C7">
      <w:pPr>
        <w:pStyle w:val="ListParagraph"/>
        <w:numPr>
          <w:ilvl w:val="0"/>
          <w:numId w:val="61"/>
        </w:numPr>
        <w:spacing w:after="0"/>
        <w:rPr>
          <w:rFonts w:eastAsia="Times New Roman"/>
          <w:kern w:val="0"/>
          <w:sz w:val="22"/>
          <w14:ligatures w14:val="none"/>
        </w:rPr>
      </w:pPr>
      <w:r w:rsidRPr="00C668D9">
        <w:rPr>
          <w:rFonts w:eastAsia="Times New Roman"/>
          <w:kern w:val="0"/>
          <w:sz w:val="22"/>
          <w14:ligatures w14:val="none"/>
        </w:rPr>
        <w:t>2018</w:t>
      </w:r>
    </w:p>
    <w:p w14:paraId="6EC8F17E" w14:textId="18028808" w:rsidR="003A4B47" w:rsidRPr="00C668D9" w:rsidRDefault="003A4B47" w:rsidP="007D74C7">
      <w:pPr>
        <w:pStyle w:val="ListParagraph"/>
        <w:numPr>
          <w:ilvl w:val="0"/>
          <w:numId w:val="61"/>
        </w:numPr>
        <w:spacing w:after="0"/>
        <w:rPr>
          <w:rFonts w:eastAsia="Times New Roman"/>
          <w:kern w:val="0"/>
          <w:sz w:val="22"/>
          <w14:ligatures w14:val="none"/>
        </w:rPr>
      </w:pPr>
      <w:r w:rsidRPr="00C668D9">
        <w:rPr>
          <w:rFonts w:eastAsia="Times New Roman"/>
          <w:kern w:val="0"/>
          <w:sz w:val="22"/>
          <w14:ligatures w14:val="none"/>
        </w:rPr>
        <w:t>2019</w:t>
      </w:r>
    </w:p>
    <w:p w14:paraId="2DE56277" w14:textId="342954FA" w:rsidR="003A4B47" w:rsidRPr="00C668D9" w:rsidRDefault="003A4B47" w:rsidP="007D74C7">
      <w:pPr>
        <w:pStyle w:val="ListParagraph"/>
        <w:numPr>
          <w:ilvl w:val="0"/>
          <w:numId w:val="61"/>
        </w:numPr>
        <w:spacing w:after="0"/>
        <w:rPr>
          <w:rFonts w:eastAsia="Times New Roman"/>
          <w:kern w:val="0"/>
          <w:sz w:val="22"/>
          <w14:ligatures w14:val="none"/>
        </w:rPr>
      </w:pPr>
      <w:r w:rsidRPr="00C668D9">
        <w:rPr>
          <w:rFonts w:eastAsia="Times New Roman"/>
          <w:kern w:val="0"/>
          <w:sz w:val="22"/>
          <w14:ligatures w14:val="none"/>
        </w:rPr>
        <w:t>2020</w:t>
      </w:r>
    </w:p>
    <w:p w14:paraId="53FF3417" w14:textId="30ADCBE5" w:rsidR="003A4B47" w:rsidRPr="00C668D9" w:rsidRDefault="003A4B47" w:rsidP="007D74C7">
      <w:pPr>
        <w:pStyle w:val="ListParagraph"/>
        <w:numPr>
          <w:ilvl w:val="0"/>
          <w:numId w:val="61"/>
        </w:numPr>
        <w:spacing w:after="0"/>
        <w:rPr>
          <w:rFonts w:eastAsia="Times New Roman"/>
          <w:kern w:val="0"/>
          <w:sz w:val="22"/>
          <w14:ligatures w14:val="none"/>
        </w:rPr>
      </w:pPr>
      <w:r w:rsidRPr="00C668D9">
        <w:rPr>
          <w:rFonts w:eastAsia="Times New Roman"/>
          <w:kern w:val="0"/>
          <w:sz w:val="22"/>
          <w14:ligatures w14:val="none"/>
        </w:rPr>
        <w:t>2021</w:t>
      </w:r>
    </w:p>
    <w:p w14:paraId="007E2D6D" w14:textId="1673D833" w:rsidR="003A4B47" w:rsidRPr="00C668D9" w:rsidRDefault="003A4B47" w:rsidP="007D74C7">
      <w:pPr>
        <w:pStyle w:val="ListParagraph"/>
        <w:numPr>
          <w:ilvl w:val="0"/>
          <w:numId w:val="61"/>
        </w:numPr>
        <w:spacing w:after="0"/>
        <w:rPr>
          <w:rFonts w:eastAsia="Times New Roman"/>
          <w:kern w:val="0"/>
          <w:sz w:val="22"/>
          <w14:ligatures w14:val="none"/>
        </w:rPr>
      </w:pPr>
      <w:r w:rsidRPr="00C668D9">
        <w:rPr>
          <w:rFonts w:eastAsia="Times New Roman"/>
          <w:kern w:val="0"/>
          <w:sz w:val="22"/>
          <w14:ligatures w14:val="none"/>
        </w:rPr>
        <w:t>2022</w:t>
      </w:r>
    </w:p>
    <w:p w14:paraId="03A164A0" w14:textId="7539E55B" w:rsidR="003A4B47" w:rsidRPr="00C668D9" w:rsidRDefault="003A4B47" w:rsidP="007D74C7">
      <w:pPr>
        <w:pStyle w:val="ListParagraph"/>
        <w:numPr>
          <w:ilvl w:val="0"/>
          <w:numId w:val="61"/>
        </w:numPr>
        <w:spacing w:after="0"/>
        <w:rPr>
          <w:rFonts w:eastAsia="Times New Roman"/>
          <w:kern w:val="0"/>
          <w:sz w:val="22"/>
          <w14:ligatures w14:val="none"/>
        </w:rPr>
      </w:pPr>
      <w:r w:rsidRPr="00C668D9">
        <w:rPr>
          <w:rFonts w:eastAsia="Times New Roman"/>
          <w:kern w:val="0"/>
          <w:sz w:val="22"/>
          <w14:ligatures w14:val="none"/>
        </w:rPr>
        <w:t>2023</w:t>
      </w:r>
    </w:p>
    <w:p w14:paraId="619E002D" w14:textId="4920C32D" w:rsidR="003A4B47" w:rsidRPr="00C668D9" w:rsidRDefault="003A4B47" w:rsidP="007D74C7">
      <w:pPr>
        <w:pStyle w:val="ListParagraph"/>
        <w:numPr>
          <w:ilvl w:val="0"/>
          <w:numId w:val="61"/>
        </w:numPr>
        <w:spacing w:after="0"/>
        <w:rPr>
          <w:rFonts w:eastAsia="Times New Roman"/>
          <w:kern w:val="0"/>
          <w:sz w:val="22"/>
          <w14:ligatures w14:val="none"/>
        </w:rPr>
      </w:pPr>
      <w:r w:rsidRPr="00C668D9">
        <w:rPr>
          <w:rFonts w:eastAsia="Times New Roman"/>
          <w:kern w:val="0"/>
          <w:sz w:val="22"/>
          <w14:ligatures w14:val="none"/>
        </w:rPr>
        <w:t>2024</w:t>
      </w:r>
    </w:p>
    <w:p w14:paraId="0579B093" w14:textId="77777777" w:rsidR="003A4B47" w:rsidRPr="00226C43" w:rsidRDefault="003A4B47" w:rsidP="003A4B47">
      <w:pPr>
        <w:spacing w:after="0"/>
        <w:rPr>
          <w:rFonts w:eastAsia="Times New Roman"/>
          <w:kern w:val="0"/>
          <w:sz w:val="22"/>
          <w14:ligatures w14:val="none"/>
        </w:rPr>
      </w:pPr>
    </w:p>
    <w:p w14:paraId="131C9D51" w14:textId="719157E2" w:rsidR="003A4B47" w:rsidRPr="00226C43" w:rsidRDefault="003A4B47" w:rsidP="003A4B47">
      <w:pPr>
        <w:spacing w:after="0"/>
        <w:jc w:val="both"/>
        <w:rPr>
          <w:rFonts w:eastAsia="Times New Roman"/>
          <w:kern w:val="0"/>
          <w:sz w:val="22"/>
          <w14:ligatures w14:val="none"/>
        </w:rPr>
      </w:pPr>
      <w:r w:rsidRPr="00226C43">
        <w:rPr>
          <w:rFonts w:eastAsia="Times New Roman"/>
          <w:kern w:val="0"/>
          <w:sz w:val="22"/>
          <w14:ligatures w14:val="none"/>
        </w:rPr>
        <w:t>2.3 Australia Awards Postgraduate Scholarships are offered in two categories - Targeted (nominated by Philippine government agencies) and Open (non-targeted, open to all citizens, including from the private sector). In which category did your application fall:</w:t>
      </w:r>
    </w:p>
    <w:p w14:paraId="4BCBEA9E" w14:textId="6FE57867" w:rsidR="003A4B47" w:rsidRPr="00C668D9" w:rsidRDefault="003A4B47" w:rsidP="007D74C7">
      <w:pPr>
        <w:pStyle w:val="ListParagraph"/>
        <w:numPr>
          <w:ilvl w:val="0"/>
          <w:numId w:val="62"/>
        </w:numPr>
        <w:spacing w:after="0"/>
        <w:rPr>
          <w:rFonts w:eastAsia="Times New Roman"/>
          <w:kern w:val="0"/>
          <w:sz w:val="22"/>
          <w14:ligatures w14:val="none"/>
        </w:rPr>
      </w:pPr>
      <w:r w:rsidRPr="00C668D9">
        <w:rPr>
          <w:rFonts w:eastAsia="Times New Roman"/>
          <w:kern w:val="0"/>
          <w:sz w:val="22"/>
          <w14:ligatures w14:val="none"/>
        </w:rPr>
        <w:t>Targeted category</w:t>
      </w:r>
    </w:p>
    <w:p w14:paraId="68F48018" w14:textId="5148F8A2" w:rsidR="003A4B47" w:rsidRPr="00C668D9" w:rsidRDefault="003A4B47" w:rsidP="007D74C7">
      <w:pPr>
        <w:pStyle w:val="ListParagraph"/>
        <w:numPr>
          <w:ilvl w:val="0"/>
          <w:numId w:val="62"/>
        </w:numPr>
        <w:spacing w:after="0"/>
        <w:rPr>
          <w:rFonts w:eastAsia="Times New Roman"/>
          <w:kern w:val="0"/>
          <w:sz w:val="22"/>
          <w14:ligatures w14:val="none"/>
        </w:rPr>
      </w:pPr>
      <w:r w:rsidRPr="00C668D9">
        <w:rPr>
          <w:rFonts w:eastAsia="Times New Roman"/>
          <w:kern w:val="0"/>
          <w:sz w:val="22"/>
          <w14:ligatures w14:val="none"/>
        </w:rPr>
        <w:t>Open category</w:t>
      </w:r>
    </w:p>
    <w:p w14:paraId="06E30A9D" w14:textId="77777777" w:rsidR="003A4B47" w:rsidRPr="00226C43" w:rsidRDefault="003A4B47" w:rsidP="003A4B47">
      <w:pPr>
        <w:spacing w:after="0"/>
        <w:rPr>
          <w:rFonts w:eastAsia="Times New Roman"/>
          <w:kern w:val="0"/>
          <w:sz w:val="22"/>
          <w14:ligatures w14:val="none"/>
        </w:rPr>
      </w:pPr>
    </w:p>
    <w:p w14:paraId="5514590E" w14:textId="6AB13F26" w:rsidR="003A4B47" w:rsidRPr="00226C43" w:rsidRDefault="003A4B47" w:rsidP="4DD21A85">
      <w:pPr>
        <w:spacing w:after="0"/>
        <w:jc w:val="both"/>
        <w:rPr>
          <w:rFonts w:eastAsia="Times New Roman"/>
          <w:i/>
          <w:kern w:val="0"/>
          <w:sz w:val="22"/>
          <w:szCs w:val="22"/>
          <w14:ligatures w14:val="none"/>
        </w:rPr>
      </w:pPr>
      <w:r w:rsidRPr="00226C43">
        <w:rPr>
          <w:rFonts w:eastAsia="Times New Roman"/>
          <w:kern w:val="0"/>
          <w:sz w:val="22"/>
          <w:szCs w:val="22"/>
          <w14:ligatures w14:val="none"/>
        </w:rPr>
        <w:t xml:space="preserve">2.4 </w:t>
      </w:r>
      <w:r w:rsidRPr="00226C43">
        <w:rPr>
          <w:rFonts w:eastAsia="Times New Roman"/>
          <w:i/>
          <w:kern w:val="0"/>
          <w:sz w:val="22"/>
          <w:szCs w:val="22"/>
          <w14:ligatures w14:val="none"/>
        </w:rPr>
        <w:t xml:space="preserve">Please rate your satisfaction with the quality of the following stages of the AAAEP–P program using the scale below (based on the five criteria: relevance, effectiveness, efficiency, sustainability, and GEDSI). </w:t>
      </w:r>
    </w:p>
    <w:p w14:paraId="08A9417C" w14:textId="77777777" w:rsidR="003A4B47" w:rsidRPr="00226C43" w:rsidRDefault="003A4B47" w:rsidP="003A4B47">
      <w:pPr>
        <w:spacing w:after="0"/>
        <w:rPr>
          <w:rFonts w:eastAsia="Times New Roman"/>
          <w:i/>
          <w:kern w:val="0"/>
          <w:sz w:val="22"/>
          <w14:ligatures w14:val="none"/>
        </w:rPr>
      </w:pPr>
    </w:p>
    <w:p w14:paraId="6041EBE4" w14:textId="77777777" w:rsidR="003A4B47" w:rsidRPr="00226C43" w:rsidRDefault="003A4B47" w:rsidP="003A4B47">
      <w:pPr>
        <w:spacing w:after="0"/>
        <w:jc w:val="both"/>
        <w:rPr>
          <w:rFonts w:eastAsia="Times New Roman"/>
          <w:i/>
          <w:kern w:val="0"/>
          <w:sz w:val="22"/>
          <w14:ligatures w14:val="none"/>
        </w:rPr>
      </w:pPr>
      <w:r w:rsidRPr="00226C43">
        <w:rPr>
          <w:rFonts w:eastAsia="Times New Roman"/>
          <w:i/>
          <w:kern w:val="0"/>
          <w:sz w:val="22"/>
          <w14:ligatures w14:val="none"/>
        </w:rPr>
        <w:t>1 – Very Dissatisfied, 2 – Quite Dissatisfied, 3 – Dissatisfied, 4 – Satisfied, 5 – Quite Satisfied, 6 – Very Satisfied</w:t>
      </w:r>
    </w:p>
    <w:p w14:paraId="0A60D9CB" w14:textId="77777777" w:rsidR="003A4B47" w:rsidRPr="00226C43" w:rsidRDefault="003A4B47" w:rsidP="00925CC1">
      <w:pPr>
        <w:pStyle w:val="ListParagraph"/>
        <w:numPr>
          <w:ilvl w:val="0"/>
          <w:numId w:val="21"/>
        </w:numPr>
        <w:suppressAutoHyphens w:val="0"/>
        <w:spacing w:after="0"/>
        <w:rPr>
          <w:rFonts w:eastAsia="Times New Roman"/>
          <w:kern w:val="0"/>
          <w:sz w:val="22"/>
          <w14:ligatures w14:val="none"/>
        </w:rPr>
      </w:pPr>
      <w:r w:rsidRPr="00226C43">
        <w:rPr>
          <w:rFonts w:eastAsia="Times New Roman"/>
          <w:kern w:val="0"/>
          <w:sz w:val="22"/>
          <w14:ligatures w14:val="none"/>
        </w:rPr>
        <w:t>Introductory information and promotional material about the Australia Awards Scholarships</w:t>
      </w:r>
    </w:p>
    <w:p w14:paraId="70A11D75" w14:textId="77777777" w:rsidR="003A4B47" w:rsidRPr="00226C43" w:rsidRDefault="003A4B47" w:rsidP="00925CC1">
      <w:pPr>
        <w:pStyle w:val="ListParagraph"/>
        <w:numPr>
          <w:ilvl w:val="0"/>
          <w:numId w:val="21"/>
        </w:numPr>
        <w:suppressAutoHyphens w:val="0"/>
        <w:spacing w:after="0"/>
        <w:rPr>
          <w:rFonts w:eastAsia="Times New Roman"/>
          <w:kern w:val="0"/>
          <w:sz w:val="22"/>
          <w14:ligatures w14:val="none"/>
        </w:rPr>
      </w:pPr>
      <w:r w:rsidRPr="00226C43">
        <w:rPr>
          <w:rFonts w:eastAsia="Times New Roman"/>
          <w:kern w:val="0"/>
          <w:sz w:val="22"/>
          <w14:ligatures w14:val="none"/>
        </w:rPr>
        <w:t>The user friendliness and support services of the scholarship application process</w:t>
      </w:r>
    </w:p>
    <w:p w14:paraId="01411F8A" w14:textId="77777777" w:rsidR="003A4B47" w:rsidRPr="00226C43" w:rsidRDefault="003A4B47" w:rsidP="00925CC1">
      <w:pPr>
        <w:pStyle w:val="ListParagraph"/>
        <w:numPr>
          <w:ilvl w:val="0"/>
          <w:numId w:val="21"/>
        </w:numPr>
        <w:suppressAutoHyphens w:val="0"/>
        <w:spacing w:after="0"/>
        <w:rPr>
          <w:rFonts w:eastAsia="Times New Roman"/>
          <w:kern w:val="0"/>
          <w:sz w:val="22"/>
          <w14:ligatures w14:val="none"/>
        </w:rPr>
      </w:pPr>
      <w:r w:rsidRPr="00226C43">
        <w:rPr>
          <w:rFonts w:eastAsia="Times New Roman"/>
          <w:kern w:val="0"/>
          <w:sz w:val="22"/>
          <w14:ligatures w14:val="none"/>
        </w:rPr>
        <w:t xml:space="preserve">The fairness, equity and inclusion of the assessment and selection process by the program </w:t>
      </w:r>
    </w:p>
    <w:p w14:paraId="1BDCC447" w14:textId="77777777" w:rsidR="003A4B47" w:rsidRPr="00226C43" w:rsidRDefault="003A4B47" w:rsidP="00925CC1">
      <w:pPr>
        <w:pStyle w:val="ListParagraph"/>
        <w:numPr>
          <w:ilvl w:val="0"/>
          <w:numId w:val="21"/>
        </w:numPr>
        <w:suppressAutoHyphens w:val="0"/>
        <w:spacing w:after="0"/>
        <w:rPr>
          <w:rFonts w:eastAsia="Times New Roman"/>
          <w:kern w:val="0"/>
          <w:sz w:val="22"/>
          <w14:ligatures w14:val="none"/>
        </w:rPr>
      </w:pPr>
      <w:r w:rsidRPr="00226C43">
        <w:rPr>
          <w:rFonts w:eastAsia="Times New Roman"/>
          <w:kern w:val="0"/>
          <w:sz w:val="22"/>
          <w14:ligatures w14:val="none"/>
        </w:rPr>
        <w:t>The ease of course selection and enrolment</w:t>
      </w:r>
    </w:p>
    <w:p w14:paraId="05CA221C" w14:textId="77777777" w:rsidR="003A4B47" w:rsidRPr="00226C43" w:rsidRDefault="003A4B47" w:rsidP="00925CC1">
      <w:pPr>
        <w:pStyle w:val="ListParagraph"/>
        <w:numPr>
          <w:ilvl w:val="0"/>
          <w:numId w:val="21"/>
        </w:numPr>
        <w:suppressAutoHyphens w:val="0"/>
        <w:spacing w:after="0"/>
        <w:rPr>
          <w:rFonts w:eastAsia="Times New Roman"/>
          <w:kern w:val="0"/>
          <w:sz w:val="22"/>
          <w14:ligatures w14:val="none"/>
        </w:rPr>
      </w:pPr>
      <w:r w:rsidRPr="00226C43">
        <w:rPr>
          <w:rFonts w:eastAsia="Times New Roman"/>
          <w:kern w:val="0"/>
          <w:sz w:val="22"/>
          <w14:ligatures w14:val="none"/>
        </w:rPr>
        <w:t>Course counselling (discussions with Australian universities about possible programs relevant to your interests and REAPs)</w:t>
      </w:r>
    </w:p>
    <w:p w14:paraId="1588E6D4" w14:textId="77777777" w:rsidR="003A4B47" w:rsidRPr="00226C43" w:rsidRDefault="003A4B47" w:rsidP="00925CC1">
      <w:pPr>
        <w:pStyle w:val="ListParagraph"/>
        <w:numPr>
          <w:ilvl w:val="0"/>
          <w:numId w:val="21"/>
        </w:numPr>
        <w:suppressAutoHyphens w:val="0"/>
        <w:spacing w:after="0"/>
        <w:rPr>
          <w:rFonts w:eastAsia="Times New Roman"/>
          <w:kern w:val="0"/>
          <w:sz w:val="22"/>
          <w14:ligatures w14:val="none"/>
        </w:rPr>
      </w:pPr>
      <w:r w:rsidRPr="00226C43">
        <w:rPr>
          <w:rFonts w:eastAsia="Times New Roman"/>
          <w:kern w:val="0"/>
          <w:sz w:val="22"/>
          <w14:ligatures w14:val="none"/>
        </w:rPr>
        <w:t>REAP mentoring received</w:t>
      </w:r>
    </w:p>
    <w:p w14:paraId="274DEDDD" w14:textId="77777777" w:rsidR="003A4B47" w:rsidRPr="00226C43" w:rsidRDefault="003A4B47" w:rsidP="00925CC1">
      <w:pPr>
        <w:pStyle w:val="ListParagraph"/>
        <w:numPr>
          <w:ilvl w:val="0"/>
          <w:numId w:val="21"/>
        </w:numPr>
        <w:suppressAutoHyphens w:val="0"/>
        <w:spacing w:after="0"/>
        <w:rPr>
          <w:rFonts w:eastAsia="Times New Roman"/>
          <w:kern w:val="0"/>
          <w:sz w:val="22"/>
          <w14:ligatures w14:val="none"/>
        </w:rPr>
      </w:pPr>
      <w:r w:rsidRPr="00226C43">
        <w:rPr>
          <w:rFonts w:eastAsia="Times New Roman"/>
          <w:kern w:val="0"/>
          <w:sz w:val="22"/>
          <w14:ligatures w14:val="none"/>
        </w:rPr>
        <w:t>Pre-departure briefing</w:t>
      </w:r>
    </w:p>
    <w:p w14:paraId="00B7B89A" w14:textId="77777777" w:rsidR="003A4B47" w:rsidRPr="00226C43" w:rsidRDefault="003A4B47" w:rsidP="00925CC1">
      <w:pPr>
        <w:pStyle w:val="ListParagraph"/>
        <w:numPr>
          <w:ilvl w:val="0"/>
          <w:numId w:val="21"/>
        </w:numPr>
        <w:suppressAutoHyphens w:val="0"/>
        <w:spacing w:after="0"/>
        <w:rPr>
          <w:rFonts w:eastAsia="Times New Roman"/>
          <w:kern w:val="0"/>
          <w:sz w:val="22"/>
          <w14:ligatures w14:val="none"/>
        </w:rPr>
      </w:pPr>
      <w:r w:rsidRPr="00226C43">
        <w:rPr>
          <w:rFonts w:eastAsia="Times New Roman"/>
          <w:kern w:val="0"/>
          <w:sz w:val="22"/>
          <w14:ligatures w14:val="none"/>
        </w:rPr>
        <w:t>On-award support, enrichment and engagement (including support for the living experience while in Australia)</w:t>
      </w:r>
    </w:p>
    <w:p w14:paraId="3E8D68A3" w14:textId="77777777" w:rsidR="003A4B47" w:rsidRPr="00226C43" w:rsidRDefault="003A4B47" w:rsidP="00925CC1">
      <w:pPr>
        <w:pStyle w:val="ListParagraph"/>
        <w:numPr>
          <w:ilvl w:val="0"/>
          <w:numId w:val="21"/>
        </w:numPr>
        <w:suppressAutoHyphens w:val="0"/>
        <w:spacing w:after="0"/>
        <w:rPr>
          <w:rFonts w:eastAsia="Times New Roman"/>
          <w:kern w:val="0"/>
          <w:sz w:val="22"/>
          <w14:ligatures w14:val="none"/>
        </w:rPr>
      </w:pPr>
      <w:r w:rsidRPr="00226C43">
        <w:rPr>
          <w:rFonts w:eastAsia="Times New Roman"/>
          <w:kern w:val="0"/>
          <w:sz w:val="22"/>
          <w14:ligatures w14:val="none"/>
        </w:rPr>
        <w:t>Reintegration support</w:t>
      </w:r>
    </w:p>
    <w:p w14:paraId="19C5FB50" w14:textId="77777777" w:rsidR="003A4B47" w:rsidRPr="00226C43" w:rsidRDefault="003A4B47" w:rsidP="00925CC1">
      <w:pPr>
        <w:pStyle w:val="ListParagraph"/>
        <w:numPr>
          <w:ilvl w:val="0"/>
          <w:numId w:val="21"/>
        </w:numPr>
        <w:suppressAutoHyphens w:val="0"/>
        <w:spacing w:after="0"/>
        <w:rPr>
          <w:rFonts w:eastAsia="Times New Roman"/>
          <w:kern w:val="0"/>
          <w:sz w:val="22"/>
          <w14:ligatures w14:val="none"/>
        </w:rPr>
      </w:pPr>
      <w:r w:rsidRPr="00226C43">
        <w:rPr>
          <w:rFonts w:eastAsia="Times New Roman"/>
          <w:kern w:val="0"/>
          <w:sz w:val="22"/>
          <w14:ligatures w14:val="none"/>
        </w:rPr>
        <w:t>The implementation of your Re-Entry Action Plan (REAP)</w:t>
      </w:r>
    </w:p>
    <w:p w14:paraId="4ABAEEA1" w14:textId="77777777" w:rsidR="003A4B47" w:rsidRPr="00226C43" w:rsidRDefault="003A4B47" w:rsidP="00925CC1">
      <w:pPr>
        <w:pStyle w:val="ListParagraph"/>
        <w:numPr>
          <w:ilvl w:val="0"/>
          <w:numId w:val="21"/>
        </w:numPr>
        <w:suppressAutoHyphens w:val="0"/>
        <w:spacing w:after="0"/>
        <w:rPr>
          <w:rFonts w:eastAsia="Times New Roman"/>
          <w:sz w:val="22"/>
        </w:rPr>
      </w:pPr>
      <w:r w:rsidRPr="00226C43">
        <w:rPr>
          <w:rFonts w:eastAsia="Times New Roman"/>
          <w:sz w:val="22"/>
        </w:rPr>
        <w:lastRenderedPageBreak/>
        <w:t xml:space="preserve">GEDSI mainstreaming, equity and inclusion elements (e.g., course content, reasonable accommodation, safeguards) </w:t>
      </w:r>
    </w:p>
    <w:p w14:paraId="0061792C" w14:textId="77777777" w:rsidR="003A4B47" w:rsidRPr="00226C43" w:rsidRDefault="003A4B47" w:rsidP="003A4B47">
      <w:pPr>
        <w:spacing w:after="0"/>
        <w:rPr>
          <w:rFonts w:eastAsia="Times New Roman"/>
          <w:sz w:val="22"/>
        </w:rPr>
      </w:pPr>
    </w:p>
    <w:p w14:paraId="367248EE" w14:textId="77777777" w:rsidR="003A4B47" w:rsidRPr="00226C43" w:rsidRDefault="003A4B47" w:rsidP="003A4B47">
      <w:pPr>
        <w:spacing w:after="0"/>
        <w:rPr>
          <w:rFonts w:eastAsia="Times New Roman"/>
          <w:kern w:val="0"/>
          <w:sz w:val="22"/>
          <w14:ligatures w14:val="none"/>
        </w:rPr>
      </w:pPr>
      <w:r w:rsidRPr="00226C43">
        <w:rPr>
          <w:rFonts w:eastAsia="Times New Roman"/>
          <w:kern w:val="0"/>
          <w:sz w:val="22"/>
          <w14:ligatures w14:val="none"/>
        </w:rPr>
        <w:t>2.5</w:t>
      </w:r>
      <w:r w:rsidRPr="00226C43">
        <w:rPr>
          <w:rFonts w:eastAsia="Times New Roman"/>
          <w:kern w:val="0"/>
          <w:sz w:val="22"/>
          <w14:ligatures w14:val="none"/>
        </w:rPr>
        <w:tab/>
        <w:t>Please provide any comments relating to the satisfaction ratings provided above.</w:t>
      </w:r>
    </w:p>
    <w:p w14:paraId="596491ED" w14:textId="77777777" w:rsidR="003A4B47" w:rsidRPr="00226C43" w:rsidRDefault="003A4B47" w:rsidP="003A4B47">
      <w:pPr>
        <w:spacing w:after="0"/>
        <w:rPr>
          <w:rFonts w:eastAsia="Times New Roman"/>
          <w:kern w:val="0"/>
          <w:sz w:val="22"/>
          <w14:ligatures w14:val="none"/>
        </w:rPr>
      </w:pPr>
    </w:p>
    <w:p w14:paraId="023F138F" w14:textId="77777777" w:rsidR="003A4B47" w:rsidRPr="00226C43" w:rsidRDefault="003A4B47" w:rsidP="003A4B47">
      <w:pPr>
        <w:spacing w:after="0"/>
        <w:rPr>
          <w:rFonts w:eastAsia="Times New Roman"/>
          <w:b/>
          <w:kern w:val="0"/>
          <w:sz w:val="22"/>
          <w14:ligatures w14:val="none"/>
        </w:rPr>
      </w:pPr>
      <w:r w:rsidRPr="00226C43">
        <w:rPr>
          <w:rFonts w:eastAsia="Times New Roman"/>
          <w:b/>
          <w:kern w:val="0"/>
          <w:sz w:val="22"/>
          <w14:ligatures w14:val="none"/>
        </w:rPr>
        <w:t>3. In-Country Scholarship Program (ICSP)</w:t>
      </w:r>
    </w:p>
    <w:p w14:paraId="48DDFBFD" w14:textId="77777777" w:rsidR="003A4B47" w:rsidRPr="00226C43" w:rsidRDefault="003A4B47" w:rsidP="003A4B47">
      <w:pPr>
        <w:spacing w:after="0"/>
        <w:rPr>
          <w:rFonts w:eastAsia="Times New Roman"/>
          <w:kern w:val="0"/>
          <w:sz w:val="22"/>
          <w14:ligatures w14:val="none"/>
        </w:rPr>
      </w:pPr>
      <w:r w:rsidRPr="00226C43">
        <w:rPr>
          <w:rFonts w:eastAsia="Times New Roman"/>
          <w:kern w:val="0"/>
          <w:sz w:val="22"/>
          <w14:ligatures w14:val="none"/>
        </w:rPr>
        <w:t>3.1 Have you participated in the In-Country Scholarship Program?</w:t>
      </w:r>
    </w:p>
    <w:p w14:paraId="0718E4BE" w14:textId="19699677" w:rsidR="003A4B47" w:rsidRPr="00C668D9" w:rsidRDefault="003A4B47" w:rsidP="007D74C7">
      <w:pPr>
        <w:pStyle w:val="ListParagraph"/>
        <w:numPr>
          <w:ilvl w:val="0"/>
          <w:numId w:val="63"/>
        </w:numPr>
        <w:spacing w:after="0"/>
        <w:rPr>
          <w:rFonts w:eastAsia="Times New Roman"/>
          <w:kern w:val="0"/>
          <w:sz w:val="22"/>
          <w14:ligatures w14:val="none"/>
        </w:rPr>
      </w:pPr>
      <w:r w:rsidRPr="00C668D9">
        <w:rPr>
          <w:rFonts w:eastAsia="Times New Roman"/>
          <w:kern w:val="0"/>
          <w:sz w:val="22"/>
          <w14:ligatures w14:val="none"/>
        </w:rPr>
        <w:t>Yes [if ‘Yes’ branch to Q3.2]</w:t>
      </w:r>
    </w:p>
    <w:p w14:paraId="610C109B" w14:textId="02BE048A" w:rsidR="003A4B47" w:rsidRPr="00C668D9" w:rsidRDefault="003A4B47" w:rsidP="007D74C7">
      <w:pPr>
        <w:pStyle w:val="ListParagraph"/>
        <w:numPr>
          <w:ilvl w:val="0"/>
          <w:numId w:val="63"/>
        </w:numPr>
        <w:spacing w:after="0"/>
        <w:rPr>
          <w:rFonts w:eastAsia="Times New Roman"/>
          <w:kern w:val="0"/>
          <w:sz w:val="22"/>
          <w14:ligatures w14:val="none"/>
        </w:rPr>
      </w:pPr>
      <w:r w:rsidRPr="00C668D9">
        <w:rPr>
          <w:rFonts w:eastAsia="Times New Roman"/>
          <w:kern w:val="0"/>
          <w:sz w:val="22"/>
          <w14:ligatures w14:val="none"/>
        </w:rPr>
        <w:t>No [if ‘No’ branch to Q4]</w:t>
      </w:r>
    </w:p>
    <w:p w14:paraId="26E6045E" w14:textId="77777777" w:rsidR="003A4B47" w:rsidRPr="00226C43" w:rsidRDefault="003A4B47" w:rsidP="003A4B47">
      <w:pPr>
        <w:spacing w:after="0"/>
        <w:rPr>
          <w:rFonts w:eastAsia="Times New Roman"/>
          <w:kern w:val="0"/>
          <w:sz w:val="22"/>
          <w14:ligatures w14:val="none"/>
        </w:rPr>
      </w:pPr>
    </w:p>
    <w:p w14:paraId="61425FDD" w14:textId="689ADAAA" w:rsidR="003A4B47" w:rsidRPr="00226C43" w:rsidRDefault="003A4B47" w:rsidP="003A4B47">
      <w:pPr>
        <w:spacing w:after="0"/>
        <w:rPr>
          <w:rFonts w:eastAsia="Times New Roman"/>
          <w:kern w:val="0"/>
          <w:sz w:val="22"/>
          <w14:ligatures w14:val="none"/>
        </w:rPr>
      </w:pPr>
      <w:r w:rsidRPr="00226C43">
        <w:rPr>
          <w:rFonts w:eastAsia="Times New Roman"/>
          <w:kern w:val="0"/>
          <w:sz w:val="22"/>
          <w14:ligatures w14:val="none"/>
        </w:rPr>
        <w:t>3.2</w:t>
      </w:r>
      <w:r w:rsidR="0078429F" w:rsidRPr="00226C43">
        <w:rPr>
          <w:rFonts w:eastAsia="Times New Roman"/>
          <w:kern w:val="0"/>
          <w:sz w:val="22"/>
          <w14:ligatures w14:val="none"/>
        </w:rPr>
        <w:t xml:space="preserve"> </w:t>
      </w:r>
      <w:r w:rsidRPr="00226C43">
        <w:rPr>
          <w:rFonts w:eastAsia="Times New Roman"/>
          <w:kern w:val="0"/>
          <w:sz w:val="22"/>
          <w14:ligatures w14:val="none"/>
        </w:rPr>
        <w:t>Year of commencement of ICSP</w:t>
      </w:r>
    </w:p>
    <w:p w14:paraId="4A6499B2" w14:textId="2C6B48A3" w:rsidR="003A4B47" w:rsidRPr="00C668D9" w:rsidRDefault="003A4B47" w:rsidP="007D74C7">
      <w:pPr>
        <w:pStyle w:val="ListParagraph"/>
        <w:numPr>
          <w:ilvl w:val="0"/>
          <w:numId w:val="64"/>
        </w:numPr>
        <w:spacing w:after="0"/>
        <w:rPr>
          <w:rFonts w:eastAsia="Times New Roman"/>
          <w:sz w:val="22"/>
        </w:rPr>
      </w:pPr>
      <w:r w:rsidRPr="00C668D9">
        <w:rPr>
          <w:rFonts w:eastAsia="Times New Roman"/>
          <w:sz w:val="22"/>
        </w:rPr>
        <w:t>prior to 2018</w:t>
      </w:r>
    </w:p>
    <w:p w14:paraId="10691789" w14:textId="2ACE59C7" w:rsidR="003A4B47" w:rsidRPr="00C668D9" w:rsidRDefault="003A4B47" w:rsidP="007D74C7">
      <w:pPr>
        <w:pStyle w:val="ListParagraph"/>
        <w:numPr>
          <w:ilvl w:val="0"/>
          <w:numId w:val="64"/>
        </w:numPr>
        <w:spacing w:after="0"/>
        <w:rPr>
          <w:rFonts w:eastAsia="Times New Roman"/>
          <w:kern w:val="0"/>
          <w:sz w:val="22"/>
          <w14:ligatures w14:val="none"/>
        </w:rPr>
      </w:pPr>
      <w:r w:rsidRPr="00C668D9">
        <w:rPr>
          <w:rFonts w:eastAsia="Times New Roman"/>
          <w:kern w:val="0"/>
          <w:sz w:val="22"/>
          <w14:ligatures w14:val="none"/>
        </w:rPr>
        <w:t>2018</w:t>
      </w:r>
    </w:p>
    <w:p w14:paraId="2AB89C64" w14:textId="4956E27C" w:rsidR="003A4B47" w:rsidRPr="00C668D9" w:rsidRDefault="003A4B47" w:rsidP="007D74C7">
      <w:pPr>
        <w:pStyle w:val="ListParagraph"/>
        <w:numPr>
          <w:ilvl w:val="0"/>
          <w:numId w:val="64"/>
        </w:numPr>
        <w:spacing w:after="0"/>
        <w:rPr>
          <w:rFonts w:eastAsia="Times New Roman"/>
          <w:kern w:val="0"/>
          <w:sz w:val="22"/>
          <w14:ligatures w14:val="none"/>
        </w:rPr>
      </w:pPr>
      <w:r w:rsidRPr="00C668D9">
        <w:rPr>
          <w:rFonts w:eastAsia="Times New Roman"/>
          <w:kern w:val="0"/>
          <w:sz w:val="22"/>
          <w14:ligatures w14:val="none"/>
        </w:rPr>
        <w:t>2019</w:t>
      </w:r>
    </w:p>
    <w:p w14:paraId="075475F5" w14:textId="253B9BEB" w:rsidR="003A4B47" w:rsidRPr="00C668D9" w:rsidRDefault="003A4B47" w:rsidP="007D74C7">
      <w:pPr>
        <w:pStyle w:val="ListParagraph"/>
        <w:numPr>
          <w:ilvl w:val="0"/>
          <w:numId w:val="64"/>
        </w:numPr>
        <w:spacing w:after="0"/>
        <w:rPr>
          <w:rFonts w:eastAsia="Times New Roman"/>
          <w:kern w:val="0"/>
          <w:sz w:val="22"/>
          <w14:ligatures w14:val="none"/>
        </w:rPr>
      </w:pPr>
      <w:r w:rsidRPr="00C668D9">
        <w:rPr>
          <w:rFonts w:eastAsia="Times New Roman"/>
          <w:kern w:val="0"/>
          <w:sz w:val="22"/>
          <w14:ligatures w14:val="none"/>
        </w:rPr>
        <w:t>2020</w:t>
      </w:r>
    </w:p>
    <w:p w14:paraId="4E3DF25F" w14:textId="7AD95D49" w:rsidR="003A4B47" w:rsidRPr="00C668D9" w:rsidRDefault="003A4B47" w:rsidP="007D74C7">
      <w:pPr>
        <w:pStyle w:val="ListParagraph"/>
        <w:numPr>
          <w:ilvl w:val="0"/>
          <w:numId w:val="64"/>
        </w:numPr>
        <w:spacing w:after="0"/>
        <w:rPr>
          <w:rFonts w:eastAsia="Times New Roman"/>
          <w:kern w:val="0"/>
          <w:sz w:val="22"/>
          <w14:ligatures w14:val="none"/>
        </w:rPr>
      </w:pPr>
      <w:r w:rsidRPr="00C668D9">
        <w:rPr>
          <w:rFonts w:eastAsia="Times New Roman"/>
          <w:kern w:val="0"/>
          <w:sz w:val="22"/>
          <w14:ligatures w14:val="none"/>
        </w:rPr>
        <w:t>2021</w:t>
      </w:r>
    </w:p>
    <w:p w14:paraId="39881375" w14:textId="7FDCAE54" w:rsidR="003A4B47" w:rsidRPr="00C668D9" w:rsidRDefault="003A4B47" w:rsidP="007D74C7">
      <w:pPr>
        <w:pStyle w:val="ListParagraph"/>
        <w:numPr>
          <w:ilvl w:val="0"/>
          <w:numId w:val="64"/>
        </w:numPr>
        <w:spacing w:after="0"/>
        <w:rPr>
          <w:rFonts w:eastAsia="Times New Roman"/>
          <w:kern w:val="0"/>
          <w:sz w:val="22"/>
          <w14:ligatures w14:val="none"/>
        </w:rPr>
      </w:pPr>
      <w:r w:rsidRPr="00C668D9">
        <w:rPr>
          <w:rFonts w:eastAsia="Times New Roman"/>
          <w:kern w:val="0"/>
          <w:sz w:val="22"/>
          <w14:ligatures w14:val="none"/>
        </w:rPr>
        <w:t>2022</w:t>
      </w:r>
    </w:p>
    <w:p w14:paraId="345F4D64" w14:textId="5018D39C" w:rsidR="003A4B47" w:rsidRPr="00C668D9" w:rsidRDefault="003A4B47" w:rsidP="007D74C7">
      <w:pPr>
        <w:pStyle w:val="ListParagraph"/>
        <w:numPr>
          <w:ilvl w:val="0"/>
          <w:numId w:val="64"/>
        </w:numPr>
        <w:spacing w:after="0"/>
        <w:rPr>
          <w:rFonts w:eastAsia="Times New Roman"/>
          <w:kern w:val="0"/>
          <w:sz w:val="22"/>
          <w14:ligatures w14:val="none"/>
        </w:rPr>
      </w:pPr>
      <w:r w:rsidRPr="00C668D9">
        <w:rPr>
          <w:rFonts w:eastAsia="Times New Roman"/>
          <w:kern w:val="0"/>
          <w:sz w:val="22"/>
          <w14:ligatures w14:val="none"/>
        </w:rPr>
        <w:t>2023</w:t>
      </w:r>
    </w:p>
    <w:p w14:paraId="4728BFA8" w14:textId="77777777" w:rsidR="003A4B47" w:rsidRPr="00226C43" w:rsidRDefault="003A4B47" w:rsidP="003A4B47">
      <w:pPr>
        <w:spacing w:after="0"/>
        <w:rPr>
          <w:rFonts w:eastAsia="Times New Roman"/>
          <w:kern w:val="0"/>
          <w:sz w:val="22"/>
          <w14:ligatures w14:val="none"/>
        </w:rPr>
      </w:pPr>
    </w:p>
    <w:p w14:paraId="014D7111" w14:textId="22A55B09" w:rsidR="003A4B47" w:rsidRPr="00226C43" w:rsidRDefault="003A4B47" w:rsidP="003A4B47">
      <w:pPr>
        <w:spacing w:after="0"/>
        <w:jc w:val="both"/>
        <w:rPr>
          <w:rFonts w:eastAsia="Times New Roman"/>
          <w:i/>
          <w:kern w:val="0"/>
          <w:sz w:val="22"/>
          <w14:ligatures w14:val="none"/>
        </w:rPr>
      </w:pPr>
      <w:r w:rsidRPr="00226C43">
        <w:rPr>
          <w:rFonts w:eastAsia="Times New Roman"/>
          <w:kern w:val="0"/>
          <w:sz w:val="22"/>
          <w14:ligatures w14:val="none"/>
        </w:rPr>
        <w:t xml:space="preserve">3.3 </w:t>
      </w:r>
      <w:r w:rsidRPr="00226C43">
        <w:rPr>
          <w:rFonts w:eastAsia="Times New Roman"/>
          <w:i/>
          <w:kern w:val="0"/>
          <w:sz w:val="22"/>
          <w14:ligatures w14:val="none"/>
        </w:rPr>
        <w:t xml:space="preserve">Please rate your satisfaction with the quality of the following stages of the ICSP using the scale below (based on the five criteria: relevance, effectiveness, efficiency, sustainability, GEDSI and lessons learned). </w:t>
      </w:r>
    </w:p>
    <w:p w14:paraId="12F75545" w14:textId="77777777" w:rsidR="003A4B47" w:rsidRPr="00226C43" w:rsidRDefault="003A4B47" w:rsidP="003A4B47">
      <w:pPr>
        <w:spacing w:after="0"/>
        <w:rPr>
          <w:rFonts w:eastAsia="Times New Roman"/>
          <w:i/>
          <w:kern w:val="0"/>
          <w:sz w:val="22"/>
          <w14:ligatures w14:val="none"/>
        </w:rPr>
      </w:pPr>
    </w:p>
    <w:p w14:paraId="358F0578" w14:textId="77777777" w:rsidR="003A4B47" w:rsidRPr="00226C43" w:rsidRDefault="003A4B47" w:rsidP="003A4B47">
      <w:pPr>
        <w:spacing w:after="0"/>
        <w:jc w:val="both"/>
        <w:rPr>
          <w:rFonts w:eastAsia="Times New Roman"/>
          <w:i/>
          <w:kern w:val="0"/>
          <w:sz w:val="22"/>
          <w14:ligatures w14:val="none"/>
        </w:rPr>
      </w:pPr>
      <w:r w:rsidRPr="00226C43">
        <w:rPr>
          <w:rFonts w:eastAsia="Times New Roman"/>
          <w:i/>
          <w:kern w:val="0"/>
          <w:sz w:val="22"/>
          <w14:ligatures w14:val="none"/>
        </w:rPr>
        <w:t>1 – Very Dissatisfied, 2 – Quite Dissatisfied, 3 – Dissatisfied, 4 – Satisfied, 5 – Quite Satisfied, 6 – Very Satisfied</w:t>
      </w:r>
    </w:p>
    <w:p w14:paraId="4AD1A3EC" w14:textId="77777777" w:rsidR="003A4B47" w:rsidRPr="00226C43" w:rsidRDefault="003A4B47" w:rsidP="003A4B47">
      <w:pPr>
        <w:spacing w:after="0"/>
        <w:rPr>
          <w:rFonts w:eastAsia="Times New Roman"/>
          <w:kern w:val="0"/>
          <w:sz w:val="22"/>
          <w14:ligatures w14:val="none"/>
        </w:rPr>
      </w:pPr>
    </w:p>
    <w:p w14:paraId="678A764A" w14:textId="77777777" w:rsidR="003A4B47" w:rsidRPr="00226C43" w:rsidRDefault="003A4B47" w:rsidP="00925CC1">
      <w:pPr>
        <w:pStyle w:val="ListParagraph"/>
        <w:numPr>
          <w:ilvl w:val="0"/>
          <w:numId w:val="20"/>
        </w:numPr>
        <w:suppressAutoHyphens w:val="0"/>
        <w:spacing w:after="0"/>
        <w:rPr>
          <w:rFonts w:eastAsia="Times New Roman"/>
          <w:kern w:val="0"/>
          <w:sz w:val="22"/>
          <w14:ligatures w14:val="none"/>
        </w:rPr>
      </w:pPr>
      <w:r w:rsidRPr="00226C43">
        <w:rPr>
          <w:rFonts w:eastAsia="Times New Roman"/>
          <w:kern w:val="0"/>
          <w:sz w:val="22"/>
          <w14:ligatures w14:val="none"/>
        </w:rPr>
        <w:t>Introductory information and promotional material about the ICSP</w:t>
      </w:r>
    </w:p>
    <w:p w14:paraId="12298009" w14:textId="77777777" w:rsidR="003A4B47" w:rsidRPr="00226C43" w:rsidRDefault="003A4B47" w:rsidP="00925CC1">
      <w:pPr>
        <w:pStyle w:val="ListParagraph"/>
        <w:numPr>
          <w:ilvl w:val="0"/>
          <w:numId w:val="20"/>
        </w:numPr>
        <w:suppressAutoHyphens w:val="0"/>
        <w:spacing w:after="0"/>
        <w:rPr>
          <w:rFonts w:eastAsia="Times New Roman"/>
          <w:kern w:val="0"/>
          <w:sz w:val="22"/>
          <w14:ligatures w14:val="none"/>
        </w:rPr>
      </w:pPr>
      <w:r w:rsidRPr="00226C43">
        <w:rPr>
          <w:rFonts w:eastAsia="Times New Roman"/>
          <w:kern w:val="0"/>
          <w:sz w:val="22"/>
          <w14:ligatures w14:val="none"/>
        </w:rPr>
        <w:t>The user friendliness and support services of the scholarship application process</w:t>
      </w:r>
    </w:p>
    <w:p w14:paraId="696C60B7" w14:textId="77777777" w:rsidR="003A4B47" w:rsidRPr="00226C43" w:rsidRDefault="003A4B47" w:rsidP="00925CC1">
      <w:pPr>
        <w:pStyle w:val="ListParagraph"/>
        <w:numPr>
          <w:ilvl w:val="0"/>
          <w:numId w:val="20"/>
        </w:numPr>
        <w:suppressAutoHyphens w:val="0"/>
        <w:spacing w:after="0"/>
        <w:rPr>
          <w:rFonts w:eastAsia="Times New Roman"/>
          <w:kern w:val="0"/>
          <w:sz w:val="22"/>
          <w14:ligatures w14:val="none"/>
        </w:rPr>
      </w:pPr>
      <w:r w:rsidRPr="00226C43">
        <w:rPr>
          <w:rFonts w:eastAsia="Times New Roman"/>
          <w:kern w:val="0"/>
          <w:sz w:val="22"/>
          <w14:ligatures w14:val="none"/>
        </w:rPr>
        <w:t xml:space="preserve">The fairness, equity and inclusion of the assessment and selection process by the program </w:t>
      </w:r>
    </w:p>
    <w:p w14:paraId="5DE79482" w14:textId="79FEAACE" w:rsidR="003A4B47" w:rsidRPr="00226C43" w:rsidRDefault="003A4B47" w:rsidP="00925CC1">
      <w:pPr>
        <w:pStyle w:val="ListParagraph"/>
        <w:numPr>
          <w:ilvl w:val="0"/>
          <w:numId w:val="20"/>
        </w:numPr>
        <w:suppressAutoHyphens w:val="0"/>
        <w:spacing w:after="0"/>
        <w:rPr>
          <w:rFonts w:eastAsia="Times New Roman"/>
          <w:kern w:val="0"/>
          <w:sz w:val="22"/>
          <w14:ligatures w14:val="none"/>
        </w:rPr>
      </w:pPr>
      <w:r w:rsidRPr="00226C43">
        <w:rPr>
          <w:rFonts w:eastAsia="Times New Roman"/>
          <w:kern w:val="0"/>
          <w:sz w:val="22"/>
          <w14:ligatures w14:val="none"/>
        </w:rPr>
        <w:t>The ease of course selection and enrolment</w:t>
      </w:r>
    </w:p>
    <w:p w14:paraId="64E1CC0C" w14:textId="77777777" w:rsidR="003A4B47" w:rsidRPr="00226C43" w:rsidRDefault="003A4B47" w:rsidP="00925CC1">
      <w:pPr>
        <w:pStyle w:val="ListParagraph"/>
        <w:numPr>
          <w:ilvl w:val="0"/>
          <w:numId w:val="20"/>
        </w:numPr>
        <w:suppressAutoHyphens w:val="0"/>
        <w:spacing w:after="0"/>
        <w:rPr>
          <w:rFonts w:eastAsia="Times New Roman"/>
          <w:kern w:val="0"/>
          <w:sz w:val="22"/>
          <w14:ligatures w14:val="none"/>
        </w:rPr>
      </w:pPr>
      <w:r w:rsidRPr="00226C43">
        <w:rPr>
          <w:rFonts w:eastAsia="Times New Roman"/>
          <w:kern w:val="0"/>
          <w:sz w:val="22"/>
          <w14:ligatures w14:val="none"/>
        </w:rPr>
        <w:t>REAP mentoring received</w:t>
      </w:r>
    </w:p>
    <w:p w14:paraId="3D50FDC3" w14:textId="77777777" w:rsidR="003A4B47" w:rsidRPr="00226C43" w:rsidRDefault="003A4B47" w:rsidP="00925CC1">
      <w:pPr>
        <w:pStyle w:val="ListParagraph"/>
        <w:numPr>
          <w:ilvl w:val="0"/>
          <w:numId w:val="20"/>
        </w:numPr>
        <w:suppressAutoHyphens w:val="0"/>
        <w:spacing w:after="0"/>
        <w:rPr>
          <w:rFonts w:eastAsia="Times New Roman"/>
          <w:kern w:val="0"/>
          <w:sz w:val="22"/>
          <w14:ligatures w14:val="none"/>
        </w:rPr>
      </w:pPr>
      <w:r w:rsidRPr="00226C43">
        <w:rPr>
          <w:rFonts w:eastAsia="Times New Roman"/>
          <w:kern w:val="0"/>
          <w:sz w:val="22"/>
          <w14:ligatures w14:val="none"/>
        </w:rPr>
        <w:t xml:space="preserve">On-award support, enrichment and engagement </w:t>
      </w:r>
    </w:p>
    <w:p w14:paraId="6B050DAC" w14:textId="77777777" w:rsidR="003A4B47" w:rsidRPr="00226C43" w:rsidRDefault="003A4B47" w:rsidP="00925CC1">
      <w:pPr>
        <w:pStyle w:val="ListParagraph"/>
        <w:numPr>
          <w:ilvl w:val="0"/>
          <w:numId w:val="20"/>
        </w:numPr>
        <w:suppressAutoHyphens w:val="0"/>
        <w:spacing w:before="160" w:after="0"/>
        <w:rPr>
          <w:rFonts w:eastAsia="Times New Roman"/>
          <w:kern w:val="0"/>
          <w:sz w:val="22"/>
          <w14:ligatures w14:val="none"/>
        </w:rPr>
      </w:pPr>
      <w:r w:rsidRPr="00226C43">
        <w:rPr>
          <w:rFonts w:eastAsia="Times New Roman"/>
          <w:kern w:val="0"/>
          <w:sz w:val="22"/>
          <w14:ligatures w14:val="none"/>
        </w:rPr>
        <w:t>Post-scholarship support</w:t>
      </w:r>
    </w:p>
    <w:p w14:paraId="2D3A1FCF" w14:textId="77777777" w:rsidR="003A4B47" w:rsidRPr="00226C43" w:rsidRDefault="003A4B47" w:rsidP="00925CC1">
      <w:pPr>
        <w:pStyle w:val="ListParagraph"/>
        <w:numPr>
          <w:ilvl w:val="0"/>
          <w:numId w:val="20"/>
        </w:numPr>
        <w:suppressAutoHyphens w:val="0"/>
        <w:spacing w:after="0"/>
        <w:rPr>
          <w:rFonts w:eastAsia="Times New Roman"/>
          <w:kern w:val="0"/>
          <w:sz w:val="22"/>
          <w14:ligatures w14:val="none"/>
        </w:rPr>
      </w:pPr>
      <w:r w:rsidRPr="00226C43">
        <w:rPr>
          <w:rFonts w:eastAsia="Times New Roman"/>
          <w:kern w:val="0"/>
          <w:sz w:val="22"/>
          <w14:ligatures w14:val="none"/>
        </w:rPr>
        <w:t>The implementation of your Re-Entry Action Plan (REAP)</w:t>
      </w:r>
    </w:p>
    <w:p w14:paraId="0636B27F" w14:textId="77777777" w:rsidR="003A4B47" w:rsidRPr="00226C43" w:rsidRDefault="003A4B47" w:rsidP="00925CC1">
      <w:pPr>
        <w:pStyle w:val="ListParagraph"/>
        <w:numPr>
          <w:ilvl w:val="0"/>
          <w:numId w:val="20"/>
        </w:numPr>
        <w:suppressAutoHyphens w:val="0"/>
        <w:spacing w:after="0"/>
        <w:rPr>
          <w:rFonts w:eastAsia="Times New Roman"/>
          <w:sz w:val="22"/>
        </w:rPr>
      </w:pPr>
      <w:r w:rsidRPr="00226C43">
        <w:rPr>
          <w:rFonts w:eastAsia="Times New Roman"/>
          <w:sz w:val="22"/>
        </w:rPr>
        <w:t xml:space="preserve">GEDSI mainstreaming, equity and inclusion elements (e.g. course content, reasonable accommodation, safeguards) </w:t>
      </w:r>
    </w:p>
    <w:p w14:paraId="7B6A53DA" w14:textId="77777777" w:rsidR="003A4B47" w:rsidRPr="00226C43" w:rsidRDefault="003A4B47" w:rsidP="003A4B47">
      <w:pPr>
        <w:spacing w:after="0"/>
        <w:rPr>
          <w:rFonts w:eastAsia="Times New Roman"/>
          <w:kern w:val="0"/>
          <w:sz w:val="22"/>
          <w14:ligatures w14:val="none"/>
        </w:rPr>
      </w:pPr>
    </w:p>
    <w:p w14:paraId="391FC85C" w14:textId="77777777" w:rsidR="003A4B47" w:rsidRPr="00226C43" w:rsidRDefault="003A4B47" w:rsidP="003A4B47">
      <w:pPr>
        <w:spacing w:after="0"/>
        <w:rPr>
          <w:rFonts w:eastAsia="Times New Roman"/>
          <w:sz w:val="22"/>
        </w:rPr>
      </w:pPr>
      <w:r w:rsidRPr="00226C43">
        <w:rPr>
          <w:rFonts w:eastAsia="Times New Roman"/>
          <w:kern w:val="0"/>
          <w:sz w:val="22"/>
          <w14:ligatures w14:val="none"/>
        </w:rPr>
        <w:t>3.4</w:t>
      </w:r>
      <w:r w:rsidRPr="00226C43">
        <w:rPr>
          <w:rFonts w:eastAsia="Times New Roman"/>
          <w:kern w:val="0"/>
          <w:sz w:val="22"/>
          <w14:ligatures w14:val="none"/>
        </w:rPr>
        <w:tab/>
        <w:t xml:space="preserve">Please provide any comments relating to the satisfaction ratings provided above. </w:t>
      </w:r>
    </w:p>
    <w:p w14:paraId="13563622" w14:textId="77777777" w:rsidR="003A4B47" w:rsidRPr="00226C43" w:rsidRDefault="003A4B47" w:rsidP="003A4B47">
      <w:pPr>
        <w:spacing w:after="0"/>
        <w:rPr>
          <w:rFonts w:eastAsia="Times New Roman"/>
          <w:sz w:val="22"/>
        </w:rPr>
      </w:pPr>
    </w:p>
    <w:p w14:paraId="6D677F7B" w14:textId="77777777" w:rsidR="003A4B47" w:rsidRPr="00226C43" w:rsidRDefault="003A4B47" w:rsidP="003A4B47">
      <w:pPr>
        <w:spacing w:after="0"/>
        <w:rPr>
          <w:rFonts w:eastAsia="Times New Roman"/>
          <w:b/>
          <w:kern w:val="0"/>
          <w:sz w:val="22"/>
          <w14:ligatures w14:val="none"/>
        </w:rPr>
      </w:pPr>
      <w:r w:rsidRPr="00226C43">
        <w:rPr>
          <w:rFonts w:eastAsia="Times New Roman"/>
          <w:b/>
          <w:kern w:val="0"/>
          <w:sz w:val="22"/>
          <w14:ligatures w14:val="none"/>
        </w:rPr>
        <w:t>4. Short Courses</w:t>
      </w:r>
    </w:p>
    <w:p w14:paraId="36927650" w14:textId="372B2537" w:rsidR="003A4B47" w:rsidRPr="00226C43" w:rsidRDefault="003A4B47" w:rsidP="003A4B47">
      <w:pPr>
        <w:spacing w:after="0"/>
        <w:jc w:val="both"/>
        <w:rPr>
          <w:rFonts w:eastAsia="Times New Roman"/>
          <w:kern w:val="0"/>
          <w:sz w:val="22"/>
          <w14:ligatures w14:val="none"/>
        </w:rPr>
      </w:pPr>
      <w:r w:rsidRPr="00226C43">
        <w:rPr>
          <w:rFonts w:eastAsia="Times New Roman"/>
          <w:kern w:val="0"/>
          <w:sz w:val="22"/>
          <w14:ligatures w14:val="none"/>
        </w:rPr>
        <w:t>4.1 Have you participated in a Short Course Award (including, a fellowship or study visit) implemented by the Program?</w:t>
      </w:r>
    </w:p>
    <w:p w14:paraId="2BD1B2CE" w14:textId="290EFF71" w:rsidR="003A4B47" w:rsidRPr="00C668D9" w:rsidRDefault="003A4B47" w:rsidP="007D74C7">
      <w:pPr>
        <w:pStyle w:val="ListParagraph"/>
        <w:numPr>
          <w:ilvl w:val="0"/>
          <w:numId w:val="65"/>
        </w:numPr>
        <w:spacing w:after="0"/>
        <w:rPr>
          <w:rFonts w:eastAsia="Times New Roman"/>
          <w:kern w:val="0"/>
          <w:sz w:val="22"/>
          <w14:ligatures w14:val="none"/>
        </w:rPr>
      </w:pPr>
      <w:r w:rsidRPr="00C668D9">
        <w:rPr>
          <w:rFonts w:eastAsia="Times New Roman"/>
          <w:kern w:val="0"/>
          <w:sz w:val="22"/>
          <w14:ligatures w14:val="none"/>
        </w:rPr>
        <w:t>Yes [if ‘Yes’ branch to Q4.2]</w:t>
      </w:r>
    </w:p>
    <w:p w14:paraId="26C55736" w14:textId="3F6A5A35" w:rsidR="003A4B47" w:rsidRPr="00C668D9" w:rsidRDefault="003A4B47" w:rsidP="007D74C7">
      <w:pPr>
        <w:pStyle w:val="ListParagraph"/>
        <w:numPr>
          <w:ilvl w:val="0"/>
          <w:numId w:val="65"/>
        </w:numPr>
        <w:spacing w:after="0"/>
        <w:rPr>
          <w:rFonts w:eastAsia="Times New Roman"/>
          <w:kern w:val="0"/>
          <w:sz w:val="22"/>
          <w14:ligatures w14:val="none"/>
        </w:rPr>
      </w:pPr>
      <w:r w:rsidRPr="00C668D9">
        <w:rPr>
          <w:rFonts w:eastAsia="Times New Roman"/>
          <w:kern w:val="0"/>
          <w:sz w:val="22"/>
          <w14:ligatures w14:val="none"/>
        </w:rPr>
        <w:t>No [if ‘No’ branch to Q5]</w:t>
      </w:r>
    </w:p>
    <w:p w14:paraId="7BAF8C4E" w14:textId="77777777" w:rsidR="003A4B47" w:rsidRPr="00226C43" w:rsidRDefault="003A4B47" w:rsidP="003A4B47">
      <w:pPr>
        <w:spacing w:after="0"/>
        <w:rPr>
          <w:rFonts w:eastAsia="Times New Roman"/>
          <w:kern w:val="0"/>
          <w:sz w:val="22"/>
          <w14:ligatures w14:val="none"/>
        </w:rPr>
      </w:pPr>
    </w:p>
    <w:p w14:paraId="18A67670" w14:textId="77777777" w:rsidR="003A4B47" w:rsidRPr="00226C43" w:rsidRDefault="003A4B47" w:rsidP="003A4B47">
      <w:pPr>
        <w:spacing w:after="0"/>
        <w:jc w:val="both"/>
        <w:rPr>
          <w:rFonts w:eastAsia="Times New Roman"/>
          <w:i/>
          <w:kern w:val="0"/>
          <w:sz w:val="22"/>
          <w14:ligatures w14:val="none"/>
        </w:rPr>
      </w:pPr>
      <w:r w:rsidRPr="00226C43">
        <w:rPr>
          <w:rFonts w:eastAsia="Times New Roman"/>
          <w:kern w:val="0"/>
          <w:sz w:val="22"/>
          <w14:ligatures w14:val="none"/>
        </w:rPr>
        <w:t xml:space="preserve">4.2 </w:t>
      </w:r>
      <w:r w:rsidRPr="00226C43">
        <w:rPr>
          <w:rFonts w:eastAsia="Times New Roman"/>
          <w:i/>
          <w:kern w:val="0"/>
          <w:sz w:val="22"/>
          <w14:ligatures w14:val="none"/>
        </w:rPr>
        <w:t>Please rate your satisfaction with the following elements of the short course(s) that you participated in</w:t>
      </w:r>
      <w:r w:rsidRPr="00226C43">
        <w:rPr>
          <w:rFonts w:eastAsia="Times New Roman"/>
          <w:kern w:val="0"/>
          <w:sz w:val="22"/>
          <w14:ligatures w14:val="none"/>
        </w:rPr>
        <w:t xml:space="preserve"> </w:t>
      </w:r>
      <w:r w:rsidRPr="00226C43">
        <w:rPr>
          <w:rFonts w:eastAsia="Times New Roman"/>
          <w:i/>
          <w:kern w:val="0"/>
          <w:sz w:val="22"/>
          <w14:ligatures w14:val="none"/>
        </w:rPr>
        <w:t xml:space="preserve">using the scale below (based on the five criteria: relevance, effectiveness, efficiency, sustainability, GEDSI and lessons learned). </w:t>
      </w:r>
    </w:p>
    <w:p w14:paraId="451A61F5" w14:textId="77777777" w:rsidR="003A4B47" w:rsidRPr="00226C43" w:rsidRDefault="003A4B47" w:rsidP="003A4B47">
      <w:pPr>
        <w:spacing w:after="0"/>
        <w:rPr>
          <w:rFonts w:eastAsia="Times New Roman"/>
          <w:i/>
          <w:kern w:val="0"/>
          <w:sz w:val="22"/>
          <w14:ligatures w14:val="none"/>
        </w:rPr>
      </w:pPr>
    </w:p>
    <w:p w14:paraId="202CC17B" w14:textId="77777777" w:rsidR="003A4B47" w:rsidRPr="00226C43" w:rsidRDefault="003A4B47" w:rsidP="003A4B47">
      <w:pPr>
        <w:spacing w:after="0"/>
        <w:jc w:val="both"/>
        <w:rPr>
          <w:rFonts w:eastAsia="Times New Roman"/>
          <w:i/>
          <w:kern w:val="0"/>
          <w:sz w:val="22"/>
          <w14:ligatures w14:val="none"/>
        </w:rPr>
      </w:pPr>
      <w:r w:rsidRPr="00226C43">
        <w:rPr>
          <w:rFonts w:eastAsia="Times New Roman"/>
          <w:i/>
          <w:kern w:val="0"/>
          <w:sz w:val="22"/>
          <w14:ligatures w14:val="none"/>
        </w:rPr>
        <w:lastRenderedPageBreak/>
        <w:t>1 – Very Dissatisfied, 2 – Quite Dissatisfied, 3 – Dissatisfied, 4 – Satisfied, 5 – Quite Satisfied, 6 – Very Satisfied</w:t>
      </w:r>
    </w:p>
    <w:p w14:paraId="70075E7A" w14:textId="77777777" w:rsidR="003A4B47" w:rsidRDefault="003A4B47" w:rsidP="003A4B47">
      <w:pPr>
        <w:spacing w:after="0"/>
        <w:rPr>
          <w:rFonts w:eastAsia="Times New Roman"/>
          <w:kern w:val="0"/>
          <w:sz w:val="22"/>
          <w14:ligatures w14:val="none"/>
        </w:rPr>
      </w:pPr>
    </w:p>
    <w:p w14:paraId="530DD3DA" w14:textId="77777777" w:rsidR="00C668D9" w:rsidRPr="00226C43" w:rsidRDefault="00C668D9" w:rsidP="003A4B47">
      <w:pPr>
        <w:spacing w:after="0"/>
        <w:rPr>
          <w:rFonts w:eastAsia="Times New Roman"/>
          <w:kern w:val="0"/>
          <w:sz w:val="22"/>
          <w14:ligatures w14:val="none"/>
        </w:rPr>
      </w:pPr>
    </w:p>
    <w:p w14:paraId="65C06382" w14:textId="77777777" w:rsidR="003A4B47" w:rsidRPr="00226C43" w:rsidRDefault="003A4B47" w:rsidP="00925CC1">
      <w:pPr>
        <w:pStyle w:val="ListParagraph"/>
        <w:numPr>
          <w:ilvl w:val="0"/>
          <w:numId w:val="17"/>
        </w:numPr>
        <w:suppressAutoHyphens w:val="0"/>
        <w:spacing w:after="0"/>
        <w:rPr>
          <w:rFonts w:eastAsia="Times New Roman"/>
          <w:kern w:val="0"/>
          <w:sz w:val="22"/>
          <w14:ligatures w14:val="none"/>
        </w:rPr>
      </w:pPr>
      <w:r w:rsidRPr="00226C43">
        <w:rPr>
          <w:rFonts w:eastAsia="Times New Roman"/>
          <w:kern w:val="0"/>
          <w:sz w:val="22"/>
          <w14:ligatures w14:val="none"/>
        </w:rPr>
        <w:t>Information about the short course(s)</w:t>
      </w:r>
    </w:p>
    <w:p w14:paraId="0D0F7429" w14:textId="77777777" w:rsidR="003A4B47" w:rsidRPr="00226C43" w:rsidRDefault="003A4B47" w:rsidP="00925CC1">
      <w:pPr>
        <w:pStyle w:val="ListParagraph"/>
        <w:numPr>
          <w:ilvl w:val="0"/>
          <w:numId w:val="17"/>
        </w:numPr>
        <w:suppressAutoHyphens w:val="0"/>
        <w:spacing w:after="0"/>
        <w:rPr>
          <w:rFonts w:eastAsia="Times New Roman"/>
          <w:kern w:val="0"/>
          <w:sz w:val="22"/>
          <w14:ligatures w14:val="none"/>
        </w:rPr>
      </w:pPr>
      <w:r w:rsidRPr="00226C43">
        <w:rPr>
          <w:rFonts w:eastAsia="Times New Roman"/>
          <w:kern w:val="0"/>
          <w:sz w:val="22"/>
          <w14:ligatures w14:val="none"/>
        </w:rPr>
        <w:t>The application and selection process for short course(s)</w:t>
      </w:r>
    </w:p>
    <w:p w14:paraId="744AC8DA" w14:textId="77777777" w:rsidR="003A4B47" w:rsidRPr="00226C43" w:rsidRDefault="003A4B47" w:rsidP="00925CC1">
      <w:pPr>
        <w:pStyle w:val="ListParagraph"/>
        <w:numPr>
          <w:ilvl w:val="0"/>
          <w:numId w:val="17"/>
        </w:numPr>
        <w:suppressAutoHyphens w:val="0"/>
        <w:spacing w:after="0"/>
        <w:rPr>
          <w:rFonts w:eastAsia="Times New Roman"/>
          <w:kern w:val="0"/>
          <w:sz w:val="22"/>
          <w14:ligatures w14:val="none"/>
        </w:rPr>
      </w:pPr>
      <w:r w:rsidRPr="00226C43">
        <w:rPr>
          <w:rFonts w:eastAsia="Times New Roman"/>
          <w:kern w:val="0"/>
          <w:sz w:val="22"/>
          <w14:ligatures w14:val="none"/>
        </w:rPr>
        <w:t>The organisation and delivery of short courses</w:t>
      </w:r>
    </w:p>
    <w:p w14:paraId="7C1E5CB3" w14:textId="77777777" w:rsidR="003A4B47" w:rsidRPr="00226C43" w:rsidRDefault="003A4B47" w:rsidP="00925CC1">
      <w:pPr>
        <w:pStyle w:val="ListParagraph"/>
        <w:numPr>
          <w:ilvl w:val="0"/>
          <w:numId w:val="17"/>
        </w:numPr>
        <w:suppressAutoHyphens w:val="0"/>
        <w:spacing w:after="0"/>
        <w:rPr>
          <w:rFonts w:eastAsia="Times New Roman"/>
          <w:kern w:val="0"/>
          <w:sz w:val="22"/>
          <w14:ligatures w14:val="none"/>
        </w:rPr>
      </w:pPr>
      <w:r w:rsidRPr="00226C43">
        <w:rPr>
          <w:rFonts w:eastAsia="Times New Roman"/>
          <w:kern w:val="0"/>
          <w:sz w:val="22"/>
          <w14:ligatures w14:val="none"/>
        </w:rPr>
        <w:t>The value of short courses to my career progression</w:t>
      </w:r>
    </w:p>
    <w:p w14:paraId="60D8AC40" w14:textId="77777777" w:rsidR="003A4B47" w:rsidRPr="00226C43" w:rsidRDefault="003A4B47" w:rsidP="00925CC1">
      <w:pPr>
        <w:pStyle w:val="ListParagraph"/>
        <w:numPr>
          <w:ilvl w:val="0"/>
          <w:numId w:val="17"/>
        </w:numPr>
        <w:suppressAutoHyphens w:val="0"/>
        <w:spacing w:after="0"/>
        <w:rPr>
          <w:rFonts w:eastAsia="Times New Roman"/>
          <w:kern w:val="0"/>
          <w:sz w:val="22"/>
          <w14:ligatures w14:val="none"/>
        </w:rPr>
      </w:pPr>
      <w:r w:rsidRPr="00226C43">
        <w:rPr>
          <w:rFonts w:eastAsia="Times New Roman"/>
          <w:kern w:val="0"/>
          <w:sz w:val="22"/>
          <w14:ligatures w14:val="none"/>
        </w:rPr>
        <w:t>The value of the short course to your organisation</w:t>
      </w:r>
    </w:p>
    <w:p w14:paraId="20C1475C" w14:textId="77777777" w:rsidR="003A4B47" w:rsidRPr="00226C43" w:rsidRDefault="003A4B47" w:rsidP="00925CC1">
      <w:pPr>
        <w:pStyle w:val="ListParagraph"/>
        <w:numPr>
          <w:ilvl w:val="0"/>
          <w:numId w:val="17"/>
        </w:numPr>
        <w:suppressAutoHyphens w:val="0"/>
        <w:spacing w:after="0"/>
        <w:rPr>
          <w:rFonts w:eastAsia="Times New Roman"/>
          <w:kern w:val="0"/>
          <w:sz w:val="22"/>
          <w14:ligatures w14:val="none"/>
        </w:rPr>
      </w:pPr>
      <w:r w:rsidRPr="00226C43">
        <w:rPr>
          <w:rFonts w:eastAsia="Times New Roman"/>
          <w:kern w:val="0"/>
          <w:sz w:val="22"/>
          <w14:ligatures w14:val="none"/>
        </w:rPr>
        <w:t xml:space="preserve">The integration of GEDSI as part of the short course(s) </w:t>
      </w:r>
    </w:p>
    <w:p w14:paraId="31DB57A2" w14:textId="77777777" w:rsidR="003A4B47" w:rsidRPr="00226C43" w:rsidRDefault="003A4B47" w:rsidP="003A4B47">
      <w:pPr>
        <w:spacing w:after="0"/>
        <w:rPr>
          <w:rFonts w:eastAsia="Times New Roman"/>
          <w:kern w:val="0"/>
          <w:sz w:val="22"/>
          <w14:ligatures w14:val="none"/>
        </w:rPr>
      </w:pPr>
    </w:p>
    <w:p w14:paraId="46BDB911" w14:textId="77777777" w:rsidR="003A4B47" w:rsidRPr="00226C43" w:rsidRDefault="003A4B47" w:rsidP="003A4B47">
      <w:pPr>
        <w:spacing w:after="0"/>
        <w:rPr>
          <w:rFonts w:eastAsia="Times New Roman"/>
          <w:kern w:val="0"/>
          <w:sz w:val="22"/>
          <w14:ligatures w14:val="none"/>
        </w:rPr>
      </w:pPr>
      <w:r w:rsidRPr="00226C43">
        <w:rPr>
          <w:rFonts w:eastAsia="Times New Roman"/>
          <w:kern w:val="0"/>
          <w:sz w:val="22"/>
          <w14:ligatures w14:val="none"/>
        </w:rPr>
        <w:t>4.3</w:t>
      </w:r>
      <w:r w:rsidRPr="00226C43">
        <w:rPr>
          <w:rFonts w:eastAsia="Times New Roman"/>
          <w:kern w:val="0"/>
          <w:sz w:val="22"/>
          <w14:ligatures w14:val="none"/>
        </w:rPr>
        <w:tab/>
        <w:t xml:space="preserve">Please provide any comments relating to the satisfaction ratings provided above. </w:t>
      </w:r>
    </w:p>
    <w:p w14:paraId="7771AB7F" w14:textId="77777777" w:rsidR="003A4B47" w:rsidRPr="00226C43" w:rsidRDefault="003A4B47" w:rsidP="003A4B47">
      <w:pPr>
        <w:spacing w:after="0"/>
        <w:rPr>
          <w:rFonts w:eastAsia="Times New Roman"/>
          <w:kern w:val="0"/>
          <w:sz w:val="22"/>
          <w14:ligatures w14:val="none"/>
        </w:rPr>
      </w:pPr>
    </w:p>
    <w:p w14:paraId="5ECD1DAC" w14:textId="2E4F742D" w:rsidR="003A4B47" w:rsidRPr="00226C43" w:rsidRDefault="003A4B47" w:rsidP="003A4B47">
      <w:pPr>
        <w:spacing w:after="0"/>
        <w:jc w:val="both"/>
        <w:rPr>
          <w:rFonts w:eastAsia="Times New Roman"/>
          <w:sz w:val="22"/>
        </w:rPr>
      </w:pPr>
      <w:r w:rsidRPr="00226C43">
        <w:rPr>
          <w:rFonts w:eastAsia="Times New Roman"/>
          <w:kern w:val="0"/>
          <w:sz w:val="22"/>
          <w14:ligatures w14:val="none"/>
        </w:rPr>
        <w:t xml:space="preserve">4.4 The governments of the Philippines and Australia are working strategically to support the Philippines to progress its development objectives and to have positive relationships that advance mutual interests. </w:t>
      </w:r>
      <w:r w:rsidRPr="00226C43">
        <w:rPr>
          <w:rFonts w:eastAsia="Times New Roman"/>
          <w:sz w:val="22"/>
        </w:rPr>
        <w:t>As a result of</w:t>
      </w:r>
      <w:r w:rsidRPr="00226C43">
        <w:rPr>
          <w:rFonts w:eastAsia="Times New Roman"/>
          <w:kern w:val="0"/>
          <w:sz w:val="22"/>
          <w14:ligatures w14:val="none"/>
        </w:rPr>
        <w:t xml:space="preserve"> this close engagement, emerging priorities are </w:t>
      </w:r>
      <w:r w:rsidRPr="00226C43">
        <w:rPr>
          <w:rFonts w:eastAsia="Times New Roman"/>
          <w:sz w:val="22"/>
        </w:rPr>
        <w:t>periodically</w:t>
      </w:r>
      <w:r w:rsidRPr="00226C43">
        <w:rPr>
          <w:rFonts w:eastAsia="Times New Roman"/>
          <w:kern w:val="0"/>
          <w:sz w:val="22"/>
          <w14:ligatures w14:val="none"/>
        </w:rPr>
        <w:t xml:space="preserve"> identified to advance progress towards this goal.</w:t>
      </w:r>
    </w:p>
    <w:p w14:paraId="7DF8371B" w14:textId="77777777" w:rsidR="003A4B47" w:rsidRPr="00226C43" w:rsidRDefault="003A4B47" w:rsidP="003A4B47">
      <w:pPr>
        <w:spacing w:after="0"/>
        <w:jc w:val="both"/>
        <w:rPr>
          <w:rFonts w:eastAsia="Times New Roman"/>
          <w:kern w:val="0"/>
          <w:sz w:val="22"/>
          <w:highlight w:val="yellow"/>
          <w14:ligatures w14:val="none"/>
        </w:rPr>
      </w:pPr>
    </w:p>
    <w:p w14:paraId="36670F07" w14:textId="77777777" w:rsidR="003A4B47" w:rsidRDefault="003A4B47" w:rsidP="003A4B47">
      <w:pPr>
        <w:spacing w:after="0"/>
        <w:jc w:val="both"/>
        <w:rPr>
          <w:rFonts w:eastAsia="Times New Roman"/>
          <w:kern w:val="0"/>
          <w:sz w:val="22"/>
          <w14:ligatures w14:val="none"/>
        </w:rPr>
      </w:pPr>
      <w:r w:rsidRPr="00226C43">
        <w:rPr>
          <w:rFonts w:eastAsia="Times New Roman"/>
          <w:kern w:val="0"/>
          <w:sz w:val="22"/>
          <w14:ligatures w14:val="none"/>
        </w:rPr>
        <w:t>Thinking about the above, to what extent do you think that Short Course Awards, (including fellowships, and study visits) would be an appropriate modality to address emerging priorities?</w:t>
      </w:r>
    </w:p>
    <w:p w14:paraId="6495DCD4" w14:textId="77777777" w:rsidR="00197CF4" w:rsidRPr="00226C43" w:rsidRDefault="00197CF4" w:rsidP="003A4B47">
      <w:pPr>
        <w:spacing w:after="0"/>
        <w:jc w:val="both"/>
        <w:rPr>
          <w:rFonts w:eastAsia="Times New Roman"/>
          <w:kern w:val="0"/>
          <w:sz w:val="22"/>
          <w14:ligatures w14:val="none"/>
        </w:rPr>
      </w:pPr>
    </w:p>
    <w:p w14:paraId="497ACA78" w14:textId="7CDA9AE8" w:rsidR="00197CF4" w:rsidRPr="00226C43" w:rsidRDefault="003A4B47" w:rsidP="003A4B47">
      <w:pPr>
        <w:spacing w:after="0"/>
        <w:jc w:val="both"/>
        <w:rPr>
          <w:rFonts w:eastAsia="Times New Roman"/>
          <w:i/>
          <w:kern w:val="0"/>
          <w:sz w:val="22"/>
          <w14:ligatures w14:val="none"/>
        </w:rPr>
      </w:pPr>
      <w:r w:rsidRPr="00226C43">
        <w:rPr>
          <w:rFonts w:eastAsia="Times New Roman"/>
          <w:i/>
          <w:kern w:val="0"/>
          <w:sz w:val="22"/>
          <w14:ligatures w14:val="none"/>
        </w:rPr>
        <w:t xml:space="preserve"> Please rate your response using the scale below</w:t>
      </w:r>
    </w:p>
    <w:p w14:paraId="7E974745" w14:textId="77777777" w:rsidR="003A4B47" w:rsidRPr="00226C43" w:rsidRDefault="003A4B47" w:rsidP="003A4B47">
      <w:pPr>
        <w:spacing w:after="0"/>
        <w:jc w:val="both"/>
        <w:rPr>
          <w:rFonts w:eastAsia="Times New Roman"/>
          <w:i/>
          <w:kern w:val="0"/>
          <w:sz w:val="22"/>
          <w14:ligatures w14:val="none"/>
        </w:rPr>
      </w:pPr>
      <w:r w:rsidRPr="00226C43">
        <w:rPr>
          <w:rFonts w:eastAsia="Times New Roman"/>
          <w:i/>
          <w:kern w:val="0"/>
          <w:sz w:val="22"/>
          <w14:ligatures w14:val="none"/>
        </w:rPr>
        <w:t xml:space="preserve">1 – Very Inappropriate, 2 – Quite Inappropriate, 3 – Inappropriate, 4 – Appropriate, 5 – Quite </w:t>
      </w:r>
      <w:r w:rsidRPr="00226C43">
        <w:rPr>
          <w:rFonts w:eastAsia="Times New Roman"/>
          <w:i/>
          <w:iCs/>
          <w:sz w:val="22"/>
        </w:rPr>
        <w:t>Appropriate</w:t>
      </w:r>
      <w:r w:rsidRPr="00226C43">
        <w:rPr>
          <w:rFonts w:eastAsia="Times New Roman"/>
          <w:i/>
          <w:kern w:val="0"/>
          <w:sz w:val="22"/>
          <w14:ligatures w14:val="none"/>
        </w:rPr>
        <w:t xml:space="preserve">, 6 – Very </w:t>
      </w:r>
      <w:r w:rsidRPr="00226C43">
        <w:rPr>
          <w:rFonts w:eastAsia="Times New Roman"/>
          <w:i/>
          <w:iCs/>
          <w:sz w:val="22"/>
        </w:rPr>
        <w:t>Appropriate</w:t>
      </w:r>
    </w:p>
    <w:p w14:paraId="0C961024" w14:textId="77777777" w:rsidR="003A4B47" w:rsidRPr="00226C43" w:rsidRDefault="003A4B47" w:rsidP="003A4B47">
      <w:pPr>
        <w:spacing w:after="0"/>
        <w:jc w:val="both"/>
        <w:rPr>
          <w:rFonts w:eastAsia="Times New Roman"/>
          <w:kern w:val="0"/>
          <w:sz w:val="22"/>
          <w14:ligatures w14:val="none"/>
        </w:rPr>
      </w:pPr>
    </w:p>
    <w:p w14:paraId="73F5E21B" w14:textId="77777777" w:rsidR="003A4B47" w:rsidRPr="00226C43" w:rsidRDefault="003A4B47" w:rsidP="003A4B47">
      <w:pPr>
        <w:spacing w:after="0"/>
        <w:jc w:val="both"/>
        <w:rPr>
          <w:rFonts w:eastAsia="Times New Roman"/>
          <w:kern w:val="0"/>
          <w:sz w:val="22"/>
          <w14:ligatures w14:val="none"/>
        </w:rPr>
      </w:pPr>
      <w:r w:rsidRPr="00226C43">
        <w:rPr>
          <w:rFonts w:eastAsia="Times New Roman"/>
          <w:kern w:val="0"/>
          <w:sz w:val="22"/>
          <w14:ligatures w14:val="none"/>
        </w:rPr>
        <w:t xml:space="preserve">4.5 What do you think could be done differently to make the Short Course Awards more useful for addressing emerging priorities? </w:t>
      </w:r>
      <w:r w:rsidRPr="00226C43">
        <w:rPr>
          <w:rFonts w:eastAsia="Times New Roman"/>
          <w:i/>
          <w:kern w:val="0"/>
          <w:sz w:val="22"/>
          <w14:ligatures w14:val="none"/>
        </w:rPr>
        <w:t>[please provide written response here]</w:t>
      </w:r>
    </w:p>
    <w:p w14:paraId="3AF02C61" w14:textId="77777777" w:rsidR="003A4B47" w:rsidRPr="00226C43" w:rsidRDefault="003A4B47" w:rsidP="003A4B47">
      <w:pPr>
        <w:spacing w:after="0"/>
        <w:rPr>
          <w:rFonts w:eastAsia="Times New Roman"/>
          <w:kern w:val="0"/>
          <w:sz w:val="22"/>
          <w14:ligatures w14:val="none"/>
        </w:rPr>
      </w:pPr>
    </w:p>
    <w:p w14:paraId="2AE367C5" w14:textId="77777777" w:rsidR="003A4B47" w:rsidRPr="00226C43" w:rsidRDefault="003A4B47" w:rsidP="003A4B47">
      <w:pPr>
        <w:spacing w:after="0"/>
        <w:rPr>
          <w:rFonts w:eastAsia="Times New Roman"/>
          <w:b/>
          <w:kern w:val="0"/>
          <w:sz w:val="22"/>
          <w14:ligatures w14:val="none"/>
        </w:rPr>
      </w:pPr>
      <w:r w:rsidRPr="00226C43">
        <w:rPr>
          <w:rFonts w:eastAsia="Times New Roman"/>
          <w:b/>
          <w:kern w:val="0"/>
          <w:sz w:val="22"/>
          <w14:ligatures w14:val="none"/>
        </w:rPr>
        <w:t>5. Alumni Engagement (AE)</w:t>
      </w:r>
    </w:p>
    <w:p w14:paraId="7110C4EF" w14:textId="77777777" w:rsidR="003A4B47" w:rsidRPr="00226C43" w:rsidRDefault="003A4B47" w:rsidP="003A4B47">
      <w:pPr>
        <w:spacing w:after="0"/>
        <w:rPr>
          <w:rFonts w:eastAsia="Times New Roman"/>
          <w:kern w:val="0"/>
          <w:sz w:val="22"/>
          <w14:ligatures w14:val="none"/>
        </w:rPr>
      </w:pPr>
    </w:p>
    <w:p w14:paraId="2B5FF2E5" w14:textId="3928BD16" w:rsidR="003A4B47" w:rsidRPr="00226C43" w:rsidRDefault="003A4B47" w:rsidP="4DD21A85">
      <w:pPr>
        <w:spacing w:after="0"/>
        <w:jc w:val="both"/>
        <w:rPr>
          <w:rFonts w:eastAsia="Times New Roman"/>
          <w:kern w:val="0"/>
          <w:sz w:val="22"/>
          <w:szCs w:val="22"/>
          <w14:ligatures w14:val="none"/>
        </w:rPr>
      </w:pPr>
      <w:r w:rsidRPr="00226C43">
        <w:rPr>
          <w:rFonts w:eastAsia="Times New Roman"/>
          <w:kern w:val="0"/>
          <w:sz w:val="22"/>
          <w:szCs w:val="22"/>
          <w14:ligatures w14:val="none"/>
        </w:rPr>
        <w:t>AAAEP–P Alumni are an important element of the Program.</w:t>
      </w:r>
      <w:r w:rsidR="0078429F" w:rsidRPr="00226C43">
        <w:rPr>
          <w:rFonts w:eastAsia="Times New Roman"/>
          <w:kern w:val="0"/>
          <w:sz w:val="22"/>
          <w:szCs w:val="22"/>
          <w14:ligatures w14:val="none"/>
        </w:rPr>
        <w:t xml:space="preserve"> </w:t>
      </w:r>
      <w:r w:rsidRPr="00226C43">
        <w:rPr>
          <w:rFonts w:eastAsia="Times New Roman"/>
          <w:kern w:val="0"/>
          <w:sz w:val="22"/>
          <w:szCs w:val="22"/>
          <w14:ligatures w14:val="none"/>
        </w:rPr>
        <w:t>Alumni have a valuable influence in contributing to the sustainable development of the Philippines and in supporting a strong strategic relationship between the Philippines and Australia.</w:t>
      </w:r>
    </w:p>
    <w:p w14:paraId="1AF60E97" w14:textId="77777777" w:rsidR="003A4B47" w:rsidRPr="00226C43" w:rsidRDefault="003A4B47" w:rsidP="003A4B47">
      <w:pPr>
        <w:spacing w:after="0"/>
        <w:jc w:val="both"/>
        <w:rPr>
          <w:rFonts w:eastAsia="Times New Roman"/>
          <w:kern w:val="0"/>
          <w:sz w:val="22"/>
          <w14:ligatures w14:val="none"/>
        </w:rPr>
      </w:pPr>
    </w:p>
    <w:p w14:paraId="6C9A70B3" w14:textId="31C75662" w:rsidR="003A4B47" w:rsidRPr="00226C43" w:rsidRDefault="003A4B47" w:rsidP="4DD21A85">
      <w:pPr>
        <w:spacing w:after="0"/>
        <w:rPr>
          <w:rFonts w:eastAsia="Times New Roman"/>
          <w:kern w:val="0"/>
          <w:sz w:val="22"/>
          <w:szCs w:val="22"/>
          <w14:ligatures w14:val="none"/>
        </w:rPr>
      </w:pPr>
      <w:r w:rsidRPr="00226C43">
        <w:rPr>
          <w:rFonts w:eastAsia="Times New Roman"/>
          <w:kern w:val="0"/>
          <w:sz w:val="22"/>
          <w:szCs w:val="22"/>
          <w14:ligatures w14:val="none"/>
        </w:rPr>
        <w:t>5.1 Which AAAEP–P course did you participate in?</w:t>
      </w:r>
    </w:p>
    <w:p w14:paraId="7BE2658E" w14:textId="64459B90" w:rsidR="003A4B47" w:rsidRPr="00197CF4" w:rsidRDefault="003A4B47" w:rsidP="007D74C7">
      <w:pPr>
        <w:pStyle w:val="ListParagraph"/>
        <w:numPr>
          <w:ilvl w:val="0"/>
          <w:numId w:val="66"/>
        </w:numPr>
        <w:spacing w:after="0"/>
        <w:rPr>
          <w:rFonts w:eastAsia="Times New Roman"/>
          <w:kern w:val="0"/>
          <w:sz w:val="22"/>
          <w14:ligatures w14:val="none"/>
        </w:rPr>
      </w:pPr>
      <w:r w:rsidRPr="00197CF4">
        <w:rPr>
          <w:rFonts w:eastAsia="Times New Roman"/>
          <w:kern w:val="0"/>
          <w:sz w:val="22"/>
          <w14:ligatures w14:val="none"/>
        </w:rPr>
        <w:t>Australia Awards Postgraduate Scholarships (e.g., Masters/PhD studies in Australia)</w:t>
      </w:r>
    </w:p>
    <w:p w14:paraId="375EF365" w14:textId="5D6DC864" w:rsidR="003A4B47" w:rsidRPr="00197CF4" w:rsidRDefault="003A4B47" w:rsidP="007D74C7">
      <w:pPr>
        <w:pStyle w:val="ListParagraph"/>
        <w:numPr>
          <w:ilvl w:val="0"/>
          <w:numId w:val="66"/>
        </w:numPr>
        <w:spacing w:after="0"/>
        <w:rPr>
          <w:rFonts w:eastAsia="Times New Roman"/>
          <w:kern w:val="0"/>
          <w:sz w:val="22"/>
          <w14:ligatures w14:val="none"/>
        </w:rPr>
      </w:pPr>
      <w:r w:rsidRPr="00197CF4">
        <w:rPr>
          <w:rFonts w:eastAsia="Times New Roman"/>
          <w:kern w:val="0"/>
          <w:sz w:val="22"/>
          <w14:ligatures w14:val="none"/>
        </w:rPr>
        <w:t>In-Country Scholarship Program (ICSP) (e.g., University studies the Philippines)</w:t>
      </w:r>
    </w:p>
    <w:p w14:paraId="50AC3871" w14:textId="57AD7F71" w:rsidR="003A4B47" w:rsidRPr="00197CF4" w:rsidRDefault="003A4B47" w:rsidP="007D74C7">
      <w:pPr>
        <w:pStyle w:val="ListParagraph"/>
        <w:numPr>
          <w:ilvl w:val="0"/>
          <w:numId w:val="66"/>
        </w:numPr>
        <w:spacing w:after="0"/>
        <w:rPr>
          <w:rFonts w:eastAsia="Times New Roman"/>
          <w:sz w:val="22"/>
        </w:rPr>
      </w:pPr>
      <w:r w:rsidRPr="00197CF4">
        <w:rPr>
          <w:rFonts w:eastAsia="Times New Roman"/>
          <w:kern w:val="0"/>
          <w:sz w:val="22"/>
          <w14:ligatures w14:val="none"/>
        </w:rPr>
        <w:t>Short Courses (training and non-formal learning opportunities, e.g., fellowships, study visits)</w:t>
      </w:r>
      <w:r w:rsidR="0078429F" w:rsidRPr="00197CF4">
        <w:rPr>
          <w:rFonts w:eastAsia="Times New Roman"/>
          <w:kern w:val="0"/>
          <w:sz w:val="22"/>
          <w14:ligatures w14:val="none"/>
        </w:rPr>
        <w:t xml:space="preserve"> </w:t>
      </w:r>
    </w:p>
    <w:p w14:paraId="79FE1D37" w14:textId="77777777" w:rsidR="003A4B47" w:rsidRPr="00226C43" w:rsidRDefault="003A4B47" w:rsidP="003A4B47">
      <w:pPr>
        <w:spacing w:after="0"/>
        <w:jc w:val="both"/>
        <w:rPr>
          <w:rFonts w:eastAsia="Times New Roman"/>
          <w:kern w:val="0"/>
          <w:sz w:val="22"/>
          <w14:ligatures w14:val="none"/>
        </w:rPr>
      </w:pPr>
    </w:p>
    <w:p w14:paraId="1F466F53" w14:textId="77777777" w:rsidR="003A4B47" w:rsidRPr="00226C43" w:rsidRDefault="003A4B47" w:rsidP="003A4B47">
      <w:pPr>
        <w:spacing w:after="0"/>
        <w:jc w:val="both"/>
        <w:rPr>
          <w:rFonts w:eastAsia="Times New Roman"/>
          <w:i/>
          <w:kern w:val="0"/>
          <w:sz w:val="22"/>
          <w14:ligatures w14:val="none"/>
        </w:rPr>
      </w:pPr>
      <w:r w:rsidRPr="00226C43">
        <w:rPr>
          <w:rFonts w:eastAsia="Times New Roman"/>
          <w:i/>
          <w:kern w:val="0"/>
          <w:sz w:val="22"/>
          <w14:ligatures w14:val="none"/>
        </w:rPr>
        <w:t xml:space="preserve">5.2 Please rate your satisfaction with the following elements of alumni engagement using the scale below (based on the five criteria: relevance, effectiveness, efficiency, sustainability, and GEDSI). </w:t>
      </w:r>
    </w:p>
    <w:p w14:paraId="6C2985FC" w14:textId="77777777" w:rsidR="003A4B47" w:rsidRPr="00226C43" w:rsidRDefault="003A4B47" w:rsidP="003A4B47">
      <w:pPr>
        <w:spacing w:after="0"/>
        <w:jc w:val="both"/>
        <w:rPr>
          <w:rFonts w:eastAsia="Times New Roman"/>
          <w:i/>
          <w:kern w:val="0"/>
          <w:sz w:val="22"/>
          <w14:ligatures w14:val="none"/>
        </w:rPr>
      </w:pPr>
    </w:p>
    <w:p w14:paraId="100615A7" w14:textId="77777777" w:rsidR="003A4B47" w:rsidRPr="00226C43" w:rsidRDefault="003A4B47" w:rsidP="003A4B47">
      <w:pPr>
        <w:spacing w:after="0"/>
        <w:jc w:val="both"/>
        <w:rPr>
          <w:rFonts w:eastAsia="Times New Roman"/>
          <w:i/>
          <w:kern w:val="0"/>
          <w:sz w:val="22"/>
          <w14:ligatures w14:val="none"/>
        </w:rPr>
      </w:pPr>
      <w:r w:rsidRPr="00226C43">
        <w:rPr>
          <w:rFonts w:eastAsia="Times New Roman"/>
          <w:i/>
          <w:kern w:val="0"/>
          <w:sz w:val="22"/>
          <w14:ligatures w14:val="none"/>
        </w:rPr>
        <w:t>1 – Very Dissatisfied, 2 – Quite Dissatisfied, 3 – Dissatisfied, 4 – Satisfied, 5 – Quite Satisfied, 6 – Very Satisfied</w:t>
      </w:r>
    </w:p>
    <w:p w14:paraId="547959F2" w14:textId="77777777" w:rsidR="003A4B47" w:rsidRPr="00226C43" w:rsidRDefault="003A4B47" w:rsidP="003A4B47">
      <w:pPr>
        <w:spacing w:after="0"/>
        <w:rPr>
          <w:rFonts w:eastAsia="Times New Roman"/>
          <w:kern w:val="0"/>
          <w:sz w:val="22"/>
          <w14:ligatures w14:val="none"/>
        </w:rPr>
      </w:pPr>
    </w:p>
    <w:p w14:paraId="4E7C6E2F" w14:textId="77777777" w:rsidR="003A4B47" w:rsidRPr="00226C43" w:rsidRDefault="003A4B47" w:rsidP="00925CC1">
      <w:pPr>
        <w:pStyle w:val="ListParagraph"/>
        <w:numPr>
          <w:ilvl w:val="0"/>
          <w:numId w:val="22"/>
        </w:numPr>
        <w:suppressAutoHyphens w:val="0"/>
        <w:spacing w:after="0"/>
        <w:rPr>
          <w:rFonts w:eastAsia="Times New Roman"/>
          <w:kern w:val="0"/>
          <w:sz w:val="22"/>
          <w14:ligatures w14:val="none"/>
        </w:rPr>
      </w:pPr>
      <w:r w:rsidRPr="00226C43">
        <w:rPr>
          <w:rFonts w:eastAsia="Times New Roman"/>
          <w:kern w:val="0"/>
          <w:sz w:val="22"/>
          <w14:ligatures w14:val="none"/>
        </w:rPr>
        <w:t>Information about engagement activities</w:t>
      </w:r>
    </w:p>
    <w:p w14:paraId="727AE813" w14:textId="77777777" w:rsidR="003A4B47" w:rsidRPr="00226C43" w:rsidRDefault="003A4B47" w:rsidP="00925CC1">
      <w:pPr>
        <w:pStyle w:val="ListParagraph"/>
        <w:numPr>
          <w:ilvl w:val="0"/>
          <w:numId w:val="22"/>
        </w:numPr>
        <w:suppressAutoHyphens w:val="0"/>
        <w:spacing w:after="0"/>
        <w:rPr>
          <w:rFonts w:eastAsia="Times New Roman"/>
          <w:kern w:val="0"/>
          <w:sz w:val="22"/>
          <w14:ligatures w14:val="none"/>
        </w:rPr>
      </w:pPr>
      <w:r w:rsidRPr="00226C43">
        <w:rPr>
          <w:rFonts w:eastAsia="Times New Roman"/>
          <w:kern w:val="0"/>
          <w:sz w:val="22"/>
          <w14:ligatures w14:val="none"/>
        </w:rPr>
        <w:t>The range of AE opportunities available to alumni</w:t>
      </w:r>
    </w:p>
    <w:p w14:paraId="026653D6" w14:textId="73793E6B" w:rsidR="003A4B47" w:rsidRPr="00226C43" w:rsidRDefault="003A4B47" w:rsidP="00925CC1">
      <w:pPr>
        <w:pStyle w:val="ListParagraph"/>
        <w:numPr>
          <w:ilvl w:val="0"/>
          <w:numId w:val="22"/>
        </w:numPr>
        <w:suppressAutoHyphens w:val="0"/>
        <w:spacing w:after="0"/>
        <w:rPr>
          <w:rFonts w:eastAsia="Times New Roman"/>
          <w:kern w:val="0"/>
          <w:sz w:val="22"/>
          <w14:ligatures w14:val="none"/>
        </w:rPr>
      </w:pPr>
      <w:r w:rsidRPr="00226C43">
        <w:rPr>
          <w:rFonts w:eastAsia="Times New Roman"/>
          <w:kern w:val="0"/>
          <w:sz w:val="22"/>
          <w14:ligatures w14:val="none"/>
        </w:rPr>
        <w:t>The organisation and delivery of AE activities</w:t>
      </w:r>
    </w:p>
    <w:p w14:paraId="77D38D6F" w14:textId="0D5C8BC8" w:rsidR="003A4B47" w:rsidRPr="00226C43" w:rsidRDefault="003A4B47" w:rsidP="00925CC1">
      <w:pPr>
        <w:pStyle w:val="ListParagraph"/>
        <w:numPr>
          <w:ilvl w:val="0"/>
          <w:numId w:val="22"/>
        </w:numPr>
        <w:suppressAutoHyphens w:val="0"/>
        <w:spacing w:after="0"/>
        <w:rPr>
          <w:rFonts w:eastAsia="Times New Roman"/>
          <w:kern w:val="0"/>
          <w:sz w:val="22"/>
          <w14:ligatures w14:val="none"/>
        </w:rPr>
      </w:pPr>
      <w:r w:rsidRPr="00226C43">
        <w:rPr>
          <w:rFonts w:eastAsia="Times New Roman"/>
          <w:kern w:val="0"/>
          <w:sz w:val="22"/>
          <w14:ligatures w14:val="none"/>
        </w:rPr>
        <w:t>The usefulness of AE activities for my career</w:t>
      </w:r>
    </w:p>
    <w:p w14:paraId="4E77A601" w14:textId="77777777" w:rsidR="003A4B47" w:rsidRPr="00226C43" w:rsidRDefault="003A4B47" w:rsidP="00925CC1">
      <w:pPr>
        <w:pStyle w:val="ListParagraph"/>
        <w:numPr>
          <w:ilvl w:val="0"/>
          <w:numId w:val="22"/>
        </w:numPr>
        <w:suppressAutoHyphens w:val="0"/>
        <w:spacing w:after="0"/>
        <w:rPr>
          <w:rFonts w:eastAsia="Times New Roman"/>
          <w:kern w:val="0"/>
          <w:sz w:val="22"/>
          <w14:ligatures w14:val="none"/>
        </w:rPr>
      </w:pPr>
      <w:r w:rsidRPr="00226C43">
        <w:rPr>
          <w:rFonts w:eastAsia="Times New Roman"/>
          <w:kern w:val="0"/>
          <w:sz w:val="22"/>
          <w14:ligatures w14:val="none"/>
        </w:rPr>
        <w:lastRenderedPageBreak/>
        <w:t xml:space="preserve">The usefulness of the AE to your organisation </w:t>
      </w:r>
    </w:p>
    <w:p w14:paraId="28F68AEF" w14:textId="77777777" w:rsidR="003A4B47" w:rsidRPr="00226C43" w:rsidRDefault="003A4B47" w:rsidP="00925CC1">
      <w:pPr>
        <w:pStyle w:val="ListParagraph"/>
        <w:numPr>
          <w:ilvl w:val="0"/>
          <w:numId w:val="22"/>
        </w:numPr>
        <w:suppressAutoHyphens w:val="0"/>
        <w:spacing w:after="0"/>
        <w:rPr>
          <w:rFonts w:eastAsia="Times New Roman"/>
          <w:kern w:val="0"/>
          <w:sz w:val="22"/>
          <w14:ligatures w14:val="none"/>
        </w:rPr>
      </w:pPr>
      <w:r w:rsidRPr="00226C43">
        <w:rPr>
          <w:rFonts w:eastAsia="Times New Roman"/>
          <w:kern w:val="0"/>
          <w:sz w:val="22"/>
          <w14:ligatures w14:val="none"/>
        </w:rPr>
        <w:t>The usefulness of the Alumni Grant Scheme</w:t>
      </w:r>
    </w:p>
    <w:p w14:paraId="4F44B5EC" w14:textId="77777777" w:rsidR="003A4B47" w:rsidRPr="00226C43" w:rsidRDefault="003A4B47" w:rsidP="003A4B47">
      <w:pPr>
        <w:spacing w:after="0"/>
        <w:rPr>
          <w:rFonts w:eastAsia="Times New Roman"/>
          <w:kern w:val="0"/>
          <w:sz w:val="22"/>
          <w14:ligatures w14:val="none"/>
        </w:rPr>
      </w:pPr>
    </w:p>
    <w:p w14:paraId="1A03F6A1" w14:textId="77777777" w:rsidR="003A4B47" w:rsidRPr="00226C43" w:rsidRDefault="003A4B47" w:rsidP="003A4B47">
      <w:pPr>
        <w:spacing w:after="0"/>
        <w:rPr>
          <w:rFonts w:eastAsia="Times New Roman"/>
          <w:kern w:val="0"/>
          <w:sz w:val="22"/>
          <w14:ligatures w14:val="none"/>
        </w:rPr>
      </w:pPr>
      <w:r w:rsidRPr="00226C43">
        <w:rPr>
          <w:rFonts w:eastAsia="Times New Roman"/>
          <w:kern w:val="0"/>
          <w:sz w:val="22"/>
          <w14:ligatures w14:val="none"/>
        </w:rPr>
        <w:t>5.2</w:t>
      </w:r>
      <w:r w:rsidRPr="00226C43">
        <w:rPr>
          <w:rFonts w:eastAsia="Times New Roman"/>
          <w:kern w:val="0"/>
          <w:sz w:val="22"/>
          <w14:ligatures w14:val="none"/>
        </w:rPr>
        <w:tab/>
        <w:t xml:space="preserve">Please provide any comments relating to the satisfaction ratings provided above. </w:t>
      </w:r>
    </w:p>
    <w:p w14:paraId="25193470" w14:textId="77777777" w:rsidR="003A4B47" w:rsidRDefault="003A4B47" w:rsidP="003A4B47">
      <w:pPr>
        <w:spacing w:after="0"/>
        <w:rPr>
          <w:rFonts w:eastAsia="Times New Roman"/>
          <w:b/>
          <w:kern w:val="0"/>
          <w:sz w:val="22"/>
          <w14:ligatures w14:val="none"/>
        </w:rPr>
      </w:pPr>
    </w:p>
    <w:p w14:paraId="52FD7E22" w14:textId="77777777" w:rsidR="003A4B47" w:rsidRPr="00226C43" w:rsidRDefault="003A4B47" w:rsidP="003A4B47">
      <w:pPr>
        <w:spacing w:after="0"/>
        <w:rPr>
          <w:rFonts w:eastAsia="Times New Roman"/>
          <w:b/>
          <w:kern w:val="0"/>
          <w:sz w:val="22"/>
          <w14:ligatures w14:val="none"/>
        </w:rPr>
      </w:pPr>
      <w:r w:rsidRPr="00226C43">
        <w:rPr>
          <w:rFonts w:eastAsia="Times New Roman"/>
          <w:b/>
          <w:kern w:val="0"/>
          <w:sz w:val="22"/>
          <w14:ligatures w14:val="none"/>
        </w:rPr>
        <w:t>6. Broader programmatic questions</w:t>
      </w:r>
    </w:p>
    <w:p w14:paraId="61DCC933" w14:textId="77777777" w:rsidR="003A4B47" w:rsidRPr="00226C43" w:rsidRDefault="003A4B47" w:rsidP="003A4B47">
      <w:pPr>
        <w:spacing w:after="0"/>
        <w:rPr>
          <w:rFonts w:eastAsia="Times New Roman"/>
          <w:b/>
          <w:kern w:val="0"/>
          <w:sz w:val="22"/>
          <w14:ligatures w14:val="none"/>
        </w:rPr>
      </w:pPr>
    </w:p>
    <w:p w14:paraId="6E1F841D" w14:textId="7B3CDF04" w:rsidR="003A4B47" w:rsidRPr="00226C43" w:rsidRDefault="003A4B47" w:rsidP="4DD21A85">
      <w:pPr>
        <w:spacing w:after="0"/>
        <w:jc w:val="both"/>
        <w:rPr>
          <w:rFonts w:eastAsia="Times New Roman"/>
          <w:i/>
          <w:kern w:val="0"/>
          <w:sz w:val="22"/>
          <w:szCs w:val="22"/>
          <w14:ligatures w14:val="none"/>
        </w:rPr>
      </w:pPr>
      <w:r w:rsidRPr="00226C43">
        <w:rPr>
          <w:rFonts w:eastAsia="Times New Roman"/>
          <w:i/>
          <w:kern w:val="0"/>
          <w:sz w:val="22"/>
          <w:szCs w:val="22"/>
          <w14:ligatures w14:val="none"/>
        </w:rPr>
        <w:t xml:space="preserve">Please rate the overall AAAEP–P program using the scale below (based on the five criteria: relevance, effectiveness, efficiency, sustainability, and GEDSI). </w:t>
      </w:r>
    </w:p>
    <w:p w14:paraId="4A1C3D87" w14:textId="77777777" w:rsidR="003A4B47" w:rsidRPr="00226C43" w:rsidRDefault="003A4B47" w:rsidP="003A4B47">
      <w:pPr>
        <w:spacing w:after="0"/>
        <w:rPr>
          <w:rFonts w:eastAsia="Times New Roman"/>
          <w:i/>
          <w:kern w:val="0"/>
          <w:sz w:val="22"/>
          <w14:ligatures w14:val="none"/>
        </w:rPr>
      </w:pPr>
    </w:p>
    <w:p w14:paraId="38713A96" w14:textId="77777777" w:rsidR="003A4B47" w:rsidRPr="00226C43" w:rsidRDefault="003A4B47" w:rsidP="003A4B47">
      <w:pPr>
        <w:spacing w:after="0"/>
        <w:rPr>
          <w:rFonts w:eastAsia="Times New Roman"/>
          <w:i/>
          <w:kern w:val="0"/>
          <w:sz w:val="22"/>
          <w14:ligatures w14:val="none"/>
        </w:rPr>
      </w:pPr>
      <w:r w:rsidRPr="00226C43">
        <w:rPr>
          <w:rFonts w:eastAsia="Times New Roman"/>
          <w:i/>
          <w:kern w:val="0"/>
          <w:sz w:val="22"/>
          <w14:ligatures w14:val="none"/>
        </w:rPr>
        <w:t>1 – Very Bad, 2 – Quite Bad, 3 – Bad, 4 – Good, 5 – Quite Good, 6 – Very Good</w:t>
      </w:r>
    </w:p>
    <w:p w14:paraId="6AE15E76" w14:textId="77777777" w:rsidR="003A4B47" w:rsidRPr="00226C43" w:rsidRDefault="003A4B47" w:rsidP="003A4B47">
      <w:pPr>
        <w:spacing w:after="0"/>
        <w:rPr>
          <w:rFonts w:eastAsia="Times New Roman"/>
          <w:b/>
          <w:kern w:val="0"/>
          <w:sz w:val="22"/>
          <w14:ligatures w14:val="none"/>
        </w:rPr>
      </w:pPr>
    </w:p>
    <w:p w14:paraId="62F1CA21" w14:textId="77777777" w:rsidR="003A4B47" w:rsidRPr="00226C43" w:rsidRDefault="003A4B47" w:rsidP="003A4B47">
      <w:pPr>
        <w:spacing w:after="0"/>
        <w:rPr>
          <w:rFonts w:eastAsia="Times New Roman"/>
          <w:kern w:val="0"/>
          <w:sz w:val="22"/>
          <w14:ligatures w14:val="none"/>
        </w:rPr>
      </w:pPr>
      <w:r w:rsidRPr="00226C43">
        <w:rPr>
          <w:rFonts w:eastAsia="Times New Roman"/>
          <w:kern w:val="0"/>
          <w:sz w:val="22"/>
          <w14:ligatures w14:val="none"/>
        </w:rPr>
        <w:t>6.1</w:t>
      </w:r>
      <w:r w:rsidRPr="00226C43">
        <w:rPr>
          <w:rFonts w:eastAsia="Times New Roman"/>
          <w:b/>
          <w:kern w:val="0"/>
          <w:sz w:val="22"/>
          <w14:ligatures w14:val="none"/>
        </w:rPr>
        <w:t xml:space="preserve"> </w:t>
      </w:r>
      <w:r w:rsidRPr="00226C43">
        <w:rPr>
          <w:rFonts w:eastAsia="Times New Roman"/>
          <w:kern w:val="0"/>
          <w:sz w:val="22"/>
          <w14:ligatures w14:val="none"/>
        </w:rPr>
        <w:t>How would you rate the relevance of your course to:</w:t>
      </w:r>
    </w:p>
    <w:p w14:paraId="7E4B9DD6" w14:textId="77777777" w:rsidR="003A4B47" w:rsidRPr="00226C43" w:rsidRDefault="003A4B47" w:rsidP="00925CC1">
      <w:pPr>
        <w:pStyle w:val="ListParagraph"/>
        <w:numPr>
          <w:ilvl w:val="0"/>
          <w:numId w:val="18"/>
        </w:numPr>
        <w:suppressAutoHyphens w:val="0"/>
        <w:spacing w:after="0"/>
        <w:rPr>
          <w:rFonts w:eastAsia="Times New Roman"/>
          <w:kern w:val="0"/>
          <w:sz w:val="22"/>
          <w14:ligatures w14:val="none"/>
        </w:rPr>
      </w:pPr>
      <w:r w:rsidRPr="00226C43">
        <w:rPr>
          <w:rFonts w:eastAsia="Times New Roman"/>
          <w:kern w:val="0"/>
          <w:sz w:val="22"/>
          <w14:ligatures w14:val="none"/>
        </w:rPr>
        <w:t>The Philippine government’s priorities</w:t>
      </w:r>
    </w:p>
    <w:p w14:paraId="35F3213D" w14:textId="77777777" w:rsidR="003A4B47" w:rsidRPr="00226C43" w:rsidRDefault="003A4B47" w:rsidP="00925CC1">
      <w:pPr>
        <w:pStyle w:val="ListParagraph"/>
        <w:numPr>
          <w:ilvl w:val="0"/>
          <w:numId w:val="18"/>
        </w:numPr>
        <w:suppressAutoHyphens w:val="0"/>
        <w:spacing w:after="0"/>
        <w:rPr>
          <w:rFonts w:eastAsia="Times New Roman"/>
          <w:kern w:val="0"/>
          <w:sz w:val="22"/>
          <w14:ligatures w14:val="none"/>
        </w:rPr>
      </w:pPr>
      <w:r w:rsidRPr="00226C43">
        <w:rPr>
          <w:rFonts w:eastAsia="Times New Roman"/>
          <w:kern w:val="0"/>
          <w:sz w:val="22"/>
          <w14:ligatures w14:val="none"/>
        </w:rPr>
        <w:t xml:space="preserve">Your organisation </w:t>
      </w:r>
    </w:p>
    <w:p w14:paraId="4B4EFCCC" w14:textId="77777777" w:rsidR="003A4B47" w:rsidRPr="00226C43" w:rsidRDefault="003A4B47" w:rsidP="00925CC1">
      <w:pPr>
        <w:pStyle w:val="ListParagraph"/>
        <w:numPr>
          <w:ilvl w:val="0"/>
          <w:numId w:val="18"/>
        </w:numPr>
        <w:suppressAutoHyphens w:val="0"/>
        <w:spacing w:after="0"/>
        <w:rPr>
          <w:rFonts w:eastAsia="Times New Roman"/>
          <w:kern w:val="0"/>
          <w:sz w:val="22"/>
          <w14:ligatures w14:val="none"/>
        </w:rPr>
      </w:pPr>
      <w:r w:rsidRPr="00226C43">
        <w:rPr>
          <w:rFonts w:eastAsia="Times New Roman"/>
          <w:kern w:val="0"/>
          <w:sz w:val="22"/>
          <w14:ligatures w14:val="none"/>
        </w:rPr>
        <w:t>Advancing GEDSI in the Philippines</w:t>
      </w:r>
    </w:p>
    <w:p w14:paraId="3044FD92" w14:textId="77777777" w:rsidR="003A4B47" w:rsidRPr="00226C43" w:rsidRDefault="003A4B47" w:rsidP="00925CC1">
      <w:pPr>
        <w:pStyle w:val="ListParagraph"/>
        <w:numPr>
          <w:ilvl w:val="0"/>
          <w:numId w:val="18"/>
        </w:numPr>
        <w:suppressAutoHyphens w:val="0"/>
        <w:spacing w:after="0"/>
        <w:rPr>
          <w:rFonts w:eastAsia="Times New Roman"/>
          <w:kern w:val="0"/>
          <w:sz w:val="22"/>
          <w14:ligatures w14:val="none"/>
        </w:rPr>
      </w:pPr>
      <w:r w:rsidRPr="00226C43">
        <w:rPr>
          <w:rFonts w:eastAsia="Times New Roman"/>
          <w:kern w:val="0"/>
          <w:sz w:val="22"/>
          <w14:ligatures w14:val="none"/>
        </w:rPr>
        <w:t>Your career progression</w:t>
      </w:r>
    </w:p>
    <w:p w14:paraId="61C08D3F" w14:textId="77777777" w:rsidR="003A4B47" w:rsidRPr="00226C43" w:rsidRDefault="003A4B47" w:rsidP="00925CC1">
      <w:pPr>
        <w:pStyle w:val="ListParagraph"/>
        <w:numPr>
          <w:ilvl w:val="0"/>
          <w:numId w:val="18"/>
        </w:numPr>
        <w:suppressAutoHyphens w:val="0"/>
        <w:spacing w:after="0"/>
        <w:rPr>
          <w:rFonts w:eastAsia="Times New Roman"/>
          <w:kern w:val="0"/>
          <w:sz w:val="22"/>
          <w14:ligatures w14:val="none"/>
        </w:rPr>
      </w:pPr>
      <w:r w:rsidRPr="00226C43">
        <w:rPr>
          <w:rFonts w:eastAsia="Times New Roman"/>
          <w:kern w:val="0"/>
          <w:sz w:val="22"/>
          <w14:ligatures w14:val="none"/>
        </w:rPr>
        <w:t>Your personal life</w:t>
      </w:r>
    </w:p>
    <w:p w14:paraId="32F7A778" w14:textId="77777777" w:rsidR="003A4B47" w:rsidRPr="00226C43" w:rsidRDefault="003A4B47" w:rsidP="003A4B47">
      <w:pPr>
        <w:spacing w:after="0"/>
        <w:rPr>
          <w:rFonts w:eastAsia="Times New Roman"/>
          <w:kern w:val="0"/>
          <w:sz w:val="22"/>
          <w14:ligatures w14:val="none"/>
        </w:rPr>
      </w:pPr>
    </w:p>
    <w:p w14:paraId="61E06A8D" w14:textId="77777777" w:rsidR="003A4B47" w:rsidRPr="00226C43" w:rsidRDefault="003A4B47" w:rsidP="003A4B47">
      <w:pPr>
        <w:spacing w:after="0"/>
        <w:rPr>
          <w:rFonts w:eastAsia="Times New Roman"/>
          <w:kern w:val="0"/>
          <w:sz w:val="22"/>
          <w14:ligatures w14:val="none"/>
        </w:rPr>
      </w:pPr>
      <w:r w:rsidRPr="00226C43">
        <w:rPr>
          <w:rFonts w:eastAsia="Times New Roman"/>
          <w:kern w:val="0"/>
          <w:sz w:val="22"/>
          <w14:ligatures w14:val="none"/>
        </w:rPr>
        <w:t xml:space="preserve">6.2. How would you rate the effectiveness of Australia Awards in supporting: </w:t>
      </w:r>
    </w:p>
    <w:p w14:paraId="236B8EF4" w14:textId="77777777" w:rsidR="003A4B47" w:rsidRPr="00226C43" w:rsidRDefault="003A4B47" w:rsidP="00925CC1">
      <w:pPr>
        <w:pStyle w:val="ListParagraph"/>
        <w:numPr>
          <w:ilvl w:val="0"/>
          <w:numId w:val="19"/>
        </w:numPr>
        <w:suppressAutoHyphens w:val="0"/>
        <w:spacing w:after="0"/>
        <w:rPr>
          <w:rFonts w:eastAsia="Times New Roman"/>
          <w:kern w:val="0"/>
          <w:sz w:val="22"/>
          <w14:ligatures w14:val="none"/>
        </w:rPr>
      </w:pPr>
      <w:r w:rsidRPr="00226C43">
        <w:rPr>
          <w:rFonts w:eastAsia="Times New Roman"/>
          <w:kern w:val="0"/>
          <w:sz w:val="22"/>
          <w14:ligatures w14:val="none"/>
        </w:rPr>
        <w:t>The Philippine government’s priorities</w:t>
      </w:r>
    </w:p>
    <w:p w14:paraId="7057FAA2" w14:textId="77777777" w:rsidR="003A4B47" w:rsidRPr="00226C43" w:rsidRDefault="003A4B47" w:rsidP="00925CC1">
      <w:pPr>
        <w:pStyle w:val="ListParagraph"/>
        <w:numPr>
          <w:ilvl w:val="0"/>
          <w:numId w:val="19"/>
        </w:numPr>
        <w:suppressAutoHyphens w:val="0"/>
        <w:spacing w:after="0"/>
        <w:rPr>
          <w:rFonts w:eastAsia="Times New Roman"/>
          <w:kern w:val="0"/>
          <w:sz w:val="22"/>
          <w14:ligatures w14:val="none"/>
        </w:rPr>
      </w:pPr>
      <w:r w:rsidRPr="00226C43">
        <w:rPr>
          <w:rFonts w:eastAsia="Times New Roman"/>
          <w:kern w:val="0"/>
          <w:sz w:val="22"/>
          <w14:ligatures w14:val="none"/>
        </w:rPr>
        <w:t xml:space="preserve">Your organisation </w:t>
      </w:r>
    </w:p>
    <w:p w14:paraId="7A370A71" w14:textId="77777777" w:rsidR="003A4B47" w:rsidRPr="00226C43" w:rsidRDefault="003A4B47" w:rsidP="00925CC1">
      <w:pPr>
        <w:pStyle w:val="ListParagraph"/>
        <w:numPr>
          <w:ilvl w:val="0"/>
          <w:numId w:val="19"/>
        </w:numPr>
        <w:suppressAutoHyphens w:val="0"/>
        <w:spacing w:after="0"/>
        <w:rPr>
          <w:rFonts w:eastAsia="Times New Roman"/>
          <w:kern w:val="0"/>
          <w:sz w:val="22"/>
          <w14:ligatures w14:val="none"/>
        </w:rPr>
      </w:pPr>
      <w:r w:rsidRPr="00226C43">
        <w:rPr>
          <w:rFonts w:eastAsia="Times New Roman"/>
          <w:kern w:val="0"/>
          <w:sz w:val="22"/>
          <w14:ligatures w14:val="none"/>
        </w:rPr>
        <w:t>Advancing GEDSI in the Philippines</w:t>
      </w:r>
    </w:p>
    <w:p w14:paraId="2C9878FA" w14:textId="77777777" w:rsidR="003A4B47" w:rsidRPr="00226C43" w:rsidRDefault="003A4B47" w:rsidP="003A4B47">
      <w:pPr>
        <w:spacing w:after="0"/>
        <w:rPr>
          <w:rFonts w:eastAsia="Times New Roman"/>
          <w:kern w:val="0"/>
          <w:sz w:val="22"/>
          <w14:ligatures w14:val="none"/>
        </w:rPr>
      </w:pPr>
    </w:p>
    <w:p w14:paraId="7065E642" w14:textId="139AA0FA" w:rsidR="003A4B47" w:rsidRPr="00226C43" w:rsidRDefault="003A4B47" w:rsidP="4DD21A85">
      <w:pPr>
        <w:spacing w:after="0"/>
        <w:rPr>
          <w:rFonts w:eastAsia="Times New Roman"/>
          <w:kern w:val="0"/>
          <w:sz w:val="22"/>
          <w:szCs w:val="22"/>
          <w14:ligatures w14:val="none"/>
        </w:rPr>
      </w:pPr>
      <w:r w:rsidRPr="00226C43">
        <w:rPr>
          <w:rFonts w:eastAsia="Times New Roman"/>
          <w:kern w:val="0"/>
          <w:sz w:val="22"/>
          <w:szCs w:val="22"/>
          <w14:ligatures w14:val="none"/>
        </w:rPr>
        <w:t>6.3. How efficiently do you think AAAEP–P uses its resources?</w:t>
      </w:r>
    </w:p>
    <w:p w14:paraId="103F7135" w14:textId="77777777" w:rsidR="003A4B47" w:rsidRPr="00226C43" w:rsidRDefault="003A4B47" w:rsidP="003A4B47">
      <w:pPr>
        <w:spacing w:after="0"/>
        <w:rPr>
          <w:rFonts w:eastAsia="Times New Roman"/>
          <w:kern w:val="0"/>
          <w:sz w:val="22"/>
          <w14:ligatures w14:val="none"/>
        </w:rPr>
      </w:pPr>
    </w:p>
    <w:p w14:paraId="6CE6C236" w14:textId="77777777" w:rsidR="003A4B47" w:rsidRPr="00226C43" w:rsidRDefault="003A4B47" w:rsidP="003A4B47">
      <w:pPr>
        <w:spacing w:after="0"/>
        <w:rPr>
          <w:rFonts w:eastAsia="Times New Roman"/>
          <w:kern w:val="0"/>
          <w:sz w:val="22"/>
          <w14:ligatures w14:val="none"/>
        </w:rPr>
      </w:pPr>
      <w:r w:rsidRPr="00226C43">
        <w:rPr>
          <w:rFonts w:eastAsia="Times New Roman"/>
          <w:kern w:val="0"/>
          <w:sz w:val="22"/>
          <w14:ligatures w14:val="none"/>
        </w:rPr>
        <w:t>6.4 How well does the program prioritise and allocate resourcing for GEDSI?</w:t>
      </w:r>
    </w:p>
    <w:p w14:paraId="6BB58827" w14:textId="77777777" w:rsidR="003A4B47" w:rsidRPr="00226C43" w:rsidRDefault="003A4B47" w:rsidP="003A4B47">
      <w:pPr>
        <w:spacing w:after="0"/>
        <w:rPr>
          <w:rFonts w:eastAsia="Times New Roman"/>
          <w:kern w:val="0"/>
          <w:sz w:val="22"/>
          <w14:ligatures w14:val="none"/>
        </w:rPr>
      </w:pPr>
    </w:p>
    <w:p w14:paraId="2E3527CC" w14:textId="520A54C1" w:rsidR="003A4B47" w:rsidRPr="00226C43" w:rsidRDefault="003A4B47" w:rsidP="4DD21A85">
      <w:pPr>
        <w:spacing w:after="0"/>
        <w:jc w:val="both"/>
        <w:rPr>
          <w:rFonts w:eastAsia="Times New Roman"/>
          <w:kern w:val="0"/>
          <w:sz w:val="22"/>
          <w:szCs w:val="22"/>
          <w14:ligatures w14:val="none"/>
        </w:rPr>
      </w:pPr>
      <w:r w:rsidRPr="00226C43">
        <w:rPr>
          <w:rFonts w:eastAsia="Times New Roman"/>
          <w:kern w:val="0"/>
          <w:sz w:val="22"/>
          <w:szCs w:val="22"/>
          <w14:ligatures w14:val="none"/>
        </w:rPr>
        <w:t xml:space="preserve">6.5. How would you rate the extent to which the AAAEP–P has assisted the Philippine Government or the private sector to maximise continuing benefits from Australia Awards alumni (for example increased knowledge and skills, and relationships and networks)? </w:t>
      </w:r>
    </w:p>
    <w:p w14:paraId="484478AD" w14:textId="77777777" w:rsidR="003A4B47" w:rsidRPr="00226C43" w:rsidRDefault="003A4B47" w:rsidP="003A4B47">
      <w:pPr>
        <w:spacing w:after="0"/>
        <w:rPr>
          <w:rFonts w:eastAsia="Times New Roman"/>
          <w:kern w:val="0"/>
          <w:sz w:val="22"/>
          <w14:ligatures w14:val="none"/>
        </w:rPr>
      </w:pPr>
    </w:p>
    <w:p w14:paraId="05D66E33" w14:textId="77777777" w:rsidR="003A4B47" w:rsidRPr="00226C43" w:rsidRDefault="003A4B47" w:rsidP="003A4B47">
      <w:pPr>
        <w:spacing w:after="0"/>
        <w:rPr>
          <w:rFonts w:eastAsia="Times New Roman"/>
          <w:i/>
          <w:kern w:val="0"/>
          <w:sz w:val="22"/>
          <w14:ligatures w14:val="none"/>
        </w:rPr>
      </w:pPr>
      <w:r w:rsidRPr="00226C43">
        <w:rPr>
          <w:rFonts w:eastAsia="Times New Roman"/>
          <w:i/>
          <w:kern w:val="0"/>
          <w:sz w:val="22"/>
          <w14:ligatures w14:val="none"/>
        </w:rPr>
        <w:t xml:space="preserve">Please provide a written response to the following questions: </w:t>
      </w:r>
    </w:p>
    <w:p w14:paraId="0E4E5CD8" w14:textId="77777777" w:rsidR="003A4B47" w:rsidRPr="00226C43" w:rsidRDefault="003A4B47" w:rsidP="003A4B47">
      <w:pPr>
        <w:spacing w:after="0"/>
        <w:rPr>
          <w:rFonts w:eastAsia="Times New Roman"/>
          <w:kern w:val="0"/>
          <w:sz w:val="22"/>
          <w14:ligatures w14:val="none"/>
        </w:rPr>
      </w:pPr>
    </w:p>
    <w:p w14:paraId="6F4C746D" w14:textId="77777777" w:rsidR="003A4B47" w:rsidRPr="00226C43" w:rsidRDefault="003A4B47" w:rsidP="003A4B47">
      <w:pPr>
        <w:spacing w:after="0"/>
        <w:rPr>
          <w:rFonts w:eastAsia="Times New Roman"/>
          <w:kern w:val="0"/>
          <w:sz w:val="22"/>
          <w14:ligatures w14:val="none"/>
        </w:rPr>
      </w:pPr>
      <w:r w:rsidRPr="00226C43">
        <w:rPr>
          <w:rFonts w:eastAsia="Times New Roman"/>
          <w:kern w:val="0"/>
          <w:sz w:val="22"/>
          <w14:ligatures w14:val="none"/>
        </w:rPr>
        <w:t xml:space="preserve">6.6. </w:t>
      </w:r>
    </w:p>
    <w:p w14:paraId="631B6F02" w14:textId="328F1711" w:rsidR="003A4B47" w:rsidRPr="00226C43" w:rsidRDefault="003A4B47" w:rsidP="4DD21A85">
      <w:pPr>
        <w:jc w:val="both"/>
        <w:rPr>
          <w:rFonts w:eastAsia="Times New Roman"/>
          <w:kern w:val="0"/>
          <w:sz w:val="22"/>
          <w:szCs w:val="22"/>
          <w14:ligatures w14:val="none"/>
        </w:rPr>
      </w:pPr>
      <w:r w:rsidRPr="00226C43">
        <w:rPr>
          <w:rFonts w:eastAsia="Times New Roman"/>
          <w:b/>
          <w:kern w:val="0"/>
          <w:sz w:val="22"/>
          <w:szCs w:val="22"/>
          <w14:ligatures w14:val="none"/>
        </w:rPr>
        <w:t xml:space="preserve">AAAEP–P’s goal </w:t>
      </w:r>
      <w:r w:rsidRPr="00226C43">
        <w:rPr>
          <w:rFonts w:eastAsia="Times New Roman"/>
          <w:kern w:val="0"/>
          <w:sz w:val="22"/>
          <w:szCs w:val="22"/>
          <w14:ligatures w14:val="none"/>
        </w:rPr>
        <w:t xml:space="preserve">is: </w:t>
      </w:r>
      <w:r w:rsidRPr="00226C43">
        <w:rPr>
          <w:rFonts w:eastAsia="Times New Roman"/>
          <w:i/>
          <w:kern w:val="0"/>
          <w:sz w:val="22"/>
          <w:szCs w:val="22"/>
          <w14:ligatures w14:val="none"/>
        </w:rPr>
        <w:t>To support the Philippines to progress its development goals and have positive relationships with Australia that advances mutual interest.</w:t>
      </w:r>
    </w:p>
    <w:p w14:paraId="2E7E91D8" w14:textId="514DAD05" w:rsidR="003A4B47" w:rsidRPr="00226C43" w:rsidRDefault="003A4B47" w:rsidP="4DD21A85">
      <w:pPr>
        <w:ind w:left="2880" w:hanging="2880"/>
        <w:jc w:val="both"/>
        <w:rPr>
          <w:rFonts w:eastAsia="Times New Roman"/>
          <w:kern w:val="0"/>
          <w:sz w:val="22"/>
          <w:szCs w:val="22"/>
          <w14:ligatures w14:val="none"/>
        </w:rPr>
      </w:pPr>
      <w:r w:rsidRPr="00226C43">
        <w:rPr>
          <w:rFonts w:eastAsia="Times New Roman"/>
          <w:b/>
          <w:kern w:val="0"/>
          <w:sz w:val="22"/>
          <w:szCs w:val="22"/>
          <w14:ligatures w14:val="none"/>
        </w:rPr>
        <w:t>AAAEP–P’s End of Program Outcomes (EOPOs)</w:t>
      </w:r>
      <w:r w:rsidRPr="00226C43">
        <w:rPr>
          <w:rFonts w:eastAsia="Times New Roman"/>
          <w:kern w:val="0"/>
          <w:sz w:val="22"/>
          <w:szCs w:val="22"/>
          <w14:ligatures w14:val="none"/>
        </w:rPr>
        <w:t xml:space="preserve"> are:</w:t>
      </w:r>
    </w:p>
    <w:p w14:paraId="48ADD772" w14:textId="77777777" w:rsidR="003A4B47" w:rsidRPr="00226C43" w:rsidRDefault="003A4B47" w:rsidP="00925CC1">
      <w:pPr>
        <w:pStyle w:val="ListParagraph"/>
        <w:numPr>
          <w:ilvl w:val="0"/>
          <w:numId w:val="16"/>
        </w:numPr>
        <w:suppressAutoHyphens w:val="0"/>
        <w:spacing w:line="259" w:lineRule="auto"/>
        <w:ind w:left="180" w:hanging="180"/>
        <w:jc w:val="both"/>
        <w:rPr>
          <w:rFonts w:eastAsia="Times New Roman"/>
          <w:kern w:val="0"/>
          <w:sz w:val="22"/>
          <w14:ligatures w14:val="none"/>
        </w:rPr>
      </w:pPr>
      <w:r w:rsidRPr="00226C43">
        <w:rPr>
          <w:rFonts w:eastAsia="Times New Roman"/>
          <w:kern w:val="0"/>
          <w:sz w:val="22"/>
          <w14:ligatures w14:val="none"/>
        </w:rPr>
        <w:t>EOPO 1: Diverse alumni, and where relevant, their organisations use skills, knowledge, and networks to contribute to sustainable development, and</w:t>
      </w:r>
    </w:p>
    <w:p w14:paraId="502F114C" w14:textId="77777777" w:rsidR="003A4B47" w:rsidRPr="00226C43" w:rsidRDefault="003A4B47" w:rsidP="00925CC1">
      <w:pPr>
        <w:pStyle w:val="ListParagraph"/>
        <w:numPr>
          <w:ilvl w:val="0"/>
          <w:numId w:val="16"/>
        </w:numPr>
        <w:suppressAutoHyphens w:val="0"/>
        <w:spacing w:line="259" w:lineRule="auto"/>
        <w:ind w:left="180" w:hanging="180"/>
        <w:jc w:val="both"/>
        <w:rPr>
          <w:rFonts w:eastAsia="Times New Roman"/>
          <w:kern w:val="0"/>
          <w:sz w:val="22"/>
          <w14:ligatures w14:val="none"/>
        </w:rPr>
      </w:pPr>
      <w:r w:rsidRPr="00226C43">
        <w:rPr>
          <w:rFonts w:eastAsia="Times New Roman"/>
          <w:kern w:val="0"/>
          <w:sz w:val="22"/>
          <w14:ligatures w14:val="none"/>
        </w:rPr>
        <w:t xml:space="preserve">EOPO 2: Diverse alumni have contributed to strengthening cooperation between the Philippines and Australia. </w:t>
      </w:r>
    </w:p>
    <w:p w14:paraId="38B76521" w14:textId="77777777" w:rsidR="003A4B47" w:rsidRPr="00226C43" w:rsidRDefault="003A4B47" w:rsidP="003A4B47">
      <w:pPr>
        <w:pStyle w:val="ListParagraph"/>
        <w:spacing w:line="259" w:lineRule="auto"/>
        <w:ind w:left="180" w:hanging="180"/>
        <w:jc w:val="both"/>
        <w:rPr>
          <w:rFonts w:eastAsia="Times New Roman"/>
          <w:sz w:val="22"/>
        </w:rPr>
      </w:pPr>
    </w:p>
    <w:p w14:paraId="6EAF78A1" w14:textId="544E363D" w:rsidR="003A4B47" w:rsidRPr="00226C43" w:rsidRDefault="4DD21A85" w:rsidP="4DD21A85">
      <w:pPr>
        <w:pStyle w:val="ListParagraph"/>
        <w:spacing w:line="259" w:lineRule="auto"/>
        <w:ind w:left="0"/>
        <w:jc w:val="both"/>
        <w:rPr>
          <w:rFonts w:eastAsia="Times New Roman"/>
          <w:sz w:val="22"/>
          <w:szCs w:val="22"/>
        </w:rPr>
      </w:pPr>
      <w:r w:rsidRPr="00226C43">
        <w:rPr>
          <w:rFonts w:eastAsia="Times New Roman"/>
          <w:sz w:val="22"/>
          <w:szCs w:val="22"/>
        </w:rPr>
        <w:t>Thinking about AAAEP–P's higher-level objectives (its goal and EOPOs set out above), from your experience, what do you think is the biggest challenge for the program in contributing to these higher-level objectives?</w:t>
      </w:r>
    </w:p>
    <w:p w14:paraId="738AE999" w14:textId="1BDA3A30" w:rsidR="003A4B47" w:rsidRPr="00226C43" w:rsidRDefault="003A4B47" w:rsidP="003A4B47">
      <w:pPr>
        <w:spacing w:after="0"/>
        <w:jc w:val="both"/>
        <w:rPr>
          <w:rFonts w:eastAsia="Times New Roman"/>
          <w:kern w:val="0"/>
          <w:sz w:val="22"/>
          <w14:ligatures w14:val="none"/>
        </w:rPr>
      </w:pPr>
      <w:r w:rsidRPr="00226C43">
        <w:rPr>
          <w:rFonts w:eastAsia="Times New Roman"/>
          <w:kern w:val="0"/>
          <w:sz w:val="22"/>
          <w14:ligatures w14:val="none"/>
        </w:rPr>
        <w:t xml:space="preserve">6.7. A key component of this evaluation is to contribute to the strengthening of the program through identifying useful and practical recommendations for future programming. Please share </w:t>
      </w:r>
      <w:r w:rsidRPr="00226C43">
        <w:rPr>
          <w:rFonts w:eastAsia="Times New Roman"/>
          <w:kern w:val="0"/>
          <w:sz w:val="22"/>
          <w14:ligatures w14:val="none"/>
        </w:rPr>
        <w:lastRenderedPageBreak/>
        <w:t>your insights as to what should be considered in the planning and design of the next phase of the program (including GEDSI considerations).</w:t>
      </w:r>
      <w:r w:rsidR="0078429F" w:rsidRPr="00226C43">
        <w:rPr>
          <w:rFonts w:eastAsia="Times New Roman"/>
          <w:kern w:val="0"/>
          <w:sz w:val="22"/>
          <w14:ligatures w14:val="none"/>
        </w:rPr>
        <w:t xml:space="preserve"> </w:t>
      </w:r>
    </w:p>
    <w:p w14:paraId="33308021" w14:textId="77777777" w:rsidR="003A4B47" w:rsidRPr="00226C43" w:rsidRDefault="003A4B47" w:rsidP="003A4B47">
      <w:pPr>
        <w:spacing w:after="0"/>
        <w:rPr>
          <w:rFonts w:eastAsia="Times New Roman"/>
          <w:kern w:val="0"/>
          <w:sz w:val="22"/>
          <w14:ligatures w14:val="none"/>
        </w:rPr>
      </w:pPr>
    </w:p>
    <w:p w14:paraId="66B03B0B" w14:textId="77777777" w:rsidR="003A4B47" w:rsidRPr="00226C43" w:rsidRDefault="003A4B47" w:rsidP="003A4B47">
      <w:pPr>
        <w:spacing w:after="0"/>
      </w:pPr>
      <w:r w:rsidRPr="00226C43">
        <w:rPr>
          <w:rFonts w:eastAsia="Times New Roman"/>
          <w:b/>
          <w:kern w:val="0"/>
          <w:sz w:val="22"/>
          <w14:ligatures w14:val="none"/>
        </w:rPr>
        <w:t xml:space="preserve">THANK YOU FOR YOU PARTICIPATION IN THIS SURVEY. Your insights will be valuable in shaping the program for your future Filipino </w:t>
      </w:r>
      <w:proofErr w:type="spellStart"/>
      <w:r w:rsidRPr="00226C43">
        <w:rPr>
          <w:rFonts w:eastAsia="Times New Roman"/>
          <w:b/>
          <w:bCs/>
          <w:sz w:val="22"/>
        </w:rPr>
        <w:t>kababayans</w:t>
      </w:r>
      <w:proofErr w:type="spellEnd"/>
      <w:r w:rsidRPr="00226C43">
        <w:rPr>
          <w:rFonts w:eastAsia="Times New Roman"/>
          <w:b/>
          <w:bCs/>
          <w:sz w:val="22"/>
        </w:rPr>
        <w:t xml:space="preserve">! </w:t>
      </w:r>
    </w:p>
    <w:p w14:paraId="25F71100" w14:textId="77777777" w:rsidR="002204E7" w:rsidRPr="00226C43" w:rsidRDefault="002204E7" w:rsidP="00BD28EF"/>
    <w:p w14:paraId="64B8F2B7" w14:textId="77777777" w:rsidR="00300E6F" w:rsidRPr="00226C43" w:rsidRDefault="00300E6F">
      <w:pPr>
        <w:suppressAutoHyphens w:val="0"/>
        <w:spacing w:after="0"/>
        <w:sectPr w:rsidR="00300E6F" w:rsidRPr="00226C43" w:rsidSect="00B85CCE">
          <w:headerReference w:type="first" r:id="rId28"/>
          <w:footerReference w:type="first" r:id="rId29"/>
          <w:pgSz w:w="11906" w:h="16838"/>
          <w:pgMar w:top="1440" w:right="1440" w:bottom="1440" w:left="1440" w:header="567" w:footer="567" w:gutter="0"/>
          <w:cols w:space="708"/>
          <w:titlePg/>
          <w:docGrid w:linePitch="360"/>
        </w:sectPr>
      </w:pPr>
    </w:p>
    <w:p w14:paraId="50CB9CED" w14:textId="4A703048" w:rsidR="006E6981" w:rsidRPr="00226C43" w:rsidRDefault="00A34BFC" w:rsidP="005A698C">
      <w:pPr>
        <w:pStyle w:val="Appendices"/>
        <w:rPr>
          <w:rFonts w:asciiTheme="minorHAnsi" w:hAnsiTheme="minorHAnsi"/>
          <w:color w:val="auto"/>
        </w:rPr>
      </w:pPr>
      <w:bookmarkStart w:id="69" w:name="_Toc190195434"/>
      <w:bookmarkStart w:id="70" w:name="_Toc190248331"/>
      <w:r w:rsidRPr="00226C43">
        <w:rPr>
          <w:rFonts w:asciiTheme="minorHAnsi" w:hAnsiTheme="minorHAnsi"/>
          <w:color w:val="auto"/>
        </w:rPr>
        <w:lastRenderedPageBreak/>
        <w:t>Alumni Survey Responses Mapped</w:t>
      </w:r>
      <w:r w:rsidR="006E6981" w:rsidRPr="00226C43">
        <w:rPr>
          <w:rFonts w:asciiTheme="minorHAnsi" w:hAnsiTheme="minorHAnsi"/>
          <w:color w:val="auto"/>
        </w:rPr>
        <w:t xml:space="preserve"> to Evaluation questions</w:t>
      </w:r>
      <w:bookmarkEnd w:id="69"/>
      <w:bookmarkEnd w:id="70"/>
      <w:r w:rsidR="006E6981" w:rsidRPr="00226C43">
        <w:rPr>
          <w:rFonts w:asciiTheme="minorHAnsi" w:hAnsiTheme="minorHAnsi"/>
          <w:color w:val="auto"/>
        </w:rPr>
        <w:t xml:space="preserve"> </w:t>
      </w:r>
    </w:p>
    <w:p w14:paraId="2DE0EFE8" w14:textId="77777777" w:rsidR="00243243" w:rsidRPr="00764A92" w:rsidRDefault="00243243" w:rsidP="00243243">
      <w:pPr>
        <w:pStyle w:val="Heading3nonumber"/>
        <w:rPr>
          <w:rFonts w:asciiTheme="minorHAnsi" w:hAnsiTheme="minorHAnsi"/>
          <w:color w:val="auto"/>
          <w:sz w:val="22"/>
          <w:szCs w:val="22"/>
        </w:rPr>
      </w:pPr>
      <w:r w:rsidRPr="00764A92">
        <w:rPr>
          <w:rFonts w:asciiTheme="minorHAnsi" w:hAnsiTheme="minorHAnsi"/>
          <w:color w:val="auto"/>
          <w:sz w:val="22"/>
          <w:szCs w:val="22"/>
        </w:rPr>
        <w:t>Respondents’ profile</w:t>
      </w:r>
    </w:p>
    <w:p w14:paraId="296068BB" w14:textId="21E33032" w:rsidR="00243243" w:rsidRPr="00764A92" w:rsidRDefault="00243243" w:rsidP="00243243">
      <w:pPr>
        <w:rPr>
          <w:sz w:val="22"/>
          <w:szCs w:val="22"/>
        </w:rPr>
      </w:pPr>
      <w:r w:rsidRPr="00764A92">
        <w:rPr>
          <w:sz w:val="22"/>
          <w:szCs w:val="22"/>
        </w:rPr>
        <w:t>In total there were 250 responses to the online alumni survey, including a slightly higher proportion of females than males (</w:t>
      </w:r>
      <w:r w:rsidRPr="00764A92">
        <w:rPr>
          <w:sz w:val="22"/>
          <w:szCs w:val="22"/>
        </w:rPr>
        <w:fldChar w:fldCharType="begin"/>
      </w:r>
      <w:r w:rsidRPr="00764A92">
        <w:rPr>
          <w:sz w:val="22"/>
          <w:szCs w:val="22"/>
        </w:rPr>
        <w:instrText xml:space="preserve"> REF _Ref185321988 \h </w:instrText>
      </w:r>
      <w:r w:rsidR="00CA2071" w:rsidRPr="00764A92">
        <w:rPr>
          <w:sz w:val="22"/>
          <w:szCs w:val="22"/>
        </w:rPr>
        <w:instrText xml:space="preserve"> \* MERGEFORMAT </w:instrText>
      </w:r>
      <w:r w:rsidRPr="00764A92">
        <w:rPr>
          <w:sz w:val="22"/>
          <w:szCs w:val="22"/>
        </w:rPr>
      </w:r>
      <w:r w:rsidRPr="00764A92">
        <w:rPr>
          <w:sz w:val="22"/>
          <w:szCs w:val="22"/>
        </w:rPr>
        <w:fldChar w:fldCharType="separate"/>
      </w:r>
      <w:r w:rsidRPr="00764A92">
        <w:rPr>
          <w:sz w:val="22"/>
          <w:szCs w:val="22"/>
        </w:rPr>
        <w:t xml:space="preserve">Table </w:t>
      </w:r>
      <w:r w:rsidRPr="00764A92">
        <w:rPr>
          <w:noProof/>
          <w:sz w:val="22"/>
          <w:szCs w:val="22"/>
        </w:rPr>
        <w:t>7</w:t>
      </w:r>
      <w:r w:rsidRPr="00764A92">
        <w:rPr>
          <w:sz w:val="22"/>
          <w:szCs w:val="22"/>
        </w:rPr>
        <w:fldChar w:fldCharType="end"/>
      </w:r>
      <w:r w:rsidRPr="00764A92">
        <w:rPr>
          <w:sz w:val="22"/>
          <w:szCs w:val="22"/>
        </w:rPr>
        <w:t xml:space="preserve">). As noted in </w:t>
      </w:r>
      <w:r w:rsidRPr="00764A92">
        <w:rPr>
          <w:sz w:val="22"/>
          <w:szCs w:val="22"/>
        </w:rPr>
        <w:fldChar w:fldCharType="begin"/>
      </w:r>
      <w:r w:rsidRPr="00764A92">
        <w:rPr>
          <w:sz w:val="22"/>
          <w:szCs w:val="22"/>
        </w:rPr>
        <w:instrText xml:space="preserve"> REF _Ref185321876 \h </w:instrText>
      </w:r>
      <w:r w:rsidR="00CA2071" w:rsidRPr="00764A92">
        <w:rPr>
          <w:sz w:val="22"/>
          <w:szCs w:val="22"/>
        </w:rPr>
        <w:instrText xml:space="preserve"> \* MERGEFORMAT </w:instrText>
      </w:r>
      <w:r w:rsidRPr="00764A92">
        <w:rPr>
          <w:sz w:val="22"/>
          <w:szCs w:val="22"/>
        </w:rPr>
      </w:r>
      <w:r w:rsidRPr="00764A92">
        <w:rPr>
          <w:sz w:val="22"/>
          <w:szCs w:val="22"/>
        </w:rPr>
        <w:fldChar w:fldCharType="separate"/>
      </w:r>
      <w:r w:rsidRPr="00764A92">
        <w:rPr>
          <w:sz w:val="22"/>
          <w:szCs w:val="22"/>
        </w:rPr>
        <w:t xml:space="preserve">Table </w:t>
      </w:r>
      <w:r w:rsidRPr="00764A92">
        <w:rPr>
          <w:noProof/>
          <w:sz w:val="22"/>
          <w:szCs w:val="22"/>
        </w:rPr>
        <w:t>8</w:t>
      </w:r>
      <w:r w:rsidRPr="00764A92">
        <w:rPr>
          <w:sz w:val="22"/>
          <w:szCs w:val="22"/>
        </w:rPr>
        <w:fldChar w:fldCharType="end"/>
      </w:r>
      <w:r w:rsidRPr="00764A92">
        <w:rPr>
          <w:sz w:val="22"/>
          <w:szCs w:val="22"/>
        </w:rPr>
        <w:t>, more alumni were from the Short Course Awards, compared to the Australia Awards Scholarship and In-Country Scholarship Program.</w:t>
      </w:r>
    </w:p>
    <w:p w14:paraId="729E926A" w14:textId="1DF6FA36" w:rsidR="00243243" w:rsidRPr="00764A92" w:rsidRDefault="00243243" w:rsidP="008300EB">
      <w:pPr>
        <w:pStyle w:val="Caption"/>
        <w:spacing w:after="0"/>
        <w:rPr>
          <w:color w:val="auto"/>
          <w:sz w:val="22"/>
          <w:szCs w:val="22"/>
        </w:rPr>
      </w:pPr>
      <w:bookmarkStart w:id="71" w:name="_Ref185321988"/>
      <w:bookmarkStart w:id="72" w:name="_Toc190939916"/>
      <w:r w:rsidRPr="00764A92">
        <w:rPr>
          <w:color w:val="auto"/>
          <w:sz w:val="22"/>
          <w:szCs w:val="22"/>
        </w:rPr>
        <w:t xml:space="preserve">Table </w:t>
      </w:r>
      <w:r w:rsidR="000113F9" w:rsidRPr="00764A92">
        <w:rPr>
          <w:color w:val="auto"/>
          <w:sz w:val="22"/>
          <w:szCs w:val="22"/>
        </w:rPr>
        <w:fldChar w:fldCharType="begin"/>
      </w:r>
      <w:r w:rsidR="000113F9" w:rsidRPr="00764A92">
        <w:rPr>
          <w:color w:val="auto"/>
          <w:sz w:val="22"/>
          <w:szCs w:val="22"/>
        </w:rPr>
        <w:instrText xml:space="preserve"> SEQ Table \* ARABIC </w:instrText>
      </w:r>
      <w:r w:rsidR="000113F9" w:rsidRPr="00764A92">
        <w:rPr>
          <w:color w:val="auto"/>
          <w:sz w:val="22"/>
          <w:szCs w:val="22"/>
        </w:rPr>
        <w:fldChar w:fldCharType="separate"/>
      </w:r>
      <w:r w:rsidR="003735AF" w:rsidRPr="00764A92">
        <w:rPr>
          <w:noProof/>
          <w:color w:val="auto"/>
          <w:sz w:val="22"/>
          <w:szCs w:val="22"/>
        </w:rPr>
        <w:t>17</w:t>
      </w:r>
      <w:r w:rsidR="000113F9" w:rsidRPr="00764A92">
        <w:rPr>
          <w:noProof/>
          <w:color w:val="auto"/>
          <w:sz w:val="22"/>
          <w:szCs w:val="22"/>
        </w:rPr>
        <w:fldChar w:fldCharType="end"/>
      </w:r>
      <w:bookmarkEnd w:id="71"/>
      <w:r w:rsidRPr="00764A92">
        <w:rPr>
          <w:color w:val="auto"/>
          <w:sz w:val="22"/>
          <w:szCs w:val="22"/>
        </w:rPr>
        <w:t>: Gender profile of respondents</w:t>
      </w:r>
      <w:bookmarkEnd w:id="72"/>
    </w:p>
    <w:tbl>
      <w:tblPr>
        <w:tblStyle w:val="TableGrid"/>
        <w:tblW w:w="1720" w:type="pct"/>
        <w:jc w:val="center"/>
        <w:tblLook w:val="0660" w:firstRow="1" w:lastRow="1" w:firstColumn="0" w:lastColumn="0" w:noHBand="1" w:noVBand="1"/>
      </w:tblPr>
      <w:tblGrid>
        <w:gridCol w:w="2070"/>
        <w:gridCol w:w="1032"/>
      </w:tblGrid>
      <w:tr w:rsidR="00226C43" w:rsidRPr="00764A92" w14:paraId="6A98C88C" w14:textId="77777777" w:rsidTr="00117212">
        <w:trPr>
          <w:tblHeader/>
          <w:jc w:val="center"/>
        </w:trPr>
        <w:tc>
          <w:tcPr>
            <w:tcW w:w="3336" w:type="pct"/>
            <w:shd w:val="clear" w:color="auto" w:fill="E3DED1" w:themeFill="background2"/>
          </w:tcPr>
          <w:p w14:paraId="4863ED76" w14:textId="77777777" w:rsidR="00243243" w:rsidRPr="00764A92" w:rsidRDefault="00243243" w:rsidP="006F12CD">
            <w:pPr>
              <w:pStyle w:val="Tabletext"/>
              <w:rPr>
                <w:b/>
                <w:bCs/>
                <w:sz w:val="20"/>
                <w:szCs w:val="20"/>
              </w:rPr>
            </w:pPr>
            <w:r w:rsidRPr="00764A92">
              <w:rPr>
                <w:b/>
                <w:bCs/>
                <w:sz w:val="20"/>
                <w:szCs w:val="20"/>
              </w:rPr>
              <w:t>Item</w:t>
            </w:r>
          </w:p>
        </w:tc>
        <w:tc>
          <w:tcPr>
            <w:tcW w:w="1664" w:type="pct"/>
            <w:shd w:val="clear" w:color="auto" w:fill="E3DED1" w:themeFill="background2"/>
          </w:tcPr>
          <w:p w14:paraId="3C999292" w14:textId="77777777" w:rsidR="00243243" w:rsidRPr="00764A92" w:rsidRDefault="00243243" w:rsidP="008300EB">
            <w:pPr>
              <w:pStyle w:val="Tabletext"/>
              <w:jc w:val="center"/>
              <w:rPr>
                <w:b/>
                <w:bCs/>
                <w:sz w:val="20"/>
                <w:szCs w:val="20"/>
              </w:rPr>
            </w:pPr>
            <w:r w:rsidRPr="00764A92">
              <w:rPr>
                <w:b/>
                <w:bCs/>
                <w:sz w:val="20"/>
                <w:szCs w:val="20"/>
              </w:rPr>
              <w:t>Number</w:t>
            </w:r>
          </w:p>
        </w:tc>
      </w:tr>
      <w:tr w:rsidR="00226C43" w:rsidRPr="00764A92" w14:paraId="380735EF" w14:textId="77777777" w:rsidTr="00764A92">
        <w:trPr>
          <w:jc w:val="center"/>
        </w:trPr>
        <w:tc>
          <w:tcPr>
            <w:tcW w:w="3336" w:type="pct"/>
          </w:tcPr>
          <w:p w14:paraId="02529714" w14:textId="77777777" w:rsidR="00243243" w:rsidRPr="00764A92" w:rsidRDefault="00243243" w:rsidP="006F12CD">
            <w:pPr>
              <w:pStyle w:val="Tabletext"/>
              <w:rPr>
                <w:sz w:val="20"/>
                <w:szCs w:val="20"/>
              </w:rPr>
            </w:pPr>
            <w:r w:rsidRPr="00764A92">
              <w:rPr>
                <w:sz w:val="20"/>
                <w:szCs w:val="20"/>
              </w:rPr>
              <w:t>Male</w:t>
            </w:r>
          </w:p>
        </w:tc>
        <w:tc>
          <w:tcPr>
            <w:tcW w:w="1664" w:type="pct"/>
          </w:tcPr>
          <w:p w14:paraId="357A832D" w14:textId="77777777" w:rsidR="00243243" w:rsidRPr="00764A92" w:rsidRDefault="00243243" w:rsidP="006F12CD">
            <w:pPr>
              <w:pStyle w:val="Tabletext"/>
              <w:jc w:val="right"/>
              <w:rPr>
                <w:sz w:val="20"/>
                <w:szCs w:val="20"/>
              </w:rPr>
            </w:pPr>
            <w:r w:rsidRPr="00764A92">
              <w:rPr>
                <w:sz w:val="20"/>
                <w:szCs w:val="20"/>
              </w:rPr>
              <w:t>103</w:t>
            </w:r>
          </w:p>
        </w:tc>
      </w:tr>
      <w:tr w:rsidR="00226C43" w:rsidRPr="00764A92" w14:paraId="1703D639" w14:textId="77777777" w:rsidTr="00764A92">
        <w:trPr>
          <w:jc w:val="center"/>
        </w:trPr>
        <w:tc>
          <w:tcPr>
            <w:tcW w:w="3336" w:type="pct"/>
          </w:tcPr>
          <w:p w14:paraId="07ACE17A" w14:textId="77777777" w:rsidR="00243243" w:rsidRPr="00764A92" w:rsidRDefault="00243243" w:rsidP="006F12CD">
            <w:pPr>
              <w:pStyle w:val="Tabletext"/>
              <w:rPr>
                <w:sz w:val="20"/>
                <w:szCs w:val="20"/>
              </w:rPr>
            </w:pPr>
            <w:r w:rsidRPr="00764A92">
              <w:rPr>
                <w:sz w:val="20"/>
                <w:szCs w:val="20"/>
              </w:rPr>
              <w:t>Female</w:t>
            </w:r>
          </w:p>
        </w:tc>
        <w:tc>
          <w:tcPr>
            <w:tcW w:w="1664" w:type="pct"/>
          </w:tcPr>
          <w:p w14:paraId="0E52BC05" w14:textId="77777777" w:rsidR="00243243" w:rsidRPr="00764A92" w:rsidRDefault="00243243" w:rsidP="006F12CD">
            <w:pPr>
              <w:pStyle w:val="Tabletext"/>
              <w:jc w:val="right"/>
              <w:rPr>
                <w:sz w:val="20"/>
                <w:szCs w:val="20"/>
              </w:rPr>
            </w:pPr>
            <w:r w:rsidRPr="00764A92">
              <w:rPr>
                <w:sz w:val="20"/>
                <w:szCs w:val="20"/>
              </w:rPr>
              <w:t>139</w:t>
            </w:r>
          </w:p>
        </w:tc>
      </w:tr>
      <w:tr w:rsidR="00226C43" w:rsidRPr="00764A92" w14:paraId="56BB6E1C" w14:textId="77777777" w:rsidTr="00764A92">
        <w:trPr>
          <w:jc w:val="center"/>
        </w:trPr>
        <w:tc>
          <w:tcPr>
            <w:tcW w:w="3336" w:type="pct"/>
          </w:tcPr>
          <w:p w14:paraId="093E0A59" w14:textId="77777777" w:rsidR="00243243" w:rsidRPr="00764A92" w:rsidRDefault="00243243" w:rsidP="006F12CD">
            <w:pPr>
              <w:pStyle w:val="Tabletext"/>
              <w:rPr>
                <w:sz w:val="20"/>
                <w:szCs w:val="20"/>
              </w:rPr>
            </w:pPr>
            <w:r w:rsidRPr="00764A92">
              <w:rPr>
                <w:sz w:val="20"/>
                <w:szCs w:val="20"/>
              </w:rPr>
              <w:t>Self-Identify</w:t>
            </w:r>
          </w:p>
        </w:tc>
        <w:tc>
          <w:tcPr>
            <w:tcW w:w="1664" w:type="pct"/>
          </w:tcPr>
          <w:p w14:paraId="2C1FB04E" w14:textId="77777777" w:rsidR="00243243" w:rsidRPr="00764A92" w:rsidRDefault="00243243" w:rsidP="006F12CD">
            <w:pPr>
              <w:pStyle w:val="Tabletext"/>
              <w:jc w:val="right"/>
              <w:rPr>
                <w:sz w:val="20"/>
                <w:szCs w:val="20"/>
              </w:rPr>
            </w:pPr>
            <w:r w:rsidRPr="00764A92">
              <w:rPr>
                <w:sz w:val="20"/>
                <w:szCs w:val="20"/>
              </w:rPr>
              <w:t>4</w:t>
            </w:r>
          </w:p>
        </w:tc>
      </w:tr>
      <w:tr w:rsidR="00226C43" w:rsidRPr="00764A92" w14:paraId="3B6255D6" w14:textId="77777777" w:rsidTr="00764A92">
        <w:trPr>
          <w:jc w:val="center"/>
        </w:trPr>
        <w:tc>
          <w:tcPr>
            <w:tcW w:w="3336" w:type="pct"/>
          </w:tcPr>
          <w:p w14:paraId="6F7C16D7" w14:textId="77777777" w:rsidR="00243243" w:rsidRPr="00764A92" w:rsidRDefault="00243243" w:rsidP="006F12CD">
            <w:pPr>
              <w:pStyle w:val="Tabletext"/>
              <w:rPr>
                <w:sz w:val="20"/>
                <w:szCs w:val="20"/>
              </w:rPr>
            </w:pPr>
            <w:r w:rsidRPr="00764A92">
              <w:rPr>
                <w:sz w:val="20"/>
                <w:szCs w:val="20"/>
              </w:rPr>
              <w:t>Prefer not to share</w:t>
            </w:r>
          </w:p>
        </w:tc>
        <w:tc>
          <w:tcPr>
            <w:tcW w:w="1664" w:type="pct"/>
          </w:tcPr>
          <w:p w14:paraId="06851AD0" w14:textId="77777777" w:rsidR="00243243" w:rsidRPr="00764A92" w:rsidRDefault="00243243" w:rsidP="006F12CD">
            <w:pPr>
              <w:pStyle w:val="Tabletext"/>
              <w:jc w:val="right"/>
              <w:rPr>
                <w:sz w:val="20"/>
                <w:szCs w:val="20"/>
              </w:rPr>
            </w:pPr>
            <w:r w:rsidRPr="00764A92">
              <w:rPr>
                <w:sz w:val="20"/>
                <w:szCs w:val="20"/>
              </w:rPr>
              <w:t>4</w:t>
            </w:r>
          </w:p>
        </w:tc>
      </w:tr>
      <w:tr w:rsidR="00226C43" w:rsidRPr="00764A92" w14:paraId="64BAADC5" w14:textId="77777777" w:rsidTr="00764A92">
        <w:trPr>
          <w:jc w:val="center"/>
        </w:trPr>
        <w:tc>
          <w:tcPr>
            <w:tcW w:w="3336" w:type="pct"/>
          </w:tcPr>
          <w:p w14:paraId="4683B607" w14:textId="77777777" w:rsidR="00243243" w:rsidRPr="00764A92" w:rsidRDefault="00243243" w:rsidP="006F12CD">
            <w:pPr>
              <w:pStyle w:val="Tabletext"/>
              <w:rPr>
                <w:b/>
                <w:bCs/>
                <w:sz w:val="20"/>
                <w:szCs w:val="20"/>
              </w:rPr>
            </w:pPr>
            <w:r w:rsidRPr="00764A92">
              <w:rPr>
                <w:b/>
                <w:bCs/>
                <w:sz w:val="20"/>
                <w:szCs w:val="20"/>
              </w:rPr>
              <w:t>Total</w:t>
            </w:r>
          </w:p>
        </w:tc>
        <w:tc>
          <w:tcPr>
            <w:tcW w:w="1664" w:type="pct"/>
          </w:tcPr>
          <w:p w14:paraId="45EB08BA" w14:textId="77777777" w:rsidR="00243243" w:rsidRPr="00764A92" w:rsidRDefault="00243243" w:rsidP="006F12CD">
            <w:pPr>
              <w:pStyle w:val="Tabletext"/>
              <w:jc w:val="right"/>
              <w:rPr>
                <w:b/>
                <w:bCs/>
                <w:sz w:val="20"/>
                <w:szCs w:val="20"/>
              </w:rPr>
            </w:pPr>
            <w:r w:rsidRPr="00764A92">
              <w:rPr>
                <w:b/>
                <w:bCs/>
                <w:sz w:val="20"/>
                <w:szCs w:val="20"/>
              </w:rPr>
              <w:t>250</w:t>
            </w:r>
          </w:p>
        </w:tc>
      </w:tr>
    </w:tbl>
    <w:p w14:paraId="68A9557A" w14:textId="60F97C37" w:rsidR="00243243" w:rsidRPr="00764A92" w:rsidRDefault="00243243" w:rsidP="00243243">
      <w:pPr>
        <w:pStyle w:val="Caption"/>
        <w:rPr>
          <w:color w:val="auto"/>
          <w:sz w:val="22"/>
          <w:szCs w:val="22"/>
        </w:rPr>
      </w:pPr>
      <w:bookmarkStart w:id="73" w:name="_Ref185321876"/>
      <w:bookmarkStart w:id="74" w:name="_Toc190939917"/>
      <w:r w:rsidRPr="00764A92">
        <w:rPr>
          <w:color w:val="auto"/>
          <w:sz w:val="22"/>
          <w:szCs w:val="22"/>
        </w:rPr>
        <w:t xml:space="preserve">Table </w:t>
      </w:r>
      <w:r w:rsidR="000113F9" w:rsidRPr="00764A92">
        <w:rPr>
          <w:color w:val="auto"/>
          <w:sz w:val="22"/>
          <w:szCs w:val="22"/>
        </w:rPr>
        <w:fldChar w:fldCharType="begin"/>
      </w:r>
      <w:r w:rsidR="000113F9" w:rsidRPr="00764A92">
        <w:rPr>
          <w:color w:val="auto"/>
          <w:sz w:val="22"/>
          <w:szCs w:val="22"/>
        </w:rPr>
        <w:instrText xml:space="preserve"> SEQ Table \* ARABIC </w:instrText>
      </w:r>
      <w:r w:rsidR="000113F9" w:rsidRPr="00764A92">
        <w:rPr>
          <w:color w:val="auto"/>
          <w:sz w:val="22"/>
          <w:szCs w:val="22"/>
        </w:rPr>
        <w:fldChar w:fldCharType="separate"/>
      </w:r>
      <w:r w:rsidR="003735AF" w:rsidRPr="00764A92">
        <w:rPr>
          <w:noProof/>
          <w:color w:val="auto"/>
          <w:sz w:val="22"/>
          <w:szCs w:val="22"/>
        </w:rPr>
        <w:t>18</w:t>
      </w:r>
      <w:r w:rsidR="000113F9" w:rsidRPr="00764A92">
        <w:rPr>
          <w:noProof/>
          <w:color w:val="auto"/>
          <w:sz w:val="22"/>
          <w:szCs w:val="22"/>
        </w:rPr>
        <w:fldChar w:fldCharType="end"/>
      </w:r>
      <w:bookmarkEnd w:id="73"/>
      <w:r w:rsidRPr="00764A92">
        <w:rPr>
          <w:color w:val="auto"/>
          <w:sz w:val="22"/>
          <w:szCs w:val="22"/>
        </w:rPr>
        <w:t>: Participation profile of respondents</w:t>
      </w:r>
      <w:bookmarkEnd w:id="74"/>
    </w:p>
    <w:p w14:paraId="761A44AD" w14:textId="2E66C44E" w:rsidR="00E31B27" w:rsidRPr="00764A92" w:rsidRDefault="00E31B27" w:rsidP="001A4AE9">
      <w:pPr>
        <w:spacing w:after="0"/>
        <w:jc w:val="center"/>
        <w:rPr>
          <w:b/>
          <w:sz w:val="22"/>
          <w:szCs w:val="22"/>
        </w:rPr>
      </w:pPr>
      <w:r w:rsidRPr="00764A92">
        <w:rPr>
          <w:b/>
          <w:sz w:val="22"/>
          <w:szCs w:val="22"/>
        </w:rPr>
        <w:t>Participation by Category</w:t>
      </w:r>
    </w:p>
    <w:tbl>
      <w:tblPr>
        <w:tblStyle w:val="TableGrid"/>
        <w:tblW w:w="0" w:type="auto"/>
        <w:jc w:val="center"/>
        <w:tblLook w:val="06A0" w:firstRow="1" w:lastRow="0" w:firstColumn="1" w:lastColumn="0" w:noHBand="1" w:noVBand="1"/>
      </w:tblPr>
      <w:tblGrid>
        <w:gridCol w:w="1732"/>
        <w:gridCol w:w="1185"/>
        <w:gridCol w:w="1186"/>
        <w:gridCol w:w="1186"/>
        <w:gridCol w:w="1186"/>
        <w:gridCol w:w="1186"/>
      </w:tblGrid>
      <w:tr w:rsidR="00226C43" w:rsidRPr="00764A92" w14:paraId="43142F6B" w14:textId="77777777" w:rsidTr="00117212">
        <w:trPr>
          <w:tblHeader/>
          <w:jc w:val="center"/>
        </w:trPr>
        <w:tc>
          <w:tcPr>
            <w:tcW w:w="0" w:type="auto"/>
            <w:shd w:val="clear" w:color="auto" w:fill="E3DED1" w:themeFill="background2"/>
            <w:hideMark/>
          </w:tcPr>
          <w:p w14:paraId="568AF814" w14:textId="77777777" w:rsidR="00E31B27" w:rsidRPr="00764A92" w:rsidRDefault="00E31B27" w:rsidP="001A4AE9">
            <w:pPr>
              <w:spacing w:after="0"/>
              <w:rPr>
                <w:b/>
                <w:sz w:val="20"/>
                <w:szCs w:val="20"/>
              </w:rPr>
            </w:pPr>
            <w:r w:rsidRPr="00764A92">
              <w:rPr>
                <w:b/>
                <w:sz w:val="20"/>
                <w:szCs w:val="20"/>
              </w:rPr>
              <w:t>Category</w:t>
            </w:r>
          </w:p>
        </w:tc>
        <w:tc>
          <w:tcPr>
            <w:tcW w:w="1185" w:type="dxa"/>
            <w:shd w:val="clear" w:color="auto" w:fill="E3DED1" w:themeFill="background2"/>
            <w:hideMark/>
          </w:tcPr>
          <w:p w14:paraId="2C5C0E67" w14:textId="77777777" w:rsidR="00E31B27" w:rsidRPr="00764A92" w:rsidRDefault="00E31B27" w:rsidP="001A4AE9">
            <w:pPr>
              <w:spacing w:after="0"/>
              <w:jc w:val="center"/>
              <w:rPr>
                <w:b/>
                <w:sz w:val="20"/>
                <w:szCs w:val="20"/>
              </w:rPr>
            </w:pPr>
            <w:r w:rsidRPr="00764A92">
              <w:rPr>
                <w:b/>
                <w:sz w:val="20"/>
                <w:szCs w:val="20"/>
              </w:rPr>
              <w:t>Male</w:t>
            </w:r>
          </w:p>
        </w:tc>
        <w:tc>
          <w:tcPr>
            <w:tcW w:w="1186" w:type="dxa"/>
            <w:shd w:val="clear" w:color="auto" w:fill="E3DED1" w:themeFill="background2"/>
            <w:hideMark/>
          </w:tcPr>
          <w:p w14:paraId="62A157EA" w14:textId="77777777" w:rsidR="00E31B27" w:rsidRPr="00764A92" w:rsidRDefault="00E31B27" w:rsidP="001A4AE9">
            <w:pPr>
              <w:spacing w:after="0"/>
              <w:jc w:val="center"/>
              <w:rPr>
                <w:b/>
                <w:sz w:val="20"/>
                <w:szCs w:val="20"/>
              </w:rPr>
            </w:pPr>
            <w:r w:rsidRPr="00764A92">
              <w:rPr>
                <w:b/>
                <w:sz w:val="20"/>
                <w:szCs w:val="20"/>
              </w:rPr>
              <w:t>Female</w:t>
            </w:r>
          </w:p>
        </w:tc>
        <w:tc>
          <w:tcPr>
            <w:tcW w:w="1186" w:type="dxa"/>
            <w:shd w:val="clear" w:color="auto" w:fill="E3DED1" w:themeFill="background2"/>
            <w:hideMark/>
          </w:tcPr>
          <w:p w14:paraId="62B68552" w14:textId="77777777" w:rsidR="00E31B27" w:rsidRPr="00764A92" w:rsidRDefault="00E31B27" w:rsidP="001A4AE9">
            <w:pPr>
              <w:spacing w:after="0"/>
              <w:jc w:val="center"/>
              <w:rPr>
                <w:b/>
                <w:sz w:val="20"/>
                <w:szCs w:val="20"/>
              </w:rPr>
            </w:pPr>
            <w:r w:rsidRPr="00764A92">
              <w:rPr>
                <w:b/>
                <w:sz w:val="20"/>
                <w:szCs w:val="20"/>
              </w:rPr>
              <w:t>Self-identify</w:t>
            </w:r>
          </w:p>
        </w:tc>
        <w:tc>
          <w:tcPr>
            <w:tcW w:w="1186" w:type="dxa"/>
            <w:shd w:val="clear" w:color="auto" w:fill="E3DED1" w:themeFill="background2"/>
            <w:hideMark/>
          </w:tcPr>
          <w:p w14:paraId="0F25886A" w14:textId="77777777" w:rsidR="00E31B27" w:rsidRPr="00764A92" w:rsidRDefault="00E31B27" w:rsidP="001A4AE9">
            <w:pPr>
              <w:spacing w:after="0"/>
              <w:jc w:val="center"/>
              <w:rPr>
                <w:b/>
                <w:sz w:val="20"/>
                <w:szCs w:val="20"/>
              </w:rPr>
            </w:pPr>
            <w:r w:rsidRPr="00764A92">
              <w:rPr>
                <w:b/>
                <w:sz w:val="20"/>
                <w:szCs w:val="20"/>
              </w:rPr>
              <w:t>Prefer not to share</w:t>
            </w:r>
          </w:p>
        </w:tc>
        <w:tc>
          <w:tcPr>
            <w:tcW w:w="1186" w:type="dxa"/>
            <w:shd w:val="clear" w:color="auto" w:fill="E3DED1" w:themeFill="background2"/>
            <w:hideMark/>
          </w:tcPr>
          <w:p w14:paraId="2DEEF405" w14:textId="77777777" w:rsidR="00E31B27" w:rsidRPr="00764A92" w:rsidRDefault="00E31B27" w:rsidP="001A4AE9">
            <w:pPr>
              <w:spacing w:after="0"/>
              <w:jc w:val="center"/>
              <w:rPr>
                <w:b/>
                <w:sz w:val="20"/>
                <w:szCs w:val="20"/>
              </w:rPr>
            </w:pPr>
            <w:r w:rsidRPr="00764A92">
              <w:rPr>
                <w:b/>
                <w:sz w:val="20"/>
                <w:szCs w:val="20"/>
              </w:rPr>
              <w:t>Total</w:t>
            </w:r>
          </w:p>
        </w:tc>
      </w:tr>
      <w:tr w:rsidR="00226C43" w:rsidRPr="00764A92" w14:paraId="269E942B" w14:textId="77777777" w:rsidTr="000166CB">
        <w:trPr>
          <w:jc w:val="center"/>
        </w:trPr>
        <w:tc>
          <w:tcPr>
            <w:tcW w:w="0" w:type="auto"/>
            <w:hideMark/>
          </w:tcPr>
          <w:p w14:paraId="786C0046" w14:textId="77777777" w:rsidR="00E31B27" w:rsidRPr="00764A92" w:rsidRDefault="00E31B27" w:rsidP="001A4AE9">
            <w:pPr>
              <w:spacing w:after="0"/>
              <w:rPr>
                <w:bCs/>
                <w:sz w:val="20"/>
                <w:szCs w:val="20"/>
              </w:rPr>
            </w:pPr>
            <w:r w:rsidRPr="00764A92">
              <w:rPr>
                <w:bCs/>
                <w:sz w:val="20"/>
                <w:szCs w:val="20"/>
              </w:rPr>
              <w:t>Targeted category</w:t>
            </w:r>
          </w:p>
        </w:tc>
        <w:tc>
          <w:tcPr>
            <w:tcW w:w="1185" w:type="dxa"/>
            <w:hideMark/>
          </w:tcPr>
          <w:p w14:paraId="6253668D" w14:textId="77777777" w:rsidR="00E31B27" w:rsidRPr="00764A92" w:rsidRDefault="00E31B27" w:rsidP="001A4AE9">
            <w:pPr>
              <w:spacing w:after="0"/>
              <w:jc w:val="right"/>
              <w:rPr>
                <w:sz w:val="20"/>
                <w:szCs w:val="20"/>
              </w:rPr>
            </w:pPr>
            <w:r w:rsidRPr="00764A92">
              <w:rPr>
                <w:sz w:val="20"/>
                <w:szCs w:val="20"/>
              </w:rPr>
              <w:t>29</w:t>
            </w:r>
          </w:p>
        </w:tc>
        <w:tc>
          <w:tcPr>
            <w:tcW w:w="1186" w:type="dxa"/>
            <w:hideMark/>
          </w:tcPr>
          <w:p w14:paraId="3492296F" w14:textId="77777777" w:rsidR="00E31B27" w:rsidRPr="00764A92" w:rsidRDefault="00E31B27" w:rsidP="001A4AE9">
            <w:pPr>
              <w:spacing w:after="0"/>
              <w:jc w:val="right"/>
              <w:rPr>
                <w:sz w:val="20"/>
                <w:szCs w:val="20"/>
              </w:rPr>
            </w:pPr>
            <w:r w:rsidRPr="00764A92">
              <w:rPr>
                <w:sz w:val="20"/>
                <w:szCs w:val="20"/>
              </w:rPr>
              <w:t>52</w:t>
            </w:r>
          </w:p>
        </w:tc>
        <w:tc>
          <w:tcPr>
            <w:tcW w:w="1186" w:type="dxa"/>
            <w:hideMark/>
          </w:tcPr>
          <w:p w14:paraId="664C449D" w14:textId="77777777" w:rsidR="00E31B27" w:rsidRPr="00764A92" w:rsidRDefault="00E31B27" w:rsidP="001A4AE9">
            <w:pPr>
              <w:spacing w:after="0"/>
              <w:jc w:val="right"/>
              <w:rPr>
                <w:sz w:val="20"/>
                <w:szCs w:val="20"/>
              </w:rPr>
            </w:pPr>
            <w:r w:rsidRPr="00764A92">
              <w:rPr>
                <w:sz w:val="20"/>
                <w:szCs w:val="20"/>
              </w:rPr>
              <w:t>0</w:t>
            </w:r>
          </w:p>
        </w:tc>
        <w:tc>
          <w:tcPr>
            <w:tcW w:w="1186" w:type="dxa"/>
            <w:hideMark/>
          </w:tcPr>
          <w:p w14:paraId="16F12B35" w14:textId="77777777" w:rsidR="00E31B27" w:rsidRPr="00764A92" w:rsidRDefault="00E31B27" w:rsidP="001A4AE9">
            <w:pPr>
              <w:spacing w:after="0"/>
              <w:jc w:val="right"/>
              <w:rPr>
                <w:sz w:val="20"/>
                <w:szCs w:val="20"/>
              </w:rPr>
            </w:pPr>
            <w:r w:rsidRPr="00764A92">
              <w:rPr>
                <w:sz w:val="20"/>
                <w:szCs w:val="20"/>
              </w:rPr>
              <w:t>0</w:t>
            </w:r>
          </w:p>
        </w:tc>
        <w:tc>
          <w:tcPr>
            <w:tcW w:w="1186" w:type="dxa"/>
            <w:hideMark/>
          </w:tcPr>
          <w:p w14:paraId="3D134082" w14:textId="77777777" w:rsidR="00E31B27" w:rsidRPr="00764A92" w:rsidRDefault="00E31B27" w:rsidP="001A4AE9">
            <w:pPr>
              <w:spacing w:after="0"/>
              <w:jc w:val="right"/>
              <w:rPr>
                <w:sz w:val="20"/>
                <w:szCs w:val="20"/>
              </w:rPr>
            </w:pPr>
            <w:r w:rsidRPr="00764A92">
              <w:rPr>
                <w:sz w:val="20"/>
                <w:szCs w:val="20"/>
              </w:rPr>
              <w:t>81</w:t>
            </w:r>
          </w:p>
        </w:tc>
      </w:tr>
      <w:tr w:rsidR="00226C43" w:rsidRPr="00764A92" w14:paraId="1FFCF59E" w14:textId="77777777" w:rsidTr="000166CB">
        <w:trPr>
          <w:jc w:val="center"/>
        </w:trPr>
        <w:tc>
          <w:tcPr>
            <w:tcW w:w="0" w:type="auto"/>
            <w:hideMark/>
          </w:tcPr>
          <w:p w14:paraId="2CA70067" w14:textId="77777777" w:rsidR="00E31B27" w:rsidRPr="00764A92" w:rsidRDefault="00E31B27" w:rsidP="001A4AE9">
            <w:pPr>
              <w:spacing w:after="0"/>
              <w:rPr>
                <w:bCs/>
                <w:sz w:val="20"/>
                <w:szCs w:val="20"/>
              </w:rPr>
            </w:pPr>
            <w:r w:rsidRPr="00764A92">
              <w:rPr>
                <w:bCs/>
                <w:sz w:val="20"/>
                <w:szCs w:val="20"/>
              </w:rPr>
              <w:t>Open category</w:t>
            </w:r>
          </w:p>
        </w:tc>
        <w:tc>
          <w:tcPr>
            <w:tcW w:w="1185" w:type="dxa"/>
            <w:hideMark/>
          </w:tcPr>
          <w:p w14:paraId="1DC72D89" w14:textId="77777777" w:rsidR="00E31B27" w:rsidRPr="00764A92" w:rsidRDefault="00E31B27" w:rsidP="001A4AE9">
            <w:pPr>
              <w:spacing w:after="0"/>
              <w:jc w:val="right"/>
              <w:rPr>
                <w:sz w:val="20"/>
                <w:szCs w:val="20"/>
              </w:rPr>
            </w:pPr>
            <w:r w:rsidRPr="00764A92">
              <w:rPr>
                <w:sz w:val="20"/>
                <w:szCs w:val="20"/>
              </w:rPr>
              <w:t>43</w:t>
            </w:r>
          </w:p>
        </w:tc>
        <w:tc>
          <w:tcPr>
            <w:tcW w:w="1186" w:type="dxa"/>
            <w:hideMark/>
          </w:tcPr>
          <w:p w14:paraId="7D2AAA7F" w14:textId="77777777" w:rsidR="00E31B27" w:rsidRPr="00764A92" w:rsidRDefault="00E31B27" w:rsidP="001A4AE9">
            <w:pPr>
              <w:spacing w:after="0"/>
              <w:jc w:val="right"/>
              <w:rPr>
                <w:sz w:val="20"/>
                <w:szCs w:val="20"/>
              </w:rPr>
            </w:pPr>
            <w:r w:rsidRPr="00764A92">
              <w:rPr>
                <w:sz w:val="20"/>
                <w:szCs w:val="20"/>
              </w:rPr>
              <w:t>30</w:t>
            </w:r>
          </w:p>
        </w:tc>
        <w:tc>
          <w:tcPr>
            <w:tcW w:w="1186" w:type="dxa"/>
            <w:hideMark/>
          </w:tcPr>
          <w:p w14:paraId="68DBC026" w14:textId="77777777" w:rsidR="00E31B27" w:rsidRPr="00764A92" w:rsidRDefault="00E31B27" w:rsidP="001A4AE9">
            <w:pPr>
              <w:spacing w:after="0"/>
              <w:jc w:val="right"/>
              <w:rPr>
                <w:sz w:val="20"/>
                <w:szCs w:val="20"/>
              </w:rPr>
            </w:pPr>
            <w:r w:rsidRPr="00764A92">
              <w:rPr>
                <w:sz w:val="20"/>
                <w:szCs w:val="20"/>
              </w:rPr>
              <w:t>0</w:t>
            </w:r>
          </w:p>
        </w:tc>
        <w:tc>
          <w:tcPr>
            <w:tcW w:w="1186" w:type="dxa"/>
            <w:hideMark/>
          </w:tcPr>
          <w:p w14:paraId="51674EF1" w14:textId="77777777" w:rsidR="00E31B27" w:rsidRPr="00764A92" w:rsidRDefault="00E31B27" w:rsidP="001A4AE9">
            <w:pPr>
              <w:spacing w:after="0"/>
              <w:jc w:val="right"/>
              <w:rPr>
                <w:sz w:val="20"/>
                <w:szCs w:val="20"/>
              </w:rPr>
            </w:pPr>
            <w:r w:rsidRPr="00764A92">
              <w:rPr>
                <w:sz w:val="20"/>
                <w:szCs w:val="20"/>
              </w:rPr>
              <w:t>3</w:t>
            </w:r>
          </w:p>
        </w:tc>
        <w:tc>
          <w:tcPr>
            <w:tcW w:w="1186" w:type="dxa"/>
            <w:hideMark/>
          </w:tcPr>
          <w:p w14:paraId="034C44ED" w14:textId="77777777" w:rsidR="00E31B27" w:rsidRPr="00764A92" w:rsidRDefault="00E31B27" w:rsidP="001A4AE9">
            <w:pPr>
              <w:spacing w:after="0"/>
              <w:jc w:val="right"/>
              <w:rPr>
                <w:sz w:val="20"/>
                <w:szCs w:val="20"/>
              </w:rPr>
            </w:pPr>
            <w:r w:rsidRPr="00764A92">
              <w:rPr>
                <w:sz w:val="20"/>
                <w:szCs w:val="20"/>
              </w:rPr>
              <w:t>76</w:t>
            </w:r>
          </w:p>
        </w:tc>
      </w:tr>
    </w:tbl>
    <w:p w14:paraId="1CE403CE" w14:textId="77777777" w:rsidR="00E31B27" w:rsidRPr="00764A92" w:rsidRDefault="00E31B27" w:rsidP="00E31B27">
      <w:pPr>
        <w:rPr>
          <w:sz w:val="22"/>
          <w:szCs w:val="22"/>
        </w:rPr>
      </w:pPr>
    </w:p>
    <w:p w14:paraId="1FB93E41" w14:textId="77777777" w:rsidR="00E31B27" w:rsidRPr="00764A92" w:rsidRDefault="00E31B27" w:rsidP="001A4AE9">
      <w:pPr>
        <w:spacing w:after="0"/>
        <w:jc w:val="center"/>
        <w:rPr>
          <w:b/>
          <w:sz w:val="22"/>
          <w:szCs w:val="22"/>
        </w:rPr>
      </w:pPr>
      <w:r w:rsidRPr="00764A92">
        <w:rPr>
          <w:b/>
          <w:sz w:val="22"/>
          <w:szCs w:val="22"/>
        </w:rPr>
        <w:t>Participation by Program/Award</w:t>
      </w:r>
    </w:p>
    <w:tbl>
      <w:tblPr>
        <w:tblStyle w:val="TableGrid"/>
        <w:tblW w:w="0" w:type="auto"/>
        <w:tblLook w:val="06A0" w:firstRow="1" w:lastRow="0" w:firstColumn="1" w:lastColumn="0" w:noHBand="1" w:noVBand="1"/>
      </w:tblPr>
      <w:tblGrid>
        <w:gridCol w:w="2979"/>
        <w:gridCol w:w="1149"/>
        <w:gridCol w:w="1150"/>
        <w:gridCol w:w="1150"/>
        <w:gridCol w:w="1150"/>
        <w:gridCol w:w="1150"/>
      </w:tblGrid>
      <w:tr w:rsidR="00226C43" w:rsidRPr="00764A92" w14:paraId="451B7736" w14:textId="77777777" w:rsidTr="00117212">
        <w:trPr>
          <w:tblHeader/>
        </w:trPr>
        <w:tc>
          <w:tcPr>
            <w:tcW w:w="0" w:type="auto"/>
            <w:shd w:val="clear" w:color="auto" w:fill="E3DED1" w:themeFill="background2"/>
            <w:hideMark/>
          </w:tcPr>
          <w:p w14:paraId="6094455B" w14:textId="77777777" w:rsidR="001A4AE9" w:rsidRPr="00764A92" w:rsidRDefault="001A4AE9" w:rsidP="001A4AE9">
            <w:pPr>
              <w:spacing w:after="0"/>
              <w:rPr>
                <w:b/>
                <w:sz w:val="20"/>
                <w:szCs w:val="20"/>
              </w:rPr>
            </w:pPr>
            <w:r w:rsidRPr="00764A92">
              <w:rPr>
                <w:b/>
                <w:sz w:val="20"/>
                <w:szCs w:val="20"/>
              </w:rPr>
              <w:t>Program/Award</w:t>
            </w:r>
          </w:p>
        </w:tc>
        <w:tc>
          <w:tcPr>
            <w:tcW w:w="1149" w:type="dxa"/>
            <w:shd w:val="clear" w:color="auto" w:fill="E3DED1" w:themeFill="background2"/>
            <w:hideMark/>
          </w:tcPr>
          <w:p w14:paraId="3335A4E7" w14:textId="77777777" w:rsidR="001A4AE9" w:rsidRPr="00764A92" w:rsidRDefault="001A4AE9" w:rsidP="001A4AE9">
            <w:pPr>
              <w:spacing w:after="0"/>
              <w:jc w:val="center"/>
              <w:rPr>
                <w:b/>
                <w:sz w:val="20"/>
                <w:szCs w:val="20"/>
              </w:rPr>
            </w:pPr>
            <w:r w:rsidRPr="00764A92">
              <w:rPr>
                <w:b/>
                <w:sz w:val="20"/>
                <w:szCs w:val="20"/>
              </w:rPr>
              <w:t>Male</w:t>
            </w:r>
          </w:p>
        </w:tc>
        <w:tc>
          <w:tcPr>
            <w:tcW w:w="1150" w:type="dxa"/>
            <w:shd w:val="clear" w:color="auto" w:fill="E3DED1" w:themeFill="background2"/>
            <w:hideMark/>
          </w:tcPr>
          <w:p w14:paraId="2C03FA86" w14:textId="77777777" w:rsidR="001A4AE9" w:rsidRPr="00764A92" w:rsidRDefault="001A4AE9" w:rsidP="001A4AE9">
            <w:pPr>
              <w:spacing w:after="0"/>
              <w:jc w:val="center"/>
              <w:rPr>
                <w:b/>
                <w:sz w:val="20"/>
                <w:szCs w:val="20"/>
              </w:rPr>
            </w:pPr>
            <w:r w:rsidRPr="00764A92">
              <w:rPr>
                <w:b/>
                <w:sz w:val="20"/>
                <w:szCs w:val="20"/>
              </w:rPr>
              <w:t>Female</w:t>
            </w:r>
          </w:p>
        </w:tc>
        <w:tc>
          <w:tcPr>
            <w:tcW w:w="1150" w:type="dxa"/>
            <w:shd w:val="clear" w:color="auto" w:fill="E3DED1" w:themeFill="background2"/>
            <w:hideMark/>
          </w:tcPr>
          <w:p w14:paraId="2FAEC0E5" w14:textId="77777777" w:rsidR="001A4AE9" w:rsidRPr="00764A92" w:rsidRDefault="001A4AE9" w:rsidP="001A4AE9">
            <w:pPr>
              <w:spacing w:after="0"/>
              <w:jc w:val="center"/>
              <w:rPr>
                <w:b/>
                <w:sz w:val="20"/>
                <w:szCs w:val="20"/>
              </w:rPr>
            </w:pPr>
            <w:r w:rsidRPr="00764A92">
              <w:rPr>
                <w:b/>
                <w:sz w:val="20"/>
                <w:szCs w:val="20"/>
              </w:rPr>
              <w:t>Self-identify</w:t>
            </w:r>
          </w:p>
        </w:tc>
        <w:tc>
          <w:tcPr>
            <w:tcW w:w="1150" w:type="dxa"/>
            <w:shd w:val="clear" w:color="auto" w:fill="E3DED1" w:themeFill="background2"/>
            <w:hideMark/>
          </w:tcPr>
          <w:p w14:paraId="5E2ADF57" w14:textId="77777777" w:rsidR="001A4AE9" w:rsidRPr="00764A92" w:rsidRDefault="001A4AE9" w:rsidP="001A4AE9">
            <w:pPr>
              <w:spacing w:after="0"/>
              <w:jc w:val="center"/>
              <w:rPr>
                <w:b/>
                <w:sz w:val="20"/>
                <w:szCs w:val="20"/>
              </w:rPr>
            </w:pPr>
            <w:r w:rsidRPr="00764A92">
              <w:rPr>
                <w:b/>
                <w:sz w:val="20"/>
                <w:szCs w:val="20"/>
              </w:rPr>
              <w:t>Prefer not to share</w:t>
            </w:r>
          </w:p>
        </w:tc>
        <w:tc>
          <w:tcPr>
            <w:tcW w:w="1150" w:type="dxa"/>
            <w:shd w:val="clear" w:color="auto" w:fill="E3DED1" w:themeFill="background2"/>
            <w:hideMark/>
          </w:tcPr>
          <w:p w14:paraId="2DC6F7C1" w14:textId="77777777" w:rsidR="001A4AE9" w:rsidRPr="00764A92" w:rsidRDefault="001A4AE9" w:rsidP="001A4AE9">
            <w:pPr>
              <w:spacing w:after="0"/>
              <w:jc w:val="center"/>
              <w:rPr>
                <w:b/>
                <w:sz w:val="20"/>
                <w:szCs w:val="20"/>
              </w:rPr>
            </w:pPr>
            <w:r w:rsidRPr="00764A92">
              <w:rPr>
                <w:b/>
                <w:sz w:val="20"/>
                <w:szCs w:val="20"/>
              </w:rPr>
              <w:t>Total</w:t>
            </w:r>
          </w:p>
        </w:tc>
      </w:tr>
      <w:tr w:rsidR="00226C43" w:rsidRPr="00764A92" w14:paraId="72073D6A" w14:textId="77777777" w:rsidTr="000166CB">
        <w:tc>
          <w:tcPr>
            <w:tcW w:w="0" w:type="auto"/>
            <w:hideMark/>
          </w:tcPr>
          <w:p w14:paraId="49B93320" w14:textId="77777777" w:rsidR="001A4AE9" w:rsidRPr="00764A92" w:rsidRDefault="001A4AE9" w:rsidP="001A4AE9">
            <w:pPr>
              <w:spacing w:after="0"/>
              <w:rPr>
                <w:bCs/>
                <w:sz w:val="20"/>
                <w:szCs w:val="20"/>
              </w:rPr>
            </w:pPr>
            <w:r w:rsidRPr="00764A92">
              <w:rPr>
                <w:bCs/>
                <w:sz w:val="20"/>
                <w:szCs w:val="20"/>
              </w:rPr>
              <w:t>Australia Awards Scholarship</w:t>
            </w:r>
          </w:p>
        </w:tc>
        <w:tc>
          <w:tcPr>
            <w:tcW w:w="1149" w:type="dxa"/>
            <w:hideMark/>
          </w:tcPr>
          <w:p w14:paraId="60EB2AAA" w14:textId="77777777" w:rsidR="001A4AE9" w:rsidRPr="00764A92" w:rsidRDefault="001A4AE9" w:rsidP="001A4AE9">
            <w:pPr>
              <w:spacing w:after="0"/>
              <w:jc w:val="right"/>
              <w:rPr>
                <w:sz w:val="20"/>
                <w:szCs w:val="20"/>
              </w:rPr>
            </w:pPr>
            <w:r w:rsidRPr="00764A92">
              <w:rPr>
                <w:sz w:val="20"/>
                <w:szCs w:val="20"/>
              </w:rPr>
              <w:t>28</w:t>
            </w:r>
          </w:p>
        </w:tc>
        <w:tc>
          <w:tcPr>
            <w:tcW w:w="1150" w:type="dxa"/>
            <w:hideMark/>
          </w:tcPr>
          <w:p w14:paraId="38D0A602" w14:textId="77777777" w:rsidR="001A4AE9" w:rsidRPr="00764A92" w:rsidRDefault="001A4AE9" w:rsidP="001A4AE9">
            <w:pPr>
              <w:spacing w:after="0"/>
              <w:jc w:val="right"/>
              <w:rPr>
                <w:sz w:val="20"/>
                <w:szCs w:val="20"/>
              </w:rPr>
            </w:pPr>
            <w:r w:rsidRPr="00764A92">
              <w:rPr>
                <w:sz w:val="20"/>
                <w:szCs w:val="20"/>
              </w:rPr>
              <w:t>34</w:t>
            </w:r>
          </w:p>
        </w:tc>
        <w:tc>
          <w:tcPr>
            <w:tcW w:w="1150" w:type="dxa"/>
            <w:hideMark/>
          </w:tcPr>
          <w:p w14:paraId="377D63EF" w14:textId="77777777" w:rsidR="001A4AE9" w:rsidRPr="00764A92" w:rsidRDefault="001A4AE9" w:rsidP="001A4AE9">
            <w:pPr>
              <w:spacing w:after="0"/>
              <w:jc w:val="right"/>
              <w:rPr>
                <w:sz w:val="20"/>
                <w:szCs w:val="20"/>
              </w:rPr>
            </w:pPr>
            <w:r w:rsidRPr="00764A92">
              <w:rPr>
                <w:sz w:val="20"/>
                <w:szCs w:val="20"/>
              </w:rPr>
              <w:t>2</w:t>
            </w:r>
          </w:p>
        </w:tc>
        <w:tc>
          <w:tcPr>
            <w:tcW w:w="1150" w:type="dxa"/>
            <w:hideMark/>
          </w:tcPr>
          <w:p w14:paraId="606F8D0E" w14:textId="77777777" w:rsidR="001A4AE9" w:rsidRPr="00764A92" w:rsidRDefault="001A4AE9" w:rsidP="001A4AE9">
            <w:pPr>
              <w:spacing w:after="0"/>
              <w:jc w:val="right"/>
              <w:rPr>
                <w:sz w:val="20"/>
                <w:szCs w:val="20"/>
              </w:rPr>
            </w:pPr>
            <w:r w:rsidRPr="00764A92">
              <w:rPr>
                <w:sz w:val="20"/>
                <w:szCs w:val="20"/>
              </w:rPr>
              <w:t>1</w:t>
            </w:r>
          </w:p>
        </w:tc>
        <w:tc>
          <w:tcPr>
            <w:tcW w:w="1150" w:type="dxa"/>
            <w:hideMark/>
          </w:tcPr>
          <w:p w14:paraId="32834BFF" w14:textId="77777777" w:rsidR="001A4AE9" w:rsidRPr="00764A92" w:rsidRDefault="001A4AE9" w:rsidP="001A4AE9">
            <w:pPr>
              <w:spacing w:after="0"/>
              <w:jc w:val="right"/>
              <w:rPr>
                <w:sz w:val="20"/>
                <w:szCs w:val="20"/>
              </w:rPr>
            </w:pPr>
            <w:r w:rsidRPr="00764A92">
              <w:rPr>
                <w:sz w:val="20"/>
                <w:szCs w:val="20"/>
              </w:rPr>
              <w:t>65</w:t>
            </w:r>
          </w:p>
        </w:tc>
      </w:tr>
      <w:tr w:rsidR="00226C43" w:rsidRPr="00764A92" w14:paraId="5BBA9098" w14:textId="77777777" w:rsidTr="000166CB">
        <w:tc>
          <w:tcPr>
            <w:tcW w:w="0" w:type="auto"/>
            <w:hideMark/>
          </w:tcPr>
          <w:p w14:paraId="1ACC0C2A" w14:textId="77777777" w:rsidR="001A4AE9" w:rsidRPr="00764A92" w:rsidRDefault="001A4AE9" w:rsidP="001A4AE9">
            <w:pPr>
              <w:spacing w:after="0"/>
              <w:rPr>
                <w:bCs/>
                <w:sz w:val="20"/>
                <w:szCs w:val="20"/>
              </w:rPr>
            </w:pPr>
            <w:r w:rsidRPr="00764A92">
              <w:rPr>
                <w:bCs/>
                <w:sz w:val="20"/>
                <w:szCs w:val="20"/>
              </w:rPr>
              <w:t>In-Country Scholarship Program</w:t>
            </w:r>
          </w:p>
        </w:tc>
        <w:tc>
          <w:tcPr>
            <w:tcW w:w="1149" w:type="dxa"/>
            <w:hideMark/>
          </w:tcPr>
          <w:p w14:paraId="20FB5617" w14:textId="77777777" w:rsidR="001A4AE9" w:rsidRPr="00764A92" w:rsidRDefault="001A4AE9" w:rsidP="001A4AE9">
            <w:pPr>
              <w:spacing w:after="0"/>
              <w:jc w:val="right"/>
              <w:rPr>
                <w:sz w:val="20"/>
                <w:szCs w:val="20"/>
              </w:rPr>
            </w:pPr>
            <w:r w:rsidRPr="00764A92">
              <w:rPr>
                <w:sz w:val="20"/>
                <w:szCs w:val="20"/>
              </w:rPr>
              <w:t>30</w:t>
            </w:r>
          </w:p>
        </w:tc>
        <w:tc>
          <w:tcPr>
            <w:tcW w:w="1150" w:type="dxa"/>
            <w:hideMark/>
          </w:tcPr>
          <w:p w14:paraId="652277FC" w14:textId="77777777" w:rsidR="001A4AE9" w:rsidRPr="00764A92" w:rsidRDefault="001A4AE9" w:rsidP="001A4AE9">
            <w:pPr>
              <w:spacing w:after="0"/>
              <w:jc w:val="right"/>
              <w:rPr>
                <w:sz w:val="20"/>
                <w:szCs w:val="20"/>
              </w:rPr>
            </w:pPr>
            <w:r w:rsidRPr="00764A92">
              <w:rPr>
                <w:sz w:val="20"/>
                <w:szCs w:val="20"/>
              </w:rPr>
              <w:t>44</w:t>
            </w:r>
          </w:p>
        </w:tc>
        <w:tc>
          <w:tcPr>
            <w:tcW w:w="1150" w:type="dxa"/>
            <w:hideMark/>
          </w:tcPr>
          <w:p w14:paraId="7661F142" w14:textId="77777777" w:rsidR="001A4AE9" w:rsidRPr="00764A92" w:rsidRDefault="001A4AE9" w:rsidP="001A4AE9">
            <w:pPr>
              <w:spacing w:after="0"/>
              <w:jc w:val="right"/>
              <w:rPr>
                <w:sz w:val="20"/>
                <w:szCs w:val="20"/>
              </w:rPr>
            </w:pPr>
            <w:r w:rsidRPr="00764A92">
              <w:rPr>
                <w:sz w:val="20"/>
                <w:szCs w:val="20"/>
              </w:rPr>
              <w:t>2</w:t>
            </w:r>
          </w:p>
        </w:tc>
        <w:tc>
          <w:tcPr>
            <w:tcW w:w="1150" w:type="dxa"/>
            <w:hideMark/>
          </w:tcPr>
          <w:p w14:paraId="267174B4" w14:textId="77777777" w:rsidR="001A4AE9" w:rsidRPr="00764A92" w:rsidRDefault="001A4AE9" w:rsidP="001A4AE9">
            <w:pPr>
              <w:spacing w:after="0"/>
              <w:jc w:val="right"/>
              <w:rPr>
                <w:sz w:val="20"/>
                <w:szCs w:val="20"/>
              </w:rPr>
            </w:pPr>
            <w:r w:rsidRPr="00764A92">
              <w:rPr>
                <w:sz w:val="20"/>
                <w:szCs w:val="20"/>
              </w:rPr>
              <w:t>2</w:t>
            </w:r>
          </w:p>
        </w:tc>
        <w:tc>
          <w:tcPr>
            <w:tcW w:w="1150" w:type="dxa"/>
            <w:hideMark/>
          </w:tcPr>
          <w:p w14:paraId="6996DD74" w14:textId="77777777" w:rsidR="001A4AE9" w:rsidRPr="00764A92" w:rsidRDefault="001A4AE9" w:rsidP="001A4AE9">
            <w:pPr>
              <w:spacing w:after="0"/>
              <w:jc w:val="right"/>
              <w:rPr>
                <w:sz w:val="20"/>
                <w:szCs w:val="20"/>
              </w:rPr>
            </w:pPr>
            <w:r w:rsidRPr="00764A92">
              <w:rPr>
                <w:sz w:val="20"/>
                <w:szCs w:val="20"/>
              </w:rPr>
              <w:t>78</w:t>
            </w:r>
          </w:p>
        </w:tc>
      </w:tr>
      <w:tr w:rsidR="00226C43" w:rsidRPr="00764A92" w14:paraId="15908E48" w14:textId="77777777" w:rsidTr="000166CB">
        <w:tc>
          <w:tcPr>
            <w:tcW w:w="0" w:type="auto"/>
            <w:hideMark/>
          </w:tcPr>
          <w:p w14:paraId="1F49EED0" w14:textId="77777777" w:rsidR="001A4AE9" w:rsidRPr="00764A92" w:rsidRDefault="001A4AE9" w:rsidP="001A4AE9">
            <w:pPr>
              <w:spacing w:after="0"/>
              <w:rPr>
                <w:bCs/>
                <w:sz w:val="20"/>
                <w:szCs w:val="20"/>
              </w:rPr>
            </w:pPr>
            <w:r w:rsidRPr="00764A92">
              <w:rPr>
                <w:bCs/>
                <w:sz w:val="20"/>
                <w:szCs w:val="20"/>
              </w:rPr>
              <w:t>Short Course Awards</w:t>
            </w:r>
          </w:p>
        </w:tc>
        <w:tc>
          <w:tcPr>
            <w:tcW w:w="1149" w:type="dxa"/>
            <w:hideMark/>
          </w:tcPr>
          <w:p w14:paraId="725B6200" w14:textId="77777777" w:rsidR="001A4AE9" w:rsidRPr="00764A92" w:rsidRDefault="001A4AE9" w:rsidP="001A4AE9">
            <w:pPr>
              <w:spacing w:after="0"/>
              <w:jc w:val="right"/>
              <w:rPr>
                <w:sz w:val="20"/>
                <w:szCs w:val="20"/>
              </w:rPr>
            </w:pPr>
            <w:r w:rsidRPr="00764A92">
              <w:rPr>
                <w:sz w:val="20"/>
                <w:szCs w:val="20"/>
              </w:rPr>
              <w:t>77</w:t>
            </w:r>
          </w:p>
        </w:tc>
        <w:tc>
          <w:tcPr>
            <w:tcW w:w="1150" w:type="dxa"/>
            <w:hideMark/>
          </w:tcPr>
          <w:p w14:paraId="36CB7BEF" w14:textId="77777777" w:rsidR="001A4AE9" w:rsidRPr="00764A92" w:rsidRDefault="001A4AE9" w:rsidP="001A4AE9">
            <w:pPr>
              <w:spacing w:after="0"/>
              <w:jc w:val="right"/>
              <w:rPr>
                <w:sz w:val="20"/>
                <w:szCs w:val="20"/>
              </w:rPr>
            </w:pPr>
            <w:r w:rsidRPr="00764A92">
              <w:rPr>
                <w:sz w:val="20"/>
                <w:szCs w:val="20"/>
              </w:rPr>
              <w:t>91</w:t>
            </w:r>
          </w:p>
        </w:tc>
        <w:tc>
          <w:tcPr>
            <w:tcW w:w="1150" w:type="dxa"/>
            <w:hideMark/>
          </w:tcPr>
          <w:p w14:paraId="375E42E3" w14:textId="77777777" w:rsidR="001A4AE9" w:rsidRPr="00764A92" w:rsidRDefault="001A4AE9" w:rsidP="001A4AE9">
            <w:pPr>
              <w:spacing w:after="0"/>
              <w:jc w:val="right"/>
              <w:rPr>
                <w:sz w:val="20"/>
                <w:szCs w:val="20"/>
              </w:rPr>
            </w:pPr>
            <w:r w:rsidRPr="00764A92">
              <w:rPr>
                <w:sz w:val="20"/>
                <w:szCs w:val="20"/>
              </w:rPr>
              <w:t>1</w:t>
            </w:r>
          </w:p>
        </w:tc>
        <w:tc>
          <w:tcPr>
            <w:tcW w:w="1150" w:type="dxa"/>
            <w:hideMark/>
          </w:tcPr>
          <w:p w14:paraId="3638C7BF" w14:textId="77777777" w:rsidR="001A4AE9" w:rsidRPr="00764A92" w:rsidRDefault="001A4AE9" w:rsidP="001A4AE9">
            <w:pPr>
              <w:spacing w:after="0"/>
              <w:jc w:val="right"/>
              <w:rPr>
                <w:sz w:val="20"/>
                <w:szCs w:val="20"/>
              </w:rPr>
            </w:pPr>
            <w:r w:rsidRPr="00764A92">
              <w:rPr>
                <w:sz w:val="20"/>
                <w:szCs w:val="20"/>
              </w:rPr>
              <w:t>3</w:t>
            </w:r>
          </w:p>
        </w:tc>
        <w:tc>
          <w:tcPr>
            <w:tcW w:w="1150" w:type="dxa"/>
            <w:hideMark/>
          </w:tcPr>
          <w:p w14:paraId="3B53B697" w14:textId="77777777" w:rsidR="001A4AE9" w:rsidRPr="00764A92" w:rsidRDefault="001A4AE9" w:rsidP="001A4AE9">
            <w:pPr>
              <w:spacing w:after="0"/>
              <w:jc w:val="right"/>
              <w:rPr>
                <w:sz w:val="20"/>
                <w:szCs w:val="20"/>
              </w:rPr>
            </w:pPr>
            <w:r w:rsidRPr="00764A92">
              <w:rPr>
                <w:sz w:val="20"/>
                <w:szCs w:val="20"/>
              </w:rPr>
              <w:t>172</w:t>
            </w:r>
          </w:p>
        </w:tc>
      </w:tr>
    </w:tbl>
    <w:p w14:paraId="64F82913" w14:textId="75546966" w:rsidR="00243243" w:rsidRPr="00764A92" w:rsidRDefault="00243243" w:rsidP="00243243">
      <w:pPr>
        <w:pStyle w:val="Heading3nonumber"/>
        <w:rPr>
          <w:rFonts w:asciiTheme="minorHAnsi" w:hAnsiTheme="minorHAnsi"/>
          <w:color w:val="auto"/>
          <w:sz w:val="22"/>
          <w:szCs w:val="22"/>
        </w:rPr>
      </w:pPr>
      <w:r w:rsidRPr="00764A92">
        <w:rPr>
          <w:rFonts w:asciiTheme="minorHAnsi" w:hAnsiTheme="minorHAnsi"/>
          <w:color w:val="auto"/>
          <w:sz w:val="22"/>
          <w:szCs w:val="22"/>
        </w:rPr>
        <w:t xml:space="preserve">Perceived relevance and effectiveness of the </w:t>
      </w:r>
      <w:r w:rsidR="0064432C" w:rsidRPr="00764A92">
        <w:rPr>
          <w:rFonts w:asciiTheme="minorHAnsi" w:hAnsiTheme="minorHAnsi"/>
          <w:color w:val="auto"/>
          <w:sz w:val="22"/>
          <w:szCs w:val="22"/>
        </w:rPr>
        <w:t>AAAEP–P</w:t>
      </w:r>
    </w:p>
    <w:p w14:paraId="1F4C9FB0" w14:textId="23BCB92B" w:rsidR="00243243" w:rsidRPr="00764A92" w:rsidRDefault="00243243" w:rsidP="00243243">
      <w:pPr>
        <w:pStyle w:val="ListBullet10"/>
        <w:ind w:left="0" w:firstLine="0"/>
        <w:rPr>
          <w:sz w:val="22"/>
          <w:szCs w:val="22"/>
        </w:rPr>
      </w:pPr>
      <w:r w:rsidRPr="00764A92">
        <w:rPr>
          <w:sz w:val="22"/>
          <w:szCs w:val="22"/>
        </w:rPr>
        <w:t>This section presents alumni views regarding the relevance and effectiveness (</w:t>
      </w:r>
      <w:r w:rsidRPr="00764A92">
        <w:rPr>
          <w:sz w:val="22"/>
          <w:szCs w:val="22"/>
        </w:rPr>
        <w:fldChar w:fldCharType="begin"/>
      </w:r>
      <w:r w:rsidRPr="00764A92">
        <w:rPr>
          <w:sz w:val="22"/>
          <w:szCs w:val="22"/>
        </w:rPr>
        <w:instrText xml:space="preserve"> REF _Ref185322557 \h </w:instrText>
      </w:r>
      <w:r w:rsidR="00CA2071" w:rsidRPr="00764A92">
        <w:rPr>
          <w:sz w:val="22"/>
          <w:szCs w:val="22"/>
        </w:rPr>
        <w:instrText xml:space="preserve"> \* MERGEFORMAT </w:instrText>
      </w:r>
      <w:r w:rsidRPr="00764A92">
        <w:rPr>
          <w:sz w:val="22"/>
          <w:szCs w:val="22"/>
        </w:rPr>
      </w:r>
      <w:r w:rsidRPr="00764A92">
        <w:rPr>
          <w:sz w:val="22"/>
          <w:szCs w:val="22"/>
        </w:rPr>
        <w:fldChar w:fldCharType="separate"/>
      </w:r>
      <w:r w:rsidRPr="00764A92">
        <w:rPr>
          <w:sz w:val="22"/>
          <w:szCs w:val="22"/>
        </w:rPr>
        <w:t xml:space="preserve">Table </w:t>
      </w:r>
      <w:r w:rsidRPr="00764A92">
        <w:rPr>
          <w:noProof/>
          <w:sz w:val="22"/>
          <w:szCs w:val="22"/>
        </w:rPr>
        <w:t>9</w:t>
      </w:r>
      <w:r w:rsidRPr="00764A92">
        <w:rPr>
          <w:sz w:val="22"/>
          <w:szCs w:val="22"/>
        </w:rPr>
        <w:fldChar w:fldCharType="end"/>
      </w:r>
      <w:r w:rsidRPr="00764A92">
        <w:rPr>
          <w:sz w:val="22"/>
          <w:szCs w:val="22"/>
        </w:rPr>
        <w:t xml:space="preserve">) of the </w:t>
      </w:r>
      <w:r w:rsidR="0064432C" w:rsidRPr="00764A92">
        <w:rPr>
          <w:sz w:val="22"/>
          <w:szCs w:val="22"/>
        </w:rPr>
        <w:t>AAAEP–P</w:t>
      </w:r>
      <w:r w:rsidRPr="00764A92">
        <w:rPr>
          <w:sz w:val="22"/>
          <w:szCs w:val="22"/>
        </w:rPr>
        <w:t xml:space="preserve"> related to the needs and priorities of stakeholders.</w:t>
      </w:r>
    </w:p>
    <w:p w14:paraId="5996E373" w14:textId="6B89538E" w:rsidR="00243243" w:rsidRPr="00764A92" w:rsidRDefault="00243243" w:rsidP="00243243">
      <w:pPr>
        <w:pStyle w:val="Caption"/>
        <w:rPr>
          <w:color w:val="auto"/>
          <w:sz w:val="22"/>
          <w:szCs w:val="22"/>
        </w:rPr>
      </w:pPr>
      <w:bookmarkStart w:id="75" w:name="_Ref185322027"/>
      <w:bookmarkStart w:id="76" w:name="_Ref185322557"/>
      <w:bookmarkStart w:id="77" w:name="_Toc190939918"/>
      <w:r w:rsidRPr="00764A92">
        <w:rPr>
          <w:color w:val="auto"/>
          <w:sz w:val="22"/>
          <w:szCs w:val="22"/>
        </w:rPr>
        <w:t>Table</w:t>
      </w:r>
      <w:bookmarkEnd w:id="75"/>
      <w:r w:rsidRPr="00764A92">
        <w:rPr>
          <w:color w:val="auto"/>
          <w:sz w:val="22"/>
          <w:szCs w:val="22"/>
        </w:rPr>
        <w:t xml:space="preserve"> </w:t>
      </w:r>
      <w:r w:rsidR="000113F9" w:rsidRPr="00764A92">
        <w:rPr>
          <w:color w:val="auto"/>
          <w:sz w:val="22"/>
          <w:szCs w:val="22"/>
        </w:rPr>
        <w:fldChar w:fldCharType="begin"/>
      </w:r>
      <w:r w:rsidR="000113F9" w:rsidRPr="00764A92">
        <w:rPr>
          <w:color w:val="auto"/>
          <w:sz w:val="22"/>
          <w:szCs w:val="22"/>
        </w:rPr>
        <w:instrText xml:space="preserve"> SEQ Table \* ARABIC </w:instrText>
      </w:r>
      <w:r w:rsidR="000113F9" w:rsidRPr="00764A92">
        <w:rPr>
          <w:color w:val="auto"/>
          <w:sz w:val="22"/>
          <w:szCs w:val="22"/>
        </w:rPr>
        <w:fldChar w:fldCharType="separate"/>
      </w:r>
      <w:r w:rsidR="003735AF" w:rsidRPr="00764A92">
        <w:rPr>
          <w:noProof/>
          <w:color w:val="auto"/>
          <w:sz w:val="22"/>
          <w:szCs w:val="22"/>
        </w:rPr>
        <w:t>19</w:t>
      </w:r>
      <w:r w:rsidR="000113F9" w:rsidRPr="00764A92">
        <w:rPr>
          <w:noProof/>
          <w:color w:val="auto"/>
          <w:sz w:val="22"/>
          <w:szCs w:val="22"/>
        </w:rPr>
        <w:fldChar w:fldCharType="end"/>
      </w:r>
      <w:bookmarkEnd w:id="76"/>
      <w:r w:rsidRPr="00764A92">
        <w:rPr>
          <w:color w:val="auto"/>
          <w:sz w:val="22"/>
          <w:szCs w:val="22"/>
        </w:rPr>
        <w:t>: Respondents’ view on the relevance and effectiveness of AAAEP–P courses by gender</w:t>
      </w:r>
      <w:r w:rsidRPr="00764A92">
        <w:rPr>
          <w:rStyle w:val="FootnoteReference"/>
          <w:color w:val="auto"/>
          <w:sz w:val="22"/>
          <w:szCs w:val="22"/>
        </w:rPr>
        <w:footnoteReference w:id="39"/>
      </w:r>
      <w:bookmarkEnd w:id="77"/>
    </w:p>
    <w:p w14:paraId="0C03647D" w14:textId="7C7593D5" w:rsidR="00335B3B" w:rsidRPr="00764A92" w:rsidRDefault="004134AD" w:rsidP="00852FDF">
      <w:pPr>
        <w:spacing w:after="0"/>
        <w:jc w:val="center"/>
        <w:rPr>
          <w:b/>
          <w:bCs/>
          <w:sz w:val="22"/>
          <w:szCs w:val="22"/>
        </w:rPr>
      </w:pPr>
      <w:r w:rsidRPr="00764A92">
        <w:rPr>
          <w:b/>
          <w:sz w:val="22"/>
          <w:szCs w:val="22"/>
        </w:rPr>
        <w:t>RELEVANCE</w:t>
      </w:r>
    </w:p>
    <w:tbl>
      <w:tblPr>
        <w:tblStyle w:val="TableGrid"/>
        <w:tblW w:w="9252" w:type="dxa"/>
        <w:jc w:val="center"/>
        <w:tblLook w:val="06A0" w:firstRow="1" w:lastRow="0" w:firstColumn="1" w:lastColumn="0" w:noHBand="1" w:noVBand="1"/>
      </w:tblPr>
      <w:tblGrid>
        <w:gridCol w:w="4491"/>
        <w:gridCol w:w="1515"/>
        <w:gridCol w:w="1735"/>
        <w:gridCol w:w="1511"/>
      </w:tblGrid>
      <w:tr w:rsidR="00226C43" w:rsidRPr="00764A92" w14:paraId="05652CE8" w14:textId="77777777" w:rsidTr="00117212">
        <w:trPr>
          <w:tblHeader/>
          <w:jc w:val="center"/>
        </w:trPr>
        <w:tc>
          <w:tcPr>
            <w:tcW w:w="4491" w:type="dxa"/>
            <w:shd w:val="clear" w:color="auto" w:fill="E3DED1" w:themeFill="background2"/>
            <w:hideMark/>
          </w:tcPr>
          <w:p w14:paraId="7932C176" w14:textId="77777777" w:rsidR="00335B3B" w:rsidRPr="00764A92" w:rsidRDefault="00335B3B" w:rsidP="00335B3B">
            <w:pPr>
              <w:spacing w:after="0"/>
              <w:rPr>
                <w:b/>
                <w:sz w:val="20"/>
                <w:szCs w:val="20"/>
              </w:rPr>
            </w:pPr>
            <w:r w:rsidRPr="00764A92">
              <w:rPr>
                <w:b/>
                <w:sz w:val="20"/>
                <w:szCs w:val="20"/>
              </w:rPr>
              <w:t>Item</w:t>
            </w:r>
          </w:p>
        </w:tc>
        <w:tc>
          <w:tcPr>
            <w:tcW w:w="0" w:type="auto"/>
            <w:shd w:val="clear" w:color="auto" w:fill="E3DED1" w:themeFill="background2"/>
            <w:hideMark/>
          </w:tcPr>
          <w:p w14:paraId="2B34B298" w14:textId="77777777" w:rsidR="00335B3B" w:rsidRPr="00764A92" w:rsidRDefault="00335B3B" w:rsidP="00764A92">
            <w:pPr>
              <w:spacing w:after="0"/>
              <w:jc w:val="center"/>
              <w:rPr>
                <w:b/>
                <w:sz w:val="20"/>
                <w:szCs w:val="20"/>
              </w:rPr>
            </w:pPr>
            <w:r w:rsidRPr="00764A92">
              <w:rPr>
                <w:b/>
                <w:sz w:val="20"/>
                <w:szCs w:val="20"/>
              </w:rPr>
              <w:t>% Male Agreed</w:t>
            </w:r>
          </w:p>
        </w:tc>
        <w:tc>
          <w:tcPr>
            <w:tcW w:w="0" w:type="auto"/>
            <w:shd w:val="clear" w:color="auto" w:fill="E3DED1" w:themeFill="background2"/>
            <w:hideMark/>
          </w:tcPr>
          <w:p w14:paraId="1FB44C42" w14:textId="77777777" w:rsidR="00335B3B" w:rsidRPr="00764A92" w:rsidRDefault="00335B3B" w:rsidP="00764A92">
            <w:pPr>
              <w:spacing w:after="0"/>
              <w:jc w:val="center"/>
              <w:rPr>
                <w:b/>
                <w:sz w:val="20"/>
                <w:szCs w:val="20"/>
              </w:rPr>
            </w:pPr>
            <w:r w:rsidRPr="00764A92">
              <w:rPr>
                <w:b/>
                <w:sz w:val="20"/>
                <w:szCs w:val="20"/>
              </w:rPr>
              <w:t>% Female Agreed</w:t>
            </w:r>
          </w:p>
        </w:tc>
        <w:tc>
          <w:tcPr>
            <w:tcW w:w="0" w:type="auto"/>
            <w:shd w:val="clear" w:color="auto" w:fill="E3DED1" w:themeFill="background2"/>
            <w:hideMark/>
          </w:tcPr>
          <w:p w14:paraId="62DE4E0D" w14:textId="77777777" w:rsidR="00335B3B" w:rsidRPr="00764A92" w:rsidRDefault="00335B3B" w:rsidP="00764A92">
            <w:pPr>
              <w:spacing w:after="0"/>
              <w:jc w:val="center"/>
              <w:rPr>
                <w:b/>
                <w:sz w:val="20"/>
                <w:szCs w:val="20"/>
              </w:rPr>
            </w:pPr>
            <w:r w:rsidRPr="00764A92">
              <w:rPr>
                <w:b/>
                <w:sz w:val="20"/>
                <w:szCs w:val="20"/>
              </w:rPr>
              <w:t>% Total Agreed</w:t>
            </w:r>
          </w:p>
        </w:tc>
      </w:tr>
      <w:tr w:rsidR="00226C43" w:rsidRPr="00764A92" w14:paraId="365EC57B" w14:textId="77777777" w:rsidTr="00764A92">
        <w:trPr>
          <w:jc w:val="center"/>
        </w:trPr>
        <w:tc>
          <w:tcPr>
            <w:tcW w:w="4491" w:type="dxa"/>
            <w:hideMark/>
          </w:tcPr>
          <w:p w14:paraId="15786E24" w14:textId="77777777" w:rsidR="00335B3B" w:rsidRPr="00764A92" w:rsidRDefault="00335B3B" w:rsidP="00335B3B">
            <w:pPr>
              <w:spacing w:after="0"/>
              <w:rPr>
                <w:bCs/>
                <w:sz w:val="20"/>
                <w:szCs w:val="20"/>
              </w:rPr>
            </w:pPr>
            <w:r w:rsidRPr="00764A92">
              <w:rPr>
                <w:bCs/>
                <w:sz w:val="20"/>
                <w:szCs w:val="20"/>
              </w:rPr>
              <w:t>Relevant to the Philippine government's priorities</w:t>
            </w:r>
          </w:p>
        </w:tc>
        <w:tc>
          <w:tcPr>
            <w:tcW w:w="0" w:type="auto"/>
            <w:hideMark/>
          </w:tcPr>
          <w:p w14:paraId="482614D9" w14:textId="571E94D4" w:rsidR="00335B3B" w:rsidRPr="00764A92" w:rsidRDefault="00335B3B" w:rsidP="00852FDF">
            <w:pPr>
              <w:spacing w:after="0"/>
              <w:jc w:val="right"/>
              <w:rPr>
                <w:sz w:val="20"/>
                <w:szCs w:val="20"/>
              </w:rPr>
            </w:pPr>
            <w:r w:rsidRPr="00764A92">
              <w:rPr>
                <w:sz w:val="20"/>
                <w:szCs w:val="20"/>
              </w:rPr>
              <w:t>89</w:t>
            </w:r>
          </w:p>
        </w:tc>
        <w:tc>
          <w:tcPr>
            <w:tcW w:w="0" w:type="auto"/>
            <w:hideMark/>
          </w:tcPr>
          <w:p w14:paraId="77FAA464" w14:textId="4FC0B848" w:rsidR="00335B3B" w:rsidRPr="00764A92" w:rsidRDefault="00335B3B" w:rsidP="00852FDF">
            <w:pPr>
              <w:spacing w:after="0"/>
              <w:jc w:val="right"/>
              <w:rPr>
                <w:sz w:val="20"/>
                <w:szCs w:val="20"/>
              </w:rPr>
            </w:pPr>
            <w:r w:rsidRPr="00764A92">
              <w:rPr>
                <w:sz w:val="20"/>
                <w:szCs w:val="20"/>
              </w:rPr>
              <w:t>90</w:t>
            </w:r>
          </w:p>
        </w:tc>
        <w:tc>
          <w:tcPr>
            <w:tcW w:w="0" w:type="auto"/>
            <w:hideMark/>
          </w:tcPr>
          <w:p w14:paraId="65818F2E" w14:textId="4CC1D6D7" w:rsidR="00335B3B" w:rsidRPr="00764A92" w:rsidRDefault="00335B3B" w:rsidP="00852FDF">
            <w:pPr>
              <w:spacing w:after="0"/>
              <w:jc w:val="right"/>
              <w:rPr>
                <w:sz w:val="20"/>
                <w:szCs w:val="20"/>
              </w:rPr>
            </w:pPr>
            <w:r w:rsidRPr="00764A92">
              <w:rPr>
                <w:sz w:val="20"/>
                <w:szCs w:val="20"/>
              </w:rPr>
              <w:t>90</w:t>
            </w:r>
          </w:p>
        </w:tc>
      </w:tr>
      <w:tr w:rsidR="00226C43" w:rsidRPr="00764A92" w14:paraId="60C7CF8B" w14:textId="77777777" w:rsidTr="00764A92">
        <w:trPr>
          <w:jc w:val="center"/>
        </w:trPr>
        <w:tc>
          <w:tcPr>
            <w:tcW w:w="4491" w:type="dxa"/>
            <w:hideMark/>
          </w:tcPr>
          <w:p w14:paraId="6CCADD7E" w14:textId="77777777" w:rsidR="00335B3B" w:rsidRPr="00764A92" w:rsidRDefault="00335B3B" w:rsidP="00335B3B">
            <w:pPr>
              <w:spacing w:after="0"/>
              <w:rPr>
                <w:bCs/>
                <w:sz w:val="20"/>
                <w:szCs w:val="20"/>
              </w:rPr>
            </w:pPr>
            <w:r w:rsidRPr="00764A92">
              <w:rPr>
                <w:bCs/>
                <w:sz w:val="20"/>
                <w:szCs w:val="20"/>
              </w:rPr>
              <w:t>Relevant to respondent's organisation</w:t>
            </w:r>
          </w:p>
        </w:tc>
        <w:tc>
          <w:tcPr>
            <w:tcW w:w="0" w:type="auto"/>
            <w:hideMark/>
          </w:tcPr>
          <w:p w14:paraId="3DA0147F" w14:textId="4B407E6E" w:rsidR="00335B3B" w:rsidRPr="00764A92" w:rsidRDefault="00335B3B" w:rsidP="00852FDF">
            <w:pPr>
              <w:spacing w:after="0"/>
              <w:jc w:val="right"/>
              <w:rPr>
                <w:sz w:val="20"/>
                <w:szCs w:val="20"/>
              </w:rPr>
            </w:pPr>
            <w:r w:rsidRPr="00764A92">
              <w:rPr>
                <w:sz w:val="20"/>
                <w:szCs w:val="20"/>
              </w:rPr>
              <w:t>96</w:t>
            </w:r>
          </w:p>
        </w:tc>
        <w:tc>
          <w:tcPr>
            <w:tcW w:w="0" w:type="auto"/>
            <w:hideMark/>
          </w:tcPr>
          <w:p w14:paraId="413F315D" w14:textId="2F6A9253" w:rsidR="00335B3B" w:rsidRPr="00764A92" w:rsidRDefault="00335B3B" w:rsidP="00852FDF">
            <w:pPr>
              <w:spacing w:after="0"/>
              <w:jc w:val="right"/>
              <w:rPr>
                <w:sz w:val="20"/>
                <w:szCs w:val="20"/>
              </w:rPr>
            </w:pPr>
            <w:r w:rsidRPr="00764A92">
              <w:rPr>
                <w:sz w:val="20"/>
                <w:szCs w:val="20"/>
              </w:rPr>
              <w:t>96</w:t>
            </w:r>
          </w:p>
        </w:tc>
        <w:tc>
          <w:tcPr>
            <w:tcW w:w="0" w:type="auto"/>
            <w:hideMark/>
          </w:tcPr>
          <w:p w14:paraId="3055A5D6" w14:textId="435BE646" w:rsidR="00335B3B" w:rsidRPr="00764A92" w:rsidRDefault="00335B3B" w:rsidP="00852FDF">
            <w:pPr>
              <w:spacing w:after="0"/>
              <w:jc w:val="right"/>
              <w:rPr>
                <w:sz w:val="20"/>
                <w:szCs w:val="20"/>
              </w:rPr>
            </w:pPr>
            <w:r w:rsidRPr="00764A92">
              <w:rPr>
                <w:sz w:val="20"/>
                <w:szCs w:val="20"/>
              </w:rPr>
              <w:t>96</w:t>
            </w:r>
          </w:p>
        </w:tc>
      </w:tr>
      <w:tr w:rsidR="00226C43" w:rsidRPr="00764A92" w14:paraId="376B8744" w14:textId="77777777" w:rsidTr="00764A92">
        <w:trPr>
          <w:jc w:val="center"/>
        </w:trPr>
        <w:tc>
          <w:tcPr>
            <w:tcW w:w="4491" w:type="dxa"/>
            <w:hideMark/>
          </w:tcPr>
          <w:p w14:paraId="6C71E84D" w14:textId="77777777" w:rsidR="00335B3B" w:rsidRPr="00764A92" w:rsidRDefault="00335B3B" w:rsidP="00335B3B">
            <w:pPr>
              <w:spacing w:after="0"/>
              <w:rPr>
                <w:bCs/>
                <w:sz w:val="20"/>
                <w:szCs w:val="20"/>
              </w:rPr>
            </w:pPr>
            <w:r w:rsidRPr="00764A92">
              <w:rPr>
                <w:bCs/>
                <w:sz w:val="20"/>
                <w:szCs w:val="20"/>
              </w:rPr>
              <w:t>Relevant to advancing GEDSI in the Philippines</w:t>
            </w:r>
          </w:p>
        </w:tc>
        <w:tc>
          <w:tcPr>
            <w:tcW w:w="0" w:type="auto"/>
            <w:hideMark/>
          </w:tcPr>
          <w:p w14:paraId="68E9C5E2" w14:textId="043F0DA4" w:rsidR="00335B3B" w:rsidRPr="00764A92" w:rsidRDefault="00335B3B" w:rsidP="00852FDF">
            <w:pPr>
              <w:spacing w:after="0"/>
              <w:jc w:val="right"/>
              <w:rPr>
                <w:sz w:val="20"/>
                <w:szCs w:val="20"/>
              </w:rPr>
            </w:pPr>
            <w:r w:rsidRPr="00764A92">
              <w:rPr>
                <w:sz w:val="20"/>
                <w:szCs w:val="20"/>
              </w:rPr>
              <w:t>95</w:t>
            </w:r>
          </w:p>
        </w:tc>
        <w:tc>
          <w:tcPr>
            <w:tcW w:w="0" w:type="auto"/>
            <w:hideMark/>
          </w:tcPr>
          <w:p w14:paraId="6B596F4D" w14:textId="267C50C5" w:rsidR="00335B3B" w:rsidRPr="00764A92" w:rsidRDefault="00335B3B" w:rsidP="00852FDF">
            <w:pPr>
              <w:spacing w:after="0"/>
              <w:jc w:val="right"/>
              <w:rPr>
                <w:sz w:val="20"/>
                <w:szCs w:val="20"/>
              </w:rPr>
            </w:pPr>
            <w:r w:rsidRPr="00764A92">
              <w:rPr>
                <w:sz w:val="20"/>
                <w:szCs w:val="20"/>
              </w:rPr>
              <w:t>96</w:t>
            </w:r>
          </w:p>
        </w:tc>
        <w:tc>
          <w:tcPr>
            <w:tcW w:w="0" w:type="auto"/>
            <w:hideMark/>
          </w:tcPr>
          <w:p w14:paraId="610FD502" w14:textId="379DE20C" w:rsidR="00335B3B" w:rsidRPr="00764A92" w:rsidRDefault="00335B3B" w:rsidP="00852FDF">
            <w:pPr>
              <w:spacing w:after="0"/>
              <w:jc w:val="right"/>
              <w:rPr>
                <w:sz w:val="20"/>
                <w:szCs w:val="20"/>
              </w:rPr>
            </w:pPr>
            <w:r w:rsidRPr="00764A92">
              <w:rPr>
                <w:sz w:val="20"/>
                <w:szCs w:val="20"/>
              </w:rPr>
              <w:t>96</w:t>
            </w:r>
          </w:p>
        </w:tc>
      </w:tr>
      <w:tr w:rsidR="00226C43" w:rsidRPr="00764A92" w14:paraId="776BE69D" w14:textId="77777777" w:rsidTr="00764A92">
        <w:trPr>
          <w:jc w:val="center"/>
        </w:trPr>
        <w:tc>
          <w:tcPr>
            <w:tcW w:w="4491" w:type="dxa"/>
            <w:hideMark/>
          </w:tcPr>
          <w:p w14:paraId="333117DE" w14:textId="77777777" w:rsidR="00335B3B" w:rsidRPr="00764A92" w:rsidRDefault="00335B3B" w:rsidP="00335B3B">
            <w:pPr>
              <w:spacing w:after="0"/>
              <w:rPr>
                <w:bCs/>
                <w:sz w:val="20"/>
                <w:szCs w:val="20"/>
              </w:rPr>
            </w:pPr>
            <w:r w:rsidRPr="00764A92">
              <w:rPr>
                <w:bCs/>
                <w:sz w:val="20"/>
                <w:szCs w:val="20"/>
              </w:rPr>
              <w:t>Relevant to respondent's career progression</w:t>
            </w:r>
          </w:p>
        </w:tc>
        <w:tc>
          <w:tcPr>
            <w:tcW w:w="0" w:type="auto"/>
            <w:hideMark/>
          </w:tcPr>
          <w:p w14:paraId="7D6D6328" w14:textId="01FB1197" w:rsidR="00335B3B" w:rsidRPr="00764A92" w:rsidRDefault="00335B3B" w:rsidP="00852FDF">
            <w:pPr>
              <w:spacing w:after="0"/>
              <w:jc w:val="right"/>
              <w:rPr>
                <w:sz w:val="20"/>
                <w:szCs w:val="20"/>
              </w:rPr>
            </w:pPr>
            <w:r w:rsidRPr="00764A92">
              <w:rPr>
                <w:sz w:val="20"/>
                <w:szCs w:val="20"/>
              </w:rPr>
              <w:t>96</w:t>
            </w:r>
          </w:p>
        </w:tc>
        <w:tc>
          <w:tcPr>
            <w:tcW w:w="0" w:type="auto"/>
            <w:hideMark/>
          </w:tcPr>
          <w:p w14:paraId="6881E89E" w14:textId="0A336E83" w:rsidR="00335B3B" w:rsidRPr="00764A92" w:rsidRDefault="00335B3B" w:rsidP="00852FDF">
            <w:pPr>
              <w:spacing w:after="0"/>
              <w:jc w:val="right"/>
              <w:rPr>
                <w:sz w:val="20"/>
                <w:szCs w:val="20"/>
              </w:rPr>
            </w:pPr>
            <w:r w:rsidRPr="00764A92">
              <w:rPr>
                <w:sz w:val="20"/>
                <w:szCs w:val="20"/>
              </w:rPr>
              <w:t>95</w:t>
            </w:r>
          </w:p>
        </w:tc>
        <w:tc>
          <w:tcPr>
            <w:tcW w:w="0" w:type="auto"/>
            <w:hideMark/>
          </w:tcPr>
          <w:p w14:paraId="5AC5F599" w14:textId="3EF5BF4D" w:rsidR="00335B3B" w:rsidRPr="00764A92" w:rsidRDefault="00335B3B" w:rsidP="00852FDF">
            <w:pPr>
              <w:spacing w:after="0"/>
              <w:jc w:val="right"/>
              <w:rPr>
                <w:sz w:val="20"/>
                <w:szCs w:val="20"/>
              </w:rPr>
            </w:pPr>
            <w:r w:rsidRPr="00764A92">
              <w:rPr>
                <w:sz w:val="20"/>
                <w:szCs w:val="20"/>
              </w:rPr>
              <w:t>96</w:t>
            </w:r>
          </w:p>
        </w:tc>
      </w:tr>
      <w:tr w:rsidR="000166CB" w:rsidRPr="00764A92" w14:paraId="36BB40B4" w14:textId="77777777" w:rsidTr="00764A92">
        <w:trPr>
          <w:jc w:val="center"/>
        </w:trPr>
        <w:tc>
          <w:tcPr>
            <w:tcW w:w="4491" w:type="dxa"/>
            <w:hideMark/>
          </w:tcPr>
          <w:p w14:paraId="017B14CB" w14:textId="77777777" w:rsidR="00335B3B" w:rsidRPr="00764A92" w:rsidRDefault="00335B3B" w:rsidP="00335B3B">
            <w:pPr>
              <w:spacing w:after="0"/>
              <w:rPr>
                <w:bCs/>
                <w:sz w:val="20"/>
                <w:szCs w:val="20"/>
              </w:rPr>
            </w:pPr>
            <w:r w:rsidRPr="00764A92">
              <w:rPr>
                <w:bCs/>
                <w:sz w:val="20"/>
                <w:szCs w:val="20"/>
              </w:rPr>
              <w:t>Relevant to respondent's personal life</w:t>
            </w:r>
          </w:p>
        </w:tc>
        <w:tc>
          <w:tcPr>
            <w:tcW w:w="0" w:type="auto"/>
            <w:hideMark/>
          </w:tcPr>
          <w:p w14:paraId="69D957AE" w14:textId="17DE8C80" w:rsidR="00335B3B" w:rsidRPr="00764A92" w:rsidRDefault="00335B3B" w:rsidP="00852FDF">
            <w:pPr>
              <w:spacing w:after="0"/>
              <w:jc w:val="right"/>
              <w:rPr>
                <w:sz w:val="20"/>
                <w:szCs w:val="20"/>
              </w:rPr>
            </w:pPr>
            <w:r w:rsidRPr="00764A92">
              <w:rPr>
                <w:sz w:val="20"/>
                <w:szCs w:val="20"/>
              </w:rPr>
              <w:t>98</w:t>
            </w:r>
          </w:p>
        </w:tc>
        <w:tc>
          <w:tcPr>
            <w:tcW w:w="0" w:type="auto"/>
            <w:hideMark/>
          </w:tcPr>
          <w:p w14:paraId="5205A74C" w14:textId="72233C01" w:rsidR="00335B3B" w:rsidRPr="00764A92" w:rsidRDefault="00335B3B" w:rsidP="00852FDF">
            <w:pPr>
              <w:spacing w:after="0"/>
              <w:jc w:val="right"/>
              <w:rPr>
                <w:sz w:val="20"/>
                <w:szCs w:val="20"/>
              </w:rPr>
            </w:pPr>
            <w:r w:rsidRPr="00764A92">
              <w:rPr>
                <w:sz w:val="20"/>
                <w:szCs w:val="20"/>
              </w:rPr>
              <w:t>96</w:t>
            </w:r>
          </w:p>
        </w:tc>
        <w:tc>
          <w:tcPr>
            <w:tcW w:w="0" w:type="auto"/>
            <w:hideMark/>
          </w:tcPr>
          <w:p w14:paraId="3DEFE1EE" w14:textId="74B8B7C0" w:rsidR="00335B3B" w:rsidRPr="00764A92" w:rsidRDefault="00335B3B" w:rsidP="00852FDF">
            <w:pPr>
              <w:spacing w:after="0"/>
              <w:jc w:val="right"/>
              <w:rPr>
                <w:sz w:val="20"/>
                <w:szCs w:val="20"/>
              </w:rPr>
            </w:pPr>
            <w:r w:rsidRPr="00764A92">
              <w:rPr>
                <w:sz w:val="20"/>
                <w:szCs w:val="20"/>
              </w:rPr>
              <w:t>97</w:t>
            </w:r>
          </w:p>
        </w:tc>
      </w:tr>
    </w:tbl>
    <w:p w14:paraId="5C7C78E8" w14:textId="77777777" w:rsidR="00214B44" w:rsidRPr="00764A92" w:rsidRDefault="00214B44" w:rsidP="00852FDF">
      <w:pPr>
        <w:spacing w:after="0"/>
        <w:rPr>
          <w:sz w:val="22"/>
          <w:szCs w:val="22"/>
        </w:rPr>
      </w:pPr>
    </w:p>
    <w:p w14:paraId="527EE3FD" w14:textId="54DB1628" w:rsidR="00852FDF" w:rsidRPr="00764A92" w:rsidRDefault="004134AD" w:rsidP="00852FDF">
      <w:pPr>
        <w:spacing w:after="0"/>
        <w:jc w:val="center"/>
        <w:rPr>
          <w:b/>
          <w:sz w:val="22"/>
          <w:szCs w:val="22"/>
        </w:rPr>
      </w:pPr>
      <w:r w:rsidRPr="00764A92">
        <w:rPr>
          <w:b/>
          <w:sz w:val="22"/>
          <w:szCs w:val="22"/>
        </w:rPr>
        <w:t>EFFECTIVENESS</w:t>
      </w:r>
    </w:p>
    <w:tbl>
      <w:tblPr>
        <w:tblStyle w:val="TableGrid"/>
        <w:tblW w:w="9933" w:type="dxa"/>
        <w:jc w:val="center"/>
        <w:tblLook w:val="06A0" w:firstRow="1" w:lastRow="0" w:firstColumn="1" w:lastColumn="0" w:noHBand="1" w:noVBand="1"/>
      </w:tblPr>
      <w:tblGrid>
        <w:gridCol w:w="5514"/>
        <w:gridCol w:w="1411"/>
        <w:gridCol w:w="1601"/>
        <w:gridCol w:w="1407"/>
      </w:tblGrid>
      <w:tr w:rsidR="00226C43" w:rsidRPr="00764A92" w14:paraId="4721D376" w14:textId="77777777" w:rsidTr="00117212">
        <w:trPr>
          <w:tblHeader/>
          <w:jc w:val="center"/>
        </w:trPr>
        <w:tc>
          <w:tcPr>
            <w:tcW w:w="5514" w:type="dxa"/>
            <w:shd w:val="clear" w:color="auto" w:fill="E3DED1" w:themeFill="background2"/>
            <w:hideMark/>
          </w:tcPr>
          <w:p w14:paraId="68FD4A2F" w14:textId="77777777" w:rsidR="00852FDF" w:rsidRPr="00764A92" w:rsidRDefault="00852FDF" w:rsidP="00852FDF">
            <w:pPr>
              <w:spacing w:after="0"/>
              <w:rPr>
                <w:b/>
                <w:sz w:val="20"/>
                <w:szCs w:val="20"/>
              </w:rPr>
            </w:pPr>
            <w:r w:rsidRPr="00764A92">
              <w:rPr>
                <w:b/>
                <w:sz w:val="20"/>
                <w:szCs w:val="20"/>
              </w:rPr>
              <w:t>Item</w:t>
            </w:r>
          </w:p>
        </w:tc>
        <w:tc>
          <w:tcPr>
            <w:tcW w:w="0" w:type="auto"/>
            <w:shd w:val="clear" w:color="auto" w:fill="E3DED1" w:themeFill="background2"/>
            <w:hideMark/>
          </w:tcPr>
          <w:p w14:paraId="5813CEC8" w14:textId="77777777" w:rsidR="00852FDF" w:rsidRPr="00764A92" w:rsidRDefault="00852FDF" w:rsidP="00CA2071">
            <w:pPr>
              <w:spacing w:after="0"/>
              <w:jc w:val="center"/>
              <w:rPr>
                <w:b/>
                <w:sz w:val="20"/>
                <w:szCs w:val="20"/>
              </w:rPr>
            </w:pPr>
            <w:r w:rsidRPr="00764A92">
              <w:rPr>
                <w:b/>
                <w:sz w:val="20"/>
                <w:szCs w:val="20"/>
              </w:rPr>
              <w:t>% Male Agreed</w:t>
            </w:r>
          </w:p>
        </w:tc>
        <w:tc>
          <w:tcPr>
            <w:tcW w:w="0" w:type="auto"/>
            <w:shd w:val="clear" w:color="auto" w:fill="E3DED1" w:themeFill="background2"/>
            <w:hideMark/>
          </w:tcPr>
          <w:p w14:paraId="0AF0A31B" w14:textId="77777777" w:rsidR="00852FDF" w:rsidRPr="00764A92" w:rsidRDefault="00852FDF" w:rsidP="00CA2071">
            <w:pPr>
              <w:spacing w:after="0"/>
              <w:jc w:val="center"/>
              <w:rPr>
                <w:b/>
                <w:sz w:val="20"/>
                <w:szCs w:val="20"/>
              </w:rPr>
            </w:pPr>
            <w:r w:rsidRPr="00764A92">
              <w:rPr>
                <w:b/>
                <w:sz w:val="20"/>
                <w:szCs w:val="20"/>
              </w:rPr>
              <w:t>% Female Agreed</w:t>
            </w:r>
          </w:p>
        </w:tc>
        <w:tc>
          <w:tcPr>
            <w:tcW w:w="0" w:type="auto"/>
            <w:shd w:val="clear" w:color="auto" w:fill="E3DED1" w:themeFill="background2"/>
            <w:hideMark/>
          </w:tcPr>
          <w:p w14:paraId="4CADEB1F" w14:textId="77777777" w:rsidR="00852FDF" w:rsidRPr="00764A92" w:rsidRDefault="00852FDF" w:rsidP="00CA2071">
            <w:pPr>
              <w:spacing w:after="0"/>
              <w:jc w:val="center"/>
              <w:rPr>
                <w:b/>
                <w:sz w:val="20"/>
                <w:szCs w:val="20"/>
              </w:rPr>
            </w:pPr>
            <w:r w:rsidRPr="00764A92">
              <w:rPr>
                <w:b/>
                <w:sz w:val="20"/>
                <w:szCs w:val="20"/>
              </w:rPr>
              <w:t>% Total Agreed</w:t>
            </w:r>
          </w:p>
        </w:tc>
      </w:tr>
      <w:tr w:rsidR="00226C43" w:rsidRPr="00764A92" w14:paraId="6C0AF840" w14:textId="77777777" w:rsidTr="00764A92">
        <w:trPr>
          <w:jc w:val="center"/>
        </w:trPr>
        <w:tc>
          <w:tcPr>
            <w:tcW w:w="5514" w:type="dxa"/>
            <w:hideMark/>
          </w:tcPr>
          <w:p w14:paraId="77BA2F7A" w14:textId="77777777" w:rsidR="00852FDF" w:rsidRPr="00764A92" w:rsidRDefault="00852FDF" w:rsidP="00852FDF">
            <w:pPr>
              <w:spacing w:after="0"/>
              <w:rPr>
                <w:bCs/>
                <w:sz w:val="20"/>
                <w:szCs w:val="20"/>
              </w:rPr>
            </w:pPr>
            <w:r w:rsidRPr="00764A92">
              <w:rPr>
                <w:bCs/>
                <w:sz w:val="20"/>
                <w:szCs w:val="20"/>
              </w:rPr>
              <w:t>Effective in supporting the Philippine Government's priorities</w:t>
            </w:r>
          </w:p>
        </w:tc>
        <w:tc>
          <w:tcPr>
            <w:tcW w:w="0" w:type="auto"/>
            <w:hideMark/>
          </w:tcPr>
          <w:p w14:paraId="3CBC64D0" w14:textId="6D6E253A" w:rsidR="00852FDF" w:rsidRPr="00764A92" w:rsidRDefault="00852FDF" w:rsidP="00852FDF">
            <w:pPr>
              <w:spacing w:after="0"/>
              <w:jc w:val="right"/>
              <w:rPr>
                <w:sz w:val="20"/>
                <w:szCs w:val="20"/>
              </w:rPr>
            </w:pPr>
            <w:r w:rsidRPr="00764A92">
              <w:rPr>
                <w:sz w:val="20"/>
                <w:szCs w:val="20"/>
              </w:rPr>
              <w:t>99</w:t>
            </w:r>
          </w:p>
        </w:tc>
        <w:tc>
          <w:tcPr>
            <w:tcW w:w="0" w:type="auto"/>
            <w:hideMark/>
          </w:tcPr>
          <w:p w14:paraId="22746564" w14:textId="3F2C7F1B" w:rsidR="00852FDF" w:rsidRPr="00764A92" w:rsidRDefault="00852FDF" w:rsidP="00852FDF">
            <w:pPr>
              <w:spacing w:after="0"/>
              <w:jc w:val="right"/>
              <w:rPr>
                <w:sz w:val="20"/>
                <w:szCs w:val="20"/>
              </w:rPr>
            </w:pPr>
            <w:r w:rsidRPr="00764A92">
              <w:rPr>
                <w:sz w:val="20"/>
                <w:szCs w:val="20"/>
              </w:rPr>
              <w:t>96</w:t>
            </w:r>
          </w:p>
        </w:tc>
        <w:tc>
          <w:tcPr>
            <w:tcW w:w="0" w:type="auto"/>
            <w:hideMark/>
          </w:tcPr>
          <w:p w14:paraId="66628165" w14:textId="0A2B0134" w:rsidR="00852FDF" w:rsidRPr="00764A92" w:rsidRDefault="00852FDF" w:rsidP="00852FDF">
            <w:pPr>
              <w:spacing w:after="0"/>
              <w:jc w:val="right"/>
              <w:rPr>
                <w:sz w:val="20"/>
                <w:szCs w:val="20"/>
              </w:rPr>
            </w:pPr>
            <w:r w:rsidRPr="00764A92">
              <w:rPr>
                <w:sz w:val="20"/>
                <w:szCs w:val="20"/>
              </w:rPr>
              <w:t>97</w:t>
            </w:r>
          </w:p>
        </w:tc>
      </w:tr>
      <w:tr w:rsidR="00226C43" w:rsidRPr="00764A92" w14:paraId="1FA4C972" w14:textId="77777777" w:rsidTr="00764A92">
        <w:trPr>
          <w:jc w:val="center"/>
        </w:trPr>
        <w:tc>
          <w:tcPr>
            <w:tcW w:w="5514" w:type="dxa"/>
            <w:hideMark/>
          </w:tcPr>
          <w:p w14:paraId="7BE2930D" w14:textId="77777777" w:rsidR="00852FDF" w:rsidRPr="00764A92" w:rsidRDefault="00852FDF" w:rsidP="00852FDF">
            <w:pPr>
              <w:spacing w:after="0"/>
              <w:rPr>
                <w:bCs/>
                <w:sz w:val="20"/>
                <w:szCs w:val="20"/>
              </w:rPr>
            </w:pPr>
            <w:r w:rsidRPr="00764A92">
              <w:rPr>
                <w:bCs/>
                <w:sz w:val="20"/>
                <w:szCs w:val="20"/>
              </w:rPr>
              <w:t>Effective in supporting respondent's organisation</w:t>
            </w:r>
          </w:p>
        </w:tc>
        <w:tc>
          <w:tcPr>
            <w:tcW w:w="0" w:type="auto"/>
            <w:hideMark/>
          </w:tcPr>
          <w:p w14:paraId="3E3057D4" w14:textId="3597123D" w:rsidR="00852FDF" w:rsidRPr="00764A92" w:rsidRDefault="00852FDF" w:rsidP="00852FDF">
            <w:pPr>
              <w:spacing w:after="0"/>
              <w:jc w:val="right"/>
              <w:rPr>
                <w:sz w:val="20"/>
                <w:szCs w:val="20"/>
              </w:rPr>
            </w:pPr>
            <w:r w:rsidRPr="00764A92">
              <w:rPr>
                <w:sz w:val="20"/>
                <w:szCs w:val="20"/>
              </w:rPr>
              <w:t>98</w:t>
            </w:r>
          </w:p>
        </w:tc>
        <w:tc>
          <w:tcPr>
            <w:tcW w:w="0" w:type="auto"/>
            <w:hideMark/>
          </w:tcPr>
          <w:p w14:paraId="5FA62E77" w14:textId="2914F578" w:rsidR="00852FDF" w:rsidRPr="00764A92" w:rsidRDefault="00852FDF" w:rsidP="00852FDF">
            <w:pPr>
              <w:spacing w:after="0"/>
              <w:jc w:val="right"/>
              <w:rPr>
                <w:sz w:val="20"/>
                <w:szCs w:val="20"/>
              </w:rPr>
            </w:pPr>
            <w:r w:rsidRPr="00764A92">
              <w:rPr>
                <w:sz w:val="20"/>
                <w:szCs w:val="20"/>
              </w:rPr>
              <w:t>95</w:t>
            </w:r>
          </w:p>
        </w:tc>
        <w:tc>
          <w:tcPr>
            <w:tcW w:w="0" w:type="auto"/>
            <w:hideMark/>
          </w:tcPr>
          <w:p w14:paraId="05516BE4" w14:textId="2ED9E2EF" w:rsidR="00852FDF" w:rsidRPr="00764A92" w:rsidRDefault="00852FDF" w:rsidP="00852FDF">
            <w:pPr>
              <w:spacing w:after="0"/>
              <w:jc w:val="right"/>
              <w:rPr>
                <w:sz w:val="20"/>
                <w:szCs w:val="20"/>
              </w:rPr>
            </w:pPr>
            <w:r w:rsidRPr="00764A92">
              <w:rPr>
                <w:sz w:val="20"/>
                <w:szCs w:val="20"/>
              </w:rPr>
              <w:t>96</w:t>
            </w:r>
          </w:p>
        </w:tc>
      </w:tr>
      <w:tr w:rsidR="000166CB" w:rsidRPr="00764A92" w14:paraId="6D9ED522" w14:textId="77777777" w:rsidTr="00764A92">
        <w:trPr>
          <w:jc w:val="center"/>
        </w:trPr>
        <w:tc>
          <w:tcPr>
            <w:tcW w:w="5514" w:type="dxa"/>
            <w:hideMark/>
          </w:tcPr>
          <w:p w14:paraId="0FD0D60F" w14:textId="77777777" w:rsidR="00852FDF" w:rsidRPr="00764A92" w:rsidRDefault="00852FDF" w:rsidP="00852FDF">
            <w:pPr>
              <w:spacing w:after="0"/>
              <w:rPr>
                <w:bCs/>
                <w:sz w:val="20"/>
                <w:szCs w:val="20"/>
              </w:rPr>
            </w:pPr>
            <w:r w:rsidRPr="00764A92">
              <w:rPr>
                <w:bCs/>
                <w:sz w:val="20"/>
                <w:szCs w:val="20"/>
              </w:rPr>
              <w:t>Effective in advancing GEDSI in the Philippines</w:t>
            </w:r>
          </w:p>
        </w:tc>
        <w:tc>
          <w:tcPr>
            <w:tcW w:w="0" w:type="auto"/>
            <w:hideMark/>
          </w:tcPr>
          <w:p w14:paraId="59B0C767" w14:textId="7FA384D9" w:rsidR="00852FDF" w:rsidRPr="00764A92" w:rsidRDefault="00852FDF" w:rsidP="00852FDF">
            <w:pPr>
              <w:spacing w:after="0"/>
              <w:jc w:val="right"/>
              <w:rPr>
                <w:sz w:val="20"/>
                <w:szCs w:val="20"/>
              </w:rPr>
            </w:pPr>
            <w:r w:rsidRPr="00764A92">
              <w:rPr>
                <w:sz w:val="20"/>
                <w:szCs w:val="20"/>
              </w:rPr>
              <w:t>96</w:t>
            </w:r>
          </w:p>
        </w:tc>
        <w:tc>
          <w:tcPr>
            <w:tcW w:w="0" w:type="auto"/>
            <w:hideMark/>
          </w:tcPr>
          <w:p w14:paraId="6DDE9EF8" w14:textId="2419BB16" w:rsidR="00852FDF" w:rsidRPr="00764A92" w:rsidRDefault="00852FDF" w:rsidP="00852FDF">
            <w:pPr>
              <w:spacing w:after="0"/>
              <w:jc w:val="right"/>
              <w:rPr>
                <w:sz w:val="20"/>
                <w:szCs w:val="20"/>
              </w:rPr>
            </w:pPr>
            <w:r w:rsidRPr="00764A92">
              <w:rPr>
                <w:sz w:val="20"/>
                <w:szCs w:val="20"/>
              </w:rPr>
              <w:t>97</w:t>
            </w:r>
          </w:p>
        </w:tc>
        <w:tc>
          <w:tcPr>
            <w:tcW w:w="0" w:type="auto"/>
            <w:hideMark/>
          </w:tcPr>
          <w:p w14:paraId="10858728" w14:textId="77E3C9C1" w:rsidR="00852FDF" w:rsidRPr="00764A92" w:rsidRDefault="00852FDF" w:rsidP="00852FDF">
            <w:pPr>
              <w:spacing w:after="0"/>
              <w:jc w:val="right"/>
              <w:rPr>
                <w:sz w:val="20"/>
                <w:szCs w:val="20"/>
              </w:rPr>
            </w:pPr>
            <w:r w:rsidRPr="00764A92">
              <w:rPr>
                <w:sz w:val="20"/>
                <w:szCs w:val="20"/>
              </w:rPr>
              <w:t>97</w:t>
            </w:r>
          </w:p>
        </w:tc>
      </w:tr>
    </w:tbl>
    <w:p w14:paraId="31BF6CA8" w14:textId="77777777" w:rsidR="00335B3B" w:rsidRPr="00764A92" w:rsidRDefault="00335B3B" w:rsidP="00852FDF">
      <w:pPr>
        <w:spacing w:after="0"/>
        <w:rPr>
          <w:sz w:val="22"/>
          <w:szCs w:val="22"/>
        </w:rPr>
      </w:pPr>
    </w:p>
    <w:p w14:paraId="52AE280D" w14:textId="1FA16AFE" w:rsidR="00243243" w:rsidRPr="00764A92" w:rsidRDefault="00243243" w:rsidP="00243243">
      <w:pPr>
        <w:pStyle w:val="ListBullet10"/>
        <w:ind w:left="0" w:firstLine="0"/>
        <w:rPr>
          <w:sz w:val="22"/>
          <w:szCs w:val="22"/>
        </w:rPr>
      </w:pPr>
      <w:r w:rsidRPr="00764A92">
        <w:rPr>
          <w:sz w:val="22"/>
          <w:szCs w:val="22"/>
        </w:rPr>
        <w:t>A strong majority of alumni survey respondents felt that their studies were both relevant to the Philippine government’s priorities (96%) and effective in supporting those priorities (97%). Similarly, alumni survey respondents felt that their studies were relevant to their employer / host organisation (96%) and effectively supported the work of the organisation (96%). Respondents also felt that their studies were relevant to (97%) and effective in (96%) advancing GEDSI in the Philippines.</w:t>
      </w:r>
      <w:r w:rsidR="0078429F" w:rsidRPr="00764A92">
        <w:rPr>
          <w:sz w:val="22"/>
          <w:szCs w:val="22"/>
        </w:rPr>
        <w:t xml:space="preserve"> </w:t>
      </w:r>
    </w:p>
    <w:p w14:paraId="7E4360D9" w14:textId="77777777" w:rsidR="00243243" w:rsidRPr="00764A92" w:rsidRDefault="00243243" w:rsidP="00243243">
      <w:pPr>
        <w:pStyle w:val="ListBullet10"/>
        <w:ind w:left="0" w:firstLine="0"/>
        <w:rPr>
          <w:sz w:val="22"/>
          <w:szCs w:val="22"/>
        </w:rPr>
      </w:pPr>
      <w:r w:rsidRPr="00764A92">
        <w:rPr>
          <w:sz w:val="22"/>
          <w:szCs w:val="22"/>
        </w:rPr>
        <w:t>At an individual level, alumni survey respondents were very positive about the relevance of their AAAEP–P courses to their career progression (96%) and personal life (97%).</w:t>
      </w:r>
    </w:p>
    <w:p w14:paraId="79E754C6" w14:textId="77777777" w:rsidR="00243243" w:rsidRPr="00764A92" w:rsidRDefault="00243243" w:rsidP="00243243">
      <w:pPr>
        <w:pStyle w:val="Heading3nonumber"/>
        <w:rPr>
          <w:rFonts w:asciiTheme="minorHAnsi" w:hAnsiTheme="minorHAnsi"/>
          <w:color w:val="auto"/>
          <w:sz w:val="22"/>
          <w:szCs w:val="22"/>
        </w:rPr>
      </w:pPr>
      <w:r w:rsidRPr="00764A92">
        <w:rPr>
          <w:rFonts w:asciiTheme="minorHAnsi" w:hAnsiTheme="minorHAnsi"/>
          <w:color w:val="auto"/>
          <w:sz w:val="22"/>
          <w:szCs w:val="22"/>
        </w:rPr>
        <w:t>Satisfaction with elements of the Australian Awards</w:t>
      </w:r>
    </w:p>
    <w:p w14:paraId="3AAC1801" w14:textId="1A1879A5" w:rsidR="00243243" w:rsidRPr="00764A92" w:rsidRDefault="00243243" w:rsidP="00243243">
      <w:pPr>
        <w:rPr>
          <w:sz w:val="22"/>
          <w:szCs w:val="22"/>
        </w:rPr>
      </w:pPr>
      <w:r w:rsidRPr="00764A92">
        <w:rPr>
          <w:sz w:val="22"/>
          <w:szCs w:val="22"/>
        </w:rPr>
        <w:t>This section presents alumni satisfaction with elements of the Australia Awards program (</w:t>
      </w:r>
      <w:r w:rsidRPr="00764A92">
        <w:rPr>
          <w:sz w:val="22"/>
          <w:szCs w:val="22"/>
          <w:highlight w:val="yellow"/>
        </w:rPr>
        <w:fldChar w:fldCharType="begin"/>
      </w:r>
      <w:r w:rsidRPr="00764A92">
        <w:rPr>
          <w:sz w:val="22"/>
          <w:szCs w:val="22"/>
        </w:rPr>
        <w:instrText xml:space="preserve"> REF _Ref185322573 \h </w:instrText>
      </w:r>
      <w:r w:rsidR="00CA2071" w:rsidRPr="00764A92">
        <w:rPr>
          <w:sz w:val="22"/>
          <w:szCs w:val="22"/>
          <w:highlight w:val="yellow"/>
        </w:rPr>
        <w:instrText xml:space="preserve"> \* MERGEFORMAT </w:instrText>
      </w:r>
      <w:r w:rsidRPr="00764A92">
        <w:rPr>
          <w:sz w:val="22"/>
          <w:szCs w:val="22"/>
          <w:highlight w:val="yellow"/>
        </w:rPr>
      </w:r>
      <w:r w:rsidRPr="00764A92">
        <w:rPr>
          <w:sz w:val="22"/>
          <w:szCs w:val="22"/>
          <w:highlight w:val="yellow"/>
        </w:rPr>
        <w:fldChar w:fldCharType="separate"/>
      </w:r>
      <w:r w:rsidRPr="00764A92">
        <w:rPr>
          <w:sz w:val="22"/>
          <w:szCs w:val="22"/>
        </w:rPr>
        <w:t xml:space="preserve">Table </w:t>
      </w:r>
      <w:r w:rsidRPr="00764A92">
        <w:rPr>
          <w:noProof/>
          <w:sz w:val="22"/>
          <w:szCs w:val="22"/>
        </w:rPr>
        <w:t>10</w:t>
      </w:r>
      <w:r w:rsidRPr="00764A92">
        <w:rPr>
          <w:sz w:val="22"/>
          <w:szCs w:val="22"/>
          <w:highlight w:val="yellow"/>
        </w:rPr>
        <w:fldChar w:fldCharType="end"/>
      </w:r>
      <w:r w:rsidRPr="00764A92">
        <w:rPr>
          <w:sz w:val="22"/>
          <w:szCs w:val="22"/>
        </w:rPr>
        <w:t>).</w:t>
      </w:r>
    </w:p>
    <w:p w14:paraId="7721C3BD" w14:textId="6C09F865" w:rsidR="00243243" w:rsidRPr="00764A92" w:rsidRDefault="00243243" w:rsidP="008300EB">
      <w:pPr>
        <w:pStyle w:val="Caption"/>
        <w:spacing w:after="0"/>
        <w:rPr>
          <w:color w:val="auto"/>
          <w:sz w:val="22"/>
          <w:szCs w:val="22"/>
        </w:rPr>
      </w:pPr>
      <w:bookmarkStart w:id="78" w:name="_Ref185322061"/>
      <w:bookmarkStart w:id="79" w:name="_Ref185322573"/>
      <w:bookmarkStart w:id="80" w:name="_Toc190939919"/>
      <w:r w:rsidRPr="00764A92">
        <w:rPr>
          <w:color w:val="auto"/>
          <w:sz w:val="22"/>
          <w:szCs w:val="22"/>
        </w:rPr>
        <w:t>Table</w:t>
      </w:r>
      <w:bookmarkEnd w:id="78"/>
      <w:r w:rsidRPr="00764A92">
        <w:rPr>
          <w:color w:val="auto"/>
          <w:sz w:val="22"/>
          <w:szCs w:val="22"/>
        </w:rPr>
        <w:t xml:space="preserve"> </w:t>
      </w:r>
      <w:r w:rsidR="000113F9" w:rsidRPr="00764A92">
        <w:rPr>
          <w:color w:val="auto"/>
          <w:sz w:val="22"/>
          <w:szCs w:val="22"/>
        </w:rPr>
        <w:fldChar w:fldCharType="begin"/>
      </w:r>
      <w:r w:rsidR="000113F9" w:rsidRPr="00764A92">
        <w:rPr>
          <w:color w:val="auto"/>
          <w:sz w:val="22"/>
          <w:szCs w:val="22"/>
        </w:rPr>
        <w:instrText xml:space="preserve"> SEQ Table \* ARABIC </w:instrText>
      </w:r>
      <w:r w:rsidR="000113F9" w:rsidRPr="00764A92">
        <w:rPr>
          <w:color w:val="auto"/>
          <w:sz w:val="22"/>
          <w:szCs w:val="22"/>
        </w:rPr>
        <w:fldChar w:fldCharType="separate"/>
      </w:r>
      <w:r w:rsidR="003735AF" w:rsidRPr="00764A92">
        <w:rPr>
          <w:noProof/>
          <w:color w:val="auto"/>
          <w:sz w:val="22"/>
          <w:szCs w:val="22"/>
        </w:rPr>
        <w:t>20</w:t>
      </w:r>
      <w:r w:rsidR="000113F9" w:rsidRPr="00764A92">
        <w:rPr>
          <w:noProof/>
          <w:color w:val="auto"/>
          <w:sz w:val="22"/>
          <w:szCs w:val="22"/>
        </w:rPr>
        <w:fldChar w:fldCharType="end"/>
      </w:r>
      <w:bookmarkEnd w:id="79"/>
      <w:r w:rsidRPr="00764A92">
        <w:rPr>
          <w:color w:val="auto"/>
          <w:sz w:val="22"/>
          <w:szCs w:val="22"/>
        </w:rPr>
        <w:t>: Respondents' satisfaction with elements of the Australia Awards</w:t>
      </w:r>
      <w:bookmarkEnd w:id="80"/>
    </w:p>
    <w:tbl>
      <w:tblPr>
        <w:tblStyle w:val="TableGrid"/>
        <w:tblW w:w="9498" w:type="dxa"/>
        <w:jc w:val="center"/>
        <w:tblLook w:val="06A0" w:firstRow="1" w:lastRow="0" w:firstColumn="1" w:lastColumn="0" w:noHBand="1" w:noVBand="1"/>
      </w:tblPr>
      <w:tblGrid>
        <w:gridCol w:w="5510"/>
        <w:gridCol w:w="1377"/>
        <w:gridCol w:w="1377"/>
        <w:gridCol w:w="1234"/>
      </w:tblGrid>
      <w:tr w:rsidR="00226C43" w:rsidRPr="00764A92" w14:paraId="5FB5ECBC" w14:textId="77777777" w:rsidTr="00117212">
        <w:trPr>
          <w:trHeight w:val="300"/>
          <w:tblHeader/>
          <w:jc w:val="center"/>
        </w:trPr>
        <w:tc>
          <w:tcPr>
            <w:tcW w:w="5510" w:type="dxa"/>
            <w:shd w:val="clear" w:color="auto" w:fill="E3DED1" w:themeFill="background2"/>
            <w:hideMark/>
          </w:tcPr>
          <w:p w14:paraId="655F20A5" w14:textId="77777777" w:rsidR="00243243" w:rsidRPr="00764A92" w:rsidRDefault="00243243" w:rsidP="004134AD">
            <w:pPr>
              <w:pStyle w:val="Tabletext"/>
              <w:rPr>
                <w:b/>
                <w:sz w:val="20"/>
                <w:szCs w:val="20"/>
              </w:rPr>
            </w:pPr>
            <w:r w:rsidRPr="00764A92">
              <w:rPr>
                <w:b/>
                <w:sz w:val="20"/>
                <w:szCs w:val="20"/>
              </w:rPr>
              <w:t>Item </w:t>
            </w:r>
          </w:p>
        </w:tc>
        <w:tc>
          <w:tcPr>
            <w:tcW w:w="1377" w:type="dxa"/>
            <w:shd w:val="clear" w:color="auto" w:fill="E3DED1" w:themeFill="background2"/>
            <w:hideMark/>
          </w:tcPr>
          <w:p w14:paraId="0D7444DE" w14:textId="73EDD518" w:rsidR="00243243" w:rsidRPr="00764A92" w:rsidRDefault="00243243" w:rsidP="004134AD">
            <w:pPr>
              <w:pStyle w:val="Tabletext"/>
              <w:jc w:val="center"/>
              <w:rPr>
                <w:b/>
                <w:sz w:val="20"/>
                <w:szCs w:val="20"/>
              </w:rPr>
            </w:pPr>
            <w:r w:rsidRPr="00764A92">
              <w:rPr>
                <w:b/>
                <w:sz w:val="20"/>
                <w:szCs w:val="20"/>
              </w:rPr>
              <w:t>% Male satisfied</w:t>
            </w:r>
          </w:p>
        </w:tc>
        <w:tc>
          <w:tcPr>
            <w:tcW w:w="1377" w:type="dxa"/>
            <w:shd w:val="clear" w:color="auto" w:fill="E3DED1" w:themeFill="background2"/>
            <w:hideMark/>
          </w:tcPr>
          <w:p w14:paraId="4082B3D8" w14:textId="0614EE63" w:rsidR="00243243" w:rsidRPr="00764A92" w:rsidRDefault="00243243" w:rsidP="004134AD">
            <w:pPr>
              <w:pStyle w:val="Tabletext"/>
              <w:jc w:val="center"/>
              <w:rPr>
                <w:b/>
                <w:sz w:val="20"/>
                <w:szCs w:val="20"/>
              </w:rPr>
            </w:pPr>
            <w:r w:rsidRPr="00764A92">
              <w:rPr>
                <w:b/>
                <w:sz w:val="20"/>
                <w:szCs w:val="20"/>
              </w:rPr>
              <w:t>% Female satisfied</w:t>
            </w:r>
          </w:p>
        </w:tc>
        <w:tc>
          <w:tcPr>
            <w:tcW w:w="1234" w:type="dxa"/>
            <w:shd w:val="clear" w:color="auto" w:fill="E3DED1" w:themeFill="background2"/>
          </w:tcPr>
          <w:p w14:paraId="713A2BF9" w14:textId="77777777" w:rsidR="00243243" w:rsidRPr="00764A92" w:rsidRDefault="00243243" w:rsidP="004134AD">
            <w:pPr>
              <w:pStyle w:val="Tabletext"/>
              <w:jc w:val="center"/>
              <w:rPr>
                <w:b/>
                <w:sz w:val="20"/>
                <w:szCs w:val="20"/>
              </w:rPr>
            </w:pPr>
            <w:r w:rsidRPr="00764A92">
              <w:rPr>
                <w:b/>
                <w:sz w:val="20"/>
                <w:szCs w:val="20"/>
              </w:rPr>
              <w:t>% Total satisfied</w:t>
            </w:r>
          </w:p>
        </w:tc>
      </w:tr>
      <w:tr w:rsidR="00226C43" w:rsidRPr="00764A92" w14:paraId="5B14BF1C" w14:textId="77777777" w:rsidTr="000166CB">
        <w:trPr>
          <w:trHeight w:val="300"/>
          <w:jc w:val="center"/>
        </w:trPr>
        <w:tc>
          <w:tcPr>
            <w:tcW w:w="5510" w:type="dxa"/>
            <w:hideMark/>
          </w:tcPr>
          <w:p w14:paraId="6147DD1C" w14:textId="77777777" w:rsidR="00243243" w:rsidRPr="00764A92" w:rsidRDefault="00243243" w:rsidP="006F12CD">
            <w:pPr>
              <w:pStyle w:val="Tabletext"/>
              <w:rPr>
                <w:sz w:val="20"/>
                <w:szCs w:val="20"/>
              </w:rPr>
            </w:pPr>
            <w:r w:rsidRPr="00764A92">
              <w:rPr>
                <w:sz w:val="20"/>
                <w:szCs w:val="20"/>
              </w:rPr>
              <w:t>The quality of introductory information and promotional material about the Australia Awards Scholarships </w:t>
            </w:r>
          </w:p>
        </w:tc>
        <w:tc>
          <w:tcPr>
            <w:tcW w:w="1377" w:type="dxa"/>
            <w:hideMark/>
          </w:tcPr>
          <w:p w14:paraId="1CFA5BD5" w14:textId="77777777" w:rsidR="00243243" w:rsidRPr="00764A92" w:rsidRDefault="00243243" w:rsidP="006F12CD">
            <w:pPr>
              <w:pStyle w:val="Tabletext"/>
              <w:jc w:val="right"/>
              <w:rPr>
                <w:sz w:val="20"/>
                <w:szCs w:val="20"/>
              </w:rPr>
            </w:pPr>
            <w:r w:rsidRPr="00764A92">
              <w:rPr>
                <w:sz w:val="20"/>
                <w:szCs w:val="20"/>
              </w:rPr>
              <w:t>95</w:t>
            </w:r>
          </w:p>
        </w:tc>
        <w:tc>
          <w:tcPr>
            <w:tcW w:w="1377" w:type="dxa"/>
            <w:hideMark/>
          </w:tcPr>
          <w:p w14:paraId="4BA1B9FE" w14:textId="77777777" w:rsidR="00243243" w:rsidRPr="00764A92" w:rsidRDefault="00243243" w:rsidP="006F12CD">
            <w:pPr>
              <w:pStyle w:val="Tabletext"/>
              <w:jc w:val="right"/>
              <w:rPr>
                <w:sz w:val="20"/>
                <w:szCs w:val="20"/>
              </w:rPr>
            </w:pPr>
            <w:r w:rsidRPr="00764A92">
              <w:rPr>
                <w:sz w:val="20"/>
                <w:szCs w:val="20"/>
              </w:rPr>
              <w:t>94</w:t>
            </w:r>
          </w:p>
        </w:tc>
        <w:tc>
          <w:tcPr>
            <w:tcW w:w="1234" w:type="dxa"/>
          </w:tcPr>
          <w:p w14:paraId="16692748" w14:textId="77777777" w:rsidR="00243243" w:rsidRPr="00764A92" w:rsidRDefault="00243243" w:rsidP="006F12CD">
            <w:pPr>
              <w:pStyle w:val="Tabletext"/>
              <w:jc w:val="right"/>
              <w:rPr>
                <w:sz w:val="20"/>
                <w:szCs w:val="20"/>
              </w:rPr>
            </w:pPr>
            <w:r w:rsidRPr="00764A92">
              <w:rPr>
                <w:sz w:val="20"/>
                <w:szCs w:val="20"/>
              </w:rPr>
              <w:t>94</w:t>
            </w:r>
          </w:p>
        </w:tc>
      </w:tr>
      <w:tr w:rsidR="00226C43" w:rsidRPr="00764A92" w14:paraId="734572E9" w14:textId="77777777" w:rsidTr="000166CB">
        <w:trPr>
          <w:trHeight w:val="300"/>
          <w:jc w:val="center"/>
        </w:trPr>
        <w:tc>
          <w:tcPr>
            <w:tcW w:w="5510" w:type="dxa"/>
            <w:hideMark/>
          </w:tcPr>
          <w:p w14:paraId="45F479BA" w14:textId="77777777" w:rsidR="00243243" w:rsidRPr="00764A92" w:rsidRDefault="00243243" w:rsidP="006F12CD">
            <w:pPr>
              <w:pStyle w:val="Tabletext"/>
              <w:rPr>
                <w:sz w:val="20"/>
                <w:szCs w:val="20"/>
              </w:rPr>
            </w:pPr>
            <w:r w:rsidRPr="00764A92">
              <w:rPr>
                <w:sz w:val="20"/>
                <w:szCs w:val="20"/>
              </w:rPr>
              <w:t>The user friendliness and support services of the scholarship application process </w:t>
            </w:r>
          </w:p>
        </w:tc>
        <w:tc>
          <w:tcPr>
            <w:tcW w:w="1377" w:type="dxa"/>
            <w:hideMark/>
          </w:tcPr>
          <w:p w14:paraId="4EEEA544" w14:textId="77777777" w:rsidR="00243243" w:rsidRPr="00764A92" w:rsidRDefault="00243243" w:rsidP="006F12CD">
            <w:pPr>
              <w:pStyle w:val="Tabletext"/>
              <w:jc w:val="right"/>
              <w:rPr>
                <w:sz w:val="20"/>
                <w:szCs w:val="20"/>
              </w:rPr>
            </w:pPr>
            <w:r w:rsidRPr="00764A92">
              <w:rPr>
                <w:sz w:val="20"/>
                <w:szCs w:val="20"/>
              </w:rPr>
              <w:t>96</w:t>
            </w:r>
          </w:p>
        </w:tc>
        <w:tc>
          <w:tcPr>
            <w:tcW w:w="1377" w:type="dxa"/>
            <w:hideMark/>
          </w:tcPr>
          <w:p w14:paraId="34471398" w14:textId="77777777" w:rsidR="00243243" w:rsidRPr="00764A92" w:rsidRDefault="00243243" w:rsidP="006F12CD">
            <w:pPr>
              <w:pStyle w:val="Tabletext"/>
              <w:jc w:val="right"/>
              <w:rPr>
                <w:sz w:val="20"/>
                <w:szCs w:val="20"/>
              </w:rPr>
            </w:pPr>
            <w:r w:rsidRPr="00764A92">
              <w:rPr>
                <w:sz w:val="20"/>
                <w:szCs w:val="20"/>
              </w:rPr>
              <w:t>94</w:t>
            </w:r>
          </w:p>
        </w:tc>
        <w:tc>
          <w:tcPr>
            <w:tcW w:w="1234" w:type="dxa"/>
          </w:tcPr>
          <w:p w14:paraId="25C78BA8" w14:textId="77777777" w:rsidR="00243243" w:rsidRPr="00764A92" w:rsidRDefault="00243243" w:rsidP="006F12CD">
            <w:pPr>
              <w:pStyle w:val="Tabletext"/>
              <w:jc w:val="right"/>
              <w:rPr>
                <w:sz w:val="20"/>
                <w:szCs w:val="20"/>
              </w:rPr>
            </w:pPr>
            <w:r w:rsidRPr="00764A92">
              <w:rPr>
                <w:sz w:val="20"/>
                <w:szCs w:val="20"/>
              </w:rPr>
              <w:t>95</w:t>
            </w:r>
          </w:p>
        </w:tc>
      </w:tr>
      <w:tr w:rsidR="00226C43" w:rsidRPr="00764A92" w14:paraId="35D6D967" w14:textId="77777777" w:rsidTr="000166CB">
        <w:trPr>
          <w:trHeight w:val="300"/>
          <w:jc w:val="center"/>
        </w:trPr>
        <w:tc>
          <w:tcPr>
            <w:tcW w:w="5510" w:type="dxa"/>
            <w:hideMark/>
          </w:tcPr>
          <w:p w14:paraId="4A564E67" w14:textId="77777777" w:rsidR="00243243" w:rsidRPr="00764A92" w:rsidRDefault="00243243" w:rsidP="006F12CD">
            <w:pPr>
              <w:pStyle w:val="Tabletext"/>
              <w:rPr>
                <w:sz w:val="20"/>
                <w:szCs w:val="20"/>
              </w:rPr>
            </w:pPr>
            <w:r w:rsidRPr="00764A92">
              <w:rPr>
                <w:sz w:val="20"/>
                <w:szCs w:val="20"/>
              </w:rPr>
              <w:t>The fairness, equity and inclusion of the assessment and selection process by the program </w:t>
            </w:r>
          </w:p>
        </w:tc>
        <w:tc>
          <w:tcPr>
            <w:tcW w:w="1377" w:type="dxa"/>
            <w:hideMark/>
          </w:tcPr>
          <w:p w14:paraId="6C0AA5B3" w14:textId="77777777" w:rsidR="00243243" w:rsidRPr="00764A92" w:rsidRDefault="00243243" w:rsidP="006F12CD">
            <w:pPr>
              <w:pStyle w:val="Tabletext"/>
              <w:jc w:val="right"/>
              <w:rPr>
                <w:sz w:val="20"/>
                <w:szCs w:val="20"/>
              </w:rPr>
            </w:pPr>
            <w:r w:rsidRPr="00764A92">
              <w:rPr>
                <w:sz w:val="20"/>
                <w:szCs w:val="20"/>
              </w:rPr>
              <w:t>95</w:t>
            </w:r>
          </w:p>
        </w:tc>
        <w:tc>
          <w:tcPr>
            <w:tcW w:w="1377" w:type="dxa"/>
            <w:hideMark/>
          </w:tcPr>
          <w:p w14:paraId="6F83AD86" w14:textId="77777777" w:rsidR="00243243" w:rsidRPr="00764A92" w:rsidRDefault="00243243" w:rsidP="006F12CD">
            <w:pPr>
              <w:pStyle w:val="Tabletext"/>
              <w:jc w:val="right"/>
              <w:rPr>
                <w:sz w:val="20"/>
                <w:szCs w:val="20"/>
              </w:rPr>
            </w:pPr>
            <w:r w:rsidRPr="00764A92">
              <w:rPr>
                <w:sz w:val="20"/>
                <w:szCs w:val="20"/>
              </w:rPr>
              <w:t>94</w:t>
            </w:r>
          </w:p>
        </w:tc>
        <w:tc>
          <w:tcPr>
            <w:tcW w:w="1234" w:type="dxa"/>
          </w:tcPr>
          <w:p w14:paraId="29A4E44B" w14:textId="77777777" w:rsidR="00243243" w:rsidRPr="00764A92" w:rsidRDefault="00243243" w:rsidP="006F12CD">
            <w:pPr>
              <w:pStyle w:val="Tabletext"/>
              <w:jc w:val="right"/>
              <w:rPr>
                <w:sz w:val="20"/>
                <w:szCs w:val="20"/>
              </w:rPr>
            </w:pPr>
            <w:r w:rsidRPr="00764A92">
              <w:rPr>
                <w:sz w:val="20"/>
                <w:szCs w:val="20"/>
              </w:rPr>
              <w:t>94</w:t>
            </w:r>
          </w:p>
        </w:tc>
      </w:tr>
      <w:tr w:rsidR="00226C43" w:rsidRPr="00764A92" w14:paraId="2AA61274" w14:textId="77777777" w:rsidTr="000166CB">
        <w:trPr>
          <w:trHeight w:val="300"/>
          <w:jc w:val="center"/>
        </w:trPr>
        <w:tc>
          <w:tcPr>
            <w:tcW w:w="5510" w:type="dxa"/>
            <w:hideMark/>
          </w:tcPr>
          <w:p w14:paraId="0E5F1B30" w14:textId="77777777" w:rsidR="00243243" w:rsidRPr="00764A92" w:rsidRDefault="00243243" w:rsidP="006F12CD">
            <w:pPr>
              <w:pStyle w:val="Tabletext"/>
              <w:rPr>
                <w:sz w:val="20"/>
                <w:szCs w:val="20"/>
              </w:rPr>
            </w:pPr>
            <w:r w:rsidRPr="00764A92">
              <w:rPr>
                <w:sz w:val="20"/>
                <w:szCs w:val="20"/>
              </w:rPr>
              <w:t>The ease of course selection and enrolment </w:t>
            </w:r>
          </w:p>
        </w:tc>
        <w:tc>
          <w:tcPr>
            <w:tcW w:w="1377" w:type="dxa"/>
            <w:hideMark/>
          </w:tcPr>
          <w:p w14:paraId="71A2C0F3" w14:textId="77777777" w:rsidR="00243243" w:rsidRPr="00764A92" w:rsidRDefault="00243243" w:rsidP="006F12CD">
            <w:pPr>
              <w:pStyle w:val="Tabletext"/>
              <w:jc w:val="right"/>
              <w:rPr>
                <w:sz w:val="20"/>
                <w:szCs w:val="20"/>
              </w:rPr>
            </w:pPr>
            <w:r w:rsidRPr="00764A92">
              <w:rPr>
                <w:sz w:val="20"/>
                <w:szCs w:val="20"/>
              </w:rPr>
              <w:t>93</w:t>
            </w:r>
          </w:p>
        </w:tc>
        <w:tc>
          <w:tcPr>
            <w:tcW w:w="1377" w:type="dxa"/>
            <w:hideMark/>
          </w:tcPr>
          <w:p w14:paraId="0BD1132E" w14:textId="77777777" w:rsidR="00243243" w:rsidRPr="00764A92" w:rsidRDefault="00243243" w:rsidP="006F12CD">
            <w:pPr>
              <w:pStyle w:val="Tabletext"/>
              <w:jc w:val="right"/>
              <w:rPr>
                <w:sz w:val="20"/>
                <w:szCs w:val="20"/>
              </w:rPr>
            </w:pPr>
            <w:r w:rsidRPr="00764A92">
              <w:rPr>
                <w:sz w:val="20"/>
                <w:szCs w:val="20"/>
              </w:rPr>
              <w:t>93</w:t>
            </w:r>
          </w:p>
        </w:tc>
        <w:tc>
          <w:tcPr>
            <w:tcW w:w="1234" w:type="dxa"/>
          </w:tcPr>
          <w:p w14:paraId="6ED98A93" w14:textId="77777777" w:rsidR="00243243" w:rsidRPr="00764A92" w:rsidRDefault="00243243" w:rsidP="006F12CD">
            <w:pPr>
              <w:pStyle w:val="Tabletext"/>
              <w:jc w:val="right"/>
              <w:rPr>
                <w:sz w:val="20"/>
                <w:szCs w:val="20"/>
              </w:rPr>
            </w:pPr>
            <w:r w:rsidRPr="00764A92">
              <w:rPr>
                <w:sz w:val="20"/>
                <w:szCs w:val="20"/>
              </w:rPr>
              <w:t>93</w:t>
            </w:r>
          </w:p>
        </w:tc>
      </w:tr>
      <w:tr w:rsidR="00226C43" w:rsidRPr="00764A92" w14:paraId="1EAC6B49" w14:textId="77777777" w:rsidTr="000166CB">
        <w:trPr>
          <w:trHeight w:val="300"/>
          <w:jc w:val="center"/>
        </w:trPr>
        <w:tc>
          <w:tcPr>
            <w:tcW w:w="5510" w:type="dxa"/>
            <w:hideMark/>
          </w:tcPr>
          <w:p w14:paraId="401EB8F1" w14:textId="77777777" w:rsidR="00243243" w:rsidRPr="00764A92" w:rsidRDefault="00243243" w:rsidP="006F12CD">
            <w:pPr>
              <w:pStyle w:val="Tabletext"/>
              <w:rPr>
                <w:sz w:val="20"/>
                <w:szCs w:val="20"/>
              </w:rPr>
            </w:pPr>
            <w:r w:rsidRPr="00764A92">
              <w:rPr>
                <w:sz w:val="20"/>
                <w:szCs w:val="20"/>
              </w:rPr>
              <w:t>The implementation of your Re-Entry Action Plan (REAP) </w:t>
            </w:r>
          </w:p>
        </w:tc>
        <w:tc>
          <w:tcPr>
            <w:tcW w:w="1377" w:type="dxa"/>
            <w:hideMark/>
          </w:tcPr>
          <w:p w14:paraId="75A9D65B" w14:textId="77777777" w:rsidR="00243243" w:rsidRPr="00764A92" w:rsidRDefault="00243243" w:rsidP="006F12CD">
            <w:pPr>
              <w:pStyle w:val="Tabletext"/>
              <w:jc w:val="right"/>
              <w:rPr>
                <w:sz w:val="20"/>
                <w:szCs w:val="20"/>
              </w:rPr>
            </w:pPr>
            <w:r w:rsidRPr="00764A92">
              <w:rPr>
                <w:sz w:val="20"/>
                <w:szCs w:val="20"/>
              </w:rPr>
              <w:t>90</w:t>
            </w:r>
          </w:p>
        </w:tc>
        <w:tc>
          <w:tcPr>
            <w:tcW w:w="1377" w:type="dxa"/>
            <w:hideMark/>
          </w:tcPr>
          <w:p w14:paraId="0F9154FA" w14:textId="77777777" w:rsidR="00243243" w:rsidRPr="00764A92" w:rsidRDefault="00243243" w:rsidP="006F12CD">
            <w:pPr>
              <w:pStyle w:val="Tabletext"/>
              <w:jc w:val="right"/>
              <w:rPr>
                <w:sz w:val="20"/>
                <w:szCs w:val="20"/>
              </w:rPr>
            </w:pPr>
            <w:r w:rsidRPr="00764A92">
              <w:rPr>
                <w:sz w:val="20"/>
                <w:szCs w:val="20"/>
              </w:rPr>
              <w:t>93</w:t>
            </w:r>
          </w:p>
        </w:tc>
        <w:tc>
          <w:tcPr>
            <w:tcW w:w="1234" w:type="dxa"/>
          </w:tcPr>
          <w:p w14:paraId="5575AE4C" w14:textId="77777777" w:rsidR="00243243" w:rsidRPr="00764A92" w:rsidRDefault="00243243" w:rsidP="006F12CD">
            <w:pPr>
              <w:pStyle w:val="Tabletext"/>
              <w:jc w:val="right"/>
              <w:rPr>
                <w:sz w:val="20"/>
                <w:szCs w:val="20"/>
              </w:rPr>
            </w:pPr>
            <w:r w:rsidRPr="00764A92">
              <w:rPr>
                <w:sz w:val="20"/>
                <w:szCs w:val="20"/>
              </w:rPr>
              <w:t>92</w:t>
            </w:r>
          </w:p>
        </w:tc>
      </w:tr>
      <w:tr w:rsidR="00226C43" w:rsidRPr="00764A92" w14:paraId="3F6ACDAB" w14:textId="77777777" w:rsidTr="000166CB">
        <w:trPr>
          <w:trHeight w:val="300"/>
          <w:jc w:val="center"/>
        </w:trPr>
        <w:tc>
          <w:tcPr>
            <w:tcW w:w="5510" w:type="dxa"/>
            <w:hideMark/>
          </w:tcPr>
          <w:p w14:paraId="579C828B" w14:textId="77777777" w:rsidR="00243243" w:rsidRPr="00764A92" w:rsidRDefault="00243243" w:rsidP="006F12CD">
            <w:pPr>
              <w:pStyle w:val="Tabletext"/>
              <w:rPr>
                <w:sz w:val="20"/>
                <w:szCs w:val="20"/>
              </w:rPr>
            </w:pPr>
            <w:r w:rsidRPr="00764A92">
              <w:rPr>
                <w:sz w:val="20"/>
                <w:szCs w:val="20"/>
              </w:rPr>
              <w:t>Course counselling (discussions with Australian universities about possible programs relevant to your interests and REAPs) </w:t>
            </w:r>
          </w:p>
        </w:tc>
        <w:tc>
          <w:tcPr>
            <w:tcW w:w="1377" w:type="dxa"/>
            <w:hideMark/>
          </w:tcPr>
          <w:p w14:paraId="2A490316" w14:textId="77777777" w:rsidR="00243243" w:rsidRPr="00764A92" w:rsidRDefault="00243243" w:rsidP="006F12CD">
            <w:pPr>
              <w:pStyle w:val="Tabletext"/>
              <w:jc w:val="right"/>
              <w:rPr>
                <w:sz w:val="20"/>
                <w:szCs w:val="20"/>
              </w:rPr>
            </w:pPr>
            <w:r w:rsidRPr="00764A92">
              <w:rPr>
                <w:sz w:val="20"/>
                <w:szCs w:val="20"/>
              </w:rPr>
              <w:t>93</w:t>
            </w:r>
          </w:p>
        </w:tc>
        <w:tc>
          <w:tcPr>
            <w:tcW w:w="1377" w:type="dxa"/>
            <w:hideMark/>
          </w:tcPr>
          <w:p w14:paraId="4E082EBF" w14:textId="77777777" w:rsidR="00243243" w:rsidRPr="00764A92" w:rsidRDefault="00243243" w:rsidP="006F12CD">
            <w:pPr>
              <w:pStyle w:val="Tabletext"/>
              <w:jc w:val="right"/>
              <w:rPr>
                <w:sz w:val="20"/>
                <w:szCs w:val="20"/>
              </w:rPr>
            </w:pPr>
            <w:r w:rsidRPr="00764A92">
              <w:rPr>
                <w:sz w:val="20"/>
                <w:szCs w:val="20"/>
              </w:rPr>
              <w:t>94</w:t>
            </w:r>
          </w:p>
        </w:tc>
        <w:tc>
          <w:tcPr>
            <w:tcW w:w="1234" w:type="dxa"/>
          </w:tcPr>
          <w:p w14:paraId="2AF6215E" w14:textId="77777777" w:rsidR="00243243" w:rsidRPr="00764A92" w:rsidRDefault="00243243" w:rsidP="006F12CD">
            <w:pPr>
              <w:pStyle w:val="Tabletext"/>
              <w:jc w:val="right"/>
              <w:rPr>
                <w:sz w:val="20"/>
                <w:szCs w:val="20"/>
              </w:rPr>
            </w:pPr>
            <w:r w:rsidRPr="00764A92">
              <w:rPr>
                <w:sz w:val="20"/>
                <w:szCs w:val="20"/>
              </w:rPr>
              <w:t>94</w:t>
            </w:r>
          </w:p>
        </w:tc>
      </w:tr>
      <w:tr w:rsidR="00226C43" w:rsidRPr="00764A92" w14:paraId="21A6523A" w14:textId="77777777" w:rsidTr="000166CB">
        <w:trPr>
          <w:trHeight w:val="300"/>
          <w:jc w:val="center"/>
        </w:trPr>
        <w:tc>
          <w:tcPr>
            <w:tcW w:w="5510" w:type="dxa"/>
            <w:hideMark/>
          </w:tcPr>
          <w:p w14:paraId="7F60EDA3" w14:textId="77777777" w:rsidR="00243243" w:rsidRPr="00764A92" w:rsidRDefault="00243243" w:rsidP="006F12CD">
            <w:pPr>
              <w:pStyle w:val="Tabletext"/>
              <w:rPr>
                <w:sz w:val="20"/>
                <w:szCs w:val="20"/>
              </w:rPr>
            </w:pPr>
            <w:r w:rsidRPr="00764A92">
              <w:rPr>
                <w:sz w:val="20"/>
                <w:szCs w:val="20"/>
              </w:rPr>
              <w:t>REAP mentoring received </w:t>
            </w:r>
          </w:p>
        </w:tc>
        <w:tc>
          <w:tcPr>
            <w:tcW w:w="1377" w:type="dxa"/>
            <w:hideMark/>
          </w:tcPr>
          <w:p w14:paraId="44898239" w14:textId="77777777" w:rsidR="00243243" w:rsidRPr="00764A92" w:rsidRDefault="00243243" w:rsidP="006F12CD">
            <w:pPr>
              <w:pStyle w:val="Tabletext"/>
              <w:jc w:val="right"/>
              <w:rPr>
                <w:sz w:val="20"/>
                <w:szCs w:val="20"/>
              </w:rPr>
            </w:pPr>
            <w:r w:rsidRPr="00764A92">
              <w:rPr>
                <w:sz w:val="20"/>
                <w:szCs w:val="20"/>
              </w:rPr>
              <w:t>93</w:t>
            </w:r>
          </w:p>
        </w:tc>
        <w:tc>
          <w:tcPr>
            <w:tcW w:w="1377" w:type="dxa"/>
            <w:hideMark/>
          </w:tcPr>
          <w:p w14:paraId="6A558FDC" w14:textId="77777777" w:rsidR="00243243" w:rsidRPr="00764A92" w:rsidRDefault="00243243" w:rsidP="006F12CD">
            <w:pPr>
              <w:pStyle w:val="Tabletext"/>
              <w:jc w:val="right"/>
              <w:rPr>
                <w:sz w:val="20"/>
                <w:szCs w:val="20"/>
              </w:rPr>
            </w:pPr>
            <w:r w:rsidRPr="00764A92">
              <w:rPr>
                <w:sz w:val="20"/>
                <w:szCs w:val="20"/>
              </w:rPr>
              <w:t>95</w:t>
            </w:r>
          </w:p>
        </w:tc>
        <w:tc>
          <w:tcPr>
            <w:tcW w:w="1234" w:type="dxa"/>
          </w:tcPr>
          <w:p w14:paraId="6F7CCBE0" w14:textId="77777777" w:rsidR="00243243" w:rsidRPr="00764A92" w:rsidRDefault="00243243" w:rsidP="006F12CD">
            <w:pPr>
              <w:pStyle w:val="Tabletext"/>
              <w:jc w:val="right"/>
              <w:rPr>
                <w:sz w:val="20"/>
                <w:szCs w:val="20"/>
              </w:rPr>
            </w:pPr>
            <w:r w:rsidRPr="00764A92">
              <w:rPr>
                <w:sz w:val="20"/>
                <w:szCs w:val="20"/>
              </w:rPr>
              <w:t>94</w:t>
            </w:r>
          </w:p>
        </w:tc>
      </w:tr>
      <w:tr w:rsidR="00226C43" w:rsidRPr="00764A92" w14:paraId="3F83D555" w14:textId="77777777" w:rsidTr="000166CB">
        <w:trPr>
          <w:trHeight w:val="300"/>
          <w:jc w:val="center"/>
        </w:trPr>
        <w:tc>
          <w:tcPr>
            <w:tcW w:w="5510" w:type="dxa"/>
            <w:hideMark/>
          </w:tcPr>
          <w:p w14:paraId="04AD4CAC" w14:textId="77777777" w:rsidR="00243243" w:rsidRPr="00764A92" w:rsidRDefault="00243243" w:rsidP="006F12CD">
            <w:pPr>
              <w:pStyle w:val="Tabletext"/>
              <w:rPr>
                <w:sz w:val="20"/>
                <w:szCs w:val="20"/>
              </w:rPr>
            </w:pPr>
            <w:r w:rsidRPr="00764A92">
              <w:rPr>
                <w:sz w:val="20"/>
                <w:szCs w:val="20"/>
              </w:rPr>
              <w:t>Pre-departure briefing </w:t>
            </w:r>
          </w:p>
        </w:tc>
        <w:tc>
          <w:tcPr>
            <w:tcW w:w="1377" w:type="dxa"/>
            <w:hideMark/>
          </w:tcPr>
          <w:p w14:paraId="07630E8C" w14:textId="77777777" w:rsidR="00243243" w:rsidRPr="00764A92" w:rsidRDefault="00243243" w:rsidP="006F12CD">
            <w:pPr>
              <w:pStyle w:val="Tabletext"/>
              <w:jc w:val="right"/>
              <w:rPr>
                <w:sz w:val="20"/>
                <w:szCs w:val="20"/>
              </w:rPr>
            </w:pPr>
            <w:r w:rsidRPr="00764A92">
              <w:rPr>
                <w:sz w:val="20"/>
                <w:szCs w:val="20"/>
              </w:rPr>
              <w:t>95</w:t>
            </w:r>
          </w:p>
        </w:tc>
        <w:tc>
          <w:tcPr>
            <w:tcW w:w="1377" w:type="dxa"/>
            <w:hideMark/>
          </w:tcPr>
          <w:p w14:paraId="7E31BCD7" w14:textId="77777777" w:rsidR="00243243" w:rsidRPr="00764A92" w:rsidRDefault="00243243" w:rsidP="006F12CD">
            <w:pPr>
              <w:pStyle w:val="Tabletext"/>
              <w:jc w:val="right"/>
              <w:rPr>
                <w:sz w:val="20"/>
                <w:szCs w:val="20"/>
              </w:rPr>
            </w:pPr>
            <w:r w:rsidRPr="00764A92">
              <w:rPr>
                <w:sz w:val="20"/>
                <w:szCs w:val="20"/>
              </w:rPr>
              <w:t>94</w:t>
            </w:r>
          </w:p>
        </w:tc>
        <w:tc>
          <w:tcPr>
            <w:tcW w:w="1234" w:type="dxa"/>
          </w:tcPr>
          <w:p w14:paraId="552675D8" w14:textId="77777777" w:rsidR="00243243" w:rsidRPr="00764A92" w:rsidRDefault="00243243" w:rsidP="006F12CD">
            <w:pPr>
              <w:pStyle w:val="Tabletext"/>
              <w:jc w:val="right"/>
              <w:rPr>
                <w:sz w:val="20"/>
                <w:szCs w:val="20"/>
              </w:rPr>
            </w:pPr>
            <w:r w:rsidRPr="00764A92">
              <w:rPr>
                <w:sz w:val="20"/>
                <w:szCs w:val="20"/>
              </w:rPr>
              <w:t>94</w:t>
            </w:r>
          </w:p>
        </w:tc>
      </w:tr>
      <w:tr w:rsidR="00226C43" w:rsidRPr="00764A92" w14:paraId="2E7C4627" w14:textId="77777777" w:rsidTr="000166CB">
        <w:trPr>
          <w:trHeight w:val="300"/>
          <w:jc w:val="center"/>
        </w:trPr>
        <w:tc>
          <w:tcPr>
            <w:tcW w:w="5510" w:type="dxa"/>
            <w:hideMark/>
          </w:tcPr>
          <w:p w14:paraId="3F9BED01" w14:textId="77777777" w:rsidR="00243243" w:rsidRPr="00764A92" w:rsidRDefault="00243243" w:rsidP="006F12CD">
            <w:pPr>
              <w:pStyle w:val="Tabletext"/>
              <w:rPr>
                <w:sz w:val="20"/>
                <w:szCs w:val="20"/>
              </w:rPr>
            </w:pPr>
            <w:r w:rsidRPr="00764A92">
              <w:rPr>
                <w:sz w:val="20"/>
                <w:szCs w:val="20"/>
              </w:rPr>
              <w:t>On-award support, enrichment and engagement (including support for the living experience while in Australia) </w:t>
            </w:r>
          </w:p>
        </w:tc>
        <w:tc>
          <w:tcPr>
            <w:tcW w:w="1377" w:type="dxa"/>
            <w:hideMark/>
          </w:tcPr>
          <w:p w14:paraId="5BE01202" w14:textId="77777777" w:rsidR="00243243" w:rsidRPr="00764A92" w:rsidRDefault="00243243" w:rsidP="006F12CD">
            <w:pPr>
              <w:pStyle w:val="Tabletext"/>
              <w:jc w:val="right"/>
              <w:rPr>
                <w:sz w:val="20"/>
                <w:szCs w:val="20"/>
              </w:rPr>
            </w:pPr>
            <w:r w:rsidRPr="00764A92">
              <w:rPr>
                <w:sz w:val="20"/>
                <w:szCs w:val="20"/>
              </w:rPr>
              <w:t>95</w:t>
            </w:r>
          </w:p>
        </w:tc>
        <w:tc>
          <w:tcPr>
            <w:tcW w:w="1377" w:type="dxa"/>
            <w:hideMark/>
          </w:tcPr>
          <w:p w14:paraId="3E1FBDFA" w14:textId="77777777" w:rsidR="00243243" w:rsidRPr="00764A92" w:rsidRDefault="00243243" w:rsidP="006F12CD">
            <w:pPr>
              <w:pStyle w:val="Tabletext"/>
              <w:jc w:val="right"/>
              <w:rPr>
                <w:sz w:val="20"/>
                <w:szCs w:val="20"/>
              </w:rPr>
            </w:pPr>
            <w:r w:rsidRPr="00764A92">
              <w:rPr>
                <w:sz w:val="20"/>
                <w:szCs w:val="20"/>
              </w:rPr>
              <w:t>95</w:t>
            </w:r>
          </w:p>
        </w:tc>
        <w:tc>
          <w:tcPr>
            <w:tcW w:w="1234" w:type="dxa"/>
          </w:tcPr>
          <w:p w14:paraId="62C80532" w14:textId="77777777" w:rsidR="00243243" w:rsidRPr="00764A92" w:rsidRDefault="00243243" w:rsidP="006F12CD">
            <w:pPr>
              <w:pStyle w:val="Tabletext"/>
              <w:jc w:val="right"/>
              <w:rPr>
                <w:sz w:val="20"/>
                <w:szCs w:val="20"/>
              </w:rPr>
            </w:pPr>
            <w:r w:rsidRPr="00764A92">
              <w:rPr>
                <w:sz w:val="20"/>
                <w:szCs w:val="20"/>
              </w:rPr>
              <w:t>95</w:t>
            </w:r>
          </w:p>
        </w:tc>
      </w:tr>
      <w:tr w:rsidR="00226C43" w:rsidRPr="00764A92" w14:paraId="377C5189" w14:textId="77777777" w:rsidTr="000166CB">
        <w:trPr>
          <w:trHeight w:val="300"/>
          <w:jc w:val="center"/>
        </w:trPr>
        <w:tc>
          <w:tcPr>
            <w:tcW w:w="5510" w:type="dxa"/>
            <w:hideMark/>
          </w:tcPr>
          <w:p w14:paraId="709C0ABA" w14:textId="77777777" w:rsidR="00243243" w:rsidRPr="00764A92" w:rsidRDefault="00243243" w:rsidP="006F12CD">
            <w:pPr>
              <w:pStyle w:val="Tabletext"/>
              <w:rPr>
                <w:sz w:val="20"/>
                <w:szCs w:val="20"/>
              </w:rPr>
            </w:pPr>
            <w:r w:rsidRPr="00764A92">
              <w:rPr>
                <w:sz w:val="20"/>
                <w:szCs w:val="20"/>
              </w:rPr>
              <w:t>Reintegration support </w:t>
            </w:r>
          </w:p>
        </w:tc>
        <w:tc>
          <w:tcPr>
            <w:tcW w:w="1377" w:type="dxa"/>
            <w:hideMark/>
          </w:tcPr>
          <w:p w14:paraId="2D546321" w14:textId="77777777" w:rsidR="00243243" w:rsidRPr="00764A92" w:rsidRDefault="00243243" w:rsidP="006F12CD">
            <w:pPr>
              <w:pStyle w:val="Tabletext"/>
              <w:jc w:val="right"/>
              <w:rPr>
                <w:sz w:val="20"/>
                <w:szCs w:val="20"/>
              </w:rPr>
            </w:pPr>
            <w:r w:rsidRPr="00764A92">
              <w:rPr>
                <w:sz w:val="20"/>
                <w:szCs w:val="20"/>
              </w:rPr>
              <w:t>94</w:t>
            </w:r>
          </w:p>
        </w:tc>
        <w:tc>
          <w:tcPr>
            <w:tcW w:w="1377" w:type="dxa"/>
            <w:hideMark/>
          </w:tcPr>
          <w:p w14:paraId="196BAF80" w14:textId="77777777" w:rsidR="00243243" w:rsidRPr="00764A92" w:rsidRDefault="00243243" w:rsidP="006F12CD">
            <w:pPr>
              <w:pStyle w:val="Tabletext"/>
              <w:jc w:val="right"/>
              <w:rPr>
                <w:sz w:val="20"/>
                <w:szCs w:val="20"/>
              </w:rPr>
            </w:pPr>
            <w:r w:rsidRPr="00764A92">
              <w:rPr>
                <w:sz w:val="20"/>
                <w:szCs w:val="20"/>
              </w:rPr>
              <w:t>93</w:t>
            </w:r>
          </w:p>
        </w:tc>
        <w:tc>
          <w:tcPr>
            <w:tcW w:w="1234" w:type="dxa"/>
          </w:tcPr>
          <w:p w14:paraId="5338720D" w14:textId="77777777" w:rsidR="00243243" w:rsidRPr="00764A92" w:rsidRDefault="00243243" w:rsidP="006F12CD">
            <w:pPr>
              <w:pStyle w:val="Tabletext"/>
              <w:jc w:val="right"/>
              <w:rPr>
                <w:sz w:val="20"/>
                <w:szCs w:val="20"/>
              </w:rPr>
            </w:pPr>
            <w:r w:rsidRPr="00764A92">
              <w:rPr>
                <w:sz w:val="20"/>
                <w:szCs w:val="20"/>
              </w:rPr>
              <w:t>94</w:t>
            </w:r>
          </w:p>
        </w:tc>
      </w:tr>
      <w:tr w:rsidR="00226C43" w:rsidRPr="00764A92" w14:paraId="691A4EA2" w14:textId="77777777" w:rsidTr="000166CB">
        <w:trPr>
          <w:trHeight w:val="300"/>
          <w:jc w:val="center"/>
        </w:trPr>
        <w:tc>
          <w:tcPr>
            <w:tcW w:w="5510" w:type="dxa"/>
            <w:hideMark/>
          </w:tcPr>
          <w:p w14:paraId="3750D56E" w14:textId="77777777" w:rsidR="00243243" w:rsidRPr="00764A92" w:rsidRDefault="00243243" w:rsidP="006F12CD">
            <w:pPr>
              <w:pStyle w:val="Tabletext"/>
              <w:rPr>
                <w:sz w:val="20"/>
                <w:szCs w:val="20"/>
              </w:rPr>
            </w:pPr>
            <w:r w:rsidRPr="00764A92">
              <w:rPr>
                <w:sz w:val="20"/>
                <w:szCs w:val="20"/>
              </w:rPr>
              <w:t>GEDSI mainstreaming, equity and inclusion elements (e.g., course content, reasonable accommodation, safeguards) </w:t>
            </w:r>
          </w:p>
        </w:tc>
        <w:tc>
          <w:tcPr>
            <w:tcW w:w="1377" w:type="dxa"/>
            <w:hideMark/>
          </w:tcPr>
          <w:p w14:paraId="33189C94" w14:textId="77777777" w:rsidR="00243243" w:rsidRPr="00764A92" w:rsidRDefault="00243243" w:rsidP="006F12CD">
            <w:pPr>
              <w:pStyle w:val="Tabletext"/>
              <w:jc w:val="right"/>
              <w:rPr>
                <w:sz w:val="20"/>
                <w:szCs w:val="20"/>
              </w:rPr>
            </w:pPr>
            <w:r w:rsidRPr="00764A92">
              <w:rPr>
                <w:sz w:val="20"/>
                <w:szCs w:val="20"/>
              </w:rPr>
              <w:t>93</w:t>
            </w:r>
          </w:p>
        </w:tc>
        <w:tc>
          <w:tcPr>
            <w:tcW w:w="1377" w:type="dxa"/>
            <w:hideMark/>
          </w:tcPr>
          <w:p w14:paraId="523B9568" w14:textId="77777777" w:rsidR="00243243" w:rsidRPr="00764A92" w:rsidRDefault="00243243" w:rsidP="006F12CD">
            <w:pPr>
              <w:pStyle w:val="Tabletext"/>
              <w:jc w:val="right"/>
              <w:rPr>
                <w:sz w:val="20"/>
                <w:szCs w:val="20"/>
              </w:rPr>
            </w:pPr>
            <w:r w:rsidRPr="00764A92">
              <w:rPr>
                <w:sz w:val="20"/>
                <w:szCs w:val="20"/>
              </w:rPr>
              <w:t>94</w:t>
            </w:r>
          </w:p>
        </w:tc>
        <w:tc>
          <w:tcPr>
            <w:tcW w:w="1234" w:type="dxa"/>
          </w:tcPr>
          <w:p w14:paraId="52DFA719" w14:textId="77777777" w:rsidR="00243243" w:rsidRPr="00764A92" w:rsidRDefault="00243243" w:rsidP="006F12CD">
            <w:pPr>
              <w:pStyle w:val="Tabletext"/>
              <w:jc w:val="right"/>
              <w:rPr>
                <w:sz w:val="20"/>
                <w:szCs w:val="20"/>
              </w:rPr>
            </w:pPr>
            <w:r w:rsidRPr="00764A92">
              <w:rPr>
                <w:sz w:val="20"/>
                <w:szCs w:val="20"/>
              </w:rPr>
              <w:t>94</w:t>
            </w:r>
          </w:p>
        </w:tc>
      </w:tr>
    </w:tbl>
    <w:p w14:paraId="124FB9CF" w14:textId="77777777" w:rsidR="00000782" w:rsidRPr="00764A92" w:rsidRDefault="00000782" w:rsidP="00000782">
      <w:pPr>
        <w:spacing w:after="0"/>
        <w:rPr>
          <w:sz w:val="22"/>
          <w:szCs w:val="22"/>
        </w:rPr>
      </w:pPr>
    </w:p>
    <w:p w14:paraId="2202438A" w14:textId="0BFA099E" w:rsidR="00243243" w:rsidRPr="00764A92" w:rsidRDefault="00243243" w:rsidP="00243243">
      <w:pPr>
        <w:rPr>
          <w:sz w:val="22"/>
          <w:szCs w:val="22"/>
        </w:rPr>
      </w:pPr>
      <w:r w:rsidRPr="00764A92">
        <w:rPr>
          <w:sz w:val="22"/>
          <w:szCs w:val="22"/>
        </w:rPr>
        <w:t xml:space="preserve">The majority of respondents were satisfied with elements of the </w:t>
      </w:r>
      <w:r w:rsidRPr="00764A92">
        <w:rPr>
          <w:b/>
          <w:bCs/>
          <w:sz w:val="22"/>
          <w:szCs w:val="22"/>
        </w:rPr>
        <w:t>AAAEP–P</w:t>
      </w:r>
      <w:r w:rsidRPr="00764A92">
        <w:rPr>
          <w:sz w:val="22"/>
          <w:szCs w:val="22"/>
        </w:rPr>
        <w:t xml:space="preserve">, including the quality of introductory information and promotional materials (95%), the user friendliness and support services of the scholarship application process (95%), the fairness, equity and inclusion of the assessment and selection process by the program (94%), pre-departure briefing (94%), on-award support, enrichment and engagement (95%), reintegration support (94%) and mainstreaming of GEDSI (94%). In terms of course selection while participating in the AAAEP–P, </w:t>
      </w:r>
      <w:r w:rsidRPr="00764A92">
        <w:rPr>
          <w:sz w:val="22"/>
          <w:szCs w:val="22"/>
        </w:rPr>
        <w:lastRenderedPageBreak/>
        <w:t>92% of respondents were satisfied with the ease of course selection and enrolment, while 94% of respondents were satisfied with course counselling support including discussions with Australian universities.</w:t>
      </w:r>
    </w:p>
    <w:p w14:paraId="4BE5BC34" w14:textId="77777777" w:rsidR="00243243" w:rsidRPr="00764A92" w:rsidRDefault="00243243" w:rsidP="00243243">
      <w:pPr>
        <w:rPr>
          <w:sz w:val="22"/>
          <w:szCs w:val="22"/>
        </w:rPr>
      </w:pPr>
      <w:r w:rsidRPr="00764A92">
        <w:rPr>
          <w:sz w:val="22"/>
          <w:szCs w:val="22"/>
        </w:rPr>
        <w:t>In relation to the REAP component of the AAAEP–P, most respondents reported positive experiences with 92% satisfied with the overall implementation of their REAP and, 94% of all respondents satisfied with the REAP mentoring they received.</w:t>
      </w:r>
    </w:p>
    <w:p w14:paraId="47720423" w14:textId="77777777" w:rsidR="00243243" w:rsidRPr="00764A92" w:rsidRDefault="00243243" w:rsidP="00243243">
      <w:pPr>
        <w:pStyle w:val="Heading3nonumber"/>
        <w:rPr>
          <w:rFonts w:asciiTheme="minorHAnsi" w:hAnsiTheme="minorHAnsi"/>
          <w:color w:val="auto"/>
          <w:sz w:val="22"/>
          <w:szCs w:val="22"/>
        </w:rPr>
      </w:pPr>
      <w:r w:rsidRPr="00764A92">
        <w:rPr>
          <w:rFonts w:asciiTheme="minorHAnsi" w:hAnsiTheme="minorHAnsi"/>
          <w:color w:val="auto"/>
          <w:sz w:val="22"/>
          <w:szCs w:val="22"/>
        </w:rPr>
        <w:t>Satisfaction with elements of the Short Courses</w:t>
      </w:r>
    </w:p>
    <w:p w14:paraId="7C15861B" w14:textId="37FF6C4F" w:rsidR="00243243" w:rsidRPr="00764A92" w:rsidRDefault="00243243" w:rsidP="00243243">
      <w:pPr>
        <w:rPr>
          <w:sz w:val="22"/>
          <w:szCs w:val="22"/>
        </w:rPr>
      </w:pPr>
      <w:r w:rsidRPr="00764A92">
        <w:rPr>
          <w:sz w:val="22"/>
          <w:szCs w:val="22"/>
        </w:rPr>
        <w:t>This section presents alumni satisfaction with short courses under the Australia Awards program (</w:t>
      </w:r>
      <w:r w:rsidRPr="00764A92">
        <w:rPr>
          <w:sz w:val="22"/>
          <w:szCs w:val="22"/>
        </w:rPr>
        <w:fldChar w:fldCharType="begin"/>
      </w:r>
      <w:r w:rsidRPr="00764A92">
        <w:rPr>
          <w:sz w:val="22"/>
          <w:szCs w:val="22"/>
        </w:rPr>
        <w:instrText xml:space="preserve"> REF _Ref185322588 \h </w:instrText>
      </w:r>
      <w:r w:rsidR="00CA2071" w:rsidRPr="00764A92">
        <w:rPr>
          <w:sz w:val="22"/>
          <w:szCs w:val="22"/>
        </w:rPr>
        <w:instrText xml:space="preserve"> \* MERGEFORMAT </w:instrText>
      </w:r>
      <w:r w:rsidRPr="00764A92">
        <w:rPr>
          <w:sz w:val="22"/>
          <w:szCs w:val="22"/>
        </w:rPr>
      </w:r>
      <w:r w:rsidRPr="00764A92">
        <w:rPr>
          <w:sz w:val="22"/>
          <w:szCs w:val="22"/>
        </w:rPr>
        <w:fldChar w:fldCharType="separate"/>
      </w:r>
      <w:r w:rsidRPr="00764A92">
        <w:rPr>
          <w:sz w:val="22"/>
          <w:szCs w:val="22"/>
        </w:rPr>
        <w:t xml:space="preserve">Table </w:t>
      </w:r>
      <w:r w:rsidRPr="00764A92">
        <w:rPr>
          <w:noProof/>
          <w:sz w:val="22"/>
          <w:szCs w:val="22"/>
        </w:rPr>
        <w:t>11</w:t>
      </w:r>
      <w:r w:rsidRPr="00764A92">
        <w:rPr>
          <w:sz w:val="22"/>
          <w:szCs w:val="22"/>
        </w:rPr>
        <w:fldChar w:fldCharType="end"/>
      </w:r>
      <w:r w:rsidRPr="00764A92">
        <w:rPr>
          <w:sz w:val="22"/>
          <w:szCs w:val="22"/>
        </w:rPr>
        <w:t>).</w:t>
      </w:r>
    </w:p>
    <w:p w14:paraId="60C6C061" w14:textId="4A423346" w:rsidR="00243243" w:rsidRPr="00764A92" w:rsidRDefault="00243243" w:rsidP="005E39F7">
      <w:pPr>
        <w:pStyle w:val="Caption"/>
        <w:spacing w:after="0"/>
        <w:rPr>
          <w:color w:val="auto"/>
          <w:sz w:val="22"/>
          <w:szCs w:val="22"/>
        </w:rPr>
      </w:pPr>
      <w:bookmarkStart w:id="81" w:name="_Ref185322588"/>
      <w:bookmarkStart w:id="82" w:name="_Toc190939920"/>
      <w:r w:rsidRPr="00764A92">
        <w:rPr>
          <w:color w:val="auto"/>
          <w:sz w:val="22"/>
          <w:szCs w:val="22"/>
        </w:rPr>
        <w:t xml:space="preserve">Table </w:t>
      </w:r>
      <w:r w:rsidR="000113F9" w:rsidRPr="00764A92">
        <w:rPr>
          <w:color w:val="auto"/>
          <w:sz w:val="22"/>
          <w:szCs w:val="22"/>
        </w:rPr>
        <w:fldChar w:fldCharType="begin"/>
      </w:r>
      <w:r w:rsidR="000113F9" w:rsidRPr="00764A92">
        <w:rPr>
          <w:color w:val="auto"/>
          <w:sz w:val="22"/>
          <w:szCs w:val="22"/>
        </w:rPr>
        <w:instrText xml:space="preserve"> SEQ Table \* ARABIC </w:instrText>
      </w:r>
      <w:r w:rsidR="000113F9" w:rsidRPr="00764A92">
        <w:rPr>
          <w:color w:val="auto"/>
          <w:sz w:val="22"/>
          <w:szCs w:val="22"/>
        </w:rPr>
        <w:fldChar w:fldCharType="separate"/>
      </w:r>
      <w:r w:rsidR="003735AF" w:rsidRPr="00764A92">
        <w:rPr>
          <w:noProof/>
          <w:color w:val="auto"/>
          <w:sz w:val="22"/>
          <w:szCs w:val="22"/>
        </w:rPr>
        <w:t>21</w:t>
      </w:r>
      <w:r w:rsidR="000113F9" w:rsidRPr="00764A92">
        <w:rPr>
          <w:noProof/>
          <w:color w:val="auto"/>
          <w:sz w:val="22"/>
          <w:szCs w:val="22"/>
        </w:rPr>
        <w:fldChar w:fldCharType="end"/>
      </w:r>
      <w:bookmarkEnd w:id="81"/>
      <w:r w:rsidRPr="00764A92">
        <w:rPr>
          <w:color w:val="auto"/>
          <w:sz w:val="22"/>
          <w:szCs w:val="22"/>
        </w:rPr>
        <w:t>: Respondents' satisfaction with elements of short courses</w:t>
      </w:r>
      <w:bookmarkEnd w:id="82"/>
    </w:p>
    <w:tbl>
      <w:tblPr>
        <w:tblStyle w:val="TableGrid"/>
        <w:tblW w:w="5117" w:type="pct"/>
        <w:jc w:val="center"/>
        <w:tblLook w:val="06A0" w:firstRow="1" w:lastRow="0" w:firstColumn="1" w:lastColumn="0" w:noHBand="1" w:noVBand="1"/>
      </w:tblPr>
      <w:tblGrid>
        <w:gridCol w:w="5293"/>
        <w:gridCol w:w="1312"/>
        <w:gridCol w:w="1535"/>
        <w:gridCol w:w="1087"/>
      </w:tblGrid>
      <w:tr w:rsidR="00226C43" w:rsidRPr="00764A92" w14:paraId="20F174B4" w14:textId="77777777" w:rsidTr="00117212">
        <w:trPr>
          <w:trHeight w:val="300"/>
          <w:tblHeader/>
          <w:jc w:val="center"/>
        </w:trPr>
        <w:tc>
          <w:tcPr>
            <w:tcW w:w="2867" w:type="pct"/>
            <w:shd w:val="clear" w:color="auto" w:fill="E3DED1" w:themeFill="background2"/>
            <w:hideMark/>
          </w:tcPr>
          <w:p w14:paraId="43CF2BC5" w14:textId="77777777" w:rsidR="00243243" w:rsidRPr="00764A92" w:rsidRDefault="00243243" w:rsidP="004134AD">
            <w:pPr>
              <w:pStyle w:val="Tabletext"/>
              <w:rPr>
                <w:b/>
                <w:sz w:val="20"/>
                <w:szCs w:val="20"/>
              </w:rPr>
            </w:pPr>
            <w:r w:rsidRPr="00764A92">
              <w:rPr>
                <w:b/>
                <w:sz w:val="20"/>
                <w:szCs w:val="20"/>
              </w:rPr>
              <w:t>Item </w:t>
            </w:r>
          </w:p>
        </w:tc>
        <w:tc>
          <w:tcPr>
            <w:tcW w:w="711" w:type="pct"/>
            <w:shd w:val="clear" w:color="auto" w:fill="E3DED1" w:themeFill="background2"/>
            <w:hideMark/>
          </w:tcPr>
          <w:p w14:paraId="7DCEF8EF" w14:textId="05DE0FD5" w:rsidR="00243243" w:rsidRPr="00764A92" w:rsidRDefault="00243243" w:rsidP="004134AD">
            <w:pPr>
              <w:pStyle w:val="Tabletext"/>
              <w:jc w:val="center"/>
              <w:rPr>
                <w:b/>
                <w:sz w:val="20"/>
                <w:szCs w:val="20"/>
              </w:rPr>
            </w:pPr>
            <w:r w:rsidRPr="00764A92">
              <w:rPr>
                <w:b/>
                <w:sz w:val="20"/>
                <w:szCs w:val="20"/>
              </w:rPr>
              <w:t>% Male satisfied</w:t>
            </w:r>
          </w:p>
        </w:tc>
        <w:tc>
          <w:tcPr>
            <w:tcW w:w="832" w:type="pct"/>
            <w:shd w:val="clear" w:color="auto" w:fill="E3DED1" w:themeFill="background2"/>
            <w:hideMark/>
          </w:tcPr>
          <w:p w14:paraId="0830D6E6" w14:textId="33121A79" w:rsidR="00243243" w:rsidRPr="00764A92" w:rsidRDefault="00243243" w:rsidP="004134AD">
            <w:pPr>
              <w:pStyle w:val="Tabletext"/>
              <w:jc w:val="center"/>
              <w:rPr>
                <w:b/>
                <w:sz w:val="20"/>
                <w:szCs w:val="20"/>
              </w:rPr>
            </w:pPr>
            <w:r w:rsidRPr="00764A92">
              <w:rPr>
                <w:b/>
                <w:sz w:val="20"/>
                <w:szCs w:val="20"/>
              </w:rPr>
              <w:t>% Female satisfied</w:t>
            </w:r>
          </w:p>
        </w:tc>
        <w:tc>
          <w:tcPr>
            <w:tcW w:w="589" w:type="pct"/>
            <w:shd w:val="clear" w:color="auto" w:fill="E3DED1" w:themeFill="background2"/>
            <w:hideMark/>
          </w:tcPr>
          <w:p w14:paraId="54B0E296" w14:textId="588E615B" w:rsidR="00243243" w:rsidRPr="00764A92" w:rsidRDefault="00243243" w:rsidP="004134AD">
            <w:pPr>
              <w:pStyle w:val="Tabletext"/>
              <w:jc w:val="center"/>
              <w:rPr>
                <w:b/>
                <w:sz w:val="20"/>
                <w:szCs w:val="20"/>
              </w:rPr>
            </w:pPr>
            <w:r w:rsidRPr="00764A92">
              <w:rPr>
                <w:b/>
                <w:sz w:val="20"/>
                <w:szCs w:val="20"/>
              </w:rPr>
              <w:t>% Total satisfied</w:t>
            </w:r>
          </w:p>
        </w:tc>
      </w:tr>
      <w:tr w:rsidR="00226C43" w:rsidRPr="00764A92" w14:paraId="469FBCBE" w14:textId="77777777" w:rsidTr="000166CB">
        <w:trPr>
          <w:trHeight w:val="300"/>
          <w:jc w:val="center"/>
        </w:trPr>
        <w:tc>
          <w:tcPr>
            <w:tcW w:w="2867" w:type="pct"/>
            <w:hideMark/>
          </w:tcPr>
          <w:p w14:paraId="6A16D98E" w14:textId="77777777" w:rsidR="00243243" w:rsidRPr="00764A92" w:rsidRDefault="00243243" w:rsidP="006F12CD">
            <w:pPr>
              <w:pStyle w:val="Tabletext"/>
              <w:rPr>
                <w:sz w:val="20"/>
                <w:szCs w:val="20"/>
              </w:rPr>
            </w:pPr>
            <w:r w:rsidRPr="00764A92">
              <w:rPr>
                <w:sz w:val="20"/>
                <w:szCs w:val="20"/>
              </w:rPr>
              <w:t>Information about the short course(s) </w:t>
            </w:r>
          </w:p>
        </w:tc>
        <w:tc>
          <w:tcPr>
            <w:tcW w:w="711" w:type="pct"/>
            <w:hideMark/>
          </w:tcPr>
          <w:p w14:paraId="09A51752" w14:textId="77777777" w:rsidR="00243243" w:rsidRPr="00764A92" w:rsidRDefault="00243243" w:rsidP="006F12CD">
            <w:pPr>
              <w:pStyle w:val="Tabletext"/>
              <w:jc w:val="right"/>
              <w:rPr>
                <w:sz w:val="20"/>
                <w:szCs w:val="20"/>
              </w:rPr>
            </w:pPr>
            <w:r w:rsidRPr="00764A92">
              <w:rPr>
                <w:sz w:val="20"/>
                <w:szCs w:val="20"/>
              </w:rPr>
              <w:t>96</w:t>
            </w:r>
          </w:p>
        </w:tc>
        <w:tc>
          <w:tcPr>
            <w:tcW w:w="832" w:type="pct"/>
            <w:hideMark/>
          </w:tcPr>
          <w:p w14:paraId="1D7C6C7F" w14:textId="77777777" w:rsidR="00243243" w:rsidRPr="00764A92" w:rsidRDefault="00243243" w:rsidP="006F12CD">
            <w:pPr>
              <w:pStyle w:val="Tabletext"/>
              <w:jc w:val="right"/>
              <w:rPr>
                <w:sz w:val="20"/>
                <w:szCs w:val="20"/>
              </w:rPr>
            </w:pPr>
            <w:r w:rsidRPr="00764A92">
              <w:rPr>
                <w:sz w:val="20"/>
                <w:szCs w:val="20"/>
              </w:rPr>
              <w:t>93</w:t>
            </w:r>
          </w:p>
        </w:tc>
        <w:tc>
          <w:tcPr>
            <w:tcW w:w="589" w:type="pct"/>
            <w:hideMark/>
          </w:tcPr>
          <w:p w14:paraId="495B1775" w14:textId="77777777" w:rsidR="00243243" w:rsidRPr="00764A92" w:rsidRDefault="00243243" w:rsidP="006F12CD">
            <w:pPr>
              <w:pStyle w:val="Tabletext"/>
              <w:jc w:val="right"/>
              <w:rPr>
                <w:sz w:val="20"/>
                <w:szCs w:val="20"/>
              </w:rPr>
            </w:pPr>
            <w:r w:rsidRPr="00764A92">
              <w:rPr>
                <w:sz w:val="20"/>
                <w:szCs w:val="20"/>
              </w:rPr>
              <w:t>95</w:t>
            </w:r>
          </w:p>
        </w:tc>
      </w:tr>
      <w:tr w:rsidR="00226C43" w:rsidRPr="00764A92" w14:paraId="432F321D" w14:textId="77777777" w:rsidTr="000166CB">
        <w:trPr>
          <w:trHeight w:val="300"/>
          <w:jc w:val="center"/>
        </w:trPr>
        <w:tc>
          <w:tcPr>
            <w:tcW w:w="2867" w:type="pct"/>
            <w:hideMark/>
          </w:tcPr>
          <w:p w14:paraId="7918ABAC" w14:textId="77777777" w:rsidR="00243243" w:rsidRPr="00764A92" w:rsidRDefault="00243243" w:rsidP="006F12CD">
            <w:pPr>
              <w:pStyle w:val="Tabletext"/>
              <w:rPr>
                <w:sz w:val="20"/>
                <w:szCs w:val="20"/>
              </w:rPr>
            </w:pPr>
            <w:r w:rsidRPr="00764A92">
              <w:rPr>
                <w:sz w:val="20"/>
                <w:szCs w:val="20"/>
              </w:rPr>
              <w:t>The application and selection process for short course(s) </w:t>
            </w:r>
          </w:p>
        </w:tc>
        <w:tc>
          <w:tcPr>
            <w:tcW w:w="711" w:type="pct"/>
            <w:hideMark/>
          </w:tcPr>
          <w:p w14:paraId="427EDFD8" w14:textId="77777777" w:rsidR="00243243" w:rsidRPr="00764A92" w:rsidRDefault="00243243" w:rsidP="006F12CD">
            <w:pPr>
              <w:pStyle w:val="Tabletext"/>
              <w:jc w:val="right"/>
              <w:rPr>
                <w:sz w:val="20"/>
                <w:szCs w:val="20"/>
              </w:rPr>
            </w:pPr>
            <w:r w:rsidRPr="00764A92">
              <w:rPr>
                <w:sz w:val="20"/>
                <w:szCs w:val="20"/>
              </w:rPr>
              <w:t>96</w:t>
            </w:r>
          </w:p>
        </w:tc>
        <w:tc>
          <w:tcPr>
            <w:tcW w:w="832" w:type="pct"/>
            <w:hideMark/>
          </w:tcPr>
          <w:p w14:paraId="185E2CC6" w14:textId="77777777" w:rsidR="00243243" w:rsidRPr="00764A92" w:rsidRDefault="00243243" w:rsidP="006F12CD">
            <w:pPr>
              <w:pStyle w:val="Tabletext"/>
              <w:jc w:val="right"/>
              <w:rPr>
                <w:sz w:val="20"/>
                <w:szCs w:val="20"/>
              </w:rPr>
            </w:pPr>
            <w:r w:rsidRPr="00764A92">
              <w:rPr>
                <w:sz w:val="20"/>
                <w:szCs w:val="20"/>
              </w:rPr>
              <w:t>93</w:t>
            </w:r>
          </w:p>
        </w:tc>
        <w:tc>
          <w:tcPr>
            <w:tcW w:w="589" w:type="pct"/>
            <w:hideMark/>
          </w:tcPr>
          <w:p w14:paraId="6FE87075" w14:textId="77777777" w:rsidR="00243243" w:rsidRPr="00764A92" w:rsidRDefault="00243243" w:rsidP="006F12CD">
            <w:pPr>
              <w:pStyle w:val="Tabletext"/>
              <w:jc w:val="right"/>
              <w:rPr>
                <w:sz w:val="20"/>
                <w:szCs w:val="20"/>
              </w:rPr>
            </w:pPr>
            <w:r w:rsidRPr="00764A92">
              <w:rPr>
                <w:sz w:val="20"/>
                <w:szCs w:val="20"/>
              </w:rPr>
              <w:t>95</w:t>
            </w:r>
          </w:p>
        </w:tc>
      </w:tr>
      <w:tr w:rsidR="00226C43" w:rsidRPr="00764A92" w14:paraId="6138382C" w14:textId="77777777" w:rsidTr="000166CB">
        <w:trPr>
          <w:trHeight w:val="300"/>
          <w:jc w:val="center"/>
        </w:trPr>
        <w:tc>
          <w:tcPr>
            <w:tcW w:w="2867" w:type="pct"/>
            <w:hideMark/>
          </w:tcPr>
          <w:p w14:paraId="04A254E3" w14:textId="77777777" w:rsidR="00243243" w:rsidRPr="00764A92" w:rsidRDefault="00243243" w:rsidP="006F12CD">
            <w:pPr>
              <w:pStyle w:val="Tabletext"/>
              <w:rPr>
                <w:sz w:val="20"/>
                <w:szCs w:val="20"/>
              </w:rPr>
            </w:pPr>
            <w:r w:rsidRPr="00764A92">
              <w:rPr>
                <w:sz w:val="20"/>
                <w:szCs w:val="20"/>
              </w:rPr>
              <w:t>The organisation and delivery of the short course(s) </w:t>
            </w:r>
          </w:p>
        </w:tc>
        <w:tc>
          <w:tcPr>
            <w:tcW w:w="711" w:type="pct"/>
            <w:hideMark/>
          </w:tcPr>
          <w:p w14:paraId="629F2D7A" w14:textId="77777777" w:rsidR="00243243" w:rsidRPr="00764A92" w:rsidRDefault="00243243" w:rsidP="006F12CD">
            <w:pPr>
              <w:pStyle w:val="Tabletext"/>
              <w:jc w:val="right"/>
              <w:rPr>
                <w:sz w:val="20"/>
                <w:szCs w:val="20"/>
              </w:rPr>
            </w:pPr>
            <w:r w:rsidRPr="00764A92">
              <w:rPr>
                <w:sz w:val="20"/>
                <w:szCs w:val="20"/>
              </w:rPr>
              <w:t>96</w:t>
            </w:r>
          </w:p>
        </w:tc>
        <w:tc>
          <w:tcPr>
            <w:tcW w:w="832" w:type="pct"/>
            <w:hideMark/>
          </w:tcPr>
          <w:p w14:paraId="0FA09730" w14:textId="77777777" w:rsidR="00243243" w:rsidRPr="00764A92" w:rsidRDefault="00243243" w:rsidP="006F12CD">
            <w:pPr>
              <w:pStyle w:val="Tabletext"/>
              <w:jc w:val="right"/>
              <w:rPr>
                <w:sz w:val="20"/>
                <w:szCs w:val="20"/>
              </w:rPr>
            </w:pPr>
            <w:r w:rsidRPr="00764A92">
              <w:rPr>
                <w:sz w:val="20"/>
                <w:szCs w:val="20"/>
              </w:rPr>
              <w:t>93</w:t>
            </w:r>
          </w:p>
        </w:tc>
        <w:tc>
          <w:tcPr>
            <w:tcW w:w="589" w:type="pct"/>
            <w:hideMark/>
          </w:tcPr>
          <w:p w14:paraId="1ED4B533" w14:textId="77777777" w:rsidR="00243243" w:rsidRPr="00764A92" w:rsidRDefault="00243243" w:rsidP="006F12CD">
            <w:pPr>
              <w:pStyle w:val="Tabletext"/>
              <w:jc w:val="right"/>
              <w:rPr>
                <w:sz w:val="20"/>
                <w:szCs w:val="20"/>
              </w:rPr>
            </w:pPr>
            <w:r w:rsidRPr="00764A92">
              <w:rPr>
                <w:sz w:val="20"/>
                <w:szCs w:val="20"/>
              </w:rPr>
              <w:t>95</w:t>
            </w:r>
          </w:p>
        </w:tc>
      </w:tr>
      <w:tr w:rsidR="00226C43" w:rsidRPr="00764A92" w14:paraId="76829002" w14:textId="77777777" w:rsidTr="000166CB">
        <w:trPr>
          <w:trHeight w:val="300"/>
          <w:jc w:val="center"/>
        </w:trPr>
        <w:tc>
          <w:tcPr>
            <w:tcW w:w="2867" w:type="pct"/>
            <w:hideMark/>
          </w:tcPr>
          <w:p w14:paraId="44CFD73C" w14:textId="77777777" w:rsidR="00243243" w:rsidRPr="00764A92" w:rsidRDefault="00243243" w:rsidP="006F12CD">
            <w:pPr>
              <w:pStyle w:val="Tabletext"/>
              <w:rPr>
                <w:sz w:val="20"/>
                <w:szCs w:val="20"/>
              </w:rPr>
            </w:pPr>
            <w:r w:rsidRPr="00764A92">
              <w:rPr>
                <w:sz w:val="20"/>
                <w:szCs w:val="20"/>
              </w:rPr>
              <w:t>The value of the short course(s) to career progression </w:t>
            </w:r>
          </w:p>
        </w:tc>
        <w:tc>
          <w:tcPr>
            <w:tcW w:w="711" w:type="pct"/>
            <w:hideMark/>
          </w:tcPr>
          <w:p w14:paraId="7480FE2C" w14:textId="77777777" w:rsidR="00243243" w:rsidRPr="00764A92" w:rsidRDefault="00243243" w:rsidP="006F12CD">
            <w:pPr>
              <w:pStyle w:val="Tabletext"/>
              <w:jc w:val="right"/>
              <w:rPr>
                <w:sz w:val="20"/>
                <w:szCs w:val="20"/>
              </w:rPr>
            </w:pPr>
            <w:r w:rsidRPr="00764A92">
              <w:rPr>
                <w:sz w:val="20"/>
                <w:szCs w:val="20"/>
              </w:rPr>
              <w:t>96</w:t>
            </w:r>
          </w:p>
        </w:tc>
        <w:tc>
          <w:tcPr>
            <w:tcW w:w="832" w:type="pct"/>
            <w:hideMark/>
          </w:tcPr>
          <w:p w14:paraId="13A3D4F9" w14:textId="77777777" w:rsidR="00243243" w:rsidRPr="00764A92" w:rsidRDefault="00243243" w:rsidP="006F12CD">
            <w:pPr>
              <w:pStyle w:val="Tabletext"/>
              <w:jc w:val="right"/>
              <w:rPr>
                <w:sz w:val="20"/>
                <w:szCs w:val="20"/>
              </w:rPr>
            </w:pPr>
            <w:r w:rsidRPr="00764A92">
              <w:rPr>
                <w:sz w:val="20"/>
                <w:szCs w:val="20"/>
              </w:rPr>
              <w:t>93</w:t>
            </w:r>
          </w:p>
        </w:tc>
        <w:tc>
          <w:tcPr>
            <w:tcW w:w="589" w:type="pct"/>
            <w:hideMark/>
          </w:tcPr>
          <w:p w14:paraId="0F2E1905" w14:textId="77777777" w:rsidR="00243243" w:rsidRPr="00764A92" w:rsidRDefault="00243243" w:rsidP="006F12CD">
            <w:pPr>
              <w:pStyle w:val="Tabletext"/>
              <w:jc w:val="right"/>
              <w:rPr>
                <w:sz w:val="20"/>
                <w:szCs w:val="20"/>
              </w:rPr>
            </w:pPr>
            <w:r w:rsidRPr="00764A92">
              <w:rPr>
                <w:sz w:val="20"/>
                <w:szCs w:val="20"/>
              </w:rPr>
              <w:t>95</w:t>
            </w:r>
          </w:p>
        </w:tc>
      </w:tr>
      <w:tr w:rsidR="00226C43" w:rsidRPr="00764A92" w14:paraId="42B67201" w14:textId="77777777" w:rsidTr="000166CB">
        <w:trPr>
          <w:trHeight w:val="300"/>
          <w:jc w:val="center"/>
        </w:trPr>
        <w:tc>
          <w:tcPr>
            <w:tcW w:w="2867" w:type="pct"/>
            <w:hideMark/>
          </w:tcPr>
          <w:p w14:paraId="09DB899A" w14:textId="77777777" w:rsidR="00243243" w:rsidRPr="00764A92" w:rsidRDefault="00243243" w:rsidP="006F12CD">
            <w:pPr>
              <w:pStyle w:val="Tabletext"/>
              <w:rPr>
                <w:sz w:val="20"/>
                <w:szCs w:val="20"/>
              </w:rPr>
            </w:pPr>
            <w:r w:rsidRPr="00764A92">
              <w:rPr>
                <w:sz w:val="20"/>
                <w:szCs w:val="20"/>
              </w:rPr>
              <w:t>The value of the short course(s) to respondent's organisation </w:t>
            </w:r>
          </w:p>
        </w:tc>
        <w:tc>
          <w:tcPr>
            <w:tcW w:w="711" w:type="pct"/>
            <w:hideMark/>
          </w:tcPr>
          <w:p w14:paraId="463A8993" w14:textId="77777777" w:rsidR="00243243" w:rsidRPr="00764A92" w:rsidRDefault="00243243" w:rsidP="006F12CD">
            <w:pPr>
              <w:pStyle w:val="Tabletext"/>
              <w:jc w:val="right"/>
              <w:rPr>
                <w:sz w:val="20"/>
                <w:szCs w:val="20"/>
              </w:rPr>
            </w:pPr>
            <w:r w:rsidRPr="00764A92">
              <w:rPr>
                <w:sz w:val="20"/>
                <w:szCs w:val="20"/>
              </w:rPr>
              <w:t>96</w:t>
            </w:r>
          </w:p>
        </w:tc>
        <w:tc>
          <w:tcPr>
            <w:tcW w:w="832" w:type="pct"/>
            <w:hideMark/>
          </w:tcPr>
          <w:p w14:paraId="4EBCA1D2" w14:textId="77777777" w:rsidR="00243243" w:rsidRPr="00764A92" w:rsidRDefault="00243243" w:rsidP="006F12CD">
            <w:pPr>
              <w:pStyle w:val="Tabletext"/>
              <w:jc w:val="right"/>
              <w:rPr>
                <w:sz w:val="20"/>
                <w:szCs w:val="20"/>
              </w:rPr>
            </w:pPr>
            <w:r w:rsidRPr="00764A92">
              <w:rPr>
                <w:sz w:val="20"/>
                <w:szCs w:val="20"/>
              </w:rPr>
              <w:t>93</w:t>
            </w:r>
          </w:p>
        </w:tc>
        <w:tc>
          <w:tcPr>
            <w:tcW w:w="589" w:type="pct"/>
            <w:hideMark/>
          </w:tcPr>
          <w:p w14:paraId="3598D1D4" w14:textId="77777777" w:rsidR="00243243" w:rsidRPr="00764A92" w:rsidRDefault="00243243" w:rsidP="006F12CD">
            <w:pPr>
              <w:pStyle w:val="Tabletext"/>
              <w:jc w:val="right"/>
              <w:rPr>
                <w:sz w:val="20"/>
                <w:szCs w:val="20"/>
              </w:rPr>
            </w:pPr>
            <w:r w:rsidRPr="00764A92">
              <w:rPr>
                <w:sz w:val="20"/>
                <w:szCs w:val="20"/>
              </w:rPr>
              <w:t>95</w:t>
            </w:r>
          </w:p>
        </w:tc>
      </w:tr>
      <w:tr w:rsidR="00226C43" w:rsidRPr="00764A92" w14:paraId="471CF7E6" w14:textId="77777777" w:rsidTr="000166CB">
        <w:trPr>
          <w:trHeight w:val="300"/>
          <w:jc w:val="center"/>
        </w:trPr>
        <w:tc>
          <w:tcPr>
            <w:tcW w:w="2867" w:type="pct"/>
            <w:hideMark/>
          </w:tcPr>
          <w:p w14:paraId="6C406ED8" w14:textId="77777777" w:rsidR="00243243" w:rsidRPr="00764A92" w:rsidRDefault="00243243" w:rsidP="006F12CD">
            <w:pPr>
              <w:pStyle w:val="Tabletext"/>
              <w:rPr>
                <w:sz w:val="20"/>
                <w:szCs w:val="20"/>
              </w:rPr>
            </w:pPr>
            <w:r w:rsidRPr="00764A92">
              <w:rPr>
                <w:sz w:val="20"/>
                <w:szCs w:val="20"/>
              </w:rPr>
              <w:t>The integration of GEDSI as part of the short course(s) </w:t>
            </w:r>
          </w:p>
        </w:tc>
        <w:tc>
          <w:tcPr>
            <w:tcW w:w="711" w:type="pct"/>
            <w:hideMark/>
          </w:tcPr>
          <w:p w14:paraId="7EE9568A" w14:textId="77777777" w:rsidR="00243243" w:rsidRPr="00764A92" w:rsidRDefault="00243243" w:rsidP="006F12CD">
            <w:pPr>
              <w:pStyle w:val="Tabletext"/>
              <w:jc w:val="right"/>
              <w:rPr>
                <w:sz w:val="20"/>
                <w:szCs w:val="20"/>
              </w:rPr>
            </w:pPr>
            <w:r w:rsidRPr="00764A92">
              <w:rPr>
                <w:sz w:val="20"/>
                <w:szCs w:val="20"/>
              </w:rPr>
              <w:t>96</w:t>
            </w:r>
          </w:p>
        </w:tc>
        <w:tc>
          <w:tcPr>
            <w:tcW w:w="832" w:type="pct"/>
            <w:hideMark/>
          </w:tcPr>
          <w:p w14:paraId="58A9F8EC" w14:textId="77777777" w:rsidR="00243243" w:rsidRPr="00764A92" w:rsidRDefault="00243243" w:rsidP="006F12CD">
            <w:pPr>
              <w:pStyle w:val="Tabletext"/>
              <w:jc w:val="right"/>
              <w:rPr>
                <w:sz w:val="20"/>
                <w:szCs w:val="20"/>
              </w:rPr>
            </w:pPr>
            <w:r w:rsidRPr="00764A92">
              <w:rPr>
                <w:sz w:val="20"/>
                <w:szCs w:val="20"/>
              </w:rPr>
              <w:t>89</w:t>
            </w:r>
          </w:p>
        </w:tc>
        <w:tc>
          <w:tcPr>
            <w:tcW w:w="589" w:type="pct"/>
            <w:hideMark/>
          </w:tcPr>
          <w:p w14:paraId="0BBF5B44" w14:textId="77777777" w:rsidR="00243243" w:rsidRPr="00764A92" w:rsidRDefault="00243243" w:rsidP="006F12CD">
            <w:pPr>
              <w:pStyle w:val="Tabletext"/>
              <w:jc w:val="right"/>
              <w:rPr>
                <w:sz w:val="20"/>
                <w:szCs w:val="20"/>
              </w:rPr>
            </w:pPr>
            <w:r w:rsidRPr="00764A92">
              <w:rPr>
                <w:sz w:val="20"/>
                <w:szCs w:val="20"/>
              </w:rPr>
              <w:t>93</w:t>
            </w:r>
          </w:p>
        </w:tc>
      </w:tr>
    </w:tbl>
    <w:p w14:paraId="3D5F153C" w14:textId="77777777" w:rsidR="00243243" w:rsidRPr="00764A92" w:rsidRDefault="00243243" w:rsidP="00000782">
      <w:pPr>
        <w:spacing w:after="0"/>
        <w:rPr>
          <w:sz w:val="22"/>
          <w:szCs w:val="22"/>
        </w:rPr>
      </w:pPr>
    </w:p>
    <w:p w14:paraId="03BE811B" w14:textId="77777777" w:rsidR="00243243" w:rsidRPr="00764A92" w:rsidRDefault="00243243" w:rsidP="00243243">
      <w:pPr>
        <w:rPr>
          <w:sz w:val="22"/>
          <w:szCs w:val="22"/>
        </w:rPr>
      </w:pPr>
      <w:proofErr w:type="gramStart"/>
      <w:r w:rsidRPr="00764A92">
        <w:rPr>
          <w:sz w:val="22"/>
          <w:szCs w:val="22"/>
        </w:rPr>
        <w:t>The majority of</w:t>
      </w:r>
      <w:proofErr w:type="gramEnd"/>
      <w:r w:rsidRPr="00764A92">
        <w:rPr>
          <w:sz w:val="22"/>
          <w:szCs w:val="22"/>
        </w:rPr>
        <w:t xml:space="preserve"> respondents expressed high levels of satisfaction with all elements of the </w:t>
      </w:r>
      <w:r w:rsidRPr="00764A92">
        <w:rPr>
          <w:b/>
          <w:bCs/>
          <w:sz w:val="22"/>
          <w:szCs w:val="22"/>
        </w:rPr>
        <w:t>short courses they participated in</w:t>
      </w:r>
      <w:r w:rsidRPr="00764A92">
        <w:rPr>
          <w:sz w:val="22"/>
          <w:szCs w:val="22"/>
        </w:rPr>
        <w:t>. Specifically, 95% of respondents were satisfied with the information provided, the application and selection process, the organisation and delivery of the courses, and their value for career progression and organisational benefit. Satisfaction with the integration of GEDSI principles was slightly lower at 93%. While satisfaction levels were consistent across genders for most elements, female respondents reported slightly lower satisfaction (89%) with the integration of GEDSI compared to male respondents (96%).</w:t>
      </w:r>
    </w:p>
    <w:p w14:paraId="3E6BA846" w14:textId="77777777" w:rsidR="00243243" w:rsidRPr="00764A92" w:rsidRDefault="00243243" w:rsidP="00243243">
      <w:pPr>
        <w:pStyle w:val="Heading3nonumber"/>
        <w:rPr>
          <w:rFonts w:asciiTheme="minorHAnsi" w:hAnsiTheme="minorHAnsi"/>
          <w:color w:val="auto"/>
          <w:sz w:val="22"/>
          <w:szCs w:val="22"/>
        </w:rPr>
      </w:pPr>
      <w:r w:rsidRPr="00764A92">
        <w:rPr>
          <w:rFonts w:asciiTheme="minorHAnsi" w:hAnsiTheme="minorHAnsi"/>
          <w:color w:val="auto"/>
          <w:sz w:val="22"/>
          <w:szCs w:val="22"/>
        </w:rPr>
        <w:t xml:space="preserve">Satisfaction with elements of the In-Country Scholarship Program </w:t>
      </w:r>
    </w:p>
    <w:p w14:paraId="43235980" w14:textId="5CEAE378" w:rsidR="00243243" w:rsidRPr="00764A92" w:rsidRDefault="00243243" w:rsidP="00243243">
      <w:pPr>
        <w:rPr>
          <w:sz w:val="22"/>
          <w:szCs w:val="22"/>
        </w:rPr>
      </w:pPr>
      <w:r w:rsidRPr="00764A92">
        <w:rPr>
          <w:sz w:val="22"/>
          <w:szCs w:val="22"/>
        </w:rPr>
        <w:t>This section presents alumni satisfaction with the in-country scholarship program under the Australia Awards program (</w:t>
      </w:r>
      <w:r w:rsidRPr="00764A92">
        <w:rPr>
          <w:sz w:val="22"/>
          <w:szCs w:val="22"/>
          <w:highlight w:val="yellow"/>
        </w:rPr>
        <w:fldChar w:fldCharType="begin"/>
      </w:r>
      <w:r w:rsidRPr="00764A92">
        <w:rPr>
          <w:sz w:val="22"/>
          <w:szCs w:val="22"/>
        </w:rPr>
        <w:instrText xml:space="preserve"> REF _Ref185322599 \h </w:instrText>
      </w:r>
      <w:r w:rsidR="00CA2071" w:rsidRPr="00764A92">
        <w:rPr>
          <w:sz w:val="22"/>
          <w:szCs w:val="22"/>
          <w:highlight w:val="yellow"/>
        </w:rPr>
        <w:instrText xml:space="preserve"> \* MERGEFORMAT </w:instrText>
      </w:r>
      <w:r w:rsidRPr="00764A92">
        <w:rPr>
          <w:sz w:val="22"/>
          <w:szCs w:val="22"/>
          <w:highlight w:val="yellow"/>
        </w:rPr>
      </w:r>
      <w:r w:rsidRPr="00764A92">
        <w:rPr>
          <w:sz w:val="22"/>
          <w:szCs w:val="22"/>
          <w:highlight w:val="yellow"/>
        </w:rPr>
        <w:fldChar w:fldCharType="separate"/>
      </w:r>
      <w:r w:rsidRPr="00764A92">
        <w:rPr>
          <w:sz w:val="22"/>
          <w:szCs w:val="22"/>
        </w:rPr>
        <w:t xml:space="preserve">Table </w:t>
      </w:r>
      <w:r w:rsidRPr="00764A92">
        <w:rPr>
          <w:noProof/>
          <w:sz w:val="22"/>
          <w:szCs w:val="22"/>
        </w:rPr>
        <w:t>12</w:t>
      </w:r>
      <w:r w:rsidRPr="00764A92">
        <w:rPr>
          <w:sz w:val="22"/>
          <w:szCs w:val="22"/>
          <w:highlight w:val="yellow"/>
        </w:rPr>
        <w:fldChar w:fldCharType="end"/>
      </w:r>
      <w:r w:rsidRPr="00764A92">
        <w:rPr>
          <w:sz w:val="22"/>
          <w:szCs w:val="22"/>
        </w:rPr>
        <w:t>).</w:t>
      </w:r>
    </w:p>
    <w:p w14:paraId="3E2D55B2" w14:textId="4AAA9989" w:rsidR="00243243" w:rsidRPr="00764A92" w:rsidRDefault="00243243" w:rsidP="00B331E1">
      <w:pPr>
        <w:pStyle w:val="Caption"/>
        <w:spacing w:after="0"/>
        <w:rPr>
          <w:color w:val="auto"/>
          <w:sz w:val="22"/>
          <w:szCs w:val="22"/>
        </w:rPr>
      </w:pPr>
      <w:bookmarkStart w:id="83" w:name="_Ref185322599"/>
      <w:bookmarkStart w:id="84" w:name="_Toc190939921"/>
      <w:r w:rsidRPr="00764A92">
        <w:rPr>
          <w:color w:val="auto"/>
          <w:sz w:val="22"/>
          <w:szCs w:val="22"/>
        </w:rPr>
        <w:t xml:space="preserve">Table </w:t>
      </w:r>
      <w:r w:rsidR="000113F9" w:rsidRPr="00764A92">
        <w:rPr>
          <w:color w:val="auto"/>
          <w:sz w:val="22"/>
          <w:szCs w:val="22"/>
        </w:rPr>
        <w:fldChar w:fldCharType="begin"/>
      </w:r>
      <w:r w:rsidR="000113F9" w:rsidRPr="00764A92">
        <w:rPr>
          <w:color w:val="auto"/>
          <w:sz w:val="22"/>
          <w:szCs w:val="22"/>
        </w:rPr>
        <w:instrText xml:space="preserve"> SEQ Table \* ARABIC </w:instrText>
      </w:r>
      <w:r w:rsidR="000113F9" w:rsidRPr="00764A92">
        <w:rPr>
          <w:color w:val="auto"/>
          <w:sz w:val="22"/>
          <w:szCs w:val="22"/>
        </w:rPr>
        <w:fldChar w:fldCharType="separate"/>
      </w:r>
      <w:r w:rsidR="003735AF" w:rsidRPr="00764A92">
        <w:rPr>
          <w:noProof/>
          <w:color w:val="auto"/>
          <w:sz w:val="22"/>
          <w:szCs w:val="22"/>
        </w:rPr>
        <w:t>22</w:t>
      </w:r>
      <w:r w:rsidR="000113F9" w:rsidRPr="00764A92">
        <w:rPr>
          <w:noProof/>
          <w:color w:val="auto"/>
          <w:sz w:val="22"/>
          <w:szCs w:val="22"/>
        </w:rPr>
        <w:fldChar w:fldCharType="end"/>
      </w:r>
      <w:bookmarkEnd w:id="83"/>
      <w:r w:rsidRPr="00764A92">
        <w:rPr>
          <w:color w:val="auto"/>
          <w:sz w:val="22"/>
          <w:szCs w:val="22"/>
        </w:rPr>
        <w:t>: Respondents' satisfaction with elements of the In-Country Scholarship Program</w:t>
      </w:r>
      <w:bookmarkEnd w:id="84"/>
    </w:p>
    <w:tbl>
      <w:tblPr>
        <w:tblStyle w:val="TableGrid"/>
        <w:tblW w:w="8865" w:type="dxa"/>
        <w:tblLook w:val="06A0" w:firstRow="1" w:lastRow="0" w:firstColumn="1" w:lastColumn="0" w:noHBand="1" w:noVBand="1"/>
      </w:tblPr>
      <w:tblGrid>
        <w:gridCol w:w="4995"/>
        <w:gridCol w:w="1290"/>
        <w:gridCol w:w="1290"/>
        <w:gridCol w:w="1290"/>
      </w:tblGrid>
      <w:tr w:rsidR="00226C43" w:rsidRPr="00764A92" w14:paraId="5B9103FB" w14:textId="77777777" w:rsidTr="00610A3E">
        <w:trPr>
          <w:trHeight w:val="300"/>
          <w:tblHeader/>
        </w:trPr>
        <w:tc>
          <w:tcPr>
            <w:tcW w:w="4995" w:type="dxa"/>
            <w:shd w:val="clear" w:color="auto" w:fill="E3DED1" w:themeFill="background2"/>
            <w:hideMark/>
          </w:tcPr>
          <w:p w14:paraId="6C3D7177" w14:textId="77777777" w:rsidR="00243243" w:rsidRPr="00764A92" w:rsidRDefault="00243243" w:rsidP="004134AD">
            <w:pPr>
              <w:pStyle w:val="Tabletext"/>
              <w:spacing w:after="0"/>
              <w:rPr>
                <w:b/>
                <w:bCs/>
                <w:sz w:val="20"/>
                <w:szCs w:val="20"/>
              </w:rPr>
            </w:pPr>
            <w:r w:rsidRPr="00764A92">
              <w:rPr>
                <w:b/>
                <w:bCs/>
                <w:sz w:val="20"/>
                <w:szCs w:val="20"/>
              </w:rPr>
              <w:t>Item </w:t>
            </w:r>
          </w:p>
        </w:tc>
        <w:tc>
          <w:tcPr>
            <w:tcW w:w="1290" w:type="dxa"/>
            <w:shd w:val="clear" w:color="auto" w:fill="E3DED1" w:themeFill="background2"/>
            <w:hideMark/>
          </w:tcPr>
          <w:p w14:paraId="0C36E057" w14:textId="052ADF80" w:rsidR="00243243" w:rsidRPr="00764A92" w:rsidRDefault="00243243" w:rsidP="004134AD">
            <w:pPr>
              <w:pStyle w:val="Tabletext"/>
              <w:spacing w:after="0"/>
              <w:jc w:val="center"/>
              <w:rPr>
                <w:b/>
                <w:bCs/>
                <w:sz w:val="20"/>
                <w:szCs w:val="20"/>
              </w:rPr>
            </w:pPr>
            <w:r w:rsidRPr="00764A92">
              <w:rPr>
                <w:b/>
                <w:bCs/>
                <w:sz w:val="20"/>
                <w:szCs w:val="20"/>
              </w:rPr>
              <w:t>% Male satisfied</w:t>
            </w:r>
          </w:p>
        </w:tc>
        <w:tc>
          <w:tcPr>
            <w:tcW w:w="1290" w:type="dxa"/>
            <w:shd w:val="clear" w:color="auto" w:fill="E3DED1" w:themeFill="background2"/>
            <w:hideMark/>
          </w:tcPr>
          <w:p w14:paraId="304911B2" w14:textId="58CCE486" w:rsidR="00243243" w:rsidRPr="00764A92" w:rsidRDefault="00243243" w:rsidP="004134AD">
            <w:pPr>
              <w:pStyle w:val="Tabletext"/>
              <w:spacing w:after="0"/>
              <w:jc w:val="center"/>
              <w:rPr>
                <w:b/>
                <w:bCs/>
                <w:sz w:val="20"/>
                <w:szCs w:val="20"/>
              </w:rPr>
            </w:pPr>
            <w:r w:rsidRPr="00764A92">
              <w:rPr>
                <w:b/>
                <w:bCs/>
                <w:sz w:val="20"/>
                <w:szCs w:val="20"/>
              </w:rPr>
              <w:t>% Female satisfied</w:t>
            </w:r>
          </w:p>
        </w:tc>
        <w:tc>
          <w:tcPr>
            <w:tcW w:w="1290" w:type="dxa"/>
            <w:shd w:val="clear" w:color="auto" w:fill="E3DED1" w:themeFill="background2"/>
            <w:hideMark/>
          </w:tcPr>
          <w:p w14:paraId="7E3893F4" w14:textId="4767DD45" w:rsidR="00243243" w:rsidRPr="00764A92" w:rsidRDefault="00243243" w:rsidP="004134AD">
            <w:pPr>
              <w:pStyle w:val="Tabletext"/>
              <w:spacing w:after="0"/>
              <w:jc w:val="center"/>
              <w:rPr>
                <w:b/>
                <w:bCs/>
                <w:sz w:val="20"/>
                <w:szCs w:val="20"/>
              </w:rPr>
            </w:pPr>
            <w:r w:rsidRPr="00764A92">
              <w:rPr>
                <w:b/>
                <w:bCs/>
                <w:sz w:val="20"/>
                <w:szCs w:val="20"/>
              </w:rPr>
              <w:t>% Total satisfied</w:t>
            </w:r>
          </w:p>
        </w:tc>
      </w:tr>
      <w:tr w:rsidR="00226C43" w:rsidRPr="00764A92" w14:paraId="3CBB3630" w14:textId="77777777" w:rsidTr="000166CB">
        <w:trPr>
          <w:trHeight w:val="300"/>
        </w:trPr>
        <w:tc>
          <w:tcPr>
            <w:tcW w:w="4995" w:type="dxa"/>
            <w:hideMark/>
          </w:tcPr>
          <w:p w14:paraId="65529643" w14:textId="77777777" w:rsidR="00243243" w:rsidRPr="00764A92" w:rsidRDefault="00243243" w:rsidP="00000782">
            <w:pPr>
              <w:pStyle w:val="Tabletext"/>
              <w:spacing w:after="0"/>
              <w:rPr>
                <w:b/>
                <w:sz w:val="20"/>
                <w:szCs w:val="20"/>
              </w:rPr>
            </w:pPr>
            <w:r w:rsidRPr="00764A92">
              <w:rPr>
                <w:sz w:val="20"/>
                <w:szCs w:val="20"/>
              </w:rPr>
              <w:t>The quality of introductory information and promotional material about the ICSP</w:t>
            </w:r>
            <w:r w:rsidRPr="00764A92">
              <w:rPr>
                <w:b/>
                <w:sz w:val="20"/>
                <w:szCs w:val="20"/>
              </w:rPr>
              <w:t> </w:t>
            </w:r>
          </w:p>
        </w:tc>
        <w:tc>
          <w:tcPr>
            <w:tcW w:w="1290" w:type="dxa"/>
            <w:hideMark/>
          </w:tcPr>
          <w:p w14:paraId="2C5B7FA1" w14:textId="77777777" w:rsidR="00243243" w:rsidRPr="00764A92" w:rsidRDefault="00243243" w:rsidP="00000782">
            <w:pPr>
              <w:pStyle w:val="Tabletext"/>
              <w:spacing w:after="0"/>
              <w:jc w:val="right"/>
              <w:rPr>
                <w:sz w:val="20"/>
                <w:szCs w:val="20"/>
              </w:rPr>
            </w:pPr>
            <w:r w:rsidRPr="00764A92">
              <w:rPr>
                <w:sz w:val="20"/>
                <w:szCs w:val="20"/>
              </w:rPr>
              <w:t>95</w:t>
            </w:r>
          </w:p>
        </w:tc>
        <w:tc>
          <w:tcPr>
            <w:tcW w:w="1290" w:type="dxa"/>
            <w:hideMark/>
          </w:tcPr>
          <w:p w14:paraId="4D3BFD8F" w14:textId="77777777" w:rsidR="00243243" w:rsidRPr="00764A92" w:rsidRDefault="00243243" w:rsidP="00000782">
            <w:pPr>
              <w:pStyle w:val="Tabletext"/>
              <w:spacing w:after="0"/>
              <w:jc w:val="right"/>
              <w:rPr>
                <w:sz w:val="20"/>
                <w:szCs w:val="20"/>
              </w:rPr>
            </w:pPr>
            <w:r w:rsidRPr="00764A92">
              <w:rPr>
                <w:sz w:val="20"/>
                <w:szCs w:val="20"/>
              </w:rPr>
              <w:t>86</w:t>
            </w:r>
          </w:p>
        </w:tc>
        <w:tc>
          <w:tcPr>
            <w:tcW w:w="1290" w:type="dxa"/>
            <w:hideMark/>
          </w:tcPr>
          <w:p w14:paraId="117B2806" w14:textId="77777777" w:rsidR="00243243" w:rsidRPr="00764A92" w:rsidRDefault="00243243" w:rsidP="00000782">
            <w:pPr>
              <w:pStyle w:val="Tabletext"/>
              <w:spacing w:after="0"/>
              <w:jc w:val="right"/>
              <w:rPr>
                <w:sz w:val="20"/>
                <w:szCs w:val="20"/>
              </w:rPr>
            </w:pPr>
            <w:r w:rsidRPr="00764A92">
              <w:rPr>
                <w:sz w:val="20"/>
                <w:szCs w:val="20"/>
              </w:rPr>
              <w:t>90</w:t>
            </w:r>
          </w:p>
        </w:tc>
      </w:tr>
      <w:tr w:rsidR="00226C43" w:rsidRPr="00764A92" w14:paraId="773B83CA" w14:textId="77777777" w:rsidTr="000166CB">
        <w:trPr>
          <w:trHeight w:val="300"/>
        </w:trPr>
        <w:tc>
          <w:tcPr>
            <w:tcW w:w="4995" w:type="dxa"/>
            <w:hideMark/>
          </w:tcPr>
          <w:p w14:paraId="751A9844" w14:textId="77777777" w:rsidR="00243243" w:rsidRPr="00764A92" w:rsidRDefault="00243243" w:rsidP="00000782">
            <w:pPr>
              <w:pStyle w:val="Tabletext"/>
              <w:spacing w:after="0"/>
              <w:rPr>
                <w:b/>
                <w:sz w:val="20"/>
                <w:szCs w:val="20"/>
              </w:rPr>
            </w:pPr>
            <w:r w:rsidRPr="00764A92">
              <w:rPr>
                <w:sz w:val="20"/>
                <w:szCs w:val="20"/>
              </w:rPr>
              <w:t>The user friendliness and support services of the scholarship application process</w:t>
            </w:r>
            <w:r w:rsidRPr="00764A92">
              <w:rPr>
                <w:b/>
                <w:sz w:val="20"/>
                <w:szCs w:val="20"/>
              </w:rPr>
              <w:t> </w:t>
            </w:r>
          </w:p>
        </w:tc>
        <w:tc>
          <w:tcPr>
            <w:tcW w:w="1290" w:type="dxa"/>
            <w:hideMark/>
          </w:tcPr>
          <w:p w14:paraId="185057D3" w14:textId="77777777" w:rsidR="00243243" w:rsidRPr="00764A92" w:rsidRDefault="00243243" w:rsidP="00000782">
            <w:pPr>
              <w:pStyle w:val="Tabletext"/>
              <w:spacing w:after="0"/>
              <w:jc w:val="right"/>
              <w:rPr>
                <w:sz w:val="20"/>
                <w:szCs w:val="20"/>
              </w:rPr>
            </w:pPr>
            <w:r w:rsidRPr="00764A92">
              <w:rPr>
                <w:sz w:val="20"/>
                <w:szCs w:val="20"/>
              </w:rPr>
              <w:t>95</w:t>
            </w:r>
          </w:p>
        </w:tc>
        <w:tc>
          <w:tcPr>
            <w:tcW w:w="1290" w:type="dxa"/>
            <w:hideMark/>
          </w:tcPr>
          <w:p w14:paraId="5D45FB83" w14:textId="77777777" w:rsidR="00243243" w:rsidRPr="00764A92" w:rsidRDefault="00243243" w:rsidP="00000782">
            <w:pPr>
              <w:pStyle w:val="Tabletext"/>
              <w:spacing w:after="0"/>
              <w:jc w:val="right"/>
              <w:rPr>
                <w:sz w:val="20"/>
                <w:szCs w:val="20"/>
              </w:rPr>
            </w:pPr>
            <w:r w:rsidRPr="00764A92">
              <w:rPr>
                <w:sz w:val="20"/>
                <w:szCs w:val="20"/>
              </w:rPr>
              <w:t>86</w:t>
            </w:r>
          </w:p>
        </w:tc>
        <w:tc>
          <w:tcPr>
            <w:tcW w:w="1290" w:type="dxa"/>
            <w:hideMark/>
          </w:tcPr>
          <w:p w14:paraId="60CEC3D4" w14:textId="77777777" w:rsidR="00243243" w:rsidRPr="00764A92" w:rsidRDefault="00243243" w:rsidP="00000782">
            <w:pPr>
              <w:pStyle w:val="Tabletext"/>
              <w:spacing w:after="0"/>
              <w:jc w:val="right"/>
              <w:rPr>
                <w:sz w:val="20"/>
                <w:szCs w:val="20"/>
              </w:rPr>
            </w:pPr>
            <w:r w:rsidRPr="00764A92">
              <w:rPr>
                <w:sz w:val="20"/>
                <w:szCs w:val="20"/>
              </w:rPr>
              <w:t>96</w:t>
            </w:r>
          </w:p>
        </w:tc>
      </w:tr>
      <w:tr w:rsidR="00226C43" w:rsidRPr="00764A92" w14:paraId="3A1B816D" w14:textId="77777777" w:rsidTr="000166CB">
        <w:trPr>
          <w:trHeight w:val="300"/>
        </w:trPr>
        <w:tc>
          <w:tcPr>
            <w:tcW w:w="4995" w:type="dxa"/>
            <w:hideMark/>
          </w:tcPr>
          <w:p w14:paraId="413BCC2D" w14:textId="77777777" w:rsidR="00243243" w:rsidRPr="00764A92" w:rsidRDefault="00243243" w:rsidP="00000782">
            <w:pPr>
              <w:pStyle w:val="Tabletext"/>
              <w:spacing w:after="0"/>
              <w:rPr>
                <w:b/>
                <w:sz w:val="20"/>
                <w:szCs w:val="20"/>
              </w:rPr>
            </w:pPr>
            <w:r w:rsidRPr="00764A92">
              <w:rPr>
                <w:sz w:val="20"/>
                <w:szCs w:val="20"/>
              </w:rPr>
              <w:t>The fairness, equity and inclusion of the assessment and selection process by the program</w:t>
            </w:r>
            <w:r w:rsidRPr="00764A92">
              <w:rPr>
                <w:b/>
                <w:sz w:val="20"/>
                <w:szCs w:val="20"/>
              </w:rPr>
              <w:t> </w:t>
            </w:r>
          </w:p>
        </w:tc>
        <w:tc>
          <w:tcPr>
            <w:tcW w:w="1290" w:type="dxa"/>
            <w:hideMark/>
          </w:tcPr>
          <w:p w14:paraId="2E14B47D" w14:textId="77777777" w:rsidR="00243243" w:rsidRPr="00764A92" w:rsidRDefault="00243243" w:rsidP="00000782">
            <w:pPr>
              <w:pStyle w:val="Tabletext"/>
              <w:spacing w:after="0"/>
              <w:jc w:val="right"/>
              <w:rPr>
                <w:sz w:val="20"/>
                <w:szCs w:val="20"/>
              </w:rPr>
            </w:pPr>
            <w:r w:rsidRPr="00764A92">
              <w:rPr>
                <w:sz w:val="20"/>
                <w:szCs w:val="20"/>
              </w:rPr>
              <w:t>95</w:t>
            </w:r>
          </w:p>
        </w:tc>
        <w:tc>
          <w:tcPr>
            <w:tcW w:w="1290" w:type="dxa"/>
            <w:hideMark/>
          </w:tcPr>
          <w:p w14:paraId="6B5CE697" w14:textId="77777777" w:rsidR="00243243" w:rsidRPr="00764A92" w:rsidRDefault="00243243" w:rsidP="00000782">
            <w:pPr>
              <w:pStyle w:val="Tabletext"/>
              <w:spacing w:after="0"/>
              <w:jc w:val="right"/>
              <w:rPr>
                <w:sz w:val="20"/>
                <w:szCs w:val="20"/>
              </w:rPr>
            </w:pPr>
            <w:r w:rsidRPr="00764A92">
              <w:rPr>
                <w:sz w:val="20"/>
                <w:szCs w:val="20"/>
              </w:rPr>
              <w:t>86</w:t>
            </w:r>
          </w:p>
        </w:tc>
        <w:tc>
          <w:tcPr>
            <w:tcW w:w="1290" w:type="dxa"/>
            <w:hideMark/>
          </w:tcPr>
          <w:p w14:paraId="66071E1F" w14:textId="77777777" w:rsidR="00243243" w:rsidRPr="00764A92" w:rsidRDefault="00243243" w:rsidP="00000782">
            <w:pPr>
              <w:pStyle w:val="Tabletext"/>
              <w:spacing w:after="0"/>
              <w:jc w:val="right"/>
              <w:rPr>
                <w:sz w:val="20"/>
                <w:szCs w:val="20"/>
              </w:rPr>
            </w:pPr>
            <w:r w:rsidRPr="00764A92">
              <w:rPr>
                <w:sz w:val="20"/>
                <w:szCs w:val="20"/>
              </w:rPr>
              <w:t>90</w:t>
            </w:r>
          </w:p>
        </w:tc>
      </w:tr>
      <w:tr w:rsidR="00226C43" w:rsidRPr="00764A92" w14:paraId="7FA270B5" w14:textId="77777777" w:rsidTr="000166CB">
        <w:trPr>
          <w:trHeight w:val="300"/>
        </w:trPr>
        <w:tc>
          <w:tcPr>
            <w:tcW w:w="4995" w:type="dxa"/>
            <w:hideMark/>
          </w:tcPr>
          <w:p w14:paraId="4C40F73B" w14:textId="77777777" w:rsidR="00243243" w:rsidRPr="00764A92" w:rsidRDefault="00243243" w:rsidP="00000782">
            <w:pPr>
              <w:pStyle w:val="Tabletext"/>
              <w:spacing w:after="0"/>
              <w:rPr>
                <w:b/>
                <w:sz w:val="20"/>
                <w:szCs w:val="20"/>
              </w:rPr>
            </w:pPr>
            <w:r w:rsidRPr="00764A92">
              <w:rPr>
                <w:sz w:val="20"/>
                <w:szCs w:val="20"/>
              </w:rPr>
              <w:t>The ease of course selection and enrolment</w:t>
            </w:r>
            <w:r w:rsidRPr="00764A92">
              <w:rPr>
                <w:b/>
                <w:sz w:val="20"/>
                <w:szCs w:val="20"/>
              </w:rPr>
              <w:t> </w:t>
            </w:r>
          </w:p>
        </w:tc>
        <w:tc>
          <w:tcPr>
            <w:tcW w:w="1290" w:type="dxa"/>
            <w:hideMark/>
          </w:tcPr>
          <w:p w14:paraId="73597AF5" w14:textId="77777777" w:rsidR="00243243" w:rsidRPr="00764A92" w:rsidRDefault="00243243" w:rsidP="00000782">
            <w:pPr>
              <w:pStyle w:val="Tabletext"/>
              <w:spacing w:after="0"/>
              <w:jc w:val="right"/>
              <w:rPr>
                <w:sz w:val="20"/>
                <w:szCs w:val="20"/>
              </w:rPr>
            </w:pPr>
            <w:r w:rsidRPr="00764A92">
              <w:rPr>
                <w:sz w:val="20"/>
                <w:szCs w:val="20"/>
              </w:rPr>
              <w:t>95</w:t>
            </w:r>
          </w:p>
        </w:tc>
        <w:tc>
          <w:tcPr>
            <w:tcW w:w="1290" w:type="dxa"/>
            <w:hideMark/>
          </w:tcPr>
          <w:p w14:paraId="4ACEF1C1" w14:textId="77777777" w:rsidR="00243243" w:rsidRPr="00764A92" w:rsidRDefault="00243243" w:rsidP="00000782">
            <w:pPr>
              <w:pStyle w:val="Tabletext"/>
              <w:spacing w:after="0"/>
              <w:jc w:val="right"/>
              <w:rPr>
                <w:sz w:val="20"/>
                <w:szCs w:val="20"/>
              </w:rPr>
            </w:pPr>
            <w:r w:rsidRPr="00764A92">
              <w:rPr>
                <w:sz w:val="20"/>
                <w:szCs w:val="20"/>
              </w:rPr>
              <w:t>83</w:t>
            </w:r>
          </w:p>
        </w:tc>
        <w:tc>
          <w:tcPr>
            <w:tcW w:w="1290" w:type="dxa"/>
            <w:hideMark/>
          </w:tcPr>
          <w:p w14:paraId="001D5069" w14:textId="77777777" w:rsidR="00243243" w:rsidRPr="00764A92" w:rsidRDefault="00243243" w:rsidP="00000782">
            <w:pPr>
              <w:pStyle w:val="Tabletext"/>
              <w:spacing w:after="0"/>
              <w:jc w:val="right"/>
              <w:rPr>
                <w:sz w:val="20"/>
                <w:szCs w:val="20"/>
              </w:rPr>
            </w:pPr>
            <w:r w:rsidRPr="00764A92">
              <w:rPr>
                <w:sz w:val="20"/>
                <w:szCs w:val="20"/>
              </w:rPr>
              <w:t>88</w:t>
            </w:r>
          </w:p>
        </w:tc>
      </w:tr>
      <w:tr w:rsidR="00226C43" w:rsidRPr="00764A92" w14:paraId="2808B38D" w14:textId="77777777" w:rsidTr="000166CB">
        <w:trPr>
          <w:trHeight w:val="300"/>
        </w:trPr>
        <w:tc>
          <w:tcPr>
            <w:tcW w:w="4995" w:type="dxa"/>
            <w:hideMark/>
          </w:tcPr>
          <w:p w14:paraId="15CAC22C" w14:textId="77777777" w:rsidR="00243243" w:rsidRPr="00764A92" w:rsidRDefault="00243243" w:rsidP="00000782">
            <w:pPr>
              <w:pStyle w:val="Tabletext"/>
              <w:spacing w:after="0"/>
              <w:rPr>
                <w:b/>
                <w:sz w:val="20"/>
                <w:szCs w:val="20"/>
              </w:rPr>
            </w:pPr>
            <w:r w:rsidRPr="00764A92">
              <w:rPr>
                <w:sz w:val="20"/>
                <w:szCs w:val="20"/>
              </w:rPr>
              <w:t>REAP mentoring received</w:t>
            </w:r>
            <w:r w:rsidRPr="00764A92">
              <w:rPr>
                <w:b/>
                <w:sz w:val="20"/>
                <w:szCs w:val="20"/>
              </w:rPr>
              <w:t> </w:t>
            </w:r>
          </w:p>
        </w:tc>
        <w:tc>
          <w:tcPr>
            <w:tcW w:w="1290" w:type="dxa"/>
            <w:hideMark/>
          </w:tcPr>
          <w:p w14:paraId="1E87E1C9" w14:textId="77777777" w:rsidR="00243243" w:rsidRPr="00764A92" w:rsidRDefault="00243243" w:rsidP="00000782">
            <w:pPr>
              <w:pStyle w:val="Tabletext"/>
              <w:spacing w:after="0"/>
              <w:jc w:val="right"/>
              <w:rPr>
                <w:sz w:val="20"/>
                <w:szCs w:val="20"/>
              </w:rPr>
            </w:pPr>
            <w:r w:rsidRPr="00764A92">
              <w:rPr>
                <w:sz w:val="20"/>
                <w:szCs w:val="20"/>
              </w:rPr>
              <w:t>95</w:t>
            </w:r>
          </w:p>
        </w:tc>
        <w:tc>
          <w:tcPr>
            <w:tcW w:w="1290" w:type="dxa"/>
            <w:hideMark/>
          </w:tcPr>
          <w:p w14:paraId="5DEDA0A7" w14:textId="77777777" w:rsidR="00243243" w:rsidRPr="00764A92" w:rsidRDefault="00243243" w:rsidP="00000782">
            <w:pPr>
              <w:pStyle w:val="Tabletext"/>
              <w:spacing w:after="0"/>
              <w:jc w:val="right"/>
              <w:rPr>
                <w:sz w:val="20"/>
                <w:szCs w:val="20"/>
              </w:rPr>
            </w:pPr>
            <w:r w:rsidRPr="00764A92">
              <w:rPr>
                <w:sz w:val="20"/>
                <w:szCs w:val="20"/>
              </w:rPr>
              <w:t>86</w:t>
            </w:r>
          </w:p>
        </w:tc>
        <w:tc>
          <w:tcPr>
            <w:tcW w:w="1290" w:type="dxa"/>
            <w:hideMark/>
          </w:tcPr>
          <w:p w14:paraId="00390F32" w14:textId="77777777" w:rsidR="00243243" w:rsidRPr="00764A92" w:rsidRDefault="00243243" w:rsidP="00000782">
            <w:pPr>
              <w:pStyle w:val="Tabletext"/>
              <w:spacing w:after="0"/>
              <w:jc w:val="right"/>
              <w:rPr>
                <w:sz w:val="20"/>
                <w:szCs w:val="20"/>
              </w:rPr>
            </w:pPr>
            <w:r w:rsidRPr="00764A92">
              <w:rPr>
                <w:sz w:val="20"/>
                <w:szCs w:val="20"/>
              </w:rPr>
              <w:t>89</w:t>
            </w:r>
          </w:p>
        </w:tc>
      </w:tr>
      <w:tr w:rsidR="00226C43" w:rsidRPr="00764A92" w14:paraId="1276FA26" w14:textId="77777777" w:rsidTr="000166CB">
        <w:trPr>
          <w:trHeight w:val="300"/>
        </w:trPr>
        <w:tc>
          <w:tcPr>
            <w:tcW w:w="4995" w:type="dxa"/>
            <w:hideMark/>
          </w:tcPr>
          <w:p w14:paraId="70DCFF83" w14:textId="77777777" w:rsidR="00243243" w:rsidRPr="00764A92" w:rsidRDefault="00243243" w:rsidP="00000782">
            <w:pPr>
              <w:pStyle w:val="Tabletext"/>
              <w:spacing w:after="0"/>
              <w:rPr>
                <w:b/>
                <w:sz w:val="20"/>
                <w:szCs w:val="20"/>
              </w:rPr>
            </w:pPr>
            <w:r w:rsidRPr="00764A92">
              <w:rPr>
                <w:sz w:val="20"/>
                <w:szCs w:val="20"/>
              </w:rPr>
              <w:t>On-award support, enrichment and engagement</w:t>
            </w:r>
            <w:r w:rsidRPr="00764A92">
              <w:rPr>
                <w:b/>
                <w:sz w:val="20"/>
                <w:szCs w:val="20"/>
              </w:rPr>
              <w:t> </w:t>
            </w:r>
          </w:p>
        </w:tc>
        <w:tc>
          <w:tcPr>
            <w:tcW w:w="1290" w:type="dxa"/>
            <w:hideMark/>
          </w:tcPr>
          <w:p w14:paraId="69434444" w14:textId="77777777" w:rsidR="00243243" w:rsidRPr="00764A92" w:rsidRDefault="00243243" w:rsidP="00000782">
            <w:pPr>
              <w:pStyle w:val="Tabletext"/>
              <w:spacing w:after="0"/>
              <w:jc w:val="right"/>
              <w:rPr>
                <w:sz w:val="20"/>
                <w:szCs w:val="20"/>
              </w:rPr>
            </w:pPr>
            <w:r w:rsidRPr="00764A92">
              <w:rPr>
                <w:sz w:val="20"/>
                <w:szCs w:val="20"/>
              </w:rPr>
              <w:t>95</w:t>
            </w:r>
          </w:p>
        </w:tc>
        <w:tc>
          <w:tcPr>
            <w:tcW w:w="1290" w:type="dxa"/>
            <w:hideMark/>
          </w:tcPr>
          <w:p w14:paraId="549ED253" w14:textId="77777777" w:rsidR="00243243" w:rsidRPr="00764A92" w:rsidRDefault="00243243" w:rsidP="00000782">
            <w:pPr>
              <w:pStyle w:val="Tabletext"/>
              <w:spacing w:after="0"/>
              <w:jc w:val="right"/>
              <w:rPr>
                <w:sz w:val="20"/>
                <w:szCs w:val="20"/>
              </w:rPr>
            </w:pPr>
            <w:r w:rsidRPr="00764A92">
              <w:rPr>
                <w:sz w:val="20"/>
                <w:szCs w:val="20"/>
              </w:rPr>
              <w:t>86</w:t>
            </w:r>
          </w:p>
        </w:tc>
        <w:tc>
          <w:tcPr>
            <w:tcW w:w="1290" w:type="dxa"/>
            <w:hideMark/>
          </w:tcPr>
          <w:p w14:paraId="6BF78A06" w14:textId="77777777" w:rsidR="00243243" w:rsidRPr="00764A92" w:rsidRDefault="00243243" w:rsidP="00000782">
            <w:pPr>
              <w:pStyle w:val="Tabletext"/>
              <w:spacing w:after="0"/>
              <w:jc w:val="right"/>
              <w:rPr>
                <w:sz w:val="20"/>
                <w:szCs w:val="20"/>
              </w:rPr>
            </w:pPr>
            <w:r w:rsidRPr="00764A92">
              <w:rPr>
                <w:sz w:val="20"/>
                <w:szCs w:val="20"/>
              </w:rPr>
              <w:t>90</w:t>
            </w:r>
          </w:p>
        </w:tc>
      </w:tr>
      <w:tr w:rsidR="00226C43" w:rsidRPr="00764A92" w14:paraId="3F0DDEE0" w14:textId="77777777" w:rsidTr="000166CB">
        <w:trPr>
          <w:trHeight w:val="300"/>
        </w:trPr>
        <w:tc>
          <w:tcPr>
            <w:tcW w:w="4995" w:type="dxa"/>
            <w:hideMark/>
          </w:tcPr>
          <w:p w14:paraId="796741EB" w14:textId="77777777" w:rsidR="00243243" w:rsidRPr="00764A92" w:rsidRDefault="00243243" w:rsidP="00000782">
            <w:pPr>
              <w:pStyle w:val="Tabletext"/>
              <w:spacing w:after="0"/>
              <w:rPr>
                <w:b/>
                <w:sz w:val="20"/>
                <w:szCs w:val="20"/>
              </w:rPr>
            </w:pPr>
            <w:r w:rsidRPr="00764A92">
              <w:rPr>
                <w:sz w:val="20"/>
                <w:szCs w:val="20"/>
              </w:rPr>
              <w:t>Post-scholarship support</w:t>
            </w:r>
            <w:r w:rsidRPr="00764A92">
              <w:rPr>
                <w:b/>
                <w:sz w:val="20"/>
                <w:szCs w:val="20"/>
              </w:rPr>
              <w:t> </w:t>
            </w:r>
          </w:p>
        </w:tc>
        <w:tc>
          <w:tcPr>
            <w:tcW w:w="1290" w:type="dxa"/>
            <w:hideMark/>
          </w:tcPr>
          <w:p w14:paraId="0958C478" w14:textId="77777777" w:rsidR="00243243" w:rsidRPr="00764A92" w:rsidRDefault="00243243" w:rsidP="00000782">
            <w:pPr>
              <w:pStyle w:val="Tabletext"/>
              <w:spacing w:after="0"/>
              <w:jc w:val="right"/>
              <w:rPr>
                <w:sz w:val="20"/>
                <w:szCs w:val="20"/>
              </w:rPr>
            </w:pPr>
            <w:r w:rsidRPr="00764A92">
              <w:rPr>
                <w:sz w:val="20"/>
                <w:szCs w:val="20"/>
              </w:rPr>
              <w:t>95</w:t>
            </w:r>
          </w:p>
        </w:tc>
        <w:tc>
          <w:tcPr>
            <w:tcW w:w="1290" w:type="dxa"/>
            <w:hideMark/>
          </w:tcPr>
          <w:p w14:paraId="2D75D8E1" w14:textId="77777777" w:rsidR="00243243" w:rsidRPr="00764A92" w:rsidRDefault="00243243" w:rsidP="00000782">
            <w:pPr>
              <w:pStyle w:val="Tabletext"/>
              <w:spacing w:after="0"/>
              <w:jc w:val="right"/>
              <w:rPr>
                <w:sz w:val="20"/>
                <w:szCs w:val="20"/>
              </w:rPr>
            </w:pPr>
            <w:r w:rsidRPr="00764A92">
              <w:rPr>
                <w:sz w:val="20"/>
                <w:szCs w:val="20"/>
              </w:rPr>
              <w:t>86</w:t>
            </w:r>
          </w:p>
        </w:tc>
        <w:tc>
          <w:tcPr>
            <w:tcW w:w="1290" w:type="dxa"/>
            <w:hideMark/>
          </w:tcPr>
          <w:p w14:paraId="1D0E0CCD" w14:textId="77777777" w:rsidR="00243243" w:rsidRPr="00764A92" w:rsidRDefault="00243243" w:rsidP="00000782">
            <w:pPr>
              <w:pStyle w:val="Tabletext"/>
              <w:spacing w:after="0"/>
              <w:jc w:val="right"/>
              <w:rPr>
                <w:sz w:val="20"/>
                <w:szCs w:val="20"/>
              </w:rPr>
            </w:pPr>
            <w:r w:rsidRPr="00764A92">
              <w:rPr>
                <w:sz w:val="20"/>
                <w:szCs w:val="20"/>
              </w:rPr>
              <w:t>89</w:t>
            </w:r>
          </w:p>
        </w:tc>
      </w:tr>
      <w:tr w:rsidR="00226C43" w:rsidRPr="00764A92" w14:paraId="005A7E6B" w14:textId="77777777" w:rsidTr="000166CB">
        <w:trPr>
          <w:trHeight w:val="300"/>
        </w:trPr>
        <w:tc>
          <w:tcPr>
            <w:tcW w:w="4995" w:type="dxa"/>
            <w:hideMark/>
          </w:tcPr>
          <w:p w14:paraId="122C1F61" w14:textId="77777777" w:rsidR="00243243" w:rsidRPr="00764A92" w:rsidRDefault="00243243" w:rsidP="00000782">
            <w:pPr>
              <w:pStyle w:val="Tabletext"/>
              <w:spacing w:after="0"/>
              <w:rPr>
                <w:b/>
                <w:sz w:val="20"/>
                <w:szCs w:val="20"/>
              </w:rPr>
            </w:pPr>
            <w:r w:rsidRPr="00764A92">
              <w:rPr>
                <w:sz w:val="20"/>
                <w:szCs w:val="20"/>
              </w:rPr>
              <w:lastRenderedPageBreak/>
              <w:t>The implementation of your Re-Entry Action Plan (REAP)</w:t>
            </w:r>
            <w:r w:rsidRPr="00764A92">
              <w:rPr>
                <w:b/>
                <w:sz w:val="20"/>
                <w:szCs w:val="20"/>
              </w:rPr>
              <w:t> </w:t>
            </w:r>
          </w:p>
        </w:tc>
        <w:tc>
          <w:tcPr>
            <w:tcW w:w="1290" w:type="dxa"/>
            <w:hideMark/>
          </w:tcPr>
          <w:p w14:paraId="41BC8436" w14:textId="77777777" w:rsidR="00243243" w:rsidRPr="00764A92" w:rsidRDefault="00243243" w:rsidP="00000782">
            <w:pPr>
              <w:pStyle w:val="Tabletext"/>
              <w:spacing w:after="0"/>
              <w:jc w:val="right"/>
              <w:rPr>
                <w:sz w:val="20"/>
                <w:szCs w:val="20"/>
              </w:rPr>
            </w:pPr>
            <w:r w:rsidRPr="00764A92">
              <w:rPr>
                <w:sz w:val="20"/>
                <w:szCs w:val="20"/>
              </w:rPr>
              <w:t>89</w:t>
            </w:r>
          </w:p>
        </w:tc>
        <w:tc>
          <w:tcPr>
            <w:tcW w:w="1290" w:type="dxa"/>
            <w:hideMark/>
          </w:tcPr>
          <w:p w14:paraId="7828D964" w14:textId="77777777" w:rsidR="00243243" w:rsidRPr="00764A92" w:rsidRDefault="00243243" w:rsidP="00000782">
            <w:pPr>
              <w:pStyle w:val="Tabletext"/>
              <w:spacing w:after="0"/>
              <w:jc w:val="right"/>
              <w:rPr>
                <w:sz w:val="20"/>
                <w:szCs w:val="20"/>
              </w:rPr>
            </w:pPr>
            <w:r w:rsidRPr="00764A92">
              <w:rPr>
                <w:sz w:val="20"/>
                <w:szCs w:val="20"/>
              </w:rPr>
              <w:t>83</w:t>
            </w:r>
          </w:p>
        </w:tc>
        <w:tc>
          <w:tcPr>
            <w:tcW w:w="1290" w:type="dxa"/>
            <w:hideMark/>
          </w:tcPr>
          <w:p w14:paraId="5228BFFF" w14:textId="77777777" w:rsidR="00243243" w:rsidRPr="00764A92" w:rsidRDefault="00243243" w:rsidP="00000782">
            <w:pPr>
              <w:pStyle w:val="Tabletext"/>
              <w:spacing w:after="0"/>
              <w:jc w:val="right"/>
              <w:rPr>
                <w:sz w:val="20"/>
                <w:szCs w:val="20"/>
              </w:rPr>
            </w:pPr>
            <w:r w:rsidRPr="00764A92">
              <w:rPr>
                <w:sz w:val="20"/>
                <w:szCs w:val="20"/>
              </w:rPr>
              <w:t>86</w:t>
            </w:r>
          </w:p>
        </w:tc>
      </w:tr>
      <w:tr w:rsidR="00226C43" w:rsidRPr="00764A92" w14:paraId="13F4084D" w14:textId="77777777" w:rsidTr="000166CB">
        <w:trPr>
          <w:trHeight w:val="300"/>
        </w:trPr>
        <w:tc>
          <w:tcPr>
            <w:tcW w:w="4995" w:type="dxa"/>
            <w:hideMark/>
          </w:tcPr>
          <w:p w14:paraId="2AB08E1D" w14:textId="77777777" w:rsidR="00243243" w:rsidRPr="00764A92" w:rsidRDefault="00243243" w:rsidP="00000782">
            <w:pPr>
              <w:pStyle w:val="Tabletext"/>
              <w:spacing w:after="0"/>
              <w:rPr>
                <w:b/>
                <w:sz w:val="20"/>
                <w:szCs w:val="20"/>
              </w:rPr>
            </w:pPr>
            <w:r w:rsidRPr="00764A92">
              <w:rPr>
                <w:sz w:val="20"/>
                <w:szCs w:val="20"/>
              </w:rPr>
              <w:t>GEDSI mainstreaming, equity and inclusion elements</w:t>
            </w:r>
            <w:r w:rsidRPr="00764A92">
              <w:rPr>
                <w:b/>
                <w:sz w:val="20"/>
                <w:szCs w:val="20"/>
              </w:rPr>
              <w:t> </w:t>
            </w:r>
          </w:p>
        </w:tc>
        <w:tc>
          <w:tcPr>
            <w:tcW w:w="1290" w:type="dxa"/>
            <w:hideMark/>
          </w:tcPr>
          <w:p w14:paraId="5248ADB3" w14:textId="77777777" w:rsidR="00243243" w:rsidRPr="00764A92" w:rsidRDefault="00243243" w:rsidP="00000782">
            <w:pPr>
              <w:pStyle w:val="Tabletext"/>
              <w:spacing w:after="0"/>
              <w:jc w:val="right"/>
              <w:rPr>
                <w:sz w:val="20"/>
                <w:szCs w:val="20"/>
              </w:rPr>
            </w:pPr>
            <w:r w:rsidRPr="00764A92">
              <w:rPr>
                <w:sz w:val="20"/>
                <w:szCs w:val="20"/>
              </w:rPr>
              <w:t>95</w:t>
            </w:r>
          </w:p>
        </w:tc>
        <w:tc>
          <w:tcPr>
            <w:tcW w:w="1290" w:type="dxa"/>
            <w:hideMark/>
          </w:tcPr>
          <w:p w14:paraId="493C98F9" w14:textId="77777777" w:rsidR="00243243" w:rsidRPr="00764A92" w:rsidRDefault="00243243" w:rsidP="00000782">
            <w:pPr>
              <w:pStyle w:val="Tabletext"/>
              <w:spacing w:after="0"/>
              <w:jc w:val="right"/>
              <w:rPr>
                <w:sz w:val="20"/>
                <w:szCs w:val="20"/>
              </w:rPr>
            </w:pPr>
            <w:r w:rsidRPr="00764A92">
              <w:rPr>
                <w:sz w:val="20"/>
                <w:szCs w:val="20"/>
              </w:rPr>
              <w:t>83</w:t>
            </w:r>
          </w:p>
        </w:tc>
        <w:tc>
          <w:tcPr>
            <w:tcW w:w="1290" w:type="dxa"/>
            <w:hideMark/>
          </w:tcPr>
          <w:p w14:paraId="34C56658" w14:textId="77777777" w:rsidR="00243243" w:rsidRPr="00764A92" w:rsidRDefault="00243243" w:rsidP="00000782">
            <w:pPr>
              <w:pStyle w:val="Tabletext"/>
              <w:spacing w:after="0"/>
              <w:jc w:val="right"/>
              <w:rPr>
                <w:sz w:val="20"/>
                <w:szCs w:val="20"/>
              </w:rPr>
            </w:pPr>
            <w:r w:rsidRPr="00764A92">
              <w:rPr>
                <w:sz w:val="20"/>
                <w:szCs w:val="20"/>
              </w:rPr>
              <w:t>88</w:t>
            </w:r>
          </w:p>
        </w:tc>
      </w:tr>
    </w:tbl>
    <w:p w14:paraId="13EF2CA5" w14:textId="77777777" w:rsidR="00243243" w:rsidRPr="00764A92" w:rsidRDefault="00243243" w:rsidP="00000782">
      <w:pPr>
        <w:spacing w:after="0"/>
        <w:rPr>
          <w:sz w:val="22"/>
          <w:szCs w:val="22"/>
        </w:rPr>
      </w:pPr>
    </w:p>
    <w:p w14:paraId="59907208" w14:textId="77777777" w:rsidR="00243243" w:rsidRPr="00764A92" w:rsidRDefault="00243243" w:rsidP="00243243">
      <w:pPr>
        <w:rPr>
          <w:sz w:val="22"/>
          <w:szCs w:val="22"/>
        </w:rPr>
      </w:pPr>
      <w:proofErr w:type="gramStart"/>
      <w:r w:rsidRPr="00764A92">
        <w:rPr>
          <w:sz w:val="22"/>
          <w:szCs w:val="22"/>
        </w:rPr>
        <w:t>The majority of</w:t>
      </w:r>
      <w:proofErr w:type="gramEnd"/>
      <w:r w:rsidRPr="00764A92">
        <w:rPr>
          <w:sz w:val="22"/>
          <w:szCs w:val="22"/>
        </w:rPr>
        <w:t xml:space="preserve"> respondents expressed high levels of satisfaction with the stages of the </w:t>
      </w:r>
      <w:r w:rsidRPr="00764A92">
        <w:rPr>
          <w:b/>
          <w:bCs/>
          <w:sz w:val="22"/>
          <w:szCs w:val="22"/>
        </w:rPr>
        <w:t>In-Country Scholarship Program</w:t>
      </w:r>
      <w:r w:rsidRPr="00764A92">
        <w:rPr>
          <w:sz w:val="22"/>
          <w:szCs w:val="22"/>
        </w:rPr>
        <w:t xml:space="preserve">, with overall satisfaction ranging from 86% to 96% across various elements. Respondents were particularly satisfied with the user-friendliness and support services of the application process (96%). Slightly lower satisfaction was noted for the implementation of REAPs (86%) and GEDSI mainstreaming elements (88%). </w:t>
      </w:r>
    </w:p>
    <w:p w14:paraId="157390AC" w14:textId="77777777" w:rsidR="00243243" w:rsidRPr="00764A92" w:rsidRDefault="00243243" w:rsidP="00243243">
      <w:pPr>
        <w:rPr>
          <w:sz w:val="22"/>
          <w:szCs w:val="22"/>
        </w:rPr>
      </w:pPr>
      <w:r w:rsidRPr="00764A92">
        <w:rPr>
          <w:sz w:val="22"/>
          <w:szCs w:val="22"/>
        </w:rPr>
        <w:t>Female alumni respondents reported consistently lower levels of satisfaction compared to male respondents, with notable differences in areas such as course selection and enrolment (83% vs. 95%) and GEDSI mainstreaming (83% vs. 95%).</w:t>
      </w:r>
    </w:p>
    <w:p w14:paraId="0D81E251" w14:textId="77777777" w:rsidR="00243243" w:rsidRPr="00764A92" w:rsidRDefault="00243243" w:rsidP="00243243">
      <w:pPr>
        <w:pStyle w:val="Heading3nonumber"/>
        <w:rPr>
          <w:rFonts w:asciiTheme="minorHAnsi" w:hAnsiTheme="minorHAnsi"/>
          <w:color w:val="auto"/>
          <w:sz w:val="22"/>
          <w:szCs w:val="22"/>
        </w:rPr>
      </w:pPr>
      <w:r w:rsidRPr="00764A92">
        <w:rPr>
          <w:rFonts w:asciiTheme="minorHAnsi" w:hAnsiTheme="minorHAnsi"/>
          <w:color w:val="auto"/>
          <w:sz w:val="22"/>
          <w:szCs w:val="22"/>
        </w:rPr>
        <w:t xml:space="preserve">Satisfaction with elements of alumni engagement </w:t>
      </w:r>
    </w:p>
    <w:p w14:paraId="4AD3EA02" w14:textId="3A256B74" w:rsidR="00243243" w:rsidRPr="00764A92" w:rsidRDefault="00243243" w:rsidP="00243243">
      <w:pPr>
        <w:rPr>
          <w:sz w:val="22"/>
          <w:szCs w:val="22"/>
        </w:rPr>
      </w:pPr>
      <w:r w:rsidRPr="00764A92">
        <w:rPr>
          <w:sz w:val="22"/>
          <w:szCs w:val="22"/>
        </w:rPr>
        <w:t>This section presents alumni satisfaction with elements of alumni engagement related to the Australia Awards program (</w:t>
      </w:r>
      <w:r w:rsidRPr="00764A92">
        <w:rPr>
          <w:sz w:val="22"/>
          <w:szCs w:val="22"/>
          <w:highlight w:val="yellow"/>
        </w:rPr>
        <w:fldChar w:fldCharType="begin"/>
      </w:r>
      <w:r w:rsidRPr="00764A92">
        <w:rPr>
          <w:sz w:val="22"/>
          <w:szCs w:val="22"/>
        </w:rPr>
        <w:instrText xml:space="preserve"> REF _Ref185322614 \h </w:instrText>
      </w:r>
      <w:r w:rsidR="00CA2071" w:rsidRPr="00764A92">
        <w:rPr>
          <w:sz w:val="22"/>
          <w:szCs w:val="22"/>
          <w:highlight w:val="yellow"/>
        </w:rPr>
        <w:instrText xml:space="preserve"> \* MERGEFORMAT </w:instrText>
      </w:r>
      <w:r w:rsidRPr="00764A92">
        <w:rPr>
          <w:sz w:val="22"/>
          <w:szCs w:val="22"/>
          <w:highlight w:val="yellow"/>
        </w:rPr>
      </w:r>
      <w:r w:rsidRPr="00764A92">
        <w:rPr>
          <w:sz w:val="22"/>
          <w:szCs w:val="22"/>
          <w:highlight w:val="yellow"/>
        </w:rPr>
        <w:fldChar w:fldCharType="separate"/>
      </w:r>
      <w:r w:rsidRPr="00764A92">
        <w:rPr>
          <w:sz w:val="22"/>
          <w:szCs w:val="22"/>
        </w:rPr>
        <w:t xml:space="preserve">Table </w:t>
      </w:r>
      <w:r w:rsidRPr="00764A92">
        <w:rPr>
          <w:noProof/>
          <w:sz w:val="22"/>
          <w:szCs w:val="22"/>
        </w:rPr>
        <w:t>13</w:t>
      </w:r>
      <w:r w:rsidRPr="00764A92">
        <w:rPr>
          <w:sz w:val="22"/>
          <w:szCs w:val="22"/>
          <w:highlight w:val="yellow"/>
        </w:rPr>
        <w:fldChar w:fldCharType="end"/>
      </w:r>
      <w:r w:rsidRPr="00764A92">
        <w:rPr>
          <w:sz w:val="22"/>
          <w:szCs w:val="22"/>
        </w:rPr>
        <w:t>).</w:t>
      </w:r>
    </w:p>
    <w:p w14:paraId="3EC52B7D" w14:textId="182D77E6" w:rsidR="00243243" w:rsidRPr="00764A92" w:rsidRDefault="00243243" w:rsidP="00B331E1">
      <w:pPr>
        <w:pStyle w:val="Caption"/>
        <w:spacing w:after="0"/>
        <w:rPr>
          <w:color w:val="auto"/>
          <w:sz w:val="22"/>
          <w:szCs w:val="22"/>
        </w:rPr>
      </w:pPr>
      <w:bookmarkStart w:id="85" w:name="_Ref185322614"/>
      <w:bookmarkStart w:id="86" w:name="_Toc190939922"/>
      <w:r w:rsidRPr="00764A92">
        <w:rPr>
          <w:color w:val="auto"/>
          <w:sz w:val="22"/>
          <w:szCs w:val="22"/>
        </w:rPr>
        <w:t xml:space="preserve">Table </w:t>
      </w:r>
      <w:r w:rsidR="000113F9" w:rsidRPr="00764A92">
        <w:rPr>
          <w:color w:val="auto"/>
          <w:sz w:val="22"/>
          <w:szCs w:val="22"/>
        </w:rPr>
        <w:fldChar w:fldCharType="begin"/>
      </w:r>
      <w:r w:rsidR="000113F9" w:rsidRPr="00764A92">
        <w:rPr>
          <w:color w:val="auto"/>
          <w:sz w:val="22"/>
          <w:szCs w:val="22"/>
        </w:rPr>
        <w:instrText xml:space="preserve"> SEQ Table \* ARABIC </w:instrText>
      </w:r>
      <w:r w:rsidR="000113F9" w:rsidRPr="00764A92">
        <w:rPr>
          <w:color w:val="auto"/>
          <w:sz w:val="22"/>
          <w:szCs w:val="22"/>
        </w:rPr>
        <w:fldChar w:fldCharType="separate"/>
      </w:r>
      <w:r w:rsidR="003735AF" w:rsidRPr="00764A92">
        <w:rPr>
          <w:noProof/>
          <w:color w:val="auto"/>
          <w:sz w:val="22"/>
          <w:szCs w:val="22"/>
        </w:rPr>
        <w:t>23</w:t>
      </w:r>
      <w:r w:rsidR="000113F9" w:rsidRPr="00764A92">
        <w:rPr>
          <w:noProof/>
          <w:color w:val="auto"/>
          <w:sz w:val="22"/>
          <w:szCs w:val="22"/>
        </w:rPr>
        <w:fldChar w:fldCharType="end"/>
      </w:r>
      <w:bookmarkEnd w:id="85"/>
      <w:r w:rsidRPr="00764A92">
        <w:rPr>
          <w:color w:val="auto"/>
          <w:sz w:val="22"/>
          <w:szCs w:val="22"/>
        </w:rPr>
        <w:t>: Satisfaction with elements of alumni engagement</w:t>
      </w:r>
      <w:bookmarkEnd w:id="86"/>
    </w:p>
    <w:tbl>
      <w:tblPr>
        <w:tblStyle w:val="TableGrid"/>
        <w:tblW w:w="5131" w:type="pct"/>
        <w:jc w:val="center"/>
        <w:tblLook w:val="06A0" w:firstRow="1" w:lastRow="0" w:firstColumn="1" w:lastColumn="0" w:noHBand="1" w:noVBand="1"/>
      </w:tblPr>
      <w:tblGrid>
        <w:gridCol w:w="5754"/>
        <w:gridCol w:w="1004"/>
        <w:gridCol w:w="1271"/>
        <w:gridCol w:w="1223"/>
      </w:tblGrid>
      <w:tr w:rsidR="00226C43" w:rsidRPr="00764A92" w14:paraId="2ECF3098" w14:textId="77777777" w:rsidTr="00117212">
        <w:trPr>
          <w:trHeight w:val="300"/>
          <w:tblHeader/>
          <w:jc w:val="center"/>
        </w:trPr>
        <w:tc>
          <w:tcPr>
            <w:tcW w:w="3112" w:type="pct"/>
            <w:shd w:val="clear" w:color="auto" w:fill="E3DED1" w:themeFill="background2"/>
            <w:hideMark/>
          </w:tcPr>
          <w:p w14:paraId="2D222F4E" w14:textId="77777777" w:rsidR="00243243" w:rsidRPr="00764A92" w:rsidRDefault="00243243" w:rsidP="004134AD">
            <w:pPr>
              <w:pStyle w:val="Tabletext"/>
              <w:rPr>
                <w:b/>
                <w:bCs/>
                <w:sz w:val="20"/>
                <w:szCs w:val="20"/>
              </w:rPr>
            </w:pPr>
            <w:r w:rsidRPr="00764A92">
              <w:rPr>
                <w:b/>
                <w:bCs/>
                <w:sz w:val="20"/>
                <w:szCs w:val="20"/>
              </w:rPr>
              <w:t>Item </w:t>
            </w:r>
          </w:p>
        </w:tc>
        <w:tc>
          <w:tcPr>
            <w:tcW w:w="536" w:type="pct"/>
            <w:shd w:val="clear" w:color="auto" w:fill="E3DED1" w:themeFill="background2"/>
            <w:hideMark/>
          </w:tcPr>
          <w:p w14:paraId="137D9576" w14:textId="45367D9A" w:rsidR="00243243" w:rsidRPr="00764A92" w:rsidRDefault="00243243" w:rsidP="004134AD">
            <w:pPr>
              <w:pStyle w:val="Tabletext"/>
              <w:jc w:val="center"/>
              <w:rPr>
                <w:b/>
                <w:bCs/>
                <w:sz w:val="20"/>
                <w:szCs w:val="20"/>
              </w:rPr>
            </w:pPr>
            <w:r w:rsidRPr="00764A92">
              <w:rPr>
                <w:b/>
                <w:bCs/>
                <w:sz w:val="20"/>
                <w:szCs w:val="20"/>
              </w:rPr>
              <w:t>% Male satisfied</w:t>
            </w:r>
          </w:p>
        </w:tc>
        <w:tc>
          <w:tcPr>
            <w:tcW w:w="689" w:type="pct"/>
            <w:shd w:val="clear" w:color="auto" w:fill="E3DED1" w:themeFill="background2"/>
            <w:hideMark/>
          </w:tcPr>
          <w:p w14:paraId="53DB8657" w14:textId="567D6193" w:rsidR="00243243" w:rsidRPr="00764A92" w:rsidRDefault="00243243" w:rsidP="004134AD">
            <w:pPr>
              <w:pStyle w:val="Tabletext"/>
              <w:jc w:val="center"/>
              <w:rPr>
                <w:b/>
                <w:bCs/>
                <w:sz w:val="20"/>
                <w:szCs w:val="20"/>
              </w:rPr>
            </w:pPr>
            <w:r w:rsidRPr="00764A92">
              <w:rPr>
                <w:b/>
                <w:bCs/>
                <w:sz w:val="20"/>
                <w:szCs w:val="20"/>
              </w:rPr>
              <w:t>% Female satisfied</w:t>
            </w:r>
          </w:p>
        </w:tc>
        <w:tc>
          <w:tcPr>
            <w:tcW w:w="663" w:type="pct"/>
            <w:shd w:val="clear" w:color="auto" w:fill="E3DED1" w:themeFill="background2"/>
            <w:hideMark/>
          </w:tcPr>
          <w:p w14:paraId="27BD9378" w14:textId="23151C12" w:rsidR="00243243" w:rsidRPr="00764A92" w:rsidRDefault="00243243" w:rsidP="004134AD">
            <w:pPr>
              <w:pStyle w:val="Tabletext"/>
              <w:jc w:val="center"/>
              <w:rPr>
                <w:b/>
                <w:bCs/>
                <w:sz w:val="20"/>
                <w:szCs w:val="20"/>
              </w:rPr>
            </w:pPr>
            <w:r w:rsidRPr="00764A92">
              <w:rPr>
                <w:b/>
                <w:bCs/>
                <w:sz w:val="20"/>
                <w:szCs w:val="20"/>
              </w:rPr>
              <w:t>% Total satisfied</w:t>
            </w:r>
          </w:p>
        </w:tc>
      </w:tr>
      <w:tr w:rsidR="00226C43" w:rsidRPr="00764A92" w14:paraId="76ED208C" w14:textId="77777777" w:rsidTr="000166CB">
        <w:trPr>
          <w:trHeight w:val="300"/>
          <w:jc w:val="center"/>
        </w:trPr>
        <w:tc>
          <w:tcPr>
            <w:tcW w:w="3112" w:type="pct"/>
            <w:hideMark/>
          </w:tcPr>
          <w:p w14:paraId="5D88146E" w14:textId="77777777" w:rsidR="00243243" w:rsidRPr="00764A92" w:rsidRDefault="00243243" w:rsidP="006F12CD">
            <w:pPr>
              <w:pStyle w:val="Tabletext"/>
              <w:rPr>
                <w:b/>
                <w:sz w:val="20"/>
                <w:szCs w:val="20"/>
              </w:rPr>
            </w:pPr>
            <w:r w:rsidRPr="00764A92">
              <w:rPr>
                <w:sz w:val="20"/>
                <w:szCs w:val="20"/>
              </w:rPr>
              <w:t>Information about engagement activities</w:t>
            </w:r>
            <w:r w:rsidRPr="00764A92">
              <w:rPr>
                <w:b/>
                <w:sz w:val="20"/>
                <w:szCs w:val="20"/>
              </w:rPr>
              <w:t> </w:t>
            </w:r>
          </w:p>
        </w:tc>
        <w:tc>
          <w:tcPr>
            <w:tcW w:w="536" w:type="pct"/>
            <w:hideMark/>
          </w:tcPr>
          <w:p w14:paraId="4884984D" w14:textId="77777777" w:rsidR="00243243" w:rsidRPr="00764A92" w:rsidRDefault="00243243" w:rsidP="006F12CD">
            <w:pPr>
              <w:pStyle w:val="Tabletext"/>
              <w:jc w:val="right"/>
              <w:rPr>
                <w:sz w:val="20"/>
                <w:szCs w:val="20"/>
              </w:rPr>
            </w:pPr>
            <w:r w:rsidRPr="00764A92">
              <w:rPr>
                <w:sz w:val="20"/>
                <w:szCs w:val="20"/>
              </w:rPr>
              <w:t>91</w:t>
            </w:r>
          </w:p>
        </w:tc>
        <w:tc>
          <w:tcPr>
            <w:tcW w:w="689" w:type="pct"/>
            <w:hideMark/>
          </w:tcPr>
          <w:p w14:paraId="21D3A1BC" w14:textId="77777777" w:rsidR="00243243" w:rsidRPr="00764A92" w:rsidRDefault="00243243" w:rsidP="006F12CD">
            <w:pPr>
              <w:pStyle w:val="Tabletext"/>
              <w:jc w:val="right"/>
              <w:rPr>
                <w:sz w:val="20"/>
                <w:szCs w:val="20"/>
              </w:rPr>
            </w:pPr>
            <w:r w:rsidRPr="00764A92">
              <w:rPr>
                <w:sz w:val="20"/>
                <w:szCs w:val="20"/>
              </w:rPr>
              <w:t>95</w:t>
            </w:r>
          </w:p>
        </w:tc>
        <w:tc>
          <w:tcPr>
            <w:tcW w:w="663" w:type="pct"/>
            <w:hideMark/>
          </w:tcPr>
          <w:p w14:paraId="4EF06204" w14:textId="77777777" w:rsidR="00243243" w:rsidRPr="00764A92" w:rsidRDefault="00243243" w:rsidP="006F12CD">
            <w:pPr>
              <w:pStyle w:val="Tabletext"/>
              <w:jc w:val="right"/>
              <w:rPr>
                <w:sz w:val="20"/>
                <w:szCs w:val="20"/>
              </w:rPr>
            </w:pPr>
            <w:r w:rsidRPr="00764A92">
              <w:rPr>
                <w:sz w:val="20"/>
                <w:szCs w:val="20"/>
              </w:rPr>
              <w:t>93</w:t>
            </w:r>
          </w:p>
        </w:tc>
      </w:tr>
      <w:tr w:rsidR="00226C43" w:rsidRPr="00764A92" w14:paraId="55F64AE4" w14:textId="77777777" w:rsidTr="000166CB">
        <w:trPr>
          <w:trHeight w:val="300"/>
          <w:jc w:val="center"/>
        </w:trPr>
        <w:tc>
          <w:tcPr>
            <w:tcW w:w="3112" w:type="pct"/>
            <w:hideMark/>
          </w:tcPr>
          <w:p w14:paraId="020686AF" w14:textId="77777777" w:rsidR="00243243" w:rsidRPr="00764A92" w:rsidRDefault="00243243" w:rsidP="006F12CD">
            <w:pPr>
              <w:pStyle w:val="Tabletext"/>
              <w:rPr>
                <w:b/>
                <w:sz w:val="20"/>
                <w:szCs w:val="20"/>
              </w:rPr>
            </w:pPr>
            <w:r w:rsidRPr="00764A92">
              <w:rPr>
                <w:sz w:val="20"/>
                <w:szCs w:val="20"/>
              </w:rPr>
              <w:t>The range of alumni engagement opportunities available to alumni</w:t>
            </w:r>
            <w:r w:rsidRPr="00764A92">
              <w:rPr>
                <w:b/>
                <w:sz w:val="20"/>
                <w:szCs w:val="20"/>
              </w:rPr>
              <w:t> </w:t>
            </w:r>
          </w:p>
        </w:tc>
        <w:tc>
          <w:tcPr>
            <w:tcW w:w="536" w:type="pct"/>
            <w:hideMark/>
          </w:tcPr>
          <w:p w14:paraId="4F69A9BC" w14:textId="77777777" w:rsidR="00243243" w:rsidRPr="00764A92" w:rsidRDefault="00243243" w:rsidP="006F12CD">
            <w:pPr>
              <w:pStyle w:val="Tabletext"/>
              <w:jc w:val="right"/>
              <w:rPr>
                <w:sz w:val="20"/>
                <w:szCs w:val="20"/>
              </w:rPr>
            </w:pPr>
            <w:r w:rsidRPr="00764A92">
              <w:rPr>
                <w:sz w:val="20"/>
                <w:szCs w:val="20"/>
              </w:rPr>
              <w:t>87</w:t>
            </w:r>
          </w:p>
        </w:tc>
        <w:tc>
          <w:tcPr>
            <w:tcW w:w="689" w:type="pct"/>
            <w:hideMark/>
          </w:tcPr>
          <w:p w14:paraId="23A17A0D" w14:textId="77777777" w:rsidR="00243243" w:rsidRPr="00764A92" w:rsidRDefault="00243243" w:rsidP="006F12CD">
            <w:pPr>
              <w:pStyle w:val="Tabletext"/>
              <w:jc w:val="right"/>
              <w:rPr>
                <w:sz w:val="20"/>
                <w:szCs w:val="20"/>
              </w:rPr>
            </w:pPr>
            <w:r w:rsidRPr="00764A92">
              <w:rPr>
                <w:sz w:val="20"/>
                <w:szCs w:val="20"/>
              </w:rPr>
              <w:t>94</w:t>
            </w:r>
          </w:p>
        </w:tc>
        <w:tc>
          <w:tcPr>
            <w:tcW w:w="663" w:type="pct"/>
            <w:hideMark/>
          </w:tcPr>
          <w:p w14:paraId="04D40CA8" w14:textId="77777777" w:rsidR="00243243" w:rsidRPr="00764A92" w:rsidRDefault="00243243" w:rsidP="006F12CD">
            <w:pPr>
              <w:pStyle w:val="Tabletext"/>
              <w:jc w:val="right"/>
              <w:rPr>
                <w:sz w:val="20"/>
                <w:szCs w:val="20"/>
              </w:rPr>
            </w:pPr>
            <w:r w:rsidRPr="00764A92">
              <w:rPr>
                <w:sz w:val="20"/>
                <w:szCs w:val="20"/>
              </w:rPr>
              <w:t>91</w:t>
            </w:r>
          </w:p>
        </w:tc>
      </w:tr>
      <w:tr w:rsidR="00226C43" w:rsidRPr="00764A92" w14:paraId="35CFB666" w14:textId="77777777" w:rsidTr="000166CB">
        <w:trPr>
          <w:trHeight w:val="300"/>
          <w:jc w:val="center"/>
        </w:trPr>
        <w:tc>
          <w:tcPr>
            <w:tcW w:w="3112" w:type="pct"/>
            <w:hideMark/>
          </w:tcPr>
          <w:p w14:paraId="64A40011" w14:textId="77777777" w:rsidR="00243243" w:rsidRPr="00764A92" w:rsidRDefault="00243243" w:rsidP="006F12CD">
            <w:pPr>
              <w:pStyle w:val="Tabletext"/>
              <w:rPr>
                <w:b/>
                <w:sz w:val="20"/>
                <w:szCs w:val="20"/>
              </w:rPr>
            </w:pPr>
            <w:r w:rsidRPr="00764A92">
              <w:rPr>
                <w:sz w:val="20"/>
                <w:szCs w:val="20"/>
              </w:rPr>
              <w:t>The organisation and delivery of alumni engagement activities</w:t>
            </w:r>
            <w:r w:rsidRPr="00764A92">
              <w:rPr>
                <w:b/>
                <w:sz w:val="20"/>
                <w:szCs w:val="20"/>
              </w:rPr>
              <w:t> </w:t>
            </w:r>
          </w:p>
        </w:tc>
        <w:tc>
          <w:tcPr>
            <w:tcW w:w="536" w:type="pct"/>
            <w:hideMark/>
          </w:tcPr>
          <w:p w14:paraId="02A373F5" w14:textId="77777777" w:rsidR="00243243" w:rsidRPr="00764A92" w:rsidRDefault="00243243" w:rsidP="006F12CD">
            <w:pPr>
              <w:pStyle w:val="Tabletext"/>
              <w:jc w:val="right"/>
              <w:rPr>
                <w:sz w:val="20"/>
                <w:szCs w:val="20"/>
              </w:rPr>
            </w:pPr>
            <w:r w:rsidRPr="00764A92">
              <w:rPr>
                <w:sz w:val="20"/>
                <w:szCs w:val="20"/>
              </w:rPr>
              <w:t>89</w:t>
            </w:r>
          </w:p>
        </w:tc>
        <w:tc>
          <w:tcPr>
            <w:tcW w:w="689" w:type="pct"/>
            <w:hideMark/>
          </w:tcPr>
          <w:p w14:paraId="53A42112" w14:textId="77777777" w:rsidR="00243243" w:rsidRPr="00764A92" w:rsidRDefault="00243243" w:rsidP="006F12CD">
            <w:pPr>
              <w:pStyle w:val="Tabletext"/>
              <w:jc w:val="right"/>
              <w:rPr>
                <w:sz w:val="20"/>
                <w:szCs w:val="20"/>
              </w:rPr>
            </w:pPr>
            <w:r w:rsidRPr="00764A92">
              <w:rPr>
                <w:sz w:val="20"/>
                <w:szCs w:val="20"/>
              </w:rPr>
              <w:t>95</w:t>
            </w:r>
          </w:p>
        </w:tc>
        <w:tc>
          <w:tcPr>
            <w:tcW w:w="663" w:type="pct"/>
            <w:hideMark/>
          </w:tcPr>
          <w:p w14:paraId="5A9589AE" w14:textId="77777777" w:rsidR="00243243" w:rsidRPr="00764A92" w:rsidRDefault="00243243" w:rsidP="006F12CD">
            <w:pPr>
              <w:pStyle w:val="Tabletext"/>
              <w:jc w:val="right"/>
              <w:rPr>
                <w:sz w:val="20"/>
                <w:szCs w:val="20"/>
              </w:rPr>
            </w:pPr>
            <w:r w:rsidRPr="00764A92">
              <w:rPr>
                <w:sz w:val="20"/>
                <w:szCs w:val="20"/>
              </w:rPr>
              <w:t>92</w:t>
            </w:r>
          </w:p>
        </w:tc>
      </w:tr>
      <w:tr w:rsidR="00226C43" w:rsidRPr="00764A92" w14:paraId="5CACF4F7" w14:textId="77777777" w:rsidTr="000166CB">
        <w:trPr>
          <w:trHeight w:val="300"/>
          <w:jc w:val="center"/>
        </w:trPr>
        <w:tc>
          <w:tcPr>
            <w:tcW w:w="3112" w:type="pct"/>
            <w:hideMark/>
          </w:tcPr>
          <w:p w14:paraId="7C9526E4" w14:textId="77777777" w:rsidR="00243243" w:rsidRPr="00764A92" w:rsidRDefault="00243243" w:rsidP="006F12CD">
            <w:pPr>
              <w:pStyle w:val="Tabletext"/>
              <w:rPr>
                <w:b/>
                <w:sz w:val="20"/>
                <w:szCs w:val="20"/>
              </w:rPr>
            </w:pPr>
            <w:r w:rsidRPr="00764A92">
              <w:rPr>
                <w:sz w:val="20"/>
                <w:szCs w:val="20"/>
              </w:rPr>
              <w:t>The usefulness of alumni engagement activities for your career</w:t>
            </w:r>
            <w:r w:rsidRPr="00764A92">
              <w:rPr>
                <w:b/>
                <w:sz w:val="20"/>
                <w:szCs w:val="20"/>
              </w:rPr>
              <w:t> </w:t>
            </w:r>
          </w:p>
        </w:tc>
        <w:tc>
          <w:tcPr>
            <w:tcW w:w="536" w:type="pct"/>
            <w:hideMark/>
          </w:tcPr>
          <w:p w14:paraId="0101EFBE" w14:textId="77777777" w:rsidR="00243243" w:rsidRPr="00764A92" w:rsidRDefault="00243243" w:rsidP="006F12CD">
            <w:pPr>
              <w:pStyle w:val="Tabletext"/>
              <w:jc w:val="right"/>
              <w:rPr>
                <w:sz w:val="20"/>
                <w:szCs w:val="20"/>
              </w:rPr>
            </w:pPr>
            <w:r w:rsidRPr="00764A92">
              <w:rPr>
                <w:sz w:val="20"/>
                <w:szCs w:val="20"/>
              </w:rPr>
              <w:t>87</w:t>
            </w:r>
          </w:p>
        </w:tc>
        <w:tc>
          <w:tcPr>
            <w:tcW w:w="689" w:type="pct"/>
            <w:hideMark/>
          </w:tcPr>
          <w:p w14:paraId="425709B1" w14:textId="77777777" w:rsidR="00243243" w:rsidRPr="00764A92" w:rsidRDefault="00243243" w:rsidP="006F12CD">
            <w:pPr>
              <w:pStyle w:val="Tabletext"/>
              <w:jc w:val="right"/>
              <w:rPr>
                <w:sz w:val="20"/>
                <w:szCs w:val="20"/>
              </w:rPr>
            </w:pPr>
            <w:r w:rsidRPr="00764A92">
              <w:rPr>
                <w:sz w:val="20"/>
                <w:szCs w:val="20"/>
              </w:rPr>
              <w:t>95</w:t>
            </w:r>
          </w:p>
        </w:tc>
        <w:tc>
          <w:tcPr>
            <w:tcW w:w="663" w:type="pct"/>
            <w:hideMark/>
          </w:tcPr>
          <w:p w14:paraId="201B9196" w14:textId="77777777" w:rsidR="00243243" w:rsidRPr="00764A92" w:rsidRDefault="00243243" w:rsidP="006F12CD">
            <w:pPr>
              <w:pStyle w:val="Tabletext"/>
              <w:jc w:val="right"/>
              <w:rPr>
                <w:sz w:val="20"/>
                <w:szCs w:val="20"/>
              </w:rPr>
            </w:pPr>
            <w:r w:rsidRPr="00764A92">
              <w:rPr>
                <w:sz w:val="20"/>
                <w:szCs w:val="20"/>
              </w:rPr>
              <w:t>92</w:t>
            </w:r>
          </w:p>
        </w:tc>
      </w:tr>
      <w:tr w:rsidR="00226C43" w:rsidRPr="00764A92" w14:paraId="095D7D23" w14:textId="77777777" w:rsidTr="000166CB">
        <w:trPr>
          <w:trHeight w:val="300"/>
          <w:jc w:val="center"/>
        </w:trPr>
        <w:tc>
          <w:tcPr>
            <w:tcW w:w="3112" w:type="pct"/>
            <w:hideMark/>
          </w:tcPr>
          <w:p w14:paraId="723EA0E3" w14:textId="77777777" w:rsidR="00243243" w:rsidRPr="00764A92" w:rsidRDefault="00243243" w:rsidP="006F12CD">
            <w:pPr>
              <w:pStyle w:val="Tabletext"/>
              <w:rPr>
                <w:b/>
                <w:sz w:val="20"/>
                <w:szCs w:val="20"/>
              </w:rPr>
            </w:pPr>
            <w:r w:rsidRPr="00764A92">
              <w:rPr>
                <w:sz w:val="20"/>
                <w:szCs w:val="20"/>
              </w:rPr>
              <w:t>The usefulness of the alumni engagement to your organisation</w:t>
            </w:r>
            <w:r w:rsidRPr="00764A92">
              <w:rPr>
                <w:b/>
                <w:sz w:val="20"/>
                <w:szCs w:val="20"/>
              </w:rPr>
              <w:t> </w:t>
            </w:r>
          </w:p>
        </w:tc>
        <w:tc>
          <w:tcPr>
            <w:tcW w:w="536" w:type="pct"/>
            <w:hideMark/>
          </w:tcPr>
          <w:p w14:paraId="67AF19A7" w14:textId="77777777" w:rsidR="00243243" w:rsidRPr="00764A92" w:rsidRDefault="00243243" w:rsidP="006F12CD">
            <w:pPr>
              <w:pStyle w:val="Tabletext"/>
              <w:jc w:val="right"/>
              <w:rPr>
                <w:sz w:val="20"/>
                <w:szCs w:val="20"/>
              </w:rPr>
            </w:pPr>
            <w:r w:rsidRPr="00764A92">
              <w:rPr>
                <w:sz w:val="20"/>
                <w:szCs w:val="20"/>
              </w:rPr>
              <w:t>89</w:t>
            </w:r>
          </w:p>
        </w:tc>
        <w:tc>
          <w:tcPr>
            <w:tcW w:w="689" w:type="pct"/>
            <w:hideMark/>
          </w:tcPr>
          <w:p w14:paraId="4377F8CE" w14:textId="77777777" w:rsidR="00243243" w:rsidRPr="00764A92" w:rsidRDefault="00243243" w:rsidP="006F12CD">
            <w:pPr>
              <w:pStyle w:val="Tabletext"/>
              <w:jc w:val="right"/>
              <w:rPr>
                <w:sz w:val="20"/>
                <w:szCs w:val="20"/>
              </w:rPr>
            </w:pPr>
            <w:r w:rsidRPr="00764A92">
              <w:rPr>
                <w:sz w:val="20"/>
                <w:szCs w:val="20"/>
              </w:rPr>
              <w:t>95</w:t>
            </w:r>
          </w:p>
        </w:tc>
        <w:tc>
          <w:tcPr>
            <w:tcW w:w="663" w:type="pct"/>
            <w:hideMark/>
          </w:tcPr>
          <w:p w14:paraId="6C90C835" w14:textId="77777777" w:rsidR="00243243" w:rsidRPr="00764A92" w:rsidRDefault="00243243" w:rsidP="006F12CD">
            <w:pPr>
              <w:pStyle w:val="Tabletext"/>
              <w:jc w:val="right"/>
              <w:rPr>
                <w:sz w:val="20"/>
                <w:szCs w:val="20"/>
              </w:rPr>
            </w:pPr>
            <w:r w:rsidRPr="00764A92">
              <w:rPr>
                <w:sz w:val="20"/>
                <w:szCs w:val="20"/>
              </w:rPr>
              <w:t>92</w:t>
            </w:r>
          </w:p>
        </w:tc>
      </w:tr>
      <w:tr w:rsidR="00226C43" w:rsidRPr="00764A92" w14:paraId="67DCFF0E" w14:textId="77777777" w:rsidTr="000166CB">
        <w:trPr>
          <w:trHeight w:val="300"/>
          <w:jc w:val="center"/>
        </w:trPr>
        <w:tc>
          <w:tcPr>
            <w:tcW w:w="3112" w:type="pct"/>
            <w:hideMark/>
          </w:tcPr>
          <w:p w14:paraId="62966022" w14:textId="77777777" w:rsidR="00243243" w:rsidRPr="00764A92" w:rsidRDefault="00243243" w:rsidP="006F12CD">
            <w:pPr>
              <w:pStyle w:val="Tabletext"/>
              <w:rPr>
                <w:b/>
                <w:sz w:val="20"/>
                <w:szCs w:val="20"/>
              </w:rPr>
            </w:pPr>
            <w:r w:rsidRPr="00764A92">
              <w:rPr>
                <w:sz w:val="20"/>
                <w:szCs w:val="20"/>
              </w:rPr>
              <w:t>The usefulness of the Alumni Grant Scheme</w:t>
            </w:r>
            <w:r w:rsidRPr="00764A92">
              <w:rPr>
                <w:b/>
                <w:sz w:val="20"/>
                <w:szCs w:val="20"/>
              </w:rPr>
              <w:t> </w:t>
            </w:r>
          </w:p>
        </w:tc>
        <w:tc>
          <w:tcPr>
            <w:tcW w:w="536" w:type="pct"/>
            <w:hideMark/>
          </w:tcPr>
          <w:p w14:paraId="3DF2EFF0" w14:textId="77777777" w:rsidR="00243243" w:rsidRPr="00764A92" w:rsidRDefault="00243243" w:rsidP="006F12CD">
            <w:pPr>
              <w:pStyle w:val="Tabletext"/>
              <w:jc w:val="right"/>
              <w:rPr>
                <w:sz w:val="20"/>
                <w:szCs w:val="20"/>
              </w:rPr>
            </w:pPr>
            <w:r w:rsidRPr="00764A92">
              <w:rPr>
                <w:sz w:val="20"/>
                <w:szCs w:val="20"/>
              </w:rPr>
              <w:t>92</w:t>
            </w:r>
          </w:p>
        </w:tc>
        <w:tc>
          <w:tcPr>
            <w:tcW w:w="689" w:type="pct"/>
            <w:hideMark/>
          </w:tcPr>
          <w:p w14:paraId="2BEBA022" w14:textId="77777777" w:rsidR="00243243" w:rsidRPr="00764A92" w:rsidRDefault="00243243" w:rsidP="006F12CD">
            <w:pPr>
              <w:pStyle w:val="Tabletext"/>
              <w:jc w:val="right"/>
              <w:rPr>
                <w:sz w:val="20"/>
                <w:szCs w:val="20"/>
              </w:rPr>
            </w:pPr>
            <w:r w:rsidRPr="00764A92">
              <w:rPr>
                <w:sz w:val="20"/>
                <w:szCs w:val="20"/>
              </w:rPr>
              <w:t>96</w:t>
            </w:r>
          </w:p>
        </w:tc>
        <w:tc>
          <w:tcPr>
            <w:tcW w:w="663" w:type="pct"/>
            <w:hideMark/>
          </w:tcPr>
          <w:p w14:paraId="096AF8F2" w14:textId="77777777" w:rsidR="00243243" w:rsidRPr="00764A92" w:rsidRDefault="00243243" w:rsidP="006F12CD">
            <w:pPr>
              <w:pStyle w:val="Tabletext"/>
              <w:jc w:val="right"/>
              <w:rPr>
                <w:sz w:val="20"/>
                <w:szCs w:val="20"/>
              </w:rPr>
            </w:pPr>
            <w:r w:rsidRPr="00764A92">
              <w:rPr>
                <w:sz w:val="20"/>
                <w:szCs w:val="20"/>
              </w:rPr>
              <w:t>94</w:t>
            </w:r>
          </w:p>
        </w:tc>
      </w:tr>
    </w:tbl>
    <w:p w14:paraId="24319D32" w14:textId="77777777" w:rsidR="00243243" w:rsidRPr="00764A92" w:rsidRDefault="00243243" w:rsidP="00000782">
      <w:pPr>
        <w:spacing w:after="0"/>
        <w:rPr>
          <w:sz w:val="22"/>
          <w:szCs w:val="22"/>
        </w:rPr>
      </w:pPr>
    </w:p>
    <w:p w14:paraId="5E7F6681" w14:textId="7EDD1025" w:rsidR="00887F11" w:rsidRPr="00764A92" w:rsidRDefault="00243243" w:rsidP="00B331E1">
      <w:pPr>
        <w:rPr>
          <w:sz w:val="22"/>
          <w:szCs w:val="22"/>
        </w:rPr>
        <w:sectPr w:rsidR="00887F11" w:rsidRPr="00764A92" w:rsidSect="000E1C28">
          <w:headerReference w:type="first" r:id="rId30"/>
          <w:footerReference w:type="first" r:id="rId31"/>
          <w:pgSz w:w="11906" w:h="16838"/>
          <w:pgMar w:top="1440" w:right="1440" w:bottom="1440" w:left="1440" w:header="567" w:footer="567" w:gutter="0"/>
          <w:cols w:space="708"/>
          <w:titlePg/>
          <w:docGrid w:linePitch="360"/>
        </w:sectPr>
      </w:pPr>
      <w:r w:rsidRPr="00764A92">
        <w:rPr>
          <w:sz w:val="22"/>
          <w:szCs w:val="22"/>
        </w:rPr>
        <w:t xml:space="preserve">Respondents reported high levels of satisfaction with various elements of </w:t>
      </w:r>
      <w:r w:rsidRPr="00764A92">
        <w:rPr>
          <w:b/>
          <w:bCs/>
          <w:sz w:val="22"/>
          <w:szCs w:val="22"/>
        </w:rPr>
        <w:t>alumni engagement</w:t>
      </w:r>
      <w:r w:rsidRPr="00764A92">
        <w:rPr>
          <w:sz w:val="22"/>
          <w:szCs w:val="22"/>
        </w:rPr>
        <w:t>, with overall satisfaction ranging from 91% to 94%. The Alumni Grant Scheme received the highest satisfaction (94%), followed by the information about engagement activities (93%). Female respondents consistently reported slightly higher satisfaction across all elements compared to male respondents, with notable differences in the range of engagement opportunities (94% vs. 87%) and the usefulness of activities for their career (95% vs. 87%).</w:t>
      </w:r>
    </w:p>
    <w:p w14:paraId="5A83CCFE" w14:textId="07CDA24C" w:rsidR="00887F11" w:rsidRPr="00226C43" w:rsidRDefault="00887F11" w:rsidP="005A698C">
      <w:pPr>
        <w:pStyle w:val="Appendices"/>
        <w:rPr>
          <w:rFonts w:asciiTheme="minorHAnsi" w:hAnsiTheme="minorHAnsi"/>
          <w:color w:val="auto"/>
        </w:rPr>
      </w:pPr>
      <w:bookmarkStart w:id="87" w:name="_Toc190195435"/>
      <w:bookmarkStart w:id="88" w:name="_Toc190248332"/>
      <w:r w:rsidRPr="00226C43">
        <w:rPr>
          <w:rFonts w:asciiTheme="minorHAnsi" w:hAnsiTheme="minorHAnsi"/>
          <w:color w:val="auto"/>
        </w:rPr>
        <w:lastRenderedPageBreak/>
        <w:t>Emerging Priorit</w:t>
      </w:r>
      <w:r w:rsidR="003D42C2" w:rsidRPr="00226C43">
        <w:rPr>
          <w:rFonts w:asciiTheme="minorHAnsi" w:hAnsiTheme="minorHAnsi"/>
          <w:color w:val="auto"/>
        </w:rPr>
        <w:t>y</w:t>
      </w:r>
      <w:r w:rsidRPr="00226C43">
        <w:rPr>
          <w:rFonts w:asciiTheme="minorHAnsi" w:hAnsiTheme="minorHAnsi"/>
          <w:color w:val="auto"/>
        </w:rPr>
        <w:t xml:space="preserve"> requests</w:t>
      </w:r>
      <w:bookmarkEnd w:id="87"/>
      <w:bookmarkEnd w:id="88"/>
      <w:r w:rsidRPr="00226C43">
        <w:rPr>
          <w:rFonts w:asciiTheme="minorHAnsi" w:hAnsiTheme="minorHAnsi"/>
          <w:color w:val="auto"/>
        </w:rPr>
        <w:t xml:space="preserve"> </w:t>
      </w:r>
    </w:p>
    <w:p w14:paraId="44026773" w14:textId="60292287" w:rsidR="003D42C2" w:rsidRPr="00226C43" w:rsidRDefault="003D42C2" w:rsidP="008300EB">
      <w:pPr>
        <w:pStyle w:val="Caption"/>
        <w:keepNext w:val="0"/>
        <w:spacing w:after="0"/>
        <w:rPr>
          <w:color w:val="auto"/>
        </w:rPr>
      </w:pPr>
      <w:bookmarkStart w:id="89" w:name="_Toc190939923"/>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003735AF" w:rsidRPr="00226C43">
        <w:rPr>
          <w:noProof/>
          <w:color w:val="auto"/>
        </w:rPr>
        <w:t>24</w:t>
      </w:r>
      <w:r w:rsidR="000113F9" w:rsidRPr="00226C43">
        <w:rPr>
          <w:noProof/>
          <w:color w:val="auto"/>
        </w:rPr>
        <w:fldChar w:fldCharType="end"/>
      </w:r>
      <w:r w:rsidRPr="00226C43">
        <w:rPr>
          <w:color w:val="auto"/>
        </w:rPr>
        <w:t>: Ad hoc / Emerging Priorities requests from the Embassy</w:t>
      </w:r>
      <w:bookmarkEnd w:id="89"/>
      <w:r w:rsidRPr="00226C43">
        <w:rPr>
          <w:color w:val="auto"/>
        </w:rPr>
        <w:t xml:space="preserve"> </w:t>
      </w:r>
    </w:p>
    <w:tbl>
      <w:tblPr>
        <w:tblStyle w:val="GridTable4"/>
        <w:tblW w:w="5053" w:type="pct"/>
        <w:tblInd w:w="-147" w:type="dxa"/>
        <w:tblLook w:val="06A0" w:firstRow="1" w:lastRow="0" w:firstColumn="1" w:lastColumn="0" w:noHBand="1" w:noVBand="1"/>
      </w:tblPr>
      <w:tblGrid>
        <w:gridCol w:w="3261"/>
        <w:gridCol w:w="2845"/>
        <w:gridCol w:w="3479"/>
        <w:gridCol w:w="4511"/>
      </w:tblGrid>
      <w:tr w:rsidR="00226C43" w:rsidRPr="00226C43" w14:paraId="4770DAF5" w14:textId="77777777" w:rsidTr="00764A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7" w:type="pct"/>
          </w:tcPr>
          <w:p w14:paraId="0D5C06A4" w14:textId="77777777" w:rsidR="00887F11" w:rsidRPr="00D81DC4" w:rsidRDefault="00887F11" w:rsidP="00B331E1">
            <w:pPr>
              <w:spacing w:after="0"/>
              <w:jc w:val="center"/>
              <w:rPr>
                <w:rFonts w:cs="Calibri"/>
                <w:color w:val="auto"/>
                <w:sz w:val="20"/>
                <w:szCs w:val="20"/>
              </w:rPr>
            </w:pPr>
            <w:r w:rsidRPr="00D81DC4">
              <w:rPr>
                <w:rFonts w:cs="Calibri"/>
                <w:color w:val="auto"/>
                <w:sz w:val="20"/>
                <w:szCs w:val="20"/>
              </w:rPr>
              <w:t>Name of Activity</w:t>
            </w:r>
          </w:p>
        </w:tc>
        <w:tc>
          <w:tcPr>
            <w:tcW w:w="1009" w:type="pct"/>
          </w:tcPr>
          <w:p w14:paraId="1E77774E" w14:textId="77777777" w:rsidR="00887F11" w:rsidRPr="00D81DC4" w:rsidRDefault="00887F11" w:rsidP="00B331E1">
            <w:pPr>
              <w:spacing w:after="0"/>
              <w:jc w:val="center"/>
              <w:cnfStyle w:val="100000000000" w:firstRow="1" w:lastRow="0" w:firstColumn="0" w:lastColumn="0" w:oddVBand="0" w:evenVBand="0" w:oddHBand="0" w:evenHBand="0" w:firstRowFirstColumn="0" w:firstRowLastColumn="0" w:lastRowFirstColumn="0" w:lastRowLastColumn="0"/>
              <w:rPr>
                <w:rFonts w:cs="Calibri"/>
                <w:b w:val="0"/>
                <w:color w:val="auto"/>
                <w:sz w:val="20"/>
                <w:szCs w:val="20"/>
              </w:rPr>
            </w:pPr>
            <w:r w:rsidRPr="00D81DC4">
              <w:rPr>
                <w:rFonts w:cs="Calibri"/>
                <w:color w:val="auto"/>
                <w:sz w:val="20"/>
                <w:szCs w:val="20"/>
              </w:rPr>
              <w:t># of people involved</w:t>
            </w:r>
          </w:p>
        </w:tc>
        <w:tc>
          <w:tcPr>
            <w:tcW w:w="1234" w:type="pct"/>
          </w:tcPr>
          <w:p w14:paraId="6828A7E0" w14:textId="77777777" w:rsidR="00887F11" w:rsidRPr="00D81DC4" w:rsidRDefault="00887F11" w:rsidP="00B331E1">
            <w:pPr>
              <w:spacing w:after="0"/>
              <w:jc w:val="center"/>
              <w:cnfStyle w:val="100000000000" w:firstRow="1" w:lastRow="0" w:firstColumn="0" w:lastColumn="0" w:oddVBand="0" w:evenVBand="0" w:oddHBand="0" w:evenHBand="0" w:firstRowFirstColumn="0" w:firstRowLastColumn="0" w:lastRowFirstColumn="0" w:lastRowLastColumn="0"/>
              <w:rPr>
                <w:rFonts w:cs="Calibri"/>
                <w:b w:val="0"/>
                <w:color w:val="auto"/>
                <w:sz w:val="20"/>
                <w:szCs w:val="20"/>
              </w:rPr>
            </w:pPr>
            <w:r w:rsidRPr="00D81DC4">
              <w:rPr>
                <w:rFonts w:cs="Calibri"/>
                <w:color w:val="auto"/>
                <w:sz w:val="20"/>
                <w:szCs w:val="20"/>
              </w:rPr>
              <w:t>Level of Effort</w:t>
            </w:r>
            <w:r w:rsidRPr="00D81DC4">
              <w:rPr>
                <w:rFonts w:cs="Calibri"/>
                <w:b w:val="0"/>
                <w:color w:val="auto"/>
                <w:sz w:val="20"/>
                <w:szCs w:val="20"/>
              </w:rPr>
              <w:t xml:space="preserve"> </w:t>
            </w:r>
            <w:r w:rsidRPr="00D81DC4">
              <w:rPr>
                <w:rFonts w:cs="Calibri"/>
                <w:color w:val="auto"/>
                <w:sz w:val="20"/>
                <w:szCs w:val="20"/>
              </w:rPr>
              <w:t>(estimated person days)</w:t>
            </w:r>
          </w:p>
        </w:tc>
        <w:tc>
          <w:tcPr>
            <w:tcW w:w="1600" w:type="pct"/>
          </w:tcPr>
          <w:p w14:paraId="7ABD3395" w14:textId="77777777" w:rsidR="00887F11" w:rsidRPr="00D81DC4" w:rsidRDefault="00887F11" w:rsidP="00B331E1">
            <w:pPr>
              <w:spacing w:after="0"/>
              <w:jc w:val="center"/>
              <w:cnfStyle w:val="100000000000" w:firstRow="1" w:lastRow="0" w:firstColumn="0" w:lastColumn="0" w:oddVBand="0" w:evenVBand="0" w:oddHBand="0" w:evenHBand="0" w:firstRowFirstColumn="0" w:firstRowLastColumn="0" w:lastRowFirstColumn="0" w:lastRowLastColumn="0"/>
              <w:rPr>
                <w:rFonts w:cs="Calibri"/>
                <w:b w:val="0"/>
                <w:color w:val="auto"/>
                <w:sz w:val="20"/>
                <w:szCs w:val="20"/>
              </w:rPr>
            </w:pPr>
            <w:r w:rsidRPr="00D81DC4">
              <w:rPr>
                <w:rFonts w:cs="Calibri"/>
                <w:color w:val="auto"/>
                <w:sz w:val="20"/>
                <w:szCs w:val="20"/>
              </w:rPr>
              <w:t>Specific tasks</w:t>
            </w:r>
          </w:p>
        </w:tc>
      </w:tr>
      <w:tr w:rsidR="00226C43" w:rsidRPr="00226C43" w14:paraId="2E89C527" w14:textId="77777777" w:rsidTr="00764A92">
        <w:tc>
          <w:tcPr>
            <w:cnfStyle w:val="001000000000" w:firstRow="0" w:lastRow="0" w:firstColumn="1" w:lastColumn="0" w:oddVBand="0" w:evenVBand="0" w:oddHBand="0" w:evenHBand="0" w:firstRowFirstColumn="0" w:firstRowLastColumn="0" w:lastRowFirstColumn="0" w:lastRowLastColumn="0"/>
            <w:tcW w:w="1157" w:type="pct"/>
          </w:tcPr>
          <w:p w14:paraId="4F8CBE59" w14:textId="77777777" w:rsidR="00887F11" w:rsidRPr="00D81DC4" w:rsidRDefault="00887F11" w:rsidP="00B331E1">
            <w:pPr>
              <w:spacing w:after="0"/>
              <w:rPr>
                <w:rFonts w:cs="Calibri"/>
                <w:b w:val="0"/>
                <w:sz w:val="20"/>
                <w:szCs w:val="20"/>
              </w:rPr>
            </w:pPr>
            <w:r w:rsidRPr="00D81DC4">
              <w:rPr>
                <w:rFonts w:cs="Calibri"/>
                <w:b w:val="0"/>
                <w:sz w:val="20"/>
                <w:szCs w:val="20"/>
              </w:rPr>
              <w:t>Law of the Sea training - Batch 1 on April 16-20, 2018; Batch 2 on 13-17 August 2018; and Batch 3 on 1-5 April 2019.</w:t>
            </w:r>
            <w:r w:rsidRPr="00D81DC4">
              <w:rPr>
                <w:rFonts w:cs="Calibri"/>
                <w:b w:val="0"/>
                <w:sz w:val="20"/>
                <w:szCs w:val="20"/>
              </w:rPr>
              <w:br/>
            </w:r>
            <w:r w:rsidRPr="00D81DC4">
              <w:rPr>
                <w:rFonts w:cs="Calibri"/>
                <w:b w:val="0"/>
                <w:sz w:val="20"/>
                <w:szCs w:val="20"/>
              </w:rPr>
              <w:br/>
              <w:t>Name of LSP: Australian National Centre for Ocean Resources and Security (ANCORS), University of Wollongong.</w:t>
            </w:r>
          </w:p>
          <w:p w14:paraId="656F31E6" w14:textId="77777777" w:rsidR="00887F11" w:rsidRPr="00D81DC4" w:rsidRDefault="00887F11" w:rsidP="00B331E1">
            <w:pPr>
              <w:spacing w:after="0"/>
              <w:rPr>
                <w:rFonts w:cs="Calibri"/>
                <w:b w:val="0"/>
                <w:sz w:val="20"/>
                <w:szCs w:val="20"/>
              </w:rPr>
            </w:pPr>
          </w:p>
          <w:p w14:paraId="75DA2F06" w14:textId="09085703" w:rsidR="00887F11" w:rsidRPr="00D81DC4" w:rsidRDefault="00887F11" w:rsidP="00B331E1">
            <w:pPr>
              <w:spacing w:after="0"/>
              <w:rPr>
                <w:rFonts w:cs="Calibri"/>
                <w:b w:val="0"/>
                <w:i/>
                <w:iCs/>
                <w:sz w:val="20"/>
                <w:szCs w:val="20"/>
              </w:rPr>
            </w:pPr>
            <w:r w:rsidRPr="00D81DC4">
              <w:rPr>
                <w:rFonts w:cs="Calibri"/>
                <w:b w:val="0"/>
                <w:sz w:val="20"/>
                <w:szCs w:val="20"/>
              </w:rPr>
              <w:t xml:space="preserve">Participating agencies: </w:t>
            </w:r>
            <w:r w:rsidRPr="00D81DC4">
              <w:rPr>
                <w:rFonts w:cs="Calibri"/>
                <w:b w:val="0"/>
                <w:i/>
                <w:iCs/>
                <w:sz w:val="20"/>
                <w:szCs w:val="20"/>
              </w:rPr>
              <w:t xml:space="preserve">Department of Foreign Affairs, Department of National </w:t>
            </w:r>
            <w:proofErr w:type="spellStart"/>
            <w:r w:rsidRPr="00D81DC4">
              <w:rPr>
                <w:rFonts w:cs="Calibri"/>
                <w:b w:val="0"/>
                <w:i/>
                <w:iCs/>
                <w:sz w:val="20"/>
                <w:szCs w:val="20"/>
              </w:rPr>
              <w:t>Defense</w:t>
            </w:r>
            <w:proofErr w:type="spellEnd"/>
            <w:r w:rsidRPr="00D81DC4">
              <w:rPr>
                <w:rFonts w:cs="Calibri"/>
                <w:b w:val="0"/>
                <w:i/>
                <w:iCs/>
                <w:sz w:val="20"/>
                <w:szCs w:val="20"/>
              </w:rPr>
              <w:t>, Philippine Navy, Armed Forces of the Philippines, Philippines National Police, UP Maritime Studies, Philippine Coast Guard, Philippine Coast Guard, Department of Energy, Department of Environment and Natural Resources, Bureau of Fisheries and Aquatic Resources, National Security Council, Office of the President, MARINA,</w:t>
            </w:r>
            <w:r w:rsidR="0078429F" w:rsidRPr="00D81DC4">
              <w:rPr>
                <w:rFonts w:cs="Calibri"/>
                <w:b w:val="0"/>
                <w:i/>
                <w:iCs/>
                <w:sz w:val="20"/>
                <w:szCs w:val="20"/>
              </w:rPr>
              <w:t xml:space="preserve"> </w:t>
            </w:r>
            <w:r w:rsidRPr="00D81DC4">
              <w:rPr>
                <w:rFonts w:cs="Calibri"/>
                <w:b w:val="0"/>
                <w:i/>
                <w:iCs/>
                <w:sz w:val="20"/>
                <w:szCs w:val="20"/>
              </w:rPr>
              <w:t>Office of Solicitor General, Philippine Air Force, Department of Justice, Supreme Court of the Philippines, Philippine Senate, National Coast Watch Council-Secretariat,</w:t>
            </w:r>
          </w:p>
          <w:p w14:paraId="4E4AFDA7" w14:textId="77777777" w:rsidR="00887F11" w:rsidRPr="00D81DC4" w:rsidRDefault="00887F11" w:rsidP="00B331E1">
            <w:pPr>
              <w:spacing w:after="0"/>
              <w:rPr>
                <w:rFonts w:cs="Calibri"/>
                <w:b w:val="0"/>
                <w:i/>
                <w:iCs/>
                <w:sz w:val="20"/>
                <w:szCs w:val="20"/>
              </w:rPr>
            </w:pPr>
            <w:r w:rsidRPr="00D81DC4">
              <w:rPr>
                <w:rFonts w:cs="Calibri"/>
                <w:b w:val="0"/>
                <w:i/>
                <w:iCs/>
                <w:sz w:val="20"/>
                <w:szCs w:val="20"/>
              </w:rPr>
              <w:t>Palawan Council for Sustainable Development</w:t>
            </w:r>
          </w:p>
          <w:p w14:paraId="2DF1CEE7" w14:textId="77777777" w:rsidR="00887F11" w:rsidRPr="00D81DC4" w:rsidRDefault="00887F11" w:rsidP="00B331E1">
            <w:pPr>
              <w:spacing w:after="0"/>
              <w:rPr>
                <w:rFonts w:cs="Calibri"/>
                <w:b w:val="0"/>
                <w:i/>
                <w:iCs/>
                <w:sz w:val="20"/>
                <w:szCs w:val="20"/>
              </w:rPr>
            </w:pPr>
            <w:r w:rsidRPr="00D81DC4">
              <w:rPr>
                <w:rFonts w:cs="Calibri"/>
                <w:b w:val="0"/>
                <w:i/>
                <w:iCs/>
                <w:sz w:val="20"/>
                <w:szCs w:val="20"/>
              </w:rPr>
              <w:lastRenderedPageBreak/>
              <w:t xml:space="preserve">Philippine </w:t>
            </w:r>
            <w:proofErr w:type="spellStart"/>
            <w:r w:rsidRPr="00D81DC4">
              <w:rPr>
                <w:rFonts w:cs="Calibri"/>
                <w:b w:val="0"/>
                <w:i/>
                <w:iCs/>
                <w:sz w:val="20"/>
                <w:szCs w:val="20"/>
              </w:rPr>
              <w:t>Center</w:t>
            </w:r>
            <w:proofErr w:type="spellEnd"/>
            <w:r w:rsidRPr="00D81DC4">
              <w:rPr>
                <w:rFonts w:cs="Calibri"/>
                <w:b w:val="0"/>
                <w:i/>
                <w:iCs/>
                <w:sz w:val="20"/>
                <w:szCs w:val="20"/>
              </w:rPr>
              <w:t xml:space="preserve"> for Transnational Crime, National Intelligence Coordinating Agency, </w:t>
            </w:r>
          </w:p>
          <w:p w14:paraId="309B4897" w14:textId="77777777" w:rsidR="00887F11" w:rsidRPr="00D81DC4" w:rsidRDefault="00887F11" w:rsidP="00B331E1">
            <w:pPr>
              <w:spacing w:after="0"/>
              <w:rPr>
                <w:rFonts w:cs="Calibri"/>
                <w:b w:val="0"/>
                <w:i/>
                <w:iCs/>
                <w:sz w:val="20"/>
                <w:szCs w:val="20"/>
              </w:rPr>
            </w:pPr>
            <w:r w:rsidRPr="00D81DC4">
              <w:rPr>
                <w:rFonts w:cs="Calibri"/>
                <w:b w:val="0"/>
                <w:i/>
                <w:iCs/>
                <w:sz w:val="20"/>
                <w:szCs w:val="20"/>
              </w:rPr>
              <w:t>Philippine Atmospheric Geophysical and Astronomical Services Administration,</w:t>
            </w:r>
          </w:p>
          <w:p w14:paraId="3CF049BD" w14:textId="25EF3688" w:rsidR="00887F11" w:rsidRPr="00D81DC4" w:rsidRDefault="00887F11" w:rsidP="00B331E1">
            <w:pPr>
              <w:spacing w:after="0"/>
              <w:rPr>
                <w:rFonts w:cs="Calibri"/>
                <w:b w:val="0"/>
                <w:sz w:val="20"/>
                <w:szCs w:val="20"/>
              </w:rPr>
            </w:pPr>
            <w:r w:rsidRPr="00D81DC4">
              <w:rPr>
                <w:rFonts w:cs="Calibri"/>
                <w:b w:val="0"/>
                <w:i/>
                <w:iCs/>
                <w:sz w:val="20"/>
                <w:szCs w:val="20"/>
              </w:rPr>
              <w:t>National Mapping and Resource Information Authority, Department of Science and Technology, Maritime Industry Authority</w:t>
            </w:r>
            <w:r w:rsidRPr="00D81DC4">
              <w:rPr>
                <w:rFonts w:cs="Calibri"/>
                <w:b w:val="0"/>
                <w:sz w:val="20"/>
                <w:szCs w:val="20"/>
              </w:rPr>
              <w:t xml:space="preserve"> </w:t>
            </w:r>
          </w:p>
        </w:tc>
        <w:tc>
          <w:tcPr>
            <w:tcW w:w="1009" w:type="pct"/>
          </w:tcPr>
          <w:p w14:paraId="6949B265" w14:textId="77777777" w:rsidR="00887F11" w:rsidRPr="00D81DC4" w:rsidRDefault="00887F11" w:rsidP="00B331E1">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Six (6)</w:t>
            </w:r>
          </w:p>
          <w:p w14:paraId="4B4DCB9F" w14:textId="77777777" w:rsidR="00887F11" w:rsidRPr="00D81DC4" w:rsidRDefault="00887F11" w:rsidP="00B331E1">
            <w:pPr>
              <w:pStyle w:val="ListParagraph"/>
              <w:numPr>
                <w:ilvl w:val="0"/>
                <w:numId w:val="26"/>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Program Director</w:t>
            </w:r>
          </w:p>
          <w:p w14:paraId="02896111" w14:textId="77777777" w:rsidR="00887F11" w:rsidRPr="00D81DC4" w:rsidRDefault="00887F11" w:rsidP="00B331E1">
            <w:pPr>
              <w:pStyle w:val="ListParagraph"/>
              <w:numPr>
                <w:ilvl w:val="0"/>
                <w:numId w:val="26"/>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Tertiary Education Adviser</w:t>
            </w:r>
          </w:p>
          <w:p w14:paraId="6B5D7588" w14:textId="77777777" w:rsidR="00887F11" w:rsidRPr="00D81DC4" w:rsidRDefault="00887F11" w:rsidP="00B331E1">
            <w:pPr>
              <w:pStyle w:val="ListParagraph"/>
              <w:numPr>
                <w:ilvl w:val="0"/>
                <w:numId w:val="26"/>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Senior Program Officer for Short Course</w:t>
            </w:r>
          </w:p>
          <w:p w14:paraId="7B72D0A0" w14:textId="77777777" w:rsidR="00887F11" w:rsidRPr="00D81DC4" w:rsidRDefault="00887F11" w:rsidP="00B331E1">
            <w:pPr>
              <w:pStyle w:val="ListParagraph"/>
              <w:numPr>
                <w:ilvl w:val="0"/>
                <w:numId w:val="26"/>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MELQI Adviser</w:t>
            </w:r>
          </w:p>
          <w:p w14:paraId="7EBA8262" w14:textId="77777777" w:rsidR="00887F11" w:rsidRPr="00D81DC4" w:rsidRDefault="00887F11" w:rsidP="00B331E1">
            <w:pPr>
              <w:pStyle w:val="ListParagraph"/>
              <w:numPr>
                <w:ilvl w:val="0"/>
                <w:numId w:val="26"/>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IT/KM Officer</w:t>
            </w:r>
          </w:p>
          <w:p w14:paraId="5428D7F8" w14:textId="77777777" w:rsidR="00887F11" w:rsidRPr="00D81DC4" w:rsidRDefault="00887F11" w:rsidP="00B331E1">
            <w:pPr>
              <w:pStyle w:val="ListParagraph"/>
              <w:numPr>
                <w:ilvl w:val="0"/>
                <w:numId w:val="26"/>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Finance and Admin Manager</w:t>
            </w:r>
          </w:p>
        </w:tc>
        <w:tc>
          <w:tcPr>
            <w:tcW w:w="1234" w:type="pct"/>
          </w:tcPr>
          <w:p w14:paraId="3DF2345D" w14:textId="77777777" w:rsidR="00887F11" w:rsidRPr="00D81DC4" w:rsidRDefault="00887F11" w:rsidP="00B331E1">
            <w:pPr>
              <w:pStyle w:val="ListParagraph"/>
              <w:numPr>
                <w:ilvl w:val="0"/>
                <w:numId w:val="26"/>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Program Director – 30 days</w:t>
            </w:r>
          </w:p>
          <w:p w14:paraId="0FCFA383" w14:textId="77777777" w:rsidR="00887F11" w:rsidRPr="00D81DC4" w:rsidRDefault="00887F11" w:rsidP="00B331E1">
            <w:pPr>
              <w:pStyle w:val="ListParagraph"/>
              <w:numPr>
                <w:ilvl w:val="0"/>
                <w:numId w:val="26"/>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Tertiary Education Adviser – 30 days</w:t>
            </w:r>
          </w:p>
          <w:p w14:paraId="2BC09642" w14:textId="77777777" w:rsidR="00887F11" w:rsidRPr="00D81DC4" w:rsidRDefault="00887F11" w:rsidP="00B331E1">
            <w:pPr>
              <w:pStyle w:val="ListParagraph"/>
              <w:numPr>
                <w:ilvl w:val="0"/>
                <w:numId w:val="26"/>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Senior Program Officer – 30 days</w:t>
            </w:r>
          </w:p>
          <w:p w14:paraId="16512843" w14:textId="77777777" w:rsidR="00887F11" w:rsidRPr="00D81DC4" w:rsidRDefault="00887F11" w:rsidP="00B331E1">
            <w:pPr>
              <w:pStyle w:val="ListParagraph"/>
              <w:numPr>
                <w:ilvl w:val="0"/>
                <w:numId w:val="26"/>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MELQI Adviser – 15 days</w:t>
            </w:r>
          </w:p>
          <w:p w14:paraId="4282545A" w14:textId="77777777" w:rsidR="00887F11" w:rsidRPr="00D81DC4" w:rsidRDefault="00887F11" w:rsidP="00B331E1">
            <w:pPr>
              <w:pStyle w:val="ListParagraph"/>
              <w:numPr>
                <w:ilvl w:val="0"/>
                <w:numId w:val="26"/>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IT/KM Officer – 10 days</w:t>
            </w:r>
          </w:p>
          <w:p w14:paraId="1CEADB83" w14:textId="77777777" w:rsidR="00887F11" w:rsidRPr="00D81DC4" w:rsidRDefault="00887F11" w:rsidP="00B331E1">
            <w:pPr>
              <w:pStyle w:val="ListParagraph"/>
              <w:numPr>
                <w:ilvl w:val="0"/>
                <w:numId w:val="26"/>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Finance and Admin Manager – 20 days</w:t>
            </w:r>
          </w:p>
        </w:tc>
        <w:tc>
          <w:tcPr>
            <w:tcW w:w="1600" w:type="pct"/>
          </w:tcPr>
          <w:p w14:paraId="78F3E9C2"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Consultation meetings with Maritime section of the Embassy and DFA on the TOR.</w:t>
            </w:r>
          </w:p>
          <w:p w14:paraId="405BA805"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Coordination with DFA and Embassy on the list of participants</w:t>
            </w:r>
          </w:p>
          <w:p w14:paraId="17499B11"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Consultation meetings with ANCORS, Embassy and DFA on the training design per batch.</w:t>
            </w:r>
          </w:p>
          <w:p w14:paraId="7DCE8715"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Link ANCORs with local LSP for the admin and logistic requirements of the activities.</w:t>
            </w:r>
          </w:p>
          <w:p w14:paraId="77211B66"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Follow-up nominations from target agencies</w:t>
            </w:r>
          </w:p>
          <w:p w14:paraId="4C25121D"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Brief DFA on the final arrangements of the activity and the development of the opening and closing program per batch.</w:t>
            </w:r>
          </w:p>
          <w:p w14:paraId="4534B854"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Brief ANCORS on the REAP requirement of the training</w:t>
            </w:r>
          </w:p>
          <w:p w14:paraId="12904789"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Follow up and monitor the registration of participants and their pre and post competency assessment per batch.</w:t>
            </w:r>
          </w:p>
          <w:p w14:paraId="4414FE27"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Monitor the conduct of the training</w:t>
            </w:r>
          </w:p>
          <w:p w14:paraId="7466FE86"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Monitor the REAP implementation</w:t>
            </w:r>
          </w:p>
          <w:p w14:paraId="2E3F4B26"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Review the completion reports per batch.</w:t>
            </w:r>
          </w:p>
          <w:p w14:paraId="4D32BD02"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Present and submit completion reports to DFA per batch.</w:t>
            </w:r>
          </w:p>
        </w:tc>
      </w:tr>
      <w:tr w:rsidR="00226C43" w:rsidRPr="00226C43" w14:paraId="59DACF26" w14:textId="77777777" w:rsidTr="00764A92">
        <w:tc>
          <w:tcPr>
            <w:cnfStyle w:val="001000000000" w:firstRow="0" w:lastRow="0" w:firstColumn="1" w:lastColumn="0" w:oddVBand="0" w:evenVBand="0" w:oddHBand="0" w:evenHBand="0" w:firstRowFirstColumn="0" w:firstRowLastColumn="0" w:lastRowFirstColumn="0" w:lastRowLastColumn="0"/>
            <w:tcW w:w="1157" w:type="pct"/>
          </w:tcPr>
          <w:p w14:paraId="765D3152" w14:textId="77777777" w:rsidR="00887F11" w:rsidRPr="00D81DC4" w:rsidRDefault="00887F11" w:rsidP="00B331E1">
            <w:pPr>
              <w:spacing w:after="0"/>
              <w:rPr>
                <w:rFonts w:cs="Calibri"/>
                <w:b w:val="0"/>
                <w:sz w:val="20"/>
                <w:szCs w:val="20"/>
              </w:rPr>
            </w:pPr>
            <w:r w:rsidRPr="00D81DC4">
              <w:rPr>
                <w:rFonts w:cs="Calibri"/>
                <w:b w:val="0"/>
                <w:sz w:val="20"/>
                <w:szCs w:val="20"/>
              </w:rPr>
              <w:t>Dam Design and Safety Short Course with Benchmarking in Australia</w:t>
            </w:r>
            <w:r w:rsidRPr="00D81DC4">
              <w:rPr>
                <w:rFonts w:cs="Calibri"/>
                <w:b w:val="0"/>
                <w:sz w:val="20"/>
                <w:szCs w:val="20"/>
              </w:rPr>
              <w:br/>
            </w:r>
          </w:p>
          <w:p w14:paraId="703A13EB" w14:textId="1FFECD26" w:rsidR="00887F11" w:rsidRPr="00D81DC4" w:rsidRDefault="00887F11" w:rsidP="00B331E1">
            <w:pPr>
              <w:spacing w:after="0"/>
              <w:rPr>
                <w:rFonts w:cs="Calibri"/>
                <w:b w:val="0"/>
                <w:i/>
                <w:sz w:val="20"/>
                <w:szCs w:val="20"/>
              </w:rPr>
            </w:pPr>
            <w:r w:rsidRPr="00D81DC4">
              <w:rPr>
                <w:rFonts w:cs="Calibri"/>
                <w:b w:val="0"/>
                <w:i/>
                <w:sz w:val="20"/>
                <w:szCs w:val="20"/>
              </w:rPr>
              <w:t>Training Date: 28 November to 09 December (Australia) and In-country training and REAP Coaching: January</w:t>
            </w:r>
            <w:r w:rsidR="0078429F" w:rsidRPr="00D81DC4">
              <w:rPr>
                <w:rFonts w:cs="Calibri"/>
                <w:b w:val="0"/>
                <w:i/>
                <w:sz w:val="20"/>
                <w:szCs w:val="20"/>
              </w:rPr>
              <w:t xml:space="preserve"> </w:t>
            </w:r>
            <w:r w:rsidRPr="00D81DC4">
              <w:rPr>
                <w:rFonts w:cs="Calibri"/>
                <w:b w:val="0"/>
                <w:i/>
                <w:sz w:val="20"/>
                <w:szCs w:val="20"/>
              </w:rPr>
              <w:t>to July 2023</w:t>
            </w:r>
          </w:p>
          <w:p w14:paraId="7F1B0565" w14:textId="77777777" w:rsidR="00887F11" w:rsidRPr="00D81DC4" w:rsidRDefault="00887F11" w:rsidP="00B331E1">
            <w:pPr>
              <w:spacing w:after="0"/>
              <w:rPr>
                <w:rFonts w:cs="Calibri"/>
                <w:b w:val="0"/>
                <w:i/>
                <w:sz w:val="20"/>
                <w:szCs w:val="20"/>
              </w:rPr>
            </w:pPr>
          </w:p>
          <w:p w14:paraId="4AAAEA9A" w14:textId="77777777" w:rsidR="00887F11" w:rsidRPr="00D81DC4" w:rsidRDefault="00887F11" w:rsidP="00B331E1">
            <w:pPr>
              <w:spacing w:after="0"/>
              <w:rPr>
                <w:rFonts w:cs="Calibri"/>
                <w:b w:val="0"/>
                <w:i/>
                <w:sz w:val="20"/>
                <w:szCs w:val="20"/>
              </w:rPr>
            </w:pPr>
            <w:r w:rsidRPr="00D81DC4">
              <w:rPr>
                <w:rFonts w:cs="Calibri"/>
                <w:b w:val="0"/>
                <w:i/>
                <w:sz w:val="20"/>
                <w:szCs w:val="20"/>
              </w:rPr>
              <w:t xml:space="preserve">Name of LSP: </w:t>
            </w:r>
            <w:proofErr w:type="spellStart"/>
            <w:r w:rsidRPr="00D81DC4">
              <w:rPr>
                <w:rFonts w:cs="Calibri"/>
                <w:b w:val="0"/>
                <w:i/>
                <w:sz w:val="20"/>
                <w:szCs w:val="20"/>
              </w:rPr>
              <w:t>Entura</w:t>
            </w:r>
            <w:proofErr w:type="spellEnd"/>
            <w:r w:rsidRPr="00D81DC4">
              <w:rPr>
                <w:rFonts w:cs="Calibri"/>
                <w:b w:val="0"/>
                <w:i/>
                <w:sz w:val="20"/>
                <w:szCs w:val="20"/>
              </w:rPr>
              <w:t xml:space="preserve"> Clean Energy and Water Institute</w:t>
            </w:r>
          </w:p>
          <w:p w14:paraId="19F6F9FA" w14:textId="77777777" w:rsidR="00887F11" w:rsidRPr="00D81DC4" w:rsidRDefault="00887F11" w:rsidP="00B331E1">
            <w:pPr>
              <w:spacing w:after="0"/>
              <w:rPr>
                <w:rFonts w:cs="Calibri"/>
                <w:b w:val="0"/>
                <w:i/>
                <w:sz w:val="20"/>
                <w:szCs w:val="20"/>
              </w:rPr>
            </w:pPr>
          </w:p>
          <w:p w14:paraId="32E0B21B" w14:textId="77777777" w:rsidR="00887F11" w:rsidRPr="00D81DC4" w:rsidRDefault="00887F11" w:rsidP="00B331E1">
            <w:pPr>
              <w:spacing w:after="0"/>
              <w:rPr>
                <w:rFonts w:cs="Calibri"/>
                <w:b w:val="0"/>
                <w:i/>
                <w:sz w:val="20"/>
                <w:szCs w:val="20"/>
              </w:rPr>
            </w:pPr>
            <w:r w:rsidRPr="00D81DC4">
              <w:rPr>
                <w:rFonts w:cs="Calibri"/>
                <w:b w:val="0"/>
                <w:i/>
                <w:sz w:val="20"/>
                <w:szCs w:val="20"/>
              </w:rPr>
              <w:t>Name of Agency trained:</w:t>
            </w:r>
          </w:p>
          <w:p w14:paraId="711D77D1" w14:textId="77777777" w:rsidR="00887F11" w:rsidRPr="00D81DC4" w:rsidRDefault="00887F11" w:rsidP="00B331E1">
            <w:pPr>
              <w:spacing w:after="0"/>
              <w:rPr>
                <w:rFonts w:cs="Calibri"/>
                <w:b w:val="0"/>
                <w:sz w:val="20"/>
                <w:szCs w:val="20"/>
              </w:rPr>
            </w:pPr>
            <w:r w:rsidRPr="00D81DC4">
              <w:rPr>
                <w:rFonts w:cs="Calibri"/>
                <w:b w:val="0"/>
                <w:i/>
                <w:sz w:val="20"/>
                <w:szCs w:val="20"/>
              </w:rPr>
              <w:t>National Irrigation Administration (NIA)</w:t>
            </w:r>
          </w:p>
          <w:p w14:paraId="128A8E1B" w14:textId="77777777" w:rsidR="00887F11" w:rsidRPr="00D81DC4" w:rsidRDefault="00887F11" w:rsidP="00B331E1">
            <w:pPr>
              <w:spacing w:after="0"/>
              <w:rPr>
                <w:rFonts w:cs="Calibri"/>
                <w:b w:val="0"/>
                <w:sz w:val="20"/>
                <w:szCs w:val="20"/>
              </w:rPr>
            </w:pPr>
          </w:p>
        </w:tc>
        <w:tc>
          <w:tcPr>
            <w:tcW w:w="1009" w:type="pct"/>
          </w:tcPr>
          <w:p w14:paraId="687A5AFA" w14:textId="77777777" w:rsidR="00887F11" w:rsidRPr="00D81DC4" w:rsidRDefault="00887F11" w:rsidP="00B331E1">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Six (6)</w:t>
            </w:r>
          </w:p>
          <w:p w14:paraId="3901195D"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Program Director</w:t>
            </w:r>
          </w:p>
          <w:p w14:paraId="7A36D7E1"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Tertiary Education Adviser</w:t>
            </w:r>
          </w:p>
          <w:p w14:paraId="2504BD70"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Senior Program Officer for Short Course</w:t>
            </w:r>
          </w:p>
          <w:p w14:paraId="41E43E57"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MELQI Adviser</w:t>
            </w:r>
          </w:p>
          <w:p w14:paraId="6C386279"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IT/KM Officer</w:t>
            </w:r>
          </w:p>
          <w:p w14:paraId="4A26B81D"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Finance and Admin Manager</w:t>
            </w:r>
          </w:p>
        </w:tc>
        <w:tc>
          <w:tcPr>
            <w:tcW w:w="1234" w:type="pct"/>
          </w:tcPr>
          <w:p w14:paraId="4A7209A0"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Program Director – 10 days</w:t>
            </w:r>
          </w:p>
          <w:p w14:paraId="13E817D8"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Tertiary Education Adviser – 30 days</w:t>
            </w:r>
          </w:p>
          <w:p w14:paraId="49E76F58"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Senior Program Officer – 40 days</w:t>
            </w:r>
          </w:p>
          <w:p w14:paraId="4EA74D72"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MELQI Adviser – 5 days</w:t>
            </w:r>
          </w:p>
          <w:p w14:paraId="0352FD63"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IT/KM Officer – 7 days</w:t>
            </w:r>
          </w:p>
          <w:p w14:paraId="21CF72D1"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Finance and Admin Manager – 10 days</w:t>
            </w:r>
          </w:p>
        </w:tc>
        <w:tc>
          <w:tcPr>
            <w:tcW w:w="1600" w:type="pct"/>
          </w:tcPr>
          <w:p w14:paraId="2E748A14"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Consultation meetings with the National Irrigation Administration (NIA) to determine specific training needs in the context of their request on dam design and safety; negotiation of cost-sharing arrangements, among other things.</w:t>
            </w:r>
          </w:p>
          <w:p w14:paraId="47E1FD0D"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Finalisation of the RFT and TOR with NIA.</w:t>
            </w:r>
          </w:p>
          <w:p w14:paraId="43B5C91E"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Conduct the pre-bid conference for interested bidders.</w:t>
            </w:r>
          </w:p>
          <w:p w14:paraId="2FF1653B"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Preparation and conduct of the Tender Assessment Panel</w:t>
            </w:r>
          </w:p>
          <w:p w14:paraId="5AC56066"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Negotiate with the University of Tasmania regarding customisation and finalisation of the short course.</w:t>
            </w:r>
          </w:p>
          <w:p w14:paraId="61100C55"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Prepare and conduct the pre-departure briefing with the LSP.</w:t>
            </w:r>
          </w:p>
          <w:p w14:paraId="3FB60C92"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Coordination, admin and logistic support with participants</w:t>
            </w:r>
          </w:p>
          <w:p w14:paraId="460D01E6"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Monitoring the conduct of the activity.</w:t>
            </w:r>
          </w:p>
          <w:p w14:paraId="7C0EAB9E"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Review of inception, completion and REAP implementation reports</w:t>
            </w:r>
          </w:p>
        </w:tc>
      </w:tr>
      <w:tr w:rsidR="00226C43" w:rsidRPr="00226C43" w14:paraId="54EE6555" w14:textId="77777777" w:rsidTr="00764A92">
        <w:tc>
          <w:tcPr>
            <w:cnfStyle w:val="001000000000" w:firstRow="0" w:lastRow="0" w:firstColumn="1" w:lastColumn="0" w:oddVBand="0" w:evenVBand="0" w:oddHBand="0" w:evenHBand="0" w:firstRowFirstColumn="0" w:firstRowLastColumn="0" w:lastRowFirstColumn="0" w:lastRowLastColumn="0"/>
            <w:tcW w:w="1157" w:type="pct"/>
          </w:tcPr>
          <w:p w14:paraId="3A49BD4C" w14:textId="77777777" w:rsidR="00887F11" w:rsidRPr="00D81DC4" w:rsidRDefault="00887F11" w:rsidP="00B331E1">
            <w:pPr>
              <w:spacing w:after="0"/>
              <w:rPr>
                <w:rFonts w:cs="Calibri"/>
                <w:b w:val="0"/>
                <w:sz w:val="20"/>
                <w:szCs w:val="20"/>
              </w:rPr>
            </w:pPr>
            <w:r w:rsidRPr="00D81DC4">
              <w:rPr>
                <w:rFonts w:cs="Calibri"/>
                <w:b w:val="0"/>
                <w:sz w:val="20"/>
                <w:szCs w:val="20"/>
              </w:rPr>
              <w:t>Emergency Broadcasting Short Course</w:t>
            </w:r>
          </w:p>
          <w:p w14:paraId="39EFD3F1" w14:textId="77777777" w:rsidR="00887F11" w:rsidRPr="00D81DC4" w:rsidRDefault="00887F11" w:rsidP="00B331E1">
            <w:pPr>
              <w:spacing w:after="0"/>
              <w:rPr>
                <w:rFonts w:cs="Calibri"/>
                <w:b w:val="0"/>
                <w:i/>
                <w:sz w:val="20"/>
                <w:szCs w:val="20"/>
              </w:rPr>
            </w:pPr>
            <w:r w:rsidRPr="00D81DC4">
              <w:rPr>
                <w:rFonts w:cs="Calibri"/>
                <w:b w:val="0"/>
                <w:i/>
                <w:sz w:val="20"/>
                <w:szCs w:val="20"/>
              </w:rPr>
              <w:lastRenderedPageBreak/>
              <w:t xml:space="preserve"> Training Date: September 28-30, </w:t>
            </w:r>
            <w:proofErr w:type="gramStart"/>
            <w:r w:rsidRPr="00D81DC4">
              <w:rPr>
                <w:rFonts w:cs="Calibri"/>
                <w:b w:val="0"/>
                <w:i/>
                <w:sz w:val="20"/>
                <w:szCs w:val="20"/>
              </w:rPr>
              <w:t>2022</w:t>
            </w:r>
            <w:proofErr w:type="gramEnd"/>
            <w:r w:rsidRPr="00D81DC4">
              <w:rPr>
                <w:rFonts w:cs="Calibri"/>
                <w:b w:val="0"/>
                <w:i/>
                <w:sz w:val="20"/>
                <w:szCs w:val="20"/>
              </w:rPr>
              <w:t xml:space="preserve"> in Australia and </w:t>
            </w:r>
          </w:p>
          <w:p w14:paraId="40A29B65" w14:textId="77777777" w:rsidR="00887F11" w:rsidRPr="00D81DC4" w:rsidRDefault="00887F11" w:rsidP="00B331E1">
            <w:pPr>
              <w:spacing w:after="0"/>
              <w:rPr>
                <w:rFonts w:cs="Calibri"/>
                <w:b w:val="0"/>
                <w:i/>
                <w:sz w:val="20"/>
                <w:szCs w:val="20"/>
              </w:rPr>
            </w:pPr>
            <w:r w:rsidRPr="00D81DC4">
              <w:rPr>
                <w:rFonts w:cs="Calibri"/>
                <w:b w:val="0"/>
                <w:i/>
                <w:sz w:val="20"/>
                <w:szCs w:val="20"/>
              </w:rPr>
              <w:t>In-country training and REAP Coaching: October 2022-March 2023</w:t>
            </w:r>
          </w:p>
          <w:p w14:paraId="3930392C" w14:textId="77777777" w:rsidR="00887F11" w:rsidRPr="00D81DC4" w:rsidRDefault="00887F11" w:rsidP="00B331E1">
            <w:pPr>
              <w:spacing w:after="0"/>
              <w:rPr>
                <w:rFonts w:cs="Calibri"/>
                <w:b w:val="0"/>
                <w:i/>
                <w:sz w:val="20"/>
                <w:szCs w:val="20"/>
              </w:rPr>
            </w:pPr>
          </w:p>
          <w:p w14:paraId="0A0E31C4" w14:textId="77777777" w:rsidR="00887F11" w:rsidRPr="00D81DC4" w:rsidRDefault="00887F11" w:rsidP="00B331E1">
            <w:pPr>
              <w:spacing w:after="0"/>
              <w:rPr>
                <w:rFonts w:cs="Calibri"/>
                <w:b w:val="0"/>
                <w:i/>
                <w:sz w:val="20"/>
                <w:szCs w:val="20"/>
              </w:rPr>
            </w:pPr>
            <w:r w:rsidRPr="00D81DC4">
              <w:rPr>
                <w:rFonts w:cs="Calibri"/>
                <w:b w:val="0"/>
                <w:i/>
                <w:sz w:val="20"/>
                <w:szCs w:val="20"/>
              </w:rPr>
              <w:t>Name of LSP: Australia Broadcasting Corporation International Development (ABCID)</w:t>
            </w:r>
          </w:p>
          <w:p w14:paraId="5D97EB71" w14:textId="77777777" w:rsidR="00887F11" w:rsidRPr="00D81DC4" w:rsidRDefault="00887F11" w:rsidP="00B331E1">
            <w:pPr>
              <w:spacing w:after="0"/>
              <w:rPr>
                <w:rFonts w:cs="Calibri"/>
                <w:b w:val="0"/>
                <w:i/>
                <w:sz w:val="20"/>
                <w:szCs w:val="20"/>
              </w:rPr>
            </w:pPr>
          </w:p>
          <w:p w14:paraId="28303395" w14:textId="77777777" w:rsidR="00887F11" w:rsidRPr="00D81DC4" w:rsidRDefault="00887F11" w:rsidP="00B331E1">
            <w:pPr>
              <w:spacing w:after="0"/>
              <w:rPr>
                <w:rFonts w:cs="Calibri"/>
                <w:b w:val="0"/>
                <w:i/>
                <w:sz w:val="20"/>
                <w:szCs w:val="20"/>
              </w:rPr>
            </w:pPr>
            <w:r w:rsidRPr="00D81DC4">
              <w:rPr>
                <w:rFonts w:cs="Calibri"/>
                <w:b w:val="0"/>
                <w:i/>
                <w:sz w:val="20"/>
                <w:szCs w:val="20"/>
              </w:rPr>
              <w:t>Name of Agencies trained:</w:t>
            </w:r>
          </w:p>
          <w:p w14:paraId="5C379353" w14:textId="77777777" w:rsidR="00887F11" w:rsidRPr="00D81DC4" w:rsidRDefault="00887F11" w:rsidP="00B331E1">
            <w:pPr>
              <w:spacing w:after="0"/>
              <w:rPr>
                <w:rFonts w:cs="Calibri"/>
                <w:b w:val="0"/>
                <w:i/>
                <w:sz w:val="20"/>
                <w:szCs w:val="20"/>
              </w:rPr>
            </w:pPr>
            <w:r w:rsidRPr="00D81DC4">
              <w:rPr>
                <w:rFonts w:cs="Calibri"/>
                <w:b w:val="0"/>
                <w:sz w:val="20"/>
                <w:szCs w:val="20"/>
              </w:rPr>
              <w:t xml:space="preserve"> Philippine Information Agency, </w:t>
            </w:r>
            <w:r w:rsidRPr="00D81DC4">
              <w:rPr>
                <w:rFonts w:cs="Calibri"/>
                <w:b w:val="0"/>
                <w:i/>
                <w:sz w:val="20"/>
                <w:szCs w:val="20"/>
              </w:rPr>
              <w:t>Bureau of Communication Services (BCS</w:t>
            </w:r>
            <w:proofErr w:type="gramStart"/>
            <w:r w:rsidRPr="00D81DC4">
              <w:rPr>
                <w:rFonts w:cs="Calibri"/>
                <w:b w:val="0"/>
                <w:i/>
                <w:sz w:val="20"/>
                <w:szCs w:val="20"/>
              </w:rPr>
              <w:t>);</w:t>
            </w:r>
            <w:proofErr w:type="gramEnd"/>
          </w:p>
          <w:p w14:paraId="5B1BB9D5" w14:textId="77777777" w:rsidR="00887F11" w:rsidRPr="00D81DC4" w:rsidRDefault="00887F11" w:rsidP="00B331E1">
            <w:pPr>
              <w:spacing w:after="0"/>
              <w:rPr>
                <w:rFonts w:cs="Calibri"/>
                <w:b w:val="0"/>
                <w:i/>
                <w:sz w:val="20"/>
                <w:szCs w:val="20"/>
              </w:rPr>
            </w:pPr>
            <w:r w:rsidRPr="00D81DC4">
              <w:rPr>
                <w:rFonts w:cs="Calibri"/>
                <w:b w:val="0"/>
                <w:i/>
                <w:sz w:val="20"/>
                <w:szCs w:val="20"/>
              </w:rPr>
              <w:t xml:space="preserve">Freedom of Information Program Management </w:t>
            </w:r>
            <w:proofErr w:type="gramStart"/>
            <w:r w:rsidRPr="00D81DC4">
              <w:rPr>
                <w:rFonts w:cs="Calibri"/>
                <w:b w:val="0"/>
                <w:i/>
                <w:sz w:val="20"/>
                <w:szCs w:val="20"/>
              </w:rPr>
              <w:t>Office;</w:t>
            </w:r>
            <w:proofErr w:type="gramEnd"/>
          </w:p>
          <w:p w14:paraId="51B502AF" w14:textId="77777777" w:rsidR="00887F11" w:rsidRPr="00D81DC4" w:rsidRDefault="00887F11" w:rsidP="00B331E1">
            <w:pPr>
              <w:spacing w:after="0"/>
              <w:rPr>
                <w:rFonts w:cs="Calibri"/>
                <w:b w:val="0"/>
                <w:i/>
                <w:sz w:val="20"/>
                <w:szCs w:val="20"/>
              </w:rPr>
            </w:pPr>
            <w:r w:rsidRPr="00D81DC4">
              <w:rPr>
                <w:rFonts w:cs="Calibri"/>
                <w:b w:val="0"/>
                <w:i/>
                <w:sz w:val="20"/>
                <w:szCs w:val="20"/>
              </w:rPr>
              <w:t xml:space="preserve">Office of the Press </w:t>
            </w:r>
            <w:proofErr w:type="gramStart"/>
            <w:r w:rsidRPr="00D81DC4">
              <w:rPr>
                <w:rFonts w:cs="Calibri"/>
                <w:b w:val="0"/>
                <w:i/>
                <w:sz w:val="20"/>
                <w:szCs w:val="20"/>
              </w:rPr>
              <w:t>Secretary;</w:t>
            </w:r>
            <w:proofErr w:type="gramEnd"/>
          </w:p>
          <w:p w14:paraId="2834D967" w14:textId="77777777" w:rsidR="00887F11" w:rsidRPr="00D81DC4" w:rsidRDefault="00887F11" w:rsidP="00B331E1">
            <w:pPr>
              <w:spacing w:after="0"/>
              <w:rPr>
                <w:rFonts w:cs="Calibri"/>
                <w:b w:val="0"/>
                <w:i/>
                <w:sz w:val="20"/>
                <w:szCs w:val="20"/>
              </w:rPr>
            </w:pPr>
            <w:r w:rsidRPr="00D81DC4">
              <w:rPr>
                <w:rFonts w:cs="Calibri"/>
                <w:b w:val="0"/>
                <w:i/>
                <w:sz w:val="20"/>
                <w:szCs w:val="20"/>
              </w:rPr>
              <w:t xml:space="preserve">Peoples Television Network, </w:t>
            </w:r>
            <w:proofErr w:type="gramStart"/>
            <w:r w:rsidRPr="00D81DC4">
              <w:rPr>
                <w:rFonts w:cs="Calibri"/>
                <w:b w:val="0"/>
                <w:i/>
                <w:sz w:val="20"/>
                <w:szCs w:val="20"/>
              </w:rPr>
              <w:t>Inc;</w:t>
            </w:r>
            <w:proofErr w:type="gramEnd"/>
          </w:p>
          <w:p w14:paraId="0E85187E" w14:textId="77777777" w:rsidR="00887F11" w:rsidRPr="00D81DC4" w:rsidRDefault="00887F11" w:rsidP="00B331E1">
            <w:pPr>
              <w:spacing w:after="0"/>
              <w:rPr>
                <w:rFonts w:cs="Calibri"/>
                <w:b w:val="0"/>
                <w:i/>
                <w:sz w:val="20"/>
                <w:szCs w:val="20"/>
              </w:rPr>
            </w:pPr>
            <w:r w:rsidRPr="00D81DC4">
              <w:rPr>
                <w:rFonts w:cs="Calibri"/>
                <w:b w:val="0"/>
                <w:i/>
                <w:sz w:val="20"/>
                <w:szCs w:val="20"/>
              </w:rPr>
              <w:t xml:space="preserve">Philippine Broadcasting </w:t>
            </w:r>
            <w:proofErr w:type="gramStart"/>
            <w:r w:rsidRPr="00D81DC4">
              <w:rPr>
                <w:rFonts w:cs="Calibri"/>
                <w:b w:val="0"/>
                <w:i/>
                <w:sz w:val="20"/>
                <w:szCs w:val="20"/>
              </w:rPr>
              <w:t>Service;</w:t>
            </w:r>
            <w:proofErr w:type="gramEnd"/>
          </w:p>
          <w:p w14:paraId="2309459C" w14:textId="77777777" w:rsidR="00887F11" w:rsidRPr="00D81DC4" w:rsidRDefault="00887F11" w:rsidP="00B331E1">
            <w:pPr>
              <w:spacing w:after="0"/>
              <w:rPr>
                <w:rFonts w:cs="Calibri"/>
                <w:b w:val="0"/>
                <w:i/>
                <w:sz w:val="20"/>
                <w:szCs w:val="20"/>
              </w:rPr>
            </w:pPr>
            <w:r w:rsidRPr="00D81DC4">
              <w:rPr>
                <w:rFonts w:cs="Calibri"/>
                <w:b w:val="0"/>
                <w:i/>
                <w:sz w:val="20"/>
                <w:szCs w:val="20"/>
              </w:rPr>
              <w:t xml:space="preserve">News and Information Bureau- Philippines News </w:t>
            </w:r>
            <w:proofErr w:type="gramStart"/>
            <w:r w:rsidRPr="00D81DC4">
              <w:rPr>
                <w:rFonts w:cs="Calibri"/>
                <w:b w:val="0"/>
                <w:i/>
                <w:sz w:val="20"/>
                <w:szCs w:val="20"/>
              </w:rPr>
              <w:t>Agency;</w:t>
            </w:r>
            <w:proofErr w:type="gramEnd"/>
          </w:p>
          <w:p w14:paraId="35C02F1D" w14:textId="77777777" w:rsidR="00887F11" w:rsidRPr="00D81DC4" w:rsidRDefault="00887F11" w:rsidP="00B331E1">
            <w:pPr>
              <w:spacing w:after="0"/>
              <w:rPr>
                <w:rFonts w:cs="Calibri"/>
                <w:b w:val="0"/>
                <w:i/>
                <w:sz w:val="20"/>
                <w:szCs w:val="20"/>
              </w:rPr>
            </w:pPr>
            <w:r w:rsidRPr="00D81DC4">
              <w:rPr>
                <w:rFonts w:cs="Calibri"/>
                <w:b w:val="0"/>
                <w:i/>
                <w:sz w:val="20"/>
                <w:szCs w:val="20"/>
              </w:rPr>
              <w:t xml:space="preserve">Intercontinental Broadcasting </w:t>
            </w:r>
            <w:proofErr w:type="gramStart"/>
            <w:r w:rsidRPr="00D81DC4">
              <w:rPr>
                <w:rFonts w:cs="Calibri"/>
                <w:b w:val="0"/>
                <w:i/>
                <w:sz w:val="20"/>
                <w:szCs w:val="20"/>
              </w:rPr>
              <w:t>Corporation;</w:t>
            </w:r>
            <w:proofErr w:type="gramEnd"/>
          </w:p>
          <w:p w14:paraId="28DC4347" w14:textId="77777777" w:rsidR="00887F11" w:rsidRPr="00D81DC4" w:rsidRDefault="00887F11" w:rsidP="00B331E1">
            <w:pPr>
              <w:spacing w:after="0"/>
              <w:rPr>
                <w:rFonts w:cs="Calibri"/>
                <w:b w:val="0"/>
                <w:i/>
                <w:sz w:val="20"/>
                <w:szCs w:val="20"/>
              </w:rPr>
            </w:pPr>
            <w:r w:rsidRPr="00D81DC4">
              <w:rPr>
                <w:rFonts w:cs="Calibri"/>
                <w:b w:val="0"/>
                <w:i/>
                <w:sz w:val="20"/>
                <w:szCs w:val="20"/>
              </w:rPr>
              <w:t xml:space="preserve">Presidential Broadcast Staff-Radio Television </w:t>
            </w:r>
            <w:proofErr w:type="gramStart"/>
            <w:r w:rsidRPr="00D81DC4">
              <w:rPr>
                <w:rFonts w:cs="Calibri"/>
                <w:b w:val="0"/>
                <w:i/>
                <w:sz w:val="20"/>
                <w:szCs w:val="20"/>
              </w:rPr>
              <w:t>Malacañang;</w:t>
            </w:r>
            <w:proofErr w:type="gramEnd"/>
          </w:p>
          <w:p w14:paraId="1CEB5050" w14:textId="04E205BB" w:rsidR="00887F11" w:rsidRPr="00D81DC4" w:rsidRDefault="00887F11" w:rsidP="00B331E1">
            <w:pPr>
              <w:spacing w:after="0"/>
              <w:rPr>
                <w:rFonts w:cs="Calibri"/>
                <w:b w:val="0"/>
                <w:i/>
                <w:sz w:val="20"/>
                <w:szCs w:val="20"/>
              </w:rPr>
            </w:pPr>
            <w:r w:rsidRPr="00D81DC4">
              <w:rPr>
                <w:rFonts w:cs="Calibri"/>
                <w:b w:val="0"/>
                <w:i/>
                <w:sz w:val="20"/>
                <w:szCs w:val="20"/>
              </w:rPr>
              <w:t>National Disaster Risk Reduction and Management Council</w:t>
            </w:r>
          </w:p>
        </w:tc>
        <w:tc>
          <w:tcPr>
            <w:tcW w:w="1009" w:type="pct"/>
          </w:tcPr>
          <w:p w14:paraId="0A74D0CD" w14:textId="77777777" w:rsidR="00887F11" w:rsidRPr="00D81DC4" w:rsidRDefault="00887F11" w:rsidP="00B331E1">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Six (6)</w:t>
            </w:r>
          </w:p>
          <w:p w14:paraId="3E7B03BE" w14:textId="77777777" w:rsidR="00887F11" w:rsidRPr="00D81DC4" w:rsidRDefault="00887F11" w:rsidP="00B331E1">
            <w:pPr>
              <w:pStyle w:val="ListParagraph"/>
              <w:numPr>
                <w:ilvl w:val="0"/>
                <w:numId w:val="27"/>
              </w:numPr>
              <w:suppressAutoHyphens w:val="0"/>
              <w:spacing w:after="0" w:line="278"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Program Director</w:t>
            </w:r>
          </w:p>
          <w:p w14:paraId="104B5D81" w14:textId="77777777" w:rsidR="00887F11" w:rsidRPr="00D81DC4" w:rsidRDefault="00887F11" w:rsidP="00B331E1">
            <w:pPr>
              <w:pStyle w:val="ListParagraph"/>
              <w:numPr>
                <w:ilvl w:val="0"/>
                <w:numId w:val="27"/>
              </w:numPr>
              <w:suppressAutoHyphens w:val="0"/>
              <w:spacing w:after="0" w:line="278"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Tertiary Education Adviser</w:t>
            </w:r>
          </w:p>
          <w:p w14:paraId="364ECA4C" w14:textId="77777777" w:rsidR="00887F11" w:rsidRPr="00D81DC4" w:rsidRDefault="00887F11" w:rsidP="00B331E1">
            <w:pPr>
              <w:pStyle w:val="ListParagraph"/>
              <w:numPr>
                <w:ilvl w:val="0"/>
                <w:numId w:val="27"/>
              </w:numPr>
              <w:suppressAutoHyphens w:val="0"/>
              <w:spacing w:after="0" w:line="278"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Senior Program Officer for Short Course</w:t>
            </w:r>
          </w:p>
          <w:p w14:paraId="07B39470" w14:textId="77777777" w:rsidR="00887F11" w:rsidRPr="00D81DC4" w:rsidRDefault="00887F11" w:rsidP="00B331E1">
            <w:pPr>
              <w:pStyle w:val="ListParagraph"/>
              <w:numPr>
                <w:ilvl w:val="0"/>
                <w:numId w:val="27"/>
              </w:numPr>
              <w:suppressAutoHyphens w:val="0"/>
              <w:spacing w:after="0" w:line="278"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MELQI Adviser</w:t>
            </w:r>
          </w:p>
          <w:p w14:paraId="0F524377" w14:textId="77777777" w:rsidR="00887F11" w:rsidRPr="00D81DC4" w:rsidRDefault="00887F11" w:rsidP="00B331E1">
            <w:pPr>
              <w:pStyle w:val="ListParagraph"/>
              <w:numPr>
                <w:ilvl w:val="0"/>
                <w:numId w:val="27"/>
              </w:numPr>
              <w:suppressAutoHyphens w:val="0"/>
              <w:spacing w:after="0" w:line="278"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IT/KM Officer</w:t>
            </w:r>
          </w:p>
          <w:p w14:paraId="61F2D73D" w14:textId="77777777" w:rsidR="00887F11" w:rsidRPr="00D81DC4" w:rsidRDefault="00887F11" w:rsidP="00B331E1">
            <w:pPr>
              <w:pStyle w:val="ListParagraph"/>
              <w:numPr>
                <w:ilvl w:val="0"/>
                <w:numId w:val="27"/>
              </w:numPr>
              <w:suppressAutoHyphens w:val="0"/>
              <w:spacing w:after="0" w:line="278"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Finance and Admin Manager</w:t>
            </w:r>
          </w:p>
        </w:tc>
        <w:tc>
          <w:tcPr>
            <w:tcW w:w="1234" w:type="pct"/>
          </w:tcPr>
          <w:p w14:paraId="3C38230A"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Program Director – 7 days</w:t>
            </w:r>
          </w:p>
          <w:p w14:paraId="50A51557"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Tertiary Education Adviser – 20 days</w:t>
            </w:r>
          </w:p>
          <w:p w14:paraId="68309B38"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Senior Program Officer – 15 days</w:t>
            </w:r>
          </w:p>
          <w:p w14:paraId="2BBFB3C6"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MELQI Adviser – 5 days</w:t>
            </w:r>
          </w:p>
          <w:p w14:paraId="74607324"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IT/KM officer – 7 days</w:t>
            </w:r>
          </w:p>
          <w:p w14:paraId="332E1F78"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Finance and Admin Manager – 10 days</w:t>
            </w:r>
          </w:p>
        </w:tc>
        <w:tc>
          <w:tcPr>
            <w:tcW w:w="1600" w:type="pct"/>
          </w:tcPr>
          <w:p w14:paraId="0B7A0DF2"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 xml:space="preserve">Consultation meetings with the concerned agencies targeted for this activity to determine </w:t>
            </w:r>
            <w:r w:rsidRPr="00D81DC4">
              <w:rPr>
                <w:rFonts w:cs="Calibri"/>
                <w:sz w:val="20"/>
                <w:szCs w:val="20"/>
              </w:rPr>
              <w:lastRenderedPageBreak/>
              <w:t>specific training needs in the context of their request.</w:t>
            </w:r>
          </w:p>
          <w:p w14:paraId="6475BE1A"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Consultation meetings with Australia Broadcasting Corporation on the customisation of the training design and admin support of the activity for Australia and in country activities.</w:t>
            </w:r>
          </w:p>
          <w:p w14:paraId="140AC656"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Coordination, admin and logistic support with target government agencies and their respective participants.</w:t>
            </w:r>
          </w:p>
          <w:p w14:paraId="7C679161"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Preparation and conduct pre-departure briefing with the LSP.</w:t>
            </w:r>
          </w:p>
          <w:p w14:paraId="2C4122A9" w14:textId="0D10DC5D"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Monitoring the progress of the in- country training and coaching.</w:t>
            </w:r>
            <w:r w:rsidR="0078429F" w:rsidRPr="00D81DC4">
              <w:rPr>
                <w:rFonts w:cs="Calibri"/>
                <w:sz w:val="20"/>
                <w:szCs w:val="20"/>
              </w:rPr>
              <w:t xml:space="preserve"> </w:t>
            </w:r>
            <w:r w:rsidRPr="00D81DC4">
              <w:rPr>
                <w:rFonts w:cs="Calibri"/>
                <w:sz w:val="20"/>
                <w:szCs w:val="20"/>
              </w:rPr>
              <w:t>Monitoring</w:t>
            </w:r>
          </w:p>
          <w:p w14:paraId="59DB80F0"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Review of inception, completion and REAP implementation reports</w:t>
            </w:r>
          </w:p>
        </w:tc>
      </w:tr>
      <w:tr w:rsidR="00226C43" w:rsidRPr="00226C43" w14:paraId="0944E4E7" w14:textId="77777777" w:rsidTr="00764A92">
        <w:tc>
          <w:tcPr>
            <w:cnfStyle w:val="001000000000" w:firstRow="0" w:lastRow="0" w:firstColumn="1" w:lastColumn="0" w:oddVBand="0" w:evenVBand="0" w:oddHBand="0" w:evenHBand="0" w:firstRowFirstColumn="0" w:firstRowLastColumn="0" w:lastRowFirstColumn="0" w:lastRowLastColumn="0"/>
            <w:tcW w:w="1157" w:type="pct"/>
          </w:tcPr>
          <w:p w14:paraId="58B2482B" w14:textId="77777777" w:rsidR="00887F11" w:rsidRPr="00D81DC4" w:rsidRDefault="00887F11" w:rsidP="00B331E1">
            <w:pPr>
              <w:spacing w:after="0"/>
              <w:rPr>
                <w:rFonts w:cs="Calibri"/>
                <w:b w:val="0"/>
                <w:sz w:val="20"/>
                <w:szCs w:val="20"/>
              </w:rPr>
            </w:pPr>
            <w:r w:rsidRPr="00D81DC4">
              <w:rPr>
                <w:rFonts w:cs="Calibri"/>
                <w:b w:val="0"/>
                <w:sz w:val="20"/>
                <w:szCs w:val="20"/>
              </w:rPr>
              <w:lastRenderedPageBreak/>
              <w:t>Media Benchmarking Study Freedom of Information and Human Rights</w:t>
            </w:r>
          </w:p>
          <w:p w14:paraId="4A876EBD" w14:textId="77777777" w:rsidR="00887F11" w:rsidRPr="00D81DC4" w:rsidRDefault="00887F11" w:rsidP="00B331E1">
            <w:pPr>
              <w:spacing w:after="0"/>
              <w:rPr>
                <w:rFonts w:cs="Calibri"/>
                <w:b w:val="0"/>
                <w:i/>
                <w:sz w:val="20"/>
                <w:szCs w:val="20"/>
              </w:rPr>
            </w:pPr>
            <w:r w:rsidRPr="00D81DC4">
              <w:rPr>
                <w:rFonts w:cs="Calibri"/>
                <w:b w:val="0"/>
                <w:i/>
                <w:sz w:val="20"/>
                <w:szCs w:val="20"/>
              </w:rPr>
              <w:t>Study Date: March 5 to 12, 2023 (Australia)</w:t>
            </w:r>
          </w:p>
          <w:p w14:paraId="48B02FB0" w14:textId="77777777" w:rsidR="00887F11" w:rsidRPr="00D81DC4" w:rsidRDefault="00887F11" w:rsidP="00B331E1">
            <w:pPr>
              <w:spacing w:after="0"/>
              <w:rPr>
                <w:rFonts w:cs="Calibri"/>
                <w:b w:val="0"/>
                <w:i/>
                <w:sz w:val="20"/>
                <w:szCs w:val="20"/>
              </w:rPr>
            </w:pPr>
          </w:p>
          <w:p w14:paraId="2A22436A" w14:textId="77777777" w:rsidR="00887F11" w:rsidRPr="00D81DC4" w:rsidRDefault="00887F11" w:rsidP="00B331E1">
            <w:pPr>
              <w:spacing w:after="0"/>
              <w:rPr>
                <w:rFonts w:cs="Calibri"/>
                <w:b w:val="0"/>
                <w:i/>
                <w:sz w:val="20"/>
                <w:szCs w:val="20"/>
              </w:rPr>
            </w:pPr>
            <w:r w:rsidRPr="00D81DC4">
              <w:rPr>
                <w:rFonts w:cs="Calibri"/>
                <w:b w:val="0"/>
                <w:i/>
                <w:sz w:val="20"/>
                <w:szCs w:val="20"/>
              </w:rPr>
              <w:t>Name of LSP: Griffith University</w:t>
            </w:r>
          </w:p>
          <w:p w14:paraId="7F80F021" w14:textId="77777777" w:rsidR="00887F11" w:rsidRPr="00D81DC4" w:rsidRDefault="00887F11" w:rsidP="00B331E1">
            <w:pPr>
              <w:spacing w:after="0"/>
              <w:rPr>
                <w:rFonts w:cs="Calibri"/>
                <w:b w:val="0"/>
                <w:i/>
                <w:sz w:val="20"/>
                <w:szCs w:val="20"/>
              </w:rPr>
            </w:pPr>
          </w:p>
          <w:p w14:paraId="10890BCA" w14:textId="77777777" w:rsidR="00887F11" w:rsidRPr="00D81DC4" w:rsidRDefault="00887F11" w:rsidP="00B331E1">
            <w:pPr>
              <w:spacing w:after="0"/>
              <w:rPr>
                <w:rFonts w:cs="Calibri"/>
                <w:b w:val="0"/>
                <w:i/>
                <w:sz w:val="20"/>
                <w:szCs w:val="20"/>
              </w:rPr>
            </w:pPr>
            <w:r w:rsidRPr="00D81DC4">
              <w:rPr>
                <w:rFonts w:cs="Calibri"/>
                <w:b w:val="0"/>
                <w:i/>
                <w:sz w:val="20"/>
                <w:szCs w:val="20"/>
              </w:rPr>
              <w:t>Organisations/Agencies trained:</w:t>
            </w:r>
          </w:p>
          <w:p w14:paraId="6BD28214" w14:textId="36CFF07E" w:rsidR="00887F11" w:rsidRPr="00D81DC4" w:rsidRDefault="00887F11" w:rsidP="00B331E1">
            <w:pPr>
              <w:spacing w:after="0"/>
              <w:rPr>
                <w:rFonts w:cs="Calibri"/>
                <w:b w:val="0"/>
                <w:i/>
                <w:sz w:val="20"/>
                <w:szCs w:val="20"/>
              </w:rPr>
            </w:pPr>
            <w:r w:rsidRPr="00D81DC4">
              <w:rPr>
                <w:rFonts w:cs="Calibri"/>
                <w:b w:val="0"/>
                <w:i/>
                <w:sz w:val="20"/>
                <w:szCs w:val="20"/>
              </w:rPr>
              <w:t>Philippine Daily Inquirer;</w:t>
            </w:r>
            <w:r w:rsidR="00DB35F7">
              <w:rPr>
                <w:rFonts w:cs="Calibri"/>
                <w:b w:val="0"/>
                <w:i/>
                <w:sz w:val="20"/>
                <w:szCs w:val="20"/>
              </w:rPr>
              <w:t xml:space="preserve"> </w:t>
            </w:r>
            <w:r w:rsidRPr="00D81DC4">
              <w:rPr>
                <w:rFonts w:cs="Calibri"/>
                <w:b w:val="0"/>
                <w:i/>
                <w:sz w:val="20"/>
                <w:szCs w:val="20"/>
              </w:rPr>
              <w:t>PhilStar.com;</w:t>
            </w:r>
            <w:r w:rsidR="00DB35F7">
              <w:rPr>
                <w:rFonts w:cs="Calibri"/>
                <w:b w:val="0"/>
                <w:i/>
                <w:sz w:val="20"/>
                <w:szCs w:val="20"/>
              </w:rPr>
              <w:t xml:space="preserve"> </w:t>
            </w:r>
            <w:r w:rsidRPr="00D81DC4">
              <w:rPr>
                <w:rFonts w:cs="Calibri"/>
                <w:b w:val="0"/>
                <w:i/>
                <w:sz w:val="20"/>
                <w:szCs w:val="20"/>
              </w:rPr>
              <w:t xml:space="preserve">Rappler; </w:t>
            </w:r>
            <w:proofErr w:type="spellStart"/>
            <w:proofErr w:type="gramStart"/>
            <w:r w:rsidRPr="00D81DC4">
              <w:rPr>
                <w:rFonts w:cs="Calibri"/>
                <w:b w:val="0"/>
                <w:i/>
                <w:sz w:val="20"/>
                <w:szCs w:val="20"/>
              </w:rPr>
              <w:t>MindaNews</w:t>
            </w:r>
            <w:proofErr w:type="spellEnd"/>
            <w:r w:rsidRPr="00D81DC4">
              <w:rPr>
                <w:rFonts w:cs="Calibri"/>
                <w:b w:val="0"/>
                <w:i/>
                <w:sz w:val="20"/>
                <w:szCs w:val="20"/>
              </w:rPr>
              <w:t>;</w:t>
            </w:r>
            <w:proofErr w:type="gramEnd"/>
          </w:p>
          <w:p w14:paraId="5CD74746" w14:textId="04F31D3F" w:rsidR="00887F11" w:rsidRPr="00D81DC4" w:rsidRDefault="00887F11" w:rsidP="00B331E1">
            <w:pPr>
              <w:spacing w:after="0"/>
              <w:rPr>
                <w:rFonts w:cs="Calibri"/>
                <w:b w:val="0"/>
                <w:i/>
                <w:sz w:val="20"/>
                <w:szCs w:val="20"/>
              </w:rPr>
            </w:pPr>
            <w:r w:rsidRPr="00D81DC4">
              <w:rPr>
                <w:rFonts w:cs="Calibri"/>
                <w:b w:val="0"/>
                <w:i/>
                <w:sz w:val="20"/>
                <w:szCs w:val="20"/>
              </w:rPr>
              <w:t>GMA News,</w:t>
            </w:r>
            <w:r w:rsidR="00DB35F7">
              <w:rPr>
                <w:rFonts w:cs="Calibri"/>
                <w:b w:val="0"/>
                <w:i/>
                <w:sz w:val="20"/>
                <w:szCs w:val="20"/>
              </w:rPr>
              <w:t xml:space="preserve"> </w:t>
            </w:r>
            <w:r w:rsidRPr="00D81DC4">
              <w:rPr>
                <w:rFonts w:cs="Calibri"/>
                <w:b w:val="0"/>
                <w:i/>
                <w:sz w:val="20"/>
                <w:szCs w:val="20"/>
              </w:rPr>
              <w:t>ABS CBN News</w:t>
            </w:r>
          </w:p>
          <w:p w14:paraId="7E105DE8" w14:textId="6D431D62" w:rsidR="00887F11" w:rsidRPr="00D81DC4" w:rsidRDefault="00887F11" w:rsidP="00DB35F7">
            <w:pPr>
              <w:spacing w:after="0"/>
              <w:rPr>
                <w:rFonts w:cs="Calibri"/>
                <w:b w:val="0"/>
                <w:i/>
                <w:sz w:val="20"/>
                <w:szCs w:val="20"/>
              </w:rPr>
            </w:pPr>
            <w:r w:rsidRPr="00D81DC4">
              <w:rPr>
                <w:rFonts w:cs="Calibri"/>
                <w:b w:val="0"/>
                <w:i/>
                <w:sz w:val="20"/>
                <w:szCs w:val="20"/>
              </w:rPr>
              <w:t xml:space="preserve">Philippine </w:t>
            </w:r>
            <w:proofErr w:type="spellStart"/>
            <w:r w:rsidRPr="00D81DC4">
              <w:rPr>
                <w:rFonts w:cs="Calibri"/>
                <w:b w:val="0"/>
                <w:i/>
                <w:sz w:val="20"/>
                <w:szCs w:val="20"/>
              </w:rPr>
              <w:t>Center</w:t>
            </w:r>
            <w:proofErr w:type="spellEnd"/>
            <w:r w:rsidRPr="00D81DC4">
              <w:rPr>
                <w:rFonts w:cs="Calibri"/>
                <w:b w:val="0"/>
                <w:i/>
                <w:sz w:val="20"/>
                <w:szCs w:val="20"/>
              </w:rPr>
              <w:t xml:space="preserve"> for Investigative Journalism;</w:t>
            </w:r>
            <w:r w:rsidR="00DB35F7">
              <w:rPr>
                <w:rFonts w:cs="Calibri"/>
                <w:b w:val="0"/>
                <w:i/>
                <w:sz w:val="20"/>
                <w:szCs w:val="20"/>
              </w:rPr>
              <w:t xml:space="preserve"> </w:t>
            </w:r>
            <w:r w:rsidRPr="00D81DC4">
              <w:rPr>
                <w:rFonts w:cs="Calibri"/>
                <w:b w:val="0"/>
                <w:i/>
                <w:sz w:val="20"/>
                <w:szCs w:val="20"/>
              </w:rPr>
              <w:t>Daily Guardian</w:t>
            </w:r>
          </w:p>
        </w:tc>
        <w:tc>
          <w:tcPr>
            <w:tcW w:w="1009" w:type="pct"/>
          </w:tcPr>
          <w:p w14:paraId="54EF7B80" w14:textId="77777777" w:rsidR="00887F11" w:rsidRPr="00D81DC4" w:rsidRDefault="00887F11" w:rsidP="00B331E1">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Six (6)</w:t>
            </w:r>
          </w:p>
          <w:p w14:paraId="0261BED6" w14:textId="77777777" w:rsidR="00887F11" w:rsidRPr="00D81DC4" w:rsidRDefault="00887F11" w:rsidP="00B331E1">
            <w:pPr>
              <w:pStyle w:val="ListParagraph"/>
              <w:numPr>
                <w:ilvl w:val="0"/>
                <w:numId w:val="27"/>
              </w:numPr>
              <w:suppressAutoHyphens w:val="0"/>
              <w:spacing w:after="0" w:line="278"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Program Director</w:t>
            </w:r>
          </w:p>
          <w:p w14:paraId="7AE2C957" w14:textId="77777777" w:rsidR="00887F11" w:rsidRPr="00D81DC4" w:rsidRDefault="00887F11" w:rsidP="00B331E1">
            <w:pPr>
              <w:pStyle w:val="ListParagraph"/>
              <w:numPr>
                <w:ilvl w:val="0"/>
                <w:numId w:val="27"/>
              </w:numPr>
              <w:suppressAutoHyphens w:val="0"/>
              <w:spacing w:after="0" w:line="278"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Tertiary Education Adviser</w:t>
            </w:r>
          </w:p>
          <w:p w14:paraId="69531840" w14:textId="77777777" w:rsidR="00887F11" w:rsidRPr="00D81DC4" w:rsidRDefault="00887F11" w:rsidP="00B331E1">
            <w:pPr>
              <w:pStyle w:val="ListParagraph"/>
              <w:numPr>
                <w:ilvl w:val="0"/>
                <w:numId w:val="27"/>
              </w:numPr>
              <w:suppressAutoHyphens w:val="0"/>
              <w:spacing w:after="0" w:line="278"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Senior Program Officer for Short Course</w:t>
            </w:r>
          </w:p>
          <w:p w14:paraId="33D63394" w14:textId="77777777" w:rsidR="00887F11" w:rsidRPr="00D81DC4" w:rsidRDefault="00887F11" w:rsidP="00B331E1">
            <w:pPr>
              <w:pStyle w:val="ListParagraph"/>
              <w:numPr>
                <w:ilvl w:val="0"/>
                <w:numId w:val="27"/>
              </w:numPr>
              <w:suppressAutoHyphens w:val="0"/>
              <w:spacing w:after="0" w:line="278"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MELQI Adviser</w:t>
            </w:r>
          </w:p>
          <w:p w14:paraId="3B8596EC" w14:textId="77777777" w:rsidR="00887F11" w:rsidRPr="00D81DC4" w:rsidRDefault="00887F11" w:rsidP="00B331E1">
            <w:pPr>
              <w:pStyle w:val="ListParagraph"/>
              <w:numPr>
                <w:ilvl w:val="0"/>
                <w:numId w:val="27"/>
              </w:numPr>
              <w:suppressAutoHyphens w:val="0"/>
              <w:spacing w:after="0" w:line="278"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IT/KM Officer</w:t>
            </w:r>
          </w:p>
          <w:p w14:paraId="0EFBB3A1" w14:textId="77777777" w:rsidR="00887F11" w:rsidRPr="00D81DC4" w:rsidRDefault="00887F11" w:rsidP="00B331E1">
            <w:pPr>
              <w:pStyle w:val="ListParagraph"/>
              <w:numPr>
                <w:ilvl w:val="0"/>
                <w:numId w:val="27"/>
              </w:numPr>
              <w:suppressAutoHyphens w:val="0"/>
              <w:spacing w:after="0" w:line="278"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Finance and Admin Manager</w:t>
            </w:r>
          </w:p>
        </w:tc>
        <w:tc>
          <w:tcPr>
            <w:tcW w:w="1234" w:type="pct"/>
          </w:tcPr>
          <w:p w14:paraId="6926DD6F"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Program Director – 3 days</w:t>
            </w:r>
          </w:p>
          <w:p w14:paraId="1309E323"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Tertiary Education Adviser – 15 days</w:t>
            </w:r>
          </w:p>
          <w:p w14:paraId="7D5B7A32"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Senior Program Officer – 15 days</w:t>
            </w:r>
          </w:p>
          <w:p w14:paraId="396BD11E"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MELQI Adviser – 3 days</w:t>
            </w:r>
          </w:p>
          <w:p w14:paraId="78423699"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IT/KM Officer – 3 days</w:t>
            </w:r>
          </w:p>
          <w:p w14:paraId="1F358F75" w14:textId="77777777" w:rsidR="00887F11" w:rsidRPr="00D81DC4" w:rsidRDefault="00887F11" w:rsidP="00B331E1">
            <w:pPr>
              <w:pStyle w:val="ListParagraph"/>
              <w:numPr>
                <w:ilvl w:val="0"/>
                <w:numId w:val="27"/>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Finance and Admin Manager – 10 days</w:t>
            </w:r>
          </w:p>
        </w:tc>
        <w:tc>
          <w:tcPr>
            <w:tcW w:w="1600" w:type="pct"/>
          </w:tcPr>
          <w:p w14:paraId="64CD495A" w14:textId="77777777" w:rsidR="00887F11" w:rsidRPr="00D81DC4" w:rsidRDefault="00887F11" w:rsidP="00B331E1">
            <w:pPr>
              <w:pStyle w:val="ListParagraph"/>
              <w:numPr>
                <w:ilvl w:val="0"/>
                <w:numId w:val="24"/>
              </w:numPr>
              <w:suppressAutoHyphens w:val="0"/>
              <w:spacing w:after="0" w:line="278" w:lineRule="auto"/>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Consultation meetings with concerned DFAT officials regarding their expectations of the activity and the development of the TOR.</w:t>
            </w:r>
          </w:p>
          <w:p w14:paraId="3283F755" w14:textId="77777777" w:rsidR="00887F11" w:rsidRPr="00D81DC4" w:rsidRDefault="00887F11" w:rsidP="00B331E1">
            <w:pPr>
              <w:pStyle w:val="ListParagraph"/>
              <w:numPr>
                <w:ilvl w:val="0"/>
                <w:numId w:val="24"/>
              </w:numPr>
              <w:suppressAutoHyphens w:val="0"/>
              <w:spacing w:after="0" w:line="278" w:lineRule="auto"/>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Development of the RFT and TOR.</w:t>
            </w:r>
          </w:p>
          <w:p w14:paraId="0BB45877" w14:textId="77777777" w:rsidR="00887F11" w:rsidRPr="00D81DC4" w:rsidRDefault="00887F11" w:rsidP="00B331E1">
            <w:pPr>
              <w:pStyle w:val="ListParagraph"/>
              <w:numPr>
                <w:ilvl w:val="0"/>
                <w:numId w:val="24"/>
              </w:numPr>
              <w:suppressAutoHyphens w:val="0"/>
              <w:spacing w:after="0" w:line="278" w:lineRule="auto"/>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Conduct of Pre-bid Conference.</w:t>
            </w:r>
          </w:p>
          <w:p w14:paraId="20B285E1" w14:textId="77777777" w:rsidR="00887F11" w:rsidRPr="00D81DC4" w:rsidRDefault="00887F11" w:rsidP="00B331E1">
            <w:pPr>
              <w:pStyle w:val="ListParagraph"/>
              <w:numPr>
                <w:ilvl w:val="0"/>
                <w:numId w:val="24"/>
              </w:numPr>
              <w:suppressAutoHyphens w:val="0"/>
              <w:spacing w:after="0" w:line="278" w:lineRule="auto"/>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Preparation for the open tender process</w:t>
            </w:r>
          </w:p>
          <w:p w14:paraId="7BC6C880"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Conduct the Tender Assessment Panel</w:t>
            </w:r>
          </w:p>
          <w:p w14:paraId="1406C672"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Coordination, admin and logistic support with target government agencies/participants</w:t>
            </w:r>
          </w:p>
          <w:p w14:paraId="62F7C546"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Prepare and conduct a pre-departure briefing with the LSP.</w:t>
            </w:r>
          </w:p>
          <w:p w14:paraId="565801AB"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Review of the completion report</w:t>
            </w:r>
          </w:p>
        </w:tc>
      </w:tr>
      <w:tr w:rsidR="00226C43" w:rsidRPr="00226C43" w14:paraId="533CDF6B" w14:textId="77777777" w:rsidTr="00764A92">
        <w:tc>
          <w:tcPr>
            <w:cnfStyle w:val="001000000000" w:firstRow="0" w:lastRow="0" w:firstColumn="1" w:lastColumn="0" w:oddVBand="0" w:evenVBand="0" w:oddHBand="0" w:evenHBand="0" w:firstRowFirstColumn="0" w:firstRowLastColumn="0" w:lastRowFirstColumn="0" w:lastRowLastColumn="0"/>
            <w:tcW w:w="1157" w:type="pct"/>
          </w:tcPr>
          <w:p w14:paraId="330E14FC" w14:textId="77777777" w:rsidR="00887F11" w:rsidRPr="00D81DC4" w:rsidRDefault="00887F11" w:rsidP="00B331E1">
            <w:pPr>
              <w:spacing w:after="0" w:line="240" w:lineRule="atLeast"/>
              <w:rPr>
                <w:rFonts w:cs="Calibri"/>
                <w:b w:val="0"/>
                <w:sz w:val="20"/>
                <w:szCs w:val="20"/>
              </w:rPr>
            </w:pPr>
            <w:r w:rsidRPr="00D81DC4">
              <w:rPr>
                <w:rFonts w:cs="Calibri"/>
                <w:b w:val="0"/>
                <w:sz w:val="20"/>
                <w:szCs w:val="20"/>
              </w:rPr>
              <w:lastRenderedPageBreak/>
              <w:t xml:space="preserve">Taste of Australia </w:t>
            </w:r>
            <w:r w:rsidRPr="00D81DC4">
              <w:rPr>
                <w:rFonts w:cs="Calibri"/>
                <w:b w:val="0"/>
                <w:sz w:val="20"/>
                <w:szCs w:val="20"/>
              </w:rPr>
              <w:br/>
            </w:r>
            <w:r w:rsidRPr="00D81DC4">
              <w:rPr>
                <w:rFonts w:cs="Calibri"/>
                <w:b w:val="0"/>
                <w:sz w:val="20"/>
                <w:szCs w:val="20"/>
              </w:rPr>
              <w:br/>
              <w:t xml:space="preserve">Taste of Australia and the Philippines is a series of events (e.g., book signing, cooking demo, instructions, masterclass for culinary students) that highlight Filipino cuisine with a taste of Australia by Yasmin Newman, a </w:t>
            </w:r>
            <w:proofErr w:type="gramStart"/>
            <w:r w:rsidRPr="00D81DC4">
              <w:rPr>
                <w:rFonts w:cs="Calibri"/>
                <w:b w:val="0"/>
                <w:sz w:val="20"/>
                <w:szCs w:val="20"/>
              </w:rPr>
              <w:t>Filipino-Australian</w:t>
            </w:r>
            <w:proofErr w:type="gramEnd"/>
            <w:r w:rsidRPr="00D81DC4">
              <w:rPr>
                <w:rFonts w:cs="Calibri"/>
                <w:b w:val="0"/>
                <w:sz w:val="20"/>
                <w:szCs w:val="20"/>
              </w:rPr>
              <w:t xml:space="preserve"> food and travel content creator, cookbook author, and businesswoman. Yasmin shared well-loved Filipino dishes using Australian ingredients from her cookbook Under the Coconut Skies: Feasts and Stories from the Philippines.</w:t>
            </w:r>
            <w:r w:rsidRPr="00D81DC4">
              <w:rPr>
                <w:rFonts w:cs="Calibri"/>
                <w:b w:val="0"/>
                <w:sz w:val="20"/>
                <w:szCs w:val="20"/>
              </w:rPr>
              <w:br/>
            </w:r>
          </w:p>
          <w:p w14:paraId="3E47E1B0" w14:textId="77777777" w:rsidR="00887F11" w:rsidRPr="00D81DC4" w:rsidRDefault="00887F11" w:rsidP="00B331E1">
            <w:pPr>
              <w:spacing w:after="0"/>
              <w:rPr>
                <w:rFonts w:cs="Calibri"/>
                <w:b w:val="0"/>
                <w:sz w:val="20"/>
                <w:szCs w:val="20"/>
              </w:rPr>
            </w:pPr>
            <w:r w:rsidRPr="00D81DC4">
              <w:rPr>
                <w:rFonts w:cs="Calibri"/>
                <w:b w:val="0"/>
                <w:i/>
                <w:sz w:val="20"/>
                <w:szCs w:val="20"/>
              </w:rPr>
              <w:t>18-22 April 2023</w:t>
            </w:r>
            <w:r w:rsidRPr="00D81DC4">
              <w:rPr>
                <w:rFonts w:cs="Calibri"/>
                <w:b w:val="0"/>
                <w:i/>
                <w:sz w:val="20"/>
                <w:szCs w:val="20"/>
              </w:rPr>
              <w:br/>
            </w:r>
          </w:p>
        </w:tc>
        <w:tc>
          <w:tcPr>
            <w:tcW w:w="1009" w:type="pct"/>
          </w:tcPr>
          <w:p w14:paraId="66A9E41E" w14:textId="77777777" w:rsidR="00887F11" w:rsidRPr="00D81DC4" w:rsidRDefault="00887F11" w:rsidP="00B331E1">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Ten (10)</w:t>
            </w:r>
          </w:p>
          <w:p w14:paraId="1EA1422B" w14:textId="77777777" w:rsidR="00887F11" w:rsidRPr="00D81DC4" w:rsidRDefault="00887F11" w:rsidP="00B331E1">
            <w:pPr>
              <w:pStyle w:val="ListParagraph"/>
              <w:numPr>
                <w:ilvl w:val="0"/>
                <w:numId w:val="28"/>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Program Director</w:t>
            </w:r>
          </w:p>
          <w:p w14:paraId="2B743B59" w14:textId="77777777" w:rsidR="00887F11" w:rsidRPr="00D81DC4" w:rsidRDefault="00887F11" w:rsidP="00B331E1">
            <w:pPr>
              <w:pStyle w:val="ListParagraph"/>
              <w:numPr>
                <w:ilvl w:val="0"/>
                <w:numId w:val="28"/>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Senior Project Manager (AE)</w:t>
            </w:r>
          </w:p>
          <w:p w14:paraId="25158300" w14:textId="77777777" w:rsidR="00887F11" w:rsidRPr="00D81DC4" w:rsidRDefault="00887F11" w:rsidP="00B331E1">
            <w:pPr>
              <w:pStyle w:val="ListParagraph"/>
              <w:numPr>
                <w:ilvl w:val="0"/>
                <w:numId w:val="28"/>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Project Officer (AE)</w:t>
            </w:r>
          </w:p>
          <w:p w14:paraId="454F5D48" w14:textId="77777777" w:rsidR="00887F11" w:rsidRPr="00D81DC4" w:rsidRDefault="00887F11" w:rsidP="00B331E1">
            <w:pPr>
              <w:pStyle w:val="ListParagraph"/>
              <w:numPr>
                <w:ilvl w:val="0"/>
                <w:numId w:val="28"/>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Finance and Admin Manager</w:t>
            </w:r>
          </w:p>
          <w:p w14:paraId="10BA7B89" w14:textId="77777777" w:rsidR="00887F11" w:rsidRPr="00D81DC4" w:rsidRDefault="00887F11" w:rsidP="00B331E1">
            <w:pPr>
              <w:pStyle w:val="ListParagraph"/>
              <w:numPr>
                <w:ilvl w:val="0"/>
                <w:numId w:val="28"/>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2 Finance and Admin Staff (Manila &amp; Davao)</w:t>
            </w:r>
          </w:p>
          <w:p w14:paraId="5D21EB38" w14:textId="77777777" w:rsidR="00887F11" w:rsidRPr="00D81DC4" w:rsidRDefault="00887F11" w:rsidP="00B331E1">
            <w:pPr>
              <w:pStyle w:val="ListParagraph"/>
              <w:numPr>
                <w:ilvl w:val="0"/>
                <w:numId w:val="28"/>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Communications Manager,</w:t>
            </w:r>
          </w:p>
          <w:p w14:paraId="7949A2E0" w14:textId="77777777" w:rsidR="00887F11" w:rsidRPr="00D81DC4" w:rsidRDefault="00887F11" w:rsidP="00B331E1">
            <w:pPr>
              <w:pStyle w:val="ListParagraph"/>
              <w:numPr>
                <w:ilvl w:val="0"/>
                <w:numId w:val="28"/>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Communications Officer</w:t>
            </w:r>
          </w:p>
          <w:p w14:paraId="18FA5BEC" w14:textId="77777777" w:rsidR="00887F11" w:rsidRPr="00D81DC4" w:rsidRDefault="00887F11" w:rsidP="00B331E1">
            <w:pPr>
              <w:pStyle w:val="ListParagraph"/>
              <w:numPr>
                <w:ilvl w:val="0"/>
                <w:numId w:val="28"/>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IT/KM Officer</w:t>
            </w:r>
          </w:p>
          <w:p w14:paraId="57A5199E" w14:textId="77777777" w:rsidR="00887F11" w:rsidRPr="00D81DC4" w:rsidRDefault="00887F11" w:rsidP="00B331E1">
            <w:pPr>
              <w:pStyle w:val="ListParagraph"/>
              <w:numPr>
                <w:ilvl w:val="0"/>
                <w:numId w:val="28"/>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Admin Staff (Davao)</w:t>
            </w:r>
          </w:p>
        </w:tc>
        <w:tc>
          <w:tcPr>
            <w:tcW w:w="1234" w:type="pct"/>
          </w:tcPr>
          <w:p w14:paraId="73D494AB" w14:textId="77777777" w:rsidR="00887F11" w:rsidRPr="00D81DC4" w:rsidRDefault="00887F11" w:rsidP="00B331E1">
            <w:pPr>
              <w:pStyle w:val="ListParagraph"/>
              <w:numPr>
                <w:ilvl w:val="0"/>
                <w:numId w:val="28"/>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 xml:space="preserve">Program Director – 10 days </w:t>
            </w:r>
          </w:p>
          <w:p w14:paraId="3D584EE5" w14:textId="77777777" w:rsidR="00887F11" w:rsidRPr="00D81DC4" w:rsidRDefault="00887F11" w:rsidP="00B331E1">
            <w:pPr>
              <w:pStyle w:val="ListParagraph"/>
              <w:numPr>
                <w:ilvl w:val="0"/>
                <w:numId w:val="28"/>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Senior Project Manager (AE) – 30 days</w:t>
            </w:r>
          </w:p>
          <w:p w14:paraId="7FD77AE2" w14:textId="77777777" w:rsidR="00887F11" w:rsidRPr="00D81DC4" w:rsidRDefault="00887F11" w:rsidP="00B331E1">
            <w:pPr>
              <w:pStyle w:val="ListParagraph"/>
              <w:numPr>
                <w:ilvl w:val="0"/>
                <w:numId w:val="28"/>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Project Officer (AE) – 30 days</w:t>
            </w:r>
          </w:p>
          <w:p w14:paraId="08922C30" w14:textId="77777777" w:rsidR="00887F11" w:rsidRPr="00D81DC4" w:rsidRDefault="00887F11" w:rsidP="00B331E1">
            <w:pPr>
              <w:pStyle w:val="ListParagraph"/>
              <w:numPr>
                <w:ilvl w:val="0"/>
                <w:numId w:val="28"/>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Finance and Admin Manager – 10 days</w:t>
            </w:r>
          </w:p>
          <w:p w14:paraId="6AB5D91E" w14:textId="77777777" w:rsidR="00887F11" w:rsidRPr="00D81DC4" w:rsidRDefault="00887F11" w:rsidP="00B331E1">
            <w:pPr>
              <w:pStyle w:val="ListParagraph"/>
              <w:numPr>
                <w:ilvl w:val="0"/>
                <w:numId w:val="28"/>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Finance and Admin Staff (Manila &amp; Davao) – 10 days</w:t>
            </w:r>
          </w:p>
          <w:p w14:paraId="5D575021" w14:textId="77777777" w:rsidR="00887F11" w:rsidRPr="00D81DC4" w:rsidRDefault="00887F11" w:rsidP="00B331E1">
            <w:pPr>
              <w:pStyle w:val="ListParagraph"/>
              <w:numPr>
                <w:ilvl w:val="0"/>
                <w:numId w:val="28"/>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Communications Manager – 15 days</w:t>
            </w:r>
          </w:p>
          <w:p w14:paraId="79A9E1F8" w14:textId="77777777" w:rsidR="00887F11" w:rsidRPr="00D81DC4" w:rsidRDefault="00887F11" w:rsidP="00B331E1">
            <w:pPr>
              <w:pStyle w:val="ListParagraph"/>
              <w:numPr>
                <w:ilvl w:val="0"/>
                <w:numId w:val="28"/>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Communications Officer – 15 days</w:t>
            </w:r>
          </w:p>
          <w:p w14:paraId="054EDB16" w14:textId="77777777" w:rsidR="00887F11" w:rsidRPr="00D81DC4" w:rsidRDefault="00887F11" w:rsidP="00B331E1">
            <w:pPr>
              <w:pStyle w:val="ListParagraph"/>
              <w:numPr>
                <w:ilvl w:val="0"/>
                <w:numId w:val="28"/>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IT/KM Officer – 5 days</w:t>
            </w:r>
          </w:p>
          <w:p w14:paraId="3D37955D" w14:textId="77777777" w:rsidR="00887F11" w:rsidRPr="00D81DC4" w:rsidRDefault="00887F11" w:rsidP="00B331E1">
            <w:pPr>
              <w:pStyle w:val="ListParagraph"/>
              <w:numPr>
                <w:ilvl w:val="0"/>
                <w:numId w:val="28"/>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Admin Staff (Davao) – 10 days</w:t>
            </w:r>
          </w:p>
        </w:tc>
        <w:tc>
          <w:tcPr>
            <w:tcW w:w="1600" w:type="pct"/>
          </w:tcPr>
          <w:p w14:paraId="1869D75F"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D81DC4">
              <w:rPr>
                <w:rFonts w:eastAsia="Times New Roman" w:cs="Calibri"/>
                <w:sz w:val="20"/>
                <w:szCs w:val="20"/>
              </w:rPr>
              <w:t xml:space="preserve">Plan and arrange </w:t>
            </w:r>
            <w:r w:rsidRPr="00D81DC4">
              <w:rPr>
                <w:rFonts w:cs="Calibri"/>
                <w:sz w:val="20"/>
                <w:szCs w:val="20"/>
              </w:rPr>
              <w:t>logistics</w:t>
            </w:r>
            <w:r w:rsidRPr="00D81DC4">
              <w:rPr>
                <w:rFonts w:eastAsia="Times New Roman" w:cs="Calibri"/>
                <w:sz w:val="20"/>
                <w:szCs w:val="20"/>
              </w:rPr>
              <w:t xml:space="preserve"> for 6 events</w:t>
            </w:r>
          </w:p>
          <w:p w14:paraId="2F780F09" w14:textId="77777777" w:rsidR="00887F11" w:rsidRPr="00D81DC4" w:rsidRDefault="00887F11" w:rsidP="00B331E1">
            <w:pPr>
              <w:pStyle w:val="ListParagraph"/>
              <w:numPr>
                <w:ilvl w:val="0"/>
                <w:numId w:val="25"/>
              </w:numPr>
              <w:suppressAutoHyphens w:val="0"/>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D81DC4">
              <w:rPr>
                <w:rFonts w:eastAsia="Times New Roman" w:cs="Calibri"/>
                <w:sz w:val="20"/>
                <w:szCs w:val="20"/>
              </w:rPr>
              <w:t>Morning Tea with alumni at HOM’s residence</w:t>
            </w:r>
          </w:p>
          <w:p w14:paraId="2BE5969A" w14:textId="77777777" w:rsidR="00887F11" w:rsidRPr="00D81DC4" w:rsidRDefault="00887F11" w:rsidP="00B331E1">
            <w:pPr>
              <w:pStyle w:val="ListParagraph"/>
              <w:numPr>
                <w:ilvl w:val="0"/>
                <w:numId w:val="25"/>
              </w:numPr>
              <w:suppressAutoHyphens w:val="0"/>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D81DC4">
              <w:rPr>
                <w:rFonts w:eastAsia="Times New Roman" w:cs="Calibri"/>
                <w:sz w:val="20"/>
                <w:szCs w:val="20"/>
              </w:rPr>
              <w:t>Afternoon Tea with alumni at SM Aura</w:t>
            </w:r>
          </w:p>
          <w:p w14:paraId="21CF4C9E" w14:textId="77777777" w:rsidR="00887F11" w:rsidRPr="00D81DC4" w:rsidRDefault="00887F11" w:rsidP="00B331E1">
            <w:pPr>
              <w:pStyle w:val="ListParagraph"/>
              <w:numPr>
                <w:ilvl w:val="0"/>
                <w:numId w:val="25"/>
              </w:numPr>
              <w:suppressAutoHyphens w:val="0"/>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D81DC4">
              <w:rPr>
                <w:rFonts w:eastAsia="Times New Roman" w:cs="Calibri"/>
                <w:sz w:val="20"/>
                <w:szCs w:val="20"/>
              </w:rPr>
              <w:t>Masterclass at JIB Davao</w:t>
            </w:r>
          </w:p>
          <w:p w14:paraId="28BB057E" w14:textId="77777777" w:rsidR="00887F11" w:rsidRPr="00D81DC4" w:rsidRDefault="00887F11" w:rsidP="00B331E1">
            <w:pPr>
              <w:pStyle w:val="ListParagraph"/>
              <w:numPr>
                <w:ilvl w:val="0"/>
                <w:numId w:val="25"/>
              </w:numPr>
              <w:suppressAutoHyphens w:val="0"/>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D81DC4">
              <w:rPr>
                <w:rFonts w:eastAsia="Times New Roman" w:cs="Calibri"/>
                <w:sz w:val="20"/>
                <w:szCs w:val="20"/>
              </w:rPr>
              <w:t>Networking Dinner with Davao alumni at Tiny Kitchen</w:t>
            </w:r>
          </w:p>
          <w:p w14:paraId="29CE802D" w14:textId="77777777" w:rsidR="00887F11" w:rsidRPr="00D81DC4" w:rsidRDefault="00887F11" w:rsidP="00B331E1">
            <w:pPr>
              <w:pStyle w:val="ListParagraph"/>
              <w:numPr>
                <w:ilvl w:val="0"/>
                <w:numId w:val="25"/>
              </w:numPr>
              <w:suppressAutoHyphens w:val="0"/>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D81DC4">
              <w:rPr>
                <w:rFonts w:eastAsia="Times New Roman" w:cs="Calibri"/>
                <w:sz w:val="20"/>
                <w:szCs w:val="20"/>
              </w:rPr>
              <w:t>Afternoon Tea at Panco Café</w:t>
            </w:r>
          </w:p>
          <w:p w14:paraId="72180A2C" w14:textId="77777777" w:rsidR="00887F11" w:rsidRPr="00D81DC4" w:rsidRDefault="00887F11" w:rsidP="00B331E1">
            <w:pPr>
              <w:pStyle w:val="ListParagraph"/>
              <w:numPr>
                <w:ilvl w:val="0"/>
                <w:numId w:val="25"/>
              </w:numPr>
              <w:suppressAutoHyphens w:val="0"/>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D81DC4">
              <w:rPr>
                <w:rFonts w:eastAsia="Times New Roman" w:cs="Calibri"/>
                <w:sz w:val="20"/>
                <w:szCs w:val="20"/>
              </w:rPr>
              <w:t>Cook-off at Lyceum of the Phils, Batangas</w:t>
            </w:r>
          </w:p>
          <w:p w14:paraId="1F4B334C"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Design and produce collaterals for 6 events (emailer, posters &amp; exhibit boards)</w:t>
            </w:r>
          </w:p>
          <w:p w14:paraId="22FBA116"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Prepare a guest list, invite and confirm alumni participants</w:t>
            </w:r>
          </w:p>
          <w:p w14:paraId="2A5F7E7E"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Source out and engage suppliers for events and provide admin and logistic support for YN (transport, accommodation and per diem)</w:t>
            </w:r>
          </w:p>
          <w:p w14:paraId="2C8475C6"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D81DC4">
              <w:rPr>
                <w:rFonts w:eastAsia="Times New Roman" w:cs="Calibri"/>
                <w:sz w:val="20"/>
                <w:szCs w:val="20"/>
              </w:rPr>
              <w:t xml:space="preserve">Facilitate set-up, registration, program, guest interaction and egress </w:t>
            </w:r>
          </w:p>
          <w:p w14:paraId="70A70A23"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eastAsia="Times New Roman" w:cs="Calibri"/>
                <w:sz w:val="20"/>
                <w:szCs w:val="20"/>
              </w:rPr>
              <w:t>Manage photo and video documentation for all events</w:t>
            </w:r>
          </w:p>
        </w:tc>
      </w:tr>
      <w:tr w:rsidR="00226C43" w:rsidRPr="00226C43" w14:paraId="66FC4050" w14:textId="77777777" w:rsidTr="00764A92">
        <w:tc>
          <w:tcPr>
            <w:cnfStyle w:val="001000000000" w:firstRow="0" w:lastRow="0" w:firstColumn="1" w:lastColumn="0" w:oddVBand="0" w:evenVBand="0" w:oddHBand="0" w:evenHBand="0" w:firstRowFirstColumn="0" w:firstRowLastColumn="0" w:lastRowFirstColumn="0" w:lastRowLastColumn="0"/>
            <w:tcW w:w="1157" w:type="pct"/>
          </w:tcPr>
          <w:p w14:paraId="6153EBB4" w14:textId="77777777" w:rsidR="00887F11" w:rsidRPr="00D81DC4" w:rsidRDefault="00887F11" w:rsidP="00B331E1">
            <w:pPr>
              <w:spacing w:after="0" w:line="240" w:lineRule="atLeast"/>
              <w:rPr>
                <w:rFonts w:cs="Calibri"/>
                <w:b w:val="0"/>
                <w:sz w:val="20"/>
                <w:szCs w:val="20"/>
              </w:rPr>
            </w:pPr>
            <w:r w:rsidRPr="00D81DC4">
              <w:rPr>
                <w:rFonts w:cs="Calibri"/>
                <w:b w:val="0"/>
                <w:sz w:val="20"/>
                <w:szCs w:val="20"/>
              </w:rPr>
              <w:t xml:space="preserve">Australia Alumni Excellence Awards </w:t>
            </w:r>
            <w:r w:rsidRPr="00D81DC4">
              <w:rPr>
                <w:rFonts w:cs="Calibri"/>
                <w:sz w:val="20"/>
                <w:szCs w:val="20"/>
              </w:rPr>
              <w:t>Awarding Night</w:t>
            </w:r>
          </w:p>
          <w:p w14:paraId="6B863E71" w14:textId="682A9AF4" w:rsidR="00887F11" w:rsidRPr="00D81DC4" w:rsidRDefault="4DD21A85" w:rsidP="00B331E1">
            <w:pPr>
              <w:spacing w:after="0" w:line="240" w:lineRule="atLeast"/>
              <w:rPr>
                <w:rFonts w:cs="Calibri"/>
                <w:b w:val="0"/>
                <w:sz w:val="20"/>
                <w:szCs w:val="20"/>
              </w:rPr>
            </w:pPr>
            <w:r w:rsidRPr="00D81DC4">
              <w:rPr>
                <w:rFonts w:cs="Calibri"/>
                <w:b w:val="0"/>
                <w:sz w:val="20"/>
                <w:szCs w:val="20"/>
              </w:rPr>
              <w:t>(Full execution by AAAEP–P)</w:t>
            </w:r>
          </w:p>
          <w:p w14:paraId="18165E07" w14:textId="77777777" w:rsidR="00887F11" w:rsidRPr="00D81DC4" w:rsidRDefault="00887F11" w:rsidP="00B331E1">
            <w:pPr>
              <w:spacing w:after="0"/>
              <w:rPr>
                <w:rFonts w:cs="Calibri"/>
                <w:b w:val="0"/>
                <w:i/>
                <w:sz w:val="20"/>
                <w:szCs w:val="20"/>
              </w:rPr>
            </w:pPr>
            <w:r w:rsidRPr="00D81DC4">
              <w:rPr>
                <w:rFonts w:cs="Calibri"/>
                <w:b w:val="0"/>
                <w:i/>
                <w:sz w:val="20"/>
                <w:szCs w:val="20"/>
              </w:rPr>
              <w:t>26 February 2024</w:t>
            </w:r>
          </w:p>
          <w:p w14:paraId="2D21F874" w14:textId="77777777" w:rsidR="00887F11" w:rsidRPr="00D81DC4" w:rsidRDefault="00887F11" w:rsidP="00B331E1">
            <w:pPr>
              <w:spacing w:after="0"/>
              <w:rPr>
                <w:rFonts w:cs="Calibri"/>
                <w:b w:val="0"/>
                <w:i/>
                <w:sz w:val="20"/>
                <w:szCs w:val="20"/>
              </w:rPr>
            </w:pPr>
          </w:p>
          <w:p w14:paraId="0B453FAD" w14:textId="77777777" w:rsidR="00887F11" w:rsidRPr="00D81DC4" w:rsidRDefault="00887F11" w:rsidP="00B331E1">
            <w:pPr>
              <w:spacing w:after="0"/>
              <w:rPr>
                <w:rFonts w:cs="Calibri"/>
                <w:b w:val="0"/>
                <w:sz w:val="20"/>
                <w:szCs w:val="20"/>
              </w:rPr>
            </w:pPr>
            <w:r w:rsidRPr="00D81DC4">
              <w:rPr>
                <w:rFonts w:cs="Calibri"/>
                <w:b w:val="0"/>
                <w:i/>
                <w:sz w:val="20"/>
                <w:szCs w:val="20"/>
              </w:rPr>
              <w:lastRenderedPageBreak/>
              <w:t>Note: AAAEP has supported this activity for the past years because the lead group is the Embassy's public diplomacy team. In 2024, the full execution and funding were transferred to AAAEP.</w:t>
            </w:r>
            <w:r w:rsidRPr="00D81DC4">
              <w:rPr>
                <w:rFonts w:cs="Calibri"/>
                <w:b w:val="0"/>
                <w:i/>
                <w:sz w:val="20"/>
                <w:szCs w:val="20"/>
              </w:rPr>
              <w:br/>
            </w:r>
            <w:r w:rsidRPr="00D81DC4">
              <w:rPr>
                <w:rFonts w:cs="Calibri"/>
                <w:b w:val="0"/>
                <w:i/>
                <w:sz w:val="20"/>
                <w:szCs w:val="20"/>
              </w:rPr>
              <w:br/>
              <w:t>AAAEP’s main role in AEA is focused on promotion, short-listing with Post, profiling of candidates, secretariat for the panel interview, video documentation of the winners. The preparation and management of the awarding night was given to AAAEP in 2024.</w:t>
            </w:r>
          </w:p>
        </w:tc>
        <w:tc>
          <w:tcPr>
            <w:tcW w:w="1009" w:type="pct"/>
          </w:tcPr>
          <w:p w14:paraId="7AA898E6" w14:textId="77777777" w:rsidR="00887F11" w:rsidRPr="00D81DC4" w:rsidRDefault="00887F11" w:rsidP="00B331E1">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Ten (10</w:t>
            </w:r>
          </w:p>
          <w:p w14:paraId="30FEB394" w14:textId="77777777" w:rsidR="00887F11" w:rsidRPr="00D81DC4" w:rsidRDefault="00887F11" w:rsidP="00B331E1">
            <w:pPr>
              <w:pStyle w:val="ListParagraph"/>
              <w:numPr>
                <w:ilvl w:val="0"/>
                <w:numId w:val="29"/>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Program Director</w:t>
            </w:r>
          </w:p>
          <w:p w14:paraId="363C10B4" w14:textId="77777777" w:rsidR="00887F11" w:rsidRPr="00D81DC4" w:rsidRDefault="00887F11" w:rsidP="00B331E1">
            <w:pPr>
              <w:pStyle w:val="ListParagraph"/>
              <w:numPr>
                <w:ilvl w:val="0"/>
                <w:numId w:val="29"/>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Senior Project Manager (AE)</w:t>
            </w:r>
          </w:p>
          <w:p w14:paraId="39599E5C" w14:textId="77777777" w:rsidR="00887F11" w:rsidRPr="00D81DC4" w:rsidRDefault="00887F11" w:rsidP="00B331E1">
            <w:pPr>
              <w:pStyle w:val="ListParagraph"/>
              <w:numPr>
                <w:ilvl w:val="0"/>
                <w:numId w:val="29"/>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Project Officer (AE)</w:t>
            </w:r>
          </w:p>
          <w:p w14:paraId="3E1D0883" w14:textId="77777777" w:rsidR="00887F11" w:rsidRPr="00D81DC4" w:rsidRDefault="00887F11" w:rsidP="00B331E1">
            <w:pPr>
              <w:pStyle w:val="ListParagraph"/>
              <w:numPr>
                <w:ilvl w:val="0"/>
                <w:numId w:val="29"/>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Finance and Admin Manager</w:t>
            </w:r>
          </w:p>
          <w:p w14:paraId="7ADC624D" w14:textId="77777777" w:rsidR="00887F11" w:rsidRPr="00D81DC4" w:rsidRDefault="00887F11" w:rsidP="00B331E1">
            <w:pPr>
              <w:pStyle w:val="ListParagraph"/>
              <w:numPr>
                <w:ilvl w:val="0"/>
                <w:numId w:val="29"/>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Finance and Admin Staff</w:t>
            </w:r>
          </w:p>
          <w:p w14:paraId="73B42692" w14:textId="77777777" w:rsidR="00887F11" w:rsidRPr="00D81DC4" w:rsidRDefault="00887F11" w:rsidP="00B331E1">
            <w:pPr>
              <w:pStyle w:val="ListParagraph"/>
              <w:numPr>
                <w:ilvl w:val="0"/>
                <w:numId w:val="29"/>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Communications Manager</w:t>
            </w:r>
          </w:p>
          <w:p w14:paraId="61389FF4" w14:textId="77777777" w:rsidR="00887F11" w:rsidRPr="00D81DC4" w:rsidRDefault="00887F11" w:rsidP="00B331E1">
            <w:pPr>
              <w:pStyle w:val="ListParagraph"/>
              <w:numPr>
                <w:ilvl w:val="0"/>
                <w:numId w:val="29"/>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Communications Officer</w:t>
            </w:r>
          </w:p>
          <w:p w14:paraId="545D49A7" w14:textId="77777777" w:rsidR="00887F11" w:rsidRPr="00D81DC4" w:rsidRDefault="00887F11" w:rsidP="00B331E1">
            <w:pPr>
              <w:pStyle w:val="ListParagraph"/>
              <w:numPr>
                <w:ilvl w:val="0"/>
                <w:numId w:val="29"/>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IT/KM Officer</w:t>
            </w:r>
          </w:p>
          <w:p w14:paraId="19DF68BB" w14:textId="77777777" w:rsidR="00887F11" w:rsidRPr="00D81DC4" w:rsidRDefault="00887F11" w:rsidP="00B331E1">
            <w:pPr>
              <w:pStyle w:val="ListParagraph"/>
              <w:numPr>
                <w:ilvl w:val="0"/>
                <w:numId w:val="29"/>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2 Scholarships Officers</w:t>
            </w:r>
          </w:p>
        </w:tc>
        <w:tc>
          <w:tcPr>
            <w:tcW w:w="1234" w:type="pct"/>
          </w:tcPr>
          <w:p w14:paraId="2AC19857" w14:textId="77777777" w:rsidR="00887F11" w:rsidRPr="00D81DC4" w:rsidRDefault="00887F11" w:rsidP="00B331E1">
            <w:pPr>
              <w:pStyle w:val="ListParagraph"/>
              <w:numPr>
                <w:ilvl w:val="0"/>
                <w:numId w:val="29"/>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Program Director – 5 days</w:t>
            </w:r>
          </w:p>
          <w:p w14:paraId="5FFE033E" w14:textId="77777777" w:rsidR="00887F11" w:rsidRPr="00D81DC4" w:rsidRDefault="00887F11" w:rsidP="00B331E1">
            <w:pPr>
              <w:pStyle w:val="ListParagraph"/>
              <w:numPr>
                <w:ilvl w:val="0"/>
                <w:numId w:val="29"/>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Senior Project Manager (AE) – 20 days</w:t>
            </w:r>
          </w:p>
          <w:p w14:paraId="2ECF3FDC" w14:textId="77777777" w:rsidR="00887F11" w:rsidRPr="00D81DC4" w:rsidRDefault="00887F11" w:rsidP="00B331E1">
            <w:pPr>
              <w:pStyle w:val="ListParagraph"/>
              <w:numPr>
                <w:ilvl w:val="0"/>
                <w:numId w:val="29"/>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Project Officer (AE) – 20 days</w:t>
            </w:r>
          </w:p>
          <w:p w14:paraId="5FD1A8B2" w14:textId="77777777" w:rsidR="00887F11" w:rsidRPr="00D81DC4" w:rsidRDefault="00887F11" w:rsidP="00B331E1">
            <w:pPr>
              <w:pStyle w:val="ListParagraph"/>
              <w:numPr>
                <w:ilvl w:val="0"/>
                <w:numId w:val="29"/>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Finance and Admin Manager – 10 days</w:t>
            </w:r>
          </w:p>
          <w:p w14:paraId="0941A356" w14:textId="77777777" w:rsidR="00887F11" w:rsidRPr="00D81DC4" w:rsidRDefault="00887F11" w:rsidP="00B331E1">
            <w:pPr>
              <w:pStyle w:val="ListParagraph"/>
              <w:numPr>
                <w:ilvl w:val="0"/>
                <w:numId w:val="29"/>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Finance and Admin Staff – 10 days</w:t>
            </w:r>
          </w:p>
          <w:p w14:paraId="3623D895" w14:textId="77777777" w:rsidR="00887F11" w:rsidRPr="00D81DC4" w:rsidRDefault="00887F11" w:rsidP="00B331E1">
            <w:pPr>
              <w:pStyle w:val="ListParagraph"/>
              <w:numPr>
                <w:ilvl w:val="0"/>
                <w:numId w:val="29"/>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Communications Manager – 10 days</w:t>
            </w:r>
          </w:p>
          <w:p w14:paraId="1838AAC4" w14:textId="77777777" w:rsidR="00887F11" w:rsidRPr="00D81DC4" w:rsidRDefault="00887F11" w:rsidP="00B331E1">
            <w:pPr>
              <w:pStyle w:val="ListParagraph"/>
              <w:numPr>
                <w:ilvl w:val="0"/>
                <w:numId w:val="29"/>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Communications Officer – 10 days</w:t>
            </w:r>
          </w:p>
          <w:p w14:paraId="50FBE47D" w14:textId="77777777" w:rsidR="00887F11" w:rsidRPr="00D81DC4" w:rsidRDefault="00887F11" w:rsidP="00B331E1">
            <w:pPr>
              <w:pStyle w:val="ListParagraph"/>
              <w:numPr>
                <w:ilvl w:val="0"/>
                <w:numId w:val="29"/>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IT/KM Officer – 5 days</w:t>
            </w:r>
          </w:p>
          <w:p w14:paraId="6A796D98" w14:textId="77777777" w:rsidR="00887F11" w:rsidRPr="00D81DC4" w:rsidRDefault="00887F11" w:rsidP="00B331E1">
            <w:pPr>
              <w:pStyle w:val="ListParagraph"/>
              <w:numPr>
                <w:ilvl w:val="0"/>
                <w:numId w:val="29"/>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2 Scholarships Officers – 3 days</w:t>
            </w:r>
          </w:p>
        </w:tc>
        <w:tc>
          <w:tcPr>
            <w:tcW w:w="1600" w:type="pct"/>
          </w:tcPr>
          <w:p w14:paraId="4F6E466C" w14:textId="77777777" w:rsidR="00887F11" w:rsidRPr="00D81DC4" w:rsidRDefault="00887F11" w:rsidP="00B331E1">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Additional tasks on full execution:</w:t>
            </w:r>
          </w:p>
          <w:p w14:paraId="54906DC8"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Venue selection, ocular inspection and coordination</w:t>
            </w:r>
          </w:p>
          <w:p w14:paraId="43D0759C"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TOR release and Pre-bid Conference for event management supplier</w:t>
            </w:r>
          </w:p>
          <w:p w14:paraId="2F3CC75A"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Tender Assessment Panel</w:t>
            </w:r>
          </w:p>
          <w:p w14:paraId="49B88DD4"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lastRenderedPageBreak/>
              <w:t>Manage release of invites, confirmation of guests, VIP seating arrangement and ushering</w:t>
            </w:r>
          </w:p>
          <w:p w14:paraId="4825D874"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Coordination, contracting, payment of venue and event management supplier</w:t>
            </w:r>
          </w:p>
          <w:p w14:paraId="6EEDBD31"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Coordination with event management supplier on branding and design layouts for the event</w:t>
            </w:r>
          </w:p>
          <w:p w14:paraId="318005F3"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Support for program, event management and documentation</w:t>
            </w:r>
          </w:p>
          <w:p w14:paraId="17710C94"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 xml:space="preserve">Facilitate set-up, registration, program, guest interaction and egress </w:t>
            </w:r>
          </w:p>
        </w:tc>
      </w:tr>
      <w:tr w:rsidR="00226C43" w:rsidRPr="00226C43" w14:paraId="613E429E" w14:textId="77777777" w:rsidTr="00764A92">
        <w:tc>
          <w:tcPr>
            <w:cnfStyle w:val="001000000000" w:firstRow="0" w:lastRow="0" w:firstColumn="1" w:lastColumn="0" w:oddVBand="0" w:evenVBand="0" w:oddHBand="0" w:evenHBand="0" w:firstRowFirstColumn="0" w:firstRowLastColumn="0" w:lastRowFirstColumn="0" w:lastRowLastColumn="0"/>
            <w:tcW w:w="1157" w:type="pct"/>
          </w:tcPr>
          <w:p w14:paraId="763C1FE4" w14:textId="77777777" w:rsidR="00887F11" w:rsidRPr="00D81DC4" w:rsidRDefault="00887F11" w:rsidP="00B331E1">
            <w:pPr>
              <w:spacing w:after="0" w:line="240" w:lineRule="atLeast"/>
              <w:rPr>
                <w:rFonts w:cs="Calibri"/>
                <w:b w:val="0"/>
                <w:sz w:val="20"/>
                <w:szCs w:val="20"/>
              </w:rPr>
            </w:pPr>
            <w:r w:rsidRPr="00D81DC4">
              <w:rPr>
                <w:rFonts w:cs="Calibri"/>
                <w:b w:val="0"/>
                <w:sz w:val="20"/>
                <w:szCs w:val="20"/>
              </w:rPr>
              <w:lastRenderedPageBreak/>
              <w:t>PRIDE March</w:t>
            </w:r>
          </w:p>
          <w:p w14:paraId="7BA05E11" w14:textId="77777777" w:rsidR="00887F11" w:rsidRPr="00D81DC4" w:rsidRDefault="00887F11" w:rsidP="00B331E1">
            <w:pPr>
              <w:spacing w:after="0"/>
              <w:rPr>
                <w:rFonts w:cs="Calibri"/>
                <w:b w:val="0"/>
                <w:sz w:val="20"/>
                <w:szCs w:val="20"/>
              </w:rPr>
            </w:pPr>
            <w:r w:rsidRPr="00D81DC4">
              <w:rPr>
                <w:rFonts w:cs="Calibri"/>
                <w:b w:val="0"/>
                <w:i/>
                <w:sz w:val="20"/>
                <w:szCs w:val="20"/>
              </w:rPr>
              <w:t>22 June 2024</w:t>
            </w:r>
          </w:p>
        </w:tc>
        <w:tc>
          <w:tcPr>
            <w:tcW w:w="1009" w:type="pct"/>
          </w:tcPr>
          <w:p w14:paraId="5245B646" w14:textId="77777777" w:rsidR="00887F11" w:rsidRPr="00D81DC4" w:rsidRDefault="00887F11" w:rsidP="00B331E1">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 xml:space="preserve">Seven (7) </w:t>
            </w:r>
          </w:p>
          <w:p w14:paraId="576E7E42" w14:textId="77777777" w:rsidR="00887F11" w:rsidRPr="00D81DC4" w:rsidRDefault="00887F11" w:rsidP="00B331E1">
            <w:pPr>
              <w:pStyle w:val="ListParagraph"/>
              <w:numPr>
                <w:ilvl w:val="0"/>
                <w:numId w:val="30"/>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Program Director</w:t>
            </w:r>
          </w:p>
          <w:p w14:paraId="44EE9A38" w14:textId="77777777" w:rsidR="00887F11" w:rsidRPr="00D81DC4" w:rsidRDefault="00887F11" w:rsidP="00B331E1">
            <w:pPr>
              <w:pStyle w:val="ListParagraph"/>
              <w:numPr>
                <w:ilvl w:val="0"/>
                <w:numId w:val="30"/>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Senior Project Manager (AE)</w:t>
            </w:r>
          </w:p>
          <w:p w14:paraId="109F33EF" w14:textId="77777777" w:rsidR="00887F11" w:rsidRPr="00D81DC4" w:rsidRDefault="00887F11" w:rsidP="00B331E1">
            <w:pPr>
              <w:pStyle w:val="ListParagraph"/>
              <w:numPr>
                <w:ilvl w:val="0"/>
                <w:numId w:val="30"/>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Project Officer (AE)</w:t>
            </w:r>
          </w:p>
          <w:p w14:paraId="46980648" w14:textId="77777777" w:rsidR="00887F11" w:rsidRPr="00D81DC4" w:rsidRDefault="00887F11" w:rsidP="00B331E1">
            <w:pPr>
              <w:pStyle w:val="ListParagraph"/>
              <w:numPr>
                <w:ilvl w:val="0"/>
                <w:numId w:val="30"/>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Finance and Admin Manager</w:t>
            </w:r>
          </w:p>
          <w:p w14:paraId="5135C34F" w14:textId="77777777" w:rsidR="00887F11" w:rsidRPr="00D81DC4" w:rsidRDefault="00887F11" w:rsidP="00B331E1">
            <w:pPr>
              <w:pStyle w:val="ListParagraph"/>
              <w:numPr>
                <w:ilvl w:val="0"/>
                <w:numId w:val="30"/>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Finance and Admin Staff</w:t>
            </w:r>
          </w:p>
          <w:p w14:paraId="16928EA9" w14:textId="77777777" w:rsidR="00887F11" w:rsidRPr="00D81DC4" w:rsidRDefault="00887F11" w:rsidP="00B331E1">
            <w:pPr>
              <w:pStyle w:val="ListParagraph"/>
              <w:numPr>
                <w:ilvl w:val="0"/>
                <w:numId w:val="30"/>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Communications Manager</w:t>
            </w:r>
          </w:p>
          <w:p w14:paraId="0F779E86" w14:textId="77777777" w:rsidR="00887F11" w:rsidRPr="00D81DC4" w:rsidRDefault="00887F11" w:rsidP="00B331E1">
            <w:pPr>
              <w:pStyle w:val="ListParagraph"/>
              <w:numPr>
                <w:ilvl w:val="0"/>
                <w:numId w:val="30"/>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Communications Officer</w:t>
            </w:r>
          </w:p>
        </w:tc>
        <w:tc>
          <w:tcPr>
            <w:tcW w:w="1234" w:type="pct"/>
          </w:tcPr>
          <w:p w14:paraId="7B0925D6" w14:textId="77777777" w:rsidR="00887F11" w:rsidRPr="00D81DC4" w:rsidRDefault="00887F11" w:rsidP="00B331E1">
            <w:pPr>
              <w:pStyle w:val="ListParagraph"/>
              <w:numPr>
                <w:ilvl w:val="0"/>
                <w:numId w:val="30"/>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Program Director – 2 days</w:t>
            </w:r>
          </w:p>
          <w:p w14:paraId="28FD748F" w14:textId="77777777" w:rsidR="00887F11" w:rsidRPr="00D81DC4" w:rsidRDefault="00887F11" w:rsidP="00B331E1">
            <w:pPr>
              <w:pStyle w:val="ListParagraph"/>
              <w:numPr>
                <w:ilvl w:val="0"/>
                <w:numId w:val="30"/>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Senior Project Manager (AE) – 7 days</w:t>
            </w:r>
          </w:p>
          <w:p w14:paraId="1E6D687E" w14:textId="77777777" w:rsidR="00887F11" w:rsidRPr="00D81DC4" w:rsidRDefault="00887F11" w:rsidP="00B331E1">
            <w:pPr>
              <w:pStyle w:val="ListParagraph"/>
              <w:numPr>
                <w:ilvl w:val="0"/>
                <w:numId w:val="30"/>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Project Officer (AE) – 7 days</w:t>
            </w:r>
          </w:p>
          <w:p w14:paraId="664E7BBE" w14:textId="77777777" w:rsidR="00887F11" w:rsidRPr="00D81DC4" w:rsidRDefault="00887F11" w:rsidP="00B331E1">
            <w:pPr>
              <w:pStyle w:val="ListParagraph"/>
              <w:numPr>
                <w:ilvl w:val="0"/>
                <w:numId w:val="30"/>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Finance and Admin Manager – 5 days</w:t>
            </w:r>
          </w:p>
          <w:p w14:paraId="6BEE1D49" w14:textId="77777777" w:rsidR="00887F11" w:rsidRPr="00D81DC4" w:rsidRDefault="00887F11" w:rsidP="00B331E1">
            <w:pPr>
              <w:pStyle w:val="ListParagraph"/>
              <w:numPr>
                <w:ilvl w:val="0"/>
                <w:numId w:val="30"/>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Finance and Admin Staff – 5 days</w:t>
            </w:r>
          </w:p>
          <w:p w14:paraId="28E65DA0" w14:textId="77777777" w:rsidR="00887F11" w:rsidRPr="00D81DC4" w:rsidRDefault="00887F11" w:rsidP="00B331E1">
            <w:pPr>
              <w:pStyle w:val="ListParagraph"/>
              <w:numPr>
                <w:ilvl w:val="0"/>
                <w:numId w:val="30"/>
              </w:numPr>
              <w:suppressAutoHyphens w:val="0"/>
              <w:spacing w:after="0" w:line="240" w:lineRule="atLeast"/>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Communications Manager – 5 days</w:t>
            </w:r>
          </w:p>
          <w:p w14:paraId="28A29061" w14:textId="77777777" w:rsidR="00887F11" w:rsidRPr="00D81DC4" w:rsidRDefault="00887F11" w:rsidP="00B331E1">
            <w:pPr>
              <w:pStyle w:val="ListParagraph"/>
              <w:numPr>
                <w:ilvl w:val="0"/>
                <w:numId w:val="30"/>
              </w:numPr>
              <w:suppressAutoHyphens w:val="0"/>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cs="Calibri"/>
                <w:sz w:val="20"/>
                <w:szCs w:val="20"/>
              </w:rPr>
              <w:t>Communications Officer – 5 days</w:t>
            </w:r>
          </w:p>
        </w:tc>
        <w:tc>
          <w:tcPr>
            <w:tcW w:w="1600" w:type="pct"/>
          </w:tcPr>
          <w:p w14:paraId="7F899720"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D81DC4">
              <w:rPr>
                <w:rFonts w:eastAsia="Times New Roman" w:cs="Calibri"/>
                <w:sz w:val="20"/>
                <w:szCs w:val="20"/>
              </w:rPr>
              <w:t xml:space="preserve">Design </w:t>
            </w:r>
            <w:r w:rsidRPr="00D81DC4">
              <w:rPr>
                <w:rFonts w:cs="Calibri"/>
                <w:sz w:val="20"/>
                <w:szCs w:val="20"/>
              </w:rPr>
              <w:t>and</w:t>
            </w:r>
            <w:r w:rsidRPr="00D81DC4">
              <w:rPr>
                <w:rFonts w:eastAsia="Times New Roman" w:cs="Calibri"/>
                <w:sz w:val="20"/>
                <w:szCs w:val="20"/>
              </w:rPr>
              <w:t xml:space="preserve"> produce collaterals (emailer, social media cards)</w:t>
            </w:r>
          </w:p>
          <w:p w14:paraId="5C77A82D"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D81DC4">
              <w:rPr>
                <w:rFonts w:eastAsia="Times New Roman" w:cs="Calibri"/>
                <w:sz w:val="20"/>
                <w:szCs w:val="20"/>
              </w:rPr>
              <w:t xml:space="preserve">Prepare a guest list, invite and confirm alumni </w:t>
            </w:r>
            <w:r w:rsidRPr="00D81DC4">
              <w:rPr>
                <w:rFonts w:cs="Calibri"/>
                <w:sz w:val="20"/>
                <w:szCs w:val="20"/>
              </w:rPr>
              <w:t>participants</w:t>
            </w:r>
          </w:p>
          <w:p w14:paraId="757BA26E"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D81DC4">
              <w:rPr>
                <w:rFonts w:eastAsia="Times New Roman" w:cs="Calibri"/>
                <w:sz w:val="20"/>
                <w:szCs w:val="20"/>
              </w:rPr>
              <w:t xml:space="preserve">Facilitate payment to suppliers for shirts, eco-bags </w:t>
            </w:r>
            <w:r w:rsidRPr="00D81DC4">
              <w:rPr>
                <w:rFonts w:cs="Calibri"/>
                <w:sz w:val="20"/>
                <w:szCs w:val="20"/>
              </w:rPr>
              <w:t>and</w:t>
            </w:r>
            <w:r w:rsidRPr="00D81DC4">
              <w:rPr>
                <w:rFonts w:eastAsia="Times New Roman" w:cs="Calibri"/>
                <w:sz w:val="20"/>
                <w:szCs w:val="20"/>
              </w:rPr>
              <w:t xml:space="preserve"> flags and provide admin and logistic support for the team</w:t>
            </w:r>
          </w:p>
          <w:p w14:paraId="23135F3B"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eastAsia="Times New Roman" w:cs="Calibri"/>
                <w:sz w:val="20"/>
                <w:szCs w:val="20"/>
              </w:rPr>
            </w:pPr>
            <w:r w:rsidRPr="00D81DC4">
              <w:rPr>
                <w:rFonts w:eastAsia="Times New Roman" w:cs="Calibri"/>
                <w:sz w:val="20"/>
                <w:szCs w:val="20"/>
              </w:rPr>
              <w:t xml:space="preserve">Coordinate </w:t>
            </w:r>
            <w:r w:rsidRPr="00D81DC4">
              <w:rPr>
                <w:rFonts w:cs="Calibri"/>
                <w:sz w:val="20"/>
                <w:szCs w:val="20"/>
              </w:rPr>
              <w:t>assembly</w:t>
            </w:r>
            <w:r w:rsidRPr="00D81DC4">
              <w:rPr>
                <w:rFonts w:eastAsia="Times New Roman" w:cs="Calibri"/>
                <w:sz w:val="20"/>
                <w:szCs w:val="20"/>
              </w:rPr>
              <w:t xml:space="preserve"> and participation of alumni participants </w:t>
            </w:r>
          </w:p>
          <w:p w14:paraId="39392B48" w14:textId="77777777" w:rsidR="00887F11" w:rsidRPr="00D81DC4" w:rsidRDefault="00887F11" w:rsidP="00B331E1">
            <w:pPr>
              <w:pStyle w:val="ListParagraph"/>
              <w:numPr>
                <w:ilvl w:val="0"/>
                <w:numId w:val="24"/>
              </w:numPr>
              <w:suppressAutoHyphens w:val="0"/>
              <w:spacing w:after="0"/>
              <w:ind w:left="314" w:hanging="314"/>
              <w:cnfStyle w:val="000000000000" w:firstRow="0" w:lastRow="0" w:firstColumn="0" w:lastColumn="0" w:oddVBand="0" w:evenVBand="0" w:oddHBand="0" w:evenHBand="0" w:firstRowFirstColumn="0" w:firstRowLastColumn="0" w:lastRowFirstColumn="0" w:lastRowLastColumn="0"/>
              <w:rPr>
                <w:rFonts w:cs="Calibri"/>
                <w:sz w:val="20"/>
                <w:szCs w:val="20"/>
              </w:rPr>
            </w:pPr>
            <w:r w:rsidRPr="00D81DC4">
              <w:rPr>
                <w:rFonts w:eastAsia="Times New Roman" w:cs="Calibri"/>
                <w:sz w:val="20"/>
                <w:szCs w:val="20"/>
              </w:rPr>
              <w:t xml:space="preserve">Manage photo documentation </w:t>
            </w:r>
          </w:p>
        </w:tc>
      </w:tr>
    </w:tbl>
    <w:p w14:paraId="2C8EA2F5" w14:textId="77777777" w:rsidR="00887F11" w:rsidRPr="00226C43" w:rsidRDefault="00887F11" w:rsidP="00887F11">
      <w:pPr>
        <w:rPr>
          <w:rFonts w:cs="Calibri"/>
          <w:sz w:val="22"/>
          <w:szCs w:val="22"/>
        </w:rPr>
      </w:pPr>
    </w:p>
    <w:p w14:paraId="65A0C98A" w14:textId="77777777" w:rsidR="00903C8E" w:rsidRPr="00226C43" w:rsidRDefault="00903C8E">
      <w:pPr>
        <w:suppressAutoHyphens w:val="0"/>
        <w:spacing w:after="0"/>
        <w:sectPr w:rsidR="00903C8E" w:rsidRPr="00226C43" w:rsidSect="00887F11">
          <w:headerReference w:type="first" r:id="rId32"/>
          <w:footerReference w:type="first" r:id="rId33"/>
          <w:pgSz w:w="16838" w:h="11906" w:orient="landscape"/>
          <w:pgMar w:top="1440" w:right="1440" w:bottom="1440" w:left="1440" w:header="567" w:footer="567" w:gutter="0"/>
          <w:cols w:space="708"/>
          <w:titlePg/>
          <w:docGrid w:linePitch="360"/>
        </w:sectPr>
      </w:pPr>
    </w:p>
    <w:p w14:paraId="20937CB9" w14:textId="77777777" w:rsidR="00887F11" w:rsidRPr="00226C43" w:rsidRDefault="00D33272" w:rsidP="005A698C">
      <w:pPr>
        <w:pStyle w:val="Appendices"/>
        <w:rPr>
          <w:rFonts w:asciiTheme="minorHAnsi" w:hAnsiTheme="minorHAnsi"/>
          <w:color w:val="auto"/>
        </w:rPr>
      </w:pPr>
      <w:bookmarkStart w:id="90" w:name="_Toc190195436"/>
      <w:bookmarkStart w:id="91" w:name="_Toc190248333"/>
      <w:r w:rsidRPr="00226C43">
        <w:rPr>
          <w:rFonts w:asciiTheme="minorHAnsi" w:hAnsiTheme="minorHAnsi"/>
          <w:color w:val="auto"/>
        </w:rPr>
        <w:lastRenderedPageBreak/>
        <w:t xml:space="preserve">Summary of </w:t>
      </w:r>
      <w:r w:rsidR="00CD3106" w:rsidRPr="00226C43">
        <w:rPr>
          <w:rFonts w:asciiTheme="minorHAnsi" w:hAnsiTheme="minorHAnsi"/>
          <w:color w:val="auto"/>
        </w:rPr>
        <w:t>AQRs/IMRs – Key comments and scores</w:t>
      </w:r>
      <w:bookmarkEnd w:id="90"/>
      <w:bookmarkEnd w:id="91"/>
    </w:p>
    <w:p w14:paraId="3350721D" w14:textId="290EEAFE" w:rsidR="00CD3106" w:rsidRPr="00226C43" w:rsidRDefault="006D49C6">
      <w:pPr>
        <w:suppressAutoHyphens w:val="0"/>
        <w:spacing w:after="0"/>
      </w:pPr>
      <w:r w:rsidRPr="00226C43">
        <w:t xml:space="preserve">The table below </w:t>
      </w:r>
      <w:r w:rsidR="00FB73FF" w:rsidRPr="00226C43">
        <w:t>represents the average scores of results in the AQRs/IMRs over the period 2018-2024.</w:t>
      </w:r>
    </w:p>
    <w:p w14:paraId="27DD4E9A" w14:textId="5AE29926" w:rsidR="00CD3106" w:rsidRPr="00226C43" w:rsidRDefault="00F04272" w:rsidP="0056407D">
      <w:pPr>
        <w:pStyle w:val="Caption"/>
        <w:spacing w:after="0"/>
        <w:rPr>
          <w:color w:val="auto"/>
        </w:rPr>
      </w:pPr>
      <w:bookmarkStart w:id="92" w:name="_Toc190939924"/>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003735AF" w:rsidRPr="00226C43">
        <w:rPr>
          <w:noProof/>
          <w:color w:val="auto"/>
        </w:rPr>
        <w:t>25</w:t>
      </w:r>
      <w:r w:rsidR="000113F9" w:rsidRPr="00226C43">
        <w:rPr>
          <w:noProof/>
          <w:color w:val="auto"/>
        </w:rPr>
        <w:fldChar w:fldCharType="end"/>
      </w:r>
      <w:r w:rsidRPr="00226C43">
        <w:rPr>
          <w:color w:val="auto"/>
        </w:rPr>
        <w:t>: Average AQR/IMR Scores over the period 2018</w:t>
      </w:r>
      <w:r w:rsidR="0031439A" w:rsidRPr="00226C43">
        <w:rPr>
          <w:color w:val="auto"/>
        </w:rPr>
        <w:t>–</w:t>
      </w:r>
      <w:r w:rsidRPr="00226C43">
        <w:rPr>
          <w:color w:val="auto"/>
        </w:rPr>
        <w:t>2024</w:t>
      </w:r>
      <w:bookmarkEnd w:id="92"/>
    </w:p>
    <w:tbl>
      <w:tblPr>
        <w:tblStyle w:val="TableGrid"/>
        <w:tblW w:w="2376" w:type="pct"/>
        <w:jc w:val="center"/>
        <w:tblLook w:val="0620" w:firstRow="1" w:lastRow="0" w:firstColumn="0" w:lastColumn="0" w:noHBand="1" w:noVBand="1"/>
      </w:tblPr>
      <w:tblGrid>
        <w:gridCol w:w="1960"/>
        <w:gridCol w:w="2324"/>
      </w:tblGrid>
      <w:tr w:rsidR="00226C43" w:rsidRPr="00226C43" w14:paraId="4E8A353F" w14:textId="77777777" w:rsidTr="00117212">
        <w:trPr>
          <w:tblHeader/>
          <w:jc w:val="center"/>
        </w:trPr>
        <w:tc>
          <w:tcPr>
            <w:tcW w:w="2287" w:type="pct"/>
            <w:shd w:val="clear" w:color="auto" w:fill="E3DED1" w:themeFill="background2"/>
            <w:hideMark/>
          </w:tcPr>
          <w:p w14:paraId="701D40B6" w14:textId="77777777" w:rsidR="00CD3106" w:rsidRPr="00226C43" w:rsidRDefault="00CD3106" w:rsidP="0056407D">
            <w:pPr>
              <w:pStyle w:val="Tabletext"/>
              <w:spacing w:before="0" w:after="0"/>
              <w:rPr>
                <w:b/>
                <w:bCs/>
                <w:sz w:val="20"/>
                <w:szCs w:val="20"/>
              </w:rPr>
            </w:pPr>
            <w:r w:rsidRPr="00226C43">
              <w:rPr>
                <w:b/>
                <w:bCs/>
                <w:sz w:val="20"/>
                <w:szCs w:val="20"/>
              </w:rPr>
              <w:t>Criterion</w:t>
            </w:r>
          </w:p>
        </w:tc>
        <w:tc>
          <w:tcPr>
            <w:tcW w:w="2713" w:type="pct"/>
            <w:shd w:val="clear" w:color="auto" w:fill="E3DED1" w:themeFill="background2"/>
            <w:hideMark/>
          </w:tcPr>
          <w:p w14:paraId="2D486CFF" w14:textId="5E351B20" w:rsidR="00CD3106" w:rsidRPr="00226C43" w:rsidRDefault="00CD3106" w:rsidP="0056407D">
            <w:pPr>
              <w:pStyle w:val="Tabletext"/>
              <w:spacing w:before="0" w:after="0"/>
              <w:jc w:val="center"/>
              <w:rPr>
                <w:b/>
                <w:bCs/>
                <w:sz w:val="20"/>
                <w:szCs w:val="20"/>
              </w:rPr>
            </w:pPr>
            <w:r w:rsidRPr="00226C43">
              <w:rPr>
                <w:b/>
                <w:bCs/>
                <w:sz w:val="20"/>
                <w:szCs w:val="20"/>
              </w:rPr>
              <w:t>Average AQR/IMR Score</w:t>
            </w:r>
          </w:p>
        </w:tc>
      </w:tr>
      <w:tr w:rsidR="00226C43" w:rsidRPr="00226C43" w14:paraId="2CC4EB20" w14:textId="77777777" w:rsidTr="00702AEB">
        <w:trPr>
          <w:jc w:val="center"/>
        </w:trPr>
        <w:tc>
          <w:tcPr>
            <w:tcW w:w="2287" w:type="pct"/>
            <w:hideMark/>
          </w:tcPr>
          <w:p w14:paraId="27299E16" w14:textId="77777777" w:rsidR="00CD3106" w:rsidRPr="00226C43" w:rsidRDefault="00CD3106" w:rsidP="0056407D">
            <w:pPr>
              <w:pStyle w:val="Tabletext"/>
              <w:spacing w:before="0" w:after="0"/>
              <w:rPr>
                <w:sz w:val="20"/>
                <w:szCs w:val="20"/>
              </w:rPr>
            </w:pPr>
            <w:r w:rsidRPr="00226C43">
              <w:rPr>
                <w:sz w:val="20"/>
                <w:szCs w:val="20"/>
              </w:rPr>
              <w:t>Relevance</w:t>
            </w:r>
          </w:p>
        </w:tc>
        <w:tc>
          <w:tcPr>
            <w:tcW w:w="2713" w:type="pct"/>
            <w:hideMark/>
          </w:tcPr>
          <w:p w14:paraId="02A27090" w14:textId="77777777" w:rsidR="00CD3106" w:rsidRPr="00226C43" w:rsidRDefault="00CD3106" w:rsidP="0056407D">
            <w:pPr>
              <w:pStyle w:val="Tabletext"/>
              <w:spacing w:before="0" w:after="0"/>
              <w:jc w:val="right"/>
              <w:rPr>
                <w:sz w:val="20"/>
                <w:szCs w:val="20"/>
              </w:rPr>
            </w:pPr>
            <w:r w:rsidRPr="00226C43">
              <w:rPr>
                <w:sz w:val="20"/>
                <w:szCs w:val="20"/>
              </w:rPr>
              <w:t>5.0</w:t>
            </w:r>
          </w:p>
        </w:tc>
      </w:tr>
      <w:tr w:rsidR="00226C43" w:rsidRPr="00226C43" w14:paraId="212B6894" w14:textId="77777777" w:rsidTr="00702AEB">
        <w:trPr>
          <w:jc w:val="center"/>
        </w:trPr>
        <w:tc>
          <w:tcPr>
            <w:tcW w:w="2287" w:type="pct"/>
            <w:hideMark/>
          </w:tcPr>
          <w:p w14:paraId="197D07EA" w14:textId="77777777" w:rsidR="00CD3106" w:rsidRPr="00226C43" w:rsidRDefault="00CD3106" w:rsidP="0056407D">
            <w:pPr>
              <w:pStyle w:val="Tabletext"/>
              <w:spacing w:before="0" w:after="0"/>
              <w:rPr>
                <w:sz w:val="20"/>
                <w:szCs w:val="20"/>
              </w:rPr>
            </w:pPr>
            <w:r w:rsidRPr="00226C43">
              <w:rPr>
                <w:sz w:val="20"/>
                <w:szCs w:val="20"/>
              </w:rPr>
              <w:t>Effectiveness</w:t>
            </w:r>
          </w:p>
        </w:tc>
        <w:tc>
          <w:tcPr>
            <w:tcW w:w="2713" w:type="pct"/>
            <w:hideMark/>
          </w:tcPr>
          <w:p w14:paraId="6CA56BF4" w14:textId="77777777" w:rsidR="00CD3106" w:rsidRPr="00226C43" w:rsidRDefault="00CD3106" w:rsidP="0056407D">
            <w:pPr>
              <w:pStyle w:val="Tabletext"/>
              <w:spacing w:before="0" w:after="0"/>
              <w:jc w:val="right"/>
              <w:rPr>
                <w:sz w:val="20"/>
                <w:szCs w:val="20"/>
              </w:rPr>
            </w:pPr>
            <w:r w:rsidRPr="00226C43">
              <w:rPr>
                <w:sz w:val="20"/>
                <w:szCs w:val="20"/>
              </w:rPr>
              <w:t>4.8</w:t>
            </w:r>
          </w:p>
        </w:tc>
      </w:tr>
      <w:tr w:rsidR="00226C43" w:rsidRPr="00226C43" w14:paraId="57119AEE" w14:textId="77777777" w:rsidTr="00702AEB">
        <w:trPr>
          <w:jc w:val="center"/>
        </w:trPr>
        <w:tc>
          <w:tcPr>
            <w:tcW w:w="2287" w:type="pct"/>
            <w:hideMark/>
          </w:tcPr>
          <w:p w14:paraId="1957AFD6" w14:textId="77777777" w:rsidR="00CD3106" w:rsidRPr="00226C43" w:rsidRDefault="00CD3106" w:rsidP="0056407D">
            <w:pPr>
              <w:pStyle w:val="Tabletext"/>
              <w:spacing w:before="0" w:after="0"/>
              <w:rPr>
                <w:sz w:val="20"/>
                <w:szCs w:val="20"/>
              </w:rPr>
            </w:pPr>
            <w:r w:rsidRPr="00226C43">
              <w:rPr>
                <w:sz w:val="20"/>
                <w:szCs w:val="20"/>
              </w:rPr>
              <w:t>Efficiency</w:t>
            </w:r>
          </w:p>
        </w:tc>
        <w:tc>
          <w:tcPr>
            <w:tcW w:w="2713" w:type="pct"/>
            <w:hideMark/>
          </w:tcPr>
          <w:p w14:paraId="540175D0" w14:textId="77777777" w:rsidR="00CD3106" w:rsidRPr="00226C43" w:rsidRDefault="00CD3106" w:rsidP="0056407D">
            <w:pPr>
              <w:pStyle w:val="Tabletext"/>
              <w:spacing w:before="0" w:after="0"/>
              <w:jc w:val="right"/>
              <w:rPr>
                <w:sz w:val="20"/>
                <w:szCs w:val="20"/>
              </w:rPr>
            </w:pPr>
            <w:r w:rsidRPr="00226C43">
              <w:rPr>
                <w:sz w:val="20"/>
                <w:szCs w:val="20"/>
              </w:rPr>
              <w:t>4.6</w:t>
            </w:r>
          </w:p>
        </w:tc>
      </w:tr>
      <w:tr w:rsidR="00226C43" w:rsidRPr="00226C43" w14:paraId="5D182B2B" w14:textId="77777777" w:rsidTr="00702AEB">
        <w:trPr>
          <w:jc w:val="center"/>
        </w:trPr>
        <w:tc>
          <w:tcPr>
            <w:tcW w:w="2287" w:type="pct"/>
            <w:hideMark/>
          </w:tcPr>
          <w:p w14:paraId="59718BA7" w14:textId="77777777" w:rsidR="00CD3106" w:rsidRPr="00226C43" w:rsidRDefault="00CD3106" w:rsidP="0056407D">
            <w:pPr>
              <w:pStyle w:val="Tabletext"/>
              <w:spacing w:before="0" w:after="0"/>
              <w:rPr>
                <w:sz w:val="20"/>
                <w:szCs w:val="20"/>
              </w:rPr>
            </w:pPr>
            <w:r w:rsidRPr="00226C43">
              <w:rPr>
                <w:sz w:val="20"/>
                <w:szCs w:val="20"/>
              </w:rPr>
              <w:t>Sustainability</w:t>
            </w:r>
          </w:p>
        </w:tc>
        <w:tc>
          <w:tcPr>
            <w:tcW w:w="2713" w:type="pct"/>
            <w:hideMark/>
          </w:tcPr>
          <w:p w14:paraId="740774C9" w14:textId="77777777" w:rsidR="00CD3106" w:rsidRPr="00226C43" w:rsidRDefault="00CD3106" w:rsidP="0056407D">
            <w:pPr>
              <w:pStyle w:val="Tabletext"/>
              <w:spacing w:before="0" w:after="0"/>
              <w:jc w:val="right"/>
              <w:rPr>
                <w:sz w:val="20"/>
                <w:szCs w:val="20"/>
              </w:rPr>
            </w:pPr>
            <w:r w:rsidRPr="00226C43">
              <w:rPr>
                <w:sz w:val="20"/>
                <w:szCs w:val="20"/>
              </w:rPr>
              <w:t>4.5</w:t>
            </w:r>
          </w:p>
        </w:tc>
      </w:tr>
      <w:tr w:rsidR="00226C43" w:rsidRPr="00226C43" w14:paraId="6A025668" w14:textId="77777777" w:rsidTr="00702AEB">
        <w:trPr>
          <w:jc w:val="center"/>
        </w:trPr>
        <w:tc>
          <w:tcPr>
            <w:tcW w:w="2287" w:type="pct"/>
            <w:hideMark/>
          </w:tcPr>
          <w:p w14:paraId="033CFD0C" w14:textId="77777777" w:rsidR="00CD3106" w:rsidRPr="00226C43" w:rsidRDefault="00CD3106" w:rsidP="0056407D">
            <w:pPr>
              <w:pStyle w:val="Tabletext"/>
              <w:spacing w:before="0" w:after="0"/>
              <w:rPr>
                <w:sz w:val="20"/>
                <w:szCs w:val="20"/>
              </w:rPr>
            </w:pPr>
            <w:r w:rsidRPr="00226C43">
              <w:rPr>
                <w:sz w:val="20"/>
                <w:szCs w:val="20"/>
              </w:rPr>
              <w:t>Gender Equality</w:t>
            </w:r>
          </w:p>
        </w:tc>
        <w:tc>
          <w:tcPr>
            <w:tcW w:w="2713" w:type="pct"/>
            <w:hideMark/>
          </w:tcPr>
          <w:p w14:paraId="55C46277" w14:textId="77777777" w:rsidR="00CD3106" w:rsidRPr="00226C43" w:rsidRDefault="00CD3106" w:rsidP="0056407D">
            <w:pPr>
              <w:pStyle w:val="Tabletext"/>
              <w:spacing w:before="0" w:after="0"/>
              <w:jc w:val="right"/>
              <w:rPr>
                <w:sz w:val="20"/>
                <w:szCs w:val="20"/>
              </w:rPr>
            </w:pPr>
            <w:r w:rsidRPr="00226C43">
              <w:rPr>
                <w:sz w:val="20"/>
                <w:szCs w:val="20"/>
              </w:rPr>
              <w:t>4.4</w:t>
            </w:r>
          </w:p>
        </w:tc>
      </w:tr>
      <w:tr w:rsidR="00226C43" w:rsidRPr="00226C43" w14:paraId="4CA579A1" w14:textId="77777777" w:rsidTr="00702AEB">
        <w:trPr>
          <w:jc w:val="center"/>
        </w:trPr>
        <w:tc>
          <w:tcPr>
            <w:tcW w:w="2287" w:type="pct"/>
            <w:hideMark/>
          </w:tcPr>
          <w:p w14:paraId="76B9C931" w14:textId="77777777" w:rsidR="00CD3106" w:rsidRPr="00226C43" w:rsidRDefault="00CD3106" w:rsidP="0056407D">
            <w:pPr>
              <w:pStyle w:val="Tabletext"/>
              <w:spacing w:before="0" w:after="0"/>
              <w:rPr>
                <w:sz w:val="20"/>
                <w:szCs w:val="20"/>
              </w:rPr>
            </w:pPr>
            <w:r w:rsidRPr="00226C43">
              <w:rPr>
                <w:sz w:val="20"/>
                <w:szCs w:val="20"/>
              </w:rPr>
              <w:t>Risk Management</w:t>
            </w:r>
          </w:p>
        </w:tc>
        <w:tc>
          <w:tcPr>
            <w:tcW w:w="2713" w:type="pct"/>
            <w:hideMark/>
          </w:tcPr>
          <w:p w14:paraId="50684ED7" w14:textId="77777777" w:rsidR="00CD3106" w:rsidRPr="00226C43" w:rsidRDefault="00CD3106" w:rsidP="0056407D">
            <w:pPr>
              <w:pStyle w:val="Tabletext"/>
              <w:spacing w:before="0" w:after="0"/>
              <w:jc w:val="right"/>
              <w:rPr>
                <w:sz w:val="20"/>
                <w:szCs w:val="20"/>
              </w:rPr>
            </w:pPr>
            <w:r w:rsidRPr="00226C43">
              <w:rPr>
                <w:sz w:val="20"/>
                <w:szCs w:val="20"/>
              </w:rPr>
              <w:t>4.7</w:t>
            </w:r>
          </w:p>
        </w:tc>
      </w:tr>
      <w:tr w:rsidR="00226C43" w:rsidRPr="00226C43" w14:paraId="1D6D432F" w14:textId="77777777" w:rsidTr="00702AEB">
        <w:trPr>
          <w:jc w:val="center"/>
        </w:trPr>
        <w:tc>
          <w:tcPr>
            <w:tcW w:w="2287" w:type="pct"/>
            <w:hideMark/>
          </w:tcPr>
          <w:p w14:paraId="0337E212" w14:textId="77777777" w:rsidR="00CD3106" w:rsidRPr="00226C43" w:rsidRDefault="00CD3106" w:rsidP="0056407D">
            <w:pPr>
              <w:pStyle w:val="Tabletext"/>
              <w:spacing w:before="0" w:after="0"/>
              <w:rPr>
                <w:sz w:val="20"/>
                <w:szCs w:val="20"/>
              </w:rPr>
            </w:pPr>
            <w:r w:rsidRPr="00226C43">
              <w:rPr>
                <w:sz w:val="20"/>
                <w:szCs w:val="20"/>
              </w:rPr>
              <w:t>Disability Inclusion</w:t>
            </w:r>
          </w:p>
        </w:tc>
        <w:tc>
          <w:tcPr>
            <w:tcW w:w="2713" w:type="pct"/>
            <w:hideMark/>
          </w:tcPr>
          <w:p w14:paraId="11E87215" w14:textId="77777777" w:rsidR="00CD3106" w:rsidRPr="00226C43" w:rsidRDefault="00CD3106" w:rsidP="0056407D">
            <w:pPr>
              <w:pStyle w:val="Tabletext"/>
              <w:spacing w:before="0" w:after="0"/>
              <w:jc w:val="right"/>
              <w:rPr>
                <w:sz w:val="20"/>
                <w:szCs w:val="20"/>
              </w:rPr>
            </w:pPr>
            <w:r w:rsidRPr="00226C43">
              <w:rPr>
                <w:sz w:val="20"/>
                <w:szCs w:val="20"/>
              </w:rPr>
              <w:t>4.3</w:t>
            </w:r>
          </w:p>
        </w:tc>
      </w:tr>
      <w:tr w:rsidR="00226C43" w:rsidRPr="00226C43" w14:paraId="1ABAEFC4" w14:textId="77777777" w:rsidTr="00702AEB">
        <w:trPr>
          <w:jc w:val="center"/>
        </w:trPr>
        <w:tc>
          <w:tcPr>
            <w:tcW w:w="2287" w:type="pct"/>
            <w:hideMark/>
          </w:tcPr>
          <w:p w14:paraId="03B72B5C" w14:textId="77777777" w:rsidR="00CD3106" w:rsidRPr="00226C43" w:rsidRDefault="00CD3106" w:rsidP="0056407D">
            <w:pPr>
              <w:pStyle w:val="Tabletext"/>
              <w:spacing w:before="0" w:after="0"/>
              <w:rPr>
                <w:sz w:val="20"/>
                <w:szCs w:val="20"/>
              </w:rPr>
            </w:pPr>
            <w:r w:rsidRPr="00226C43">
              <w:rPr>
                <w:sz w:val="20"/>
                <w:szCs w:val="20"/>
              </w:rPr>
              <w:t>Climate Change</w:t>
            </w:r>
          </w:p>
        </w:tc>
        <w:tc>
          <w:tcPr>
            <w:tcW w:w="2713" w:type="pct"/>
            <w:hideMark/>
          </w:tcPr>
          <w:p w14:paraId="25070E43" w14:textId="77777777" w:rsidR="00CD3106" w:rsidRPr="00226C43" w:rsidRDefault="00CD3106" w:rsidP="0056407D">
            <w:pPr>
              <w:pStyle w:val="Tabletext"/>
              <w:spacing w:before="0" w:after="0"/>
              <w:jc w:val="right"/>
              <w:rPr>
                <w:sz w:val="20"/>
                <w:szCs w:val="20"/>
              </w:rPr>
            </w:pPr>
            <w:r w:rsidRPr="00226C43">
              <w:rPr>
                <w:sz w:val="20"/>
                <w:szCs w:val="20"/>
              </w:rPr>
              <w:t>4.2</w:t>
            </w:r>
          </w:p>
        </w:tc>
      </w:tr>
    </w:tbl>
    <w:p w14:paraId="388F1B89" w14:textId="77777777" w:rsidR="00CD3106" w:rsidRPr="00226C43" w:rsidRDefault="00CD3106">
      <w:pPr>
        <w:suppressAutoHyphens w:val="0"/>
        <w:spacing w:after="0"/>
      </w:pPr>
    </w:p>
    <w:p w14:paraId="378214C7" w14:textId="307D7F74" w:rsidR="00903C8E" w:rsidRPr="00226C43" w:rsidRDefault="00C75ABF" w:rsidP="00903C8E">
      <w:pPr>
        <w:suppressAutoHyphens w:val="0"/>
        <w:spacing w:after="0"/>
      </w:pPr>
      <w:r w:rsidRPr="00226C43">
        <w:t xml:space="preserve">The </w:t>
      </w:r>
      <w:r w:rsidR="00FB73FF" w:rsidRPr="00226C43">
        <w:t>table</w:t>
      </w:r>
      <w:r w:rsidRPr="00226C43">
        <w:t xml:space="preserve"> below summarises </w:t>
      </w:r>
      <w:r w:rsidR="00903C8E" w:rsidRPr="00226C43">
        <w:t xml:space="preserve">key comments and scores for each evaluation </w:t>
      </w:r>
      <w:r w:rsidR="00FB73FF" w:rsidRPr="00226C43">
        <w:t>criterion, grouped</w:t>
      </w:r>
      <w:r w:rsidR="00903C8E" w:rsidRPr="00226C43">
        <w:t xml:space="preserve"> by year</w:t>
      </w:r>
      <w:r w:rsidR="006D49C6" w:rsidRPr="00226C43">
        <w:t>,</w:t>
      </w:r>
      <w:r w:rsidR="00903C8E" w:rsidRPr="00226C43">
        <w:t xml:space="preserve"> with comments and scores on a 1 to 6 scale.</w:t>
      </w:r>
    </w:p>
    <w:p w14:paraId="456E9B45" w14:textId="7F4BCD27" w:rsidR="00A94F6A" w:rsidRPr="00A94F6A" w:rsidRDefault="00243243" w:rsidP="00F05BE1">
      <w:pPr>
        <w:pStyle w:val="Caption"/>
        <w:spacing w:after="0"/>
      </w:pPr>
      <w:bookmarkStart w:id="93" w:name="_Toc190939925"/>
      <w:r w:rsidRPr="00226C43">
        <w:rPr>
          <w:color w:val="auto"/>
        </w:rPr>
        <w:t xml:space="preserve">Table </w:t>
      </w:r>
      <w:r w:rsidR="000113F9" w:rsidRPr="00226C43">
        <w:rPr>
          <w:color w:val="auto"/>
        </w:rPr>
        <w:fldChar w:fldCharType="begin"/>
      </w:r>
      <w:r w:rsidR="000113F9" w:rsidRPr="00226C43">
        <w:rPr>
          <w:color w:val="auto"/>
        </w:rPr>
        <w:instrText xml:space="preserve"> SEQ Table \* ARABIC </w:instrText>
      </w:r>
      <w:r w:rsidR="000113F9" w:rsidRPr="00226C43">
        <w:rPr>
          <w:color w:val="auto"/>
        </w:rPr>
        <w:fldChar w:fldCharType="separate"/>
      </w:r>
      <w:r w:rsidR="003735AF" w:rsidRPr="00226C43">
        <w:rPr>
          <w:noProof/>
          <w:color w:val="auto"/>
        </w:rPr>
        <w:t>26</w:t>
      </w:r>
      <w:r w:rsidR="000113F9" w:rsidRPr="00226C43">
        <w:rPr>
          <w:noProof/>
          <w:color w:val="auto"/>
        </w:rPr>
        <w:fldChar w:fldCharType="end"/>
      </w:r>
      <w:r w:rsidRPr="00226C43">
        <w:rPr>
          <w:color w:val="auto"/>
        </w:rPr>
        <w:t>:</w:t>
      </w:r>
      <w:r w:rsidR="0031439A" w:rsidRPr="00226C43">
        <w:rPr>
          <w:color w:val="auto"/>
        </w:rPr>
        <w:t xml:space="preserve"> Comments and scores over the period 2018–2024</w:t>
      </w:r>
      <w:bookmarkEnd w:id="93"/>
    </w:p>
    <w:p w14:paraId="28B649D1" w14:textId="77777777" w:rsidR="00903C8E" w:rsidRPr="00226C43" w:rsidRDefault="00903C8E">
      <w:pPr>
        <w:suppressAutoHyphens w:val="0"/>
        <w:spacing w:after="0"/>
      </w:pPr>
    </w:p>
    <w:tbl>
      <w:tblPr>
        <w:tblStyle w:val="SustineoTables"/>
        <w:tblW w:w="0" w:type="auto"/>
        <w:tblLayout w:type="fixed"/>
        <w:tblLook w:val="04A0" w:firstRow="1" w:lastRow="0" w:firstColumn="1" w:lastColumn="0" w:noHBand="0" w:noVBand="1"/>
      </w:tblPr>
      <w:tblGrid>
        <w:gridCol w:w="2232"/>
        <w:gridCol w:w="799"/>
        <w:gridCol w:w="5134"/>
        <w:gridCol w:w="851"/>
      </w:tblGrid>
      <w:tr w:rsidR="0050071D" w14:paraId="34916D82" w14:textId="77777777" w:rsidTr="00500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shd w:val="clear" w:color="auto" w:fill="E3DED1" w:themeFill="background2"/>
          </w:tcPr>
          <w:p w14:paraId="67A1BDE4" w14:textId="4253FD40" w:rsidR="00F05BE1" w:rsidRPr="00F05BE1" w:rsidRDefault="00F05BE1">
            <w:pPr>
              <w:suppressAutoHyphens w:val="0"/>
              <w:spacing w:after="0"/>
            </w:pPr>
            <w:r w:rsidRPr="00F05BE1">
              <w:t>Criterion</w:t>
            </w:r>
          </w:p>
        </w:tc>
        <w:tc>
          <w:tcPr>
            <w:tcW w:w="799" w:type="dxa"/>
            <w:shd w:val="clear" w:color="auto" w:fill="E3DED1" w:themeFill="background2"/>
          </w:tcPr>
          <w:p w14:paraId="42FECD49" w14:textId="34FE83F6" w:rsidR="00F05BE1" w:rsidRPr="00F05BE1" w:rsidRDefault="00F05BE1" w:rsidP="00610A3E">
            <w:pPr>
              <w:suppressAutoHyphens w:val="0"/>
              <w:spacing w:after="0"/>
              <w:jc w:val="center"/>
              <w:cnfStyle w:val="100000000000" w:firstRow="1" w:lastRow="0" w:firstColumn="0" w:lastColumn="0" w:oddVBand="0" w:evenVBand="0" w:oddHBand="0" w:evenHBand="0" w:firstRowFirstColumn="0" w:firstRowLastColumn="0" w:lastRowFirstColumn="0" w:lastRowLastColumn="0"/>
            </w:pPr>
            <w:r w:rsidRPr="00F05BE1">
              <w:t>Year</w:t>
            </w:r>
          </w:p>
        </w:tc>
        <w:tc>
          <w:tcPr>
            <w:tcW w:w="5134" w:type="dxa"/>
            <w:shd w:val="clear" w:color="auto" w:fill="E3DED1" w:themeFill="background2"/>
          </w:tcPr>
          <w:p w14:paraId="44165438" w14:textId="4B839495" w:rsidR="00F05BE1" w:rsidRPr="00F05BE1" w:rsidRDefault="00F05BE1">
            <w:pPr>
              <w:suppressAutoHyphens w:val="0"/>
              <w:spacing w:after="0"/>
              <w:cnfStyle w:val="100000000000" w:firstRow="1" w:lastRow="0" w:firstColumn="0" w:lastColumn="0" w:oddVBand="0" w:evenVBand="0" w:oddHBand="0" w:evenHBand="0" w:firstRowFirstColumn="0" w:firstRowLastColumn="0" w:lastRowFirstColumn="0" w:lastRowLastColumn="0"/>
            </w:pPr>
            <w:r w:rsidRPr="00F05BE1">
              <w:t>Comments</w:t>
            </w:r>
          </w:p>
        </w:tc>
        <w:tc>
          <w:tcPr>
            <w:tcW w:w="851" w:type="dxa"/>
            <w:shd w:val="clear" w:color="auto" w:fill="E3DED1" w:themeFill="background2"/>
          </w:tcPr>
          <w:p w14:paraId="27A9B4FF" w14:textId="6D650E41" w:rsidR="00F05BE1" w:rsidRPr="00F05BE1" w:rsidRDefault="00F05BE1" w:rsidP="00610A3E">
            <w:pPr>
              <w:suppressAutoHyphens w:val="0"/>
              <w:spacing w:after="0"/>
              <w:jc w:val="center"/>
              <w:cnfStyle w:val="100000000000" w:firstRow="1" w:lastRow="0" w:firstColumn="0" w:lastColumn="0" w:oddVBand="0" w:evenVBand="0" w:oddHBand="0" w:evenHBand="0" w:firstRowFirstColumn="0" w:firstRowLastColumn="0" w:lastRowFirstColumn="0" w:lastRowLastColumn="0"/>
            </w:pPr>
            <w:r w:rsidRPr="00F05BE1">
              <w:t>Score</w:t>
            </w:r>
          </w:p>
        </w:tc>
      </w:tr>
      <w:tr w:rsidR="00F05BE1" w14:paraId="24D617D8" w14:textId="77777777" w:rsidTr="00610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14:paraId="0FA98117" w14:textId="3CAAB9A0" w:rsidR="00F05BE1" w:rsidRPr="00226C43" w:rsidRDefault="00F05BE1" w:rsidP="00F05BE1">
            <w:pPr>
              <w:suppressAutoHyphens w:val="0"/>
              <w:spacing w:after="0"/>
            </w:pPr>
            <w:r w:rsidRPr="00226C43">
              <w:rPr>
                <w:bCs/>
              </w:rPr>
              <w:t>Relevance</w:t>
            </w:r>
          </w:p>
        </w:tc>
        <w:tc>
          <w:tcPr>
            <w:tcW w:w="799" w:type="dxa"/>
          </w:tcPr>
          <w:p w14:paraId="7C9FF242"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2018</w:t>
            </w:r>
          </w:p>
          <w:p w14:paraId="1F1DC497"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40B9D03"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C9352DB"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1ADE8270"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2019</w:t>
            </w:r>
          </w:p>
          <w:p w14:paraId="653EC539"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342100F0"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712DB9DF"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0240932E"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2020</w:t>
            </w:r>
          </w:p>
          <w:p w14:paraId="025B063C"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790AD9F4"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30585249"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4759750A"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2021</w:t>
            </w:r>
          </w:p>
          <w:p w14:paraId="4DEBD527"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484CC3C2"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br/>
            </w:r>
          </w:p>
          <w:p w14:paraId="6B5D0ECF" w14:textId="09CAE8AC"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2022</w:t>
            </w:r>
          </w:p>
          <w:p w14:paraId="6C0E0CA3"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7207C9B7"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19E1A2FB"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34973865"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2023</w:t>
            </w:r>
          </w:p>
          <w:p w14:paraId="285B4D44"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1AFE39F"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3BC3442"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74CA0513" w14:textId="462DBE97" w:rsidR="00F05BE1" w:rsidRPr="00226C43" w:rsidRDefault="00F05BE1" w:rsidP="00610A3E">
            <w:pPr>
              <w:suppressAutoHyphens w:val="0"/>
              <w:spacing w:after="0"/>
              <w:jc w:val="center"/>
              <w:cnfStyle w:val="000000100000" w:firstRow="0" w:lastRow="0" w:firstColumn="0" w:lastColumn="0" w:oddVBand="0" w:evenVBand="0" w:oddHBand="1" w:evenHBand="0" w:firstRowFirstColumn="0" w:firstRowLastColumn="0" w:lastRowFirstColumn="0" w:lastRowLastColumn="0"/>
            </w:pPr>
            <w:r w:rsidRPr="00226C43">
              <w:t>2024</w:t>
            </w:r>
          </w:p>
        </w:tc>
        <w:tc>
          <w:tcPr>
            <w:tcW w:w="5134" w:type="dxa"/>
          </w:tcPr>
          <w:p w14:paraId="63F56EEF"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 xml:space="preserve">Strong alignment with </w:t>
            </w:r>
            <w:proofErr w:type="spellStart"/>
            <w:r w:rsidRPr="00226C43">
              <w:t>GoA</w:t>
            </w:r>
            <w:proofErr w:type="spellEnd"/>
            <w:r w:rsidRPr="00226C43">
              <w:t xml:space="preserve"> and GPH priorities. GEDSI integrated effectively to address marginalized groups' needs.</w:t>
            </w:r>
          </w:p>
          <w:p w14:paraId="59ADBCFC"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7937FA8B"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Clear alignment with strategic priorities in Australia and the Philippines. GEDSI focus ensures inclusion of vulnerable groups.</w:t>
            </w:r>
          </w:p>
          <w:p w14:paraId="73938F05"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7EE29BA3"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Supports gender equality and Indigenous inclusion while remaining aligned with shared development goals.</w:t>
            </w:r>
          </w:p>
          <w:p w14:paraId="5679C0E9"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7379ED79"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17EA9EDC" w14:textId="3A088242"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Focused alignment with national goals; GEDSI integrated into course offerings and alumni outcomes.</w:t>
            </w:r>
          </w:p>
          <w:p w14:paraId="1EDD2D33"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046A2642"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1C7BA4EC" w14:textId="04427409"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Program’s activities remain relevant to government priorities, addressing partner needs while maintaining strong GEDSI integration.</w:t>
            </w:r>
          </w:p>
          <w:p w14:paraId="025A7DCC"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0CC07DD2" w14:textId="73B36E10"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GEDSI-focused programs aligned with national development strategies, emphasizing skills development for marginalized groups.</w:t>
            </w:r>
          </w:p>
          <w:p w14:paraId="4FA7AADE"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0531B32D" w14:textId="68ED42F8" w:rsidR="00F05BE1" w:rsidRPr="00226C43" w:rsidRDefault="00F05BE1" w:rsidP="00610A3E">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Adapts to emerging priorities like climate change and digital transformation while continuing alignment with Australia’s and the Philippines’ shared priorities</w:t>
            </w:r>
            <w:r>
              <w:t>.</w:t>
            </w:r>
          </w:p>
        </w:tc>
        <w:tc>
          <w:tcPr>
            <w:tcW w:w="851" w:type="dxa"/>
          </w:tcPr>
          <w:p w14:paraId="7E9D1482"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4.5/6</w:t>
            </w:r>
          </w:p>
          <w:p w14:paraId="6B28AF3E"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12D7CCA5"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7BD297CD"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91686B6"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503ADC0B"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7D18695C"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2C8EE6AF"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01348F96"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58750FF5"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1DF21920"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026510C4"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BBAADE0" w14:textId="22BE879B"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73AD4EA0"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AAE51D3"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C85F5AC"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A2EC882"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1FCF1B57"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7589299"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47FAB739" w14:textId="77777777" w:rsidR="00F05BE1" w:rsidRDefault="00F05BE1" w:rsidP="00610A3E">
            <w:pPr>
              <w:pStyle w:val="Tabletext"/>
              <w:spacing w:before="0" w:after="0"/>
              <w:cnfStyle w:val="000000100000" w:firstRow="0" w:lastRow="0" w:firstColumn="0" w:lastColumn="0" w:oddVBand="0" w:evenVBand="0" w:oddHBand="1" w:evenHBand="0" w:firstRowFirstColumn="0" w:firstRowLastColumn="0" w:lastRowFirstColumn="0" w:lastRowLastColumn="0"/>
            </w:pPr>
          </w:p>
          <w:p w14:paraId="405F06DA" w14:textId="787BFF36"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1896A1A7"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5C44FF1"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373BCD4F"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EB36FD5" w14:textId="0C4013BD" w:rsidR="00F05BE1" w:rsidRPr="00226C43" w:rsidRDefault="00F05BE1" w:rsidP="00610A3E">
            <w:pPr>
              <w:suppressAutoHyphens w:val="0"/>
              <w:spacing w:after="0"/>
              <w:jc w:val="center"/>
              <w:cnfStyle w:val="000000100000" w:firstRow="0" w:lastRow="0" w:firstColumn="0" w:lastColumn="0" w:oddVBand="0" w:evenVBand="0" w:oddHBand="1" w:evenHBand="0" w:firstRowFirstColumn="0" w:firstRowLastColumn="0" w:lastRowFirstColumn="0" w:lastRowLastColumn="0"/>
            </w:pPr>
            <w:r w:rsidRPr="00226C43">
              <w:t>5/6</w:t>
            </w:r>
          </w:p>
        </w:tc>
      </w:tr>
      <w:tr w:rsidR="00F05BE1" w14:paraId="2E66FBC2" w14:textId="77777777" w:rsidTr="00610A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14:paraId="4DA6FD03" w14:textId="1F4C1CFB" w:rsidR="00F05BE1" w:rsidRPr="00226C43" w:rsidRDefault="00F05BE1" w:rsidP="00F05BE1">
            <w:pPr>
              <w:suppressAutoHyphens w:val="0"/>
              <w:spacing w:after="0"/>
              <w:rPr>
                <w:b w:val="0"/>
                <w:bCs/>
              </w:rPr>
            </w:pPr>
            <w:r w:rsidRPr="00226C43">
              <w:rPr>
                <w:bCs/>
              </w:rPr>
              <w:lastRenderedPageBreak/>
              <w:t>Effectiveness</w:t>
            </w:r>
          </w:p>
        </w:tc>
        <w:tc>
          <w:tcPr>
            <w:tcW w:w="799" w:type="dxa"/>
          </w:tcPr>
          <w:p w14:paraId="46009503"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2018</w:t>
            </w:r>
          </w:p>
          <w:p w14:paraId="1F61670A"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76BAA107"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24B37EAC"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150F4A01"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2019</w:t>
            </w:r>
          </w:p>
          <w:p w14:paraId="0696C0B7"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606BD05F"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2325A694"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76743BFA"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2020</w:t>
            </w:r>
          </w:p>
          <w:p w14:paraId="642DD935"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4DF2BBF7"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7421DA47"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1BFD70B"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2021</w:t>
            </w:r>
          </w:p>
          <w:p w14:paraId="47A9A793"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28E7F6E"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3FBB6E4F"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2022</w:t>
            </w:r>
          </w:p>
          <w:p w14:paraId="1483B441"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BA6D624"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6A71E337"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2E26A167"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2023</w:t>
            </w:r>
          </w:p>
          <w:p w14:paraId="1B0ABFE4"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06704EA5"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D85C7FD"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A4536D5" w14:textId="305609A8" w:rsidR="00F05BE1" w:rsidRPr="00226C43"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2024</w:t>
            </w:r>
          </w:p>
        </w:tc>
        <w:tc>
          <w:tcPr>
            <w:tcW w:w="5134" w:type="dxa"/>
          </w:tcPr>
          <w:p w14:paraId="6FBD3637"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t>Achieved key objectives, with strong GEDSI mainstreaming and significant alumni contributions. MEL data collection effective but could be further improved.</w:t>
            </w:r>
          </w:p>
          <w:p w14:paraId="48D5C10F"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4B5C37A3"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t>Alumni contributions drive institutional improvements and support governance goals. GEDSI targets consistently met.</w:t>
            </w:r>
          </w:p>
          <w:p w14:paraId="2BCF443A"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49794102"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t>Strong alumni contributions to national priorities, particularly in gender equality, disability inclusion, and climate resilience.</w:t>
            </w:r>
          </w:p>
          <w:p w14:paraId="4BBFBEB2"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16038BC2"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t>GEDSI-focused REAPs and alumni activities support systemic improvements in governance and inclusion.</w:t>
            </w:r>
          </w:p>
          <w:p w14:paraId="211543D5"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47D7F841"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t>High alumni impact across gender equality, climate resilience, and public sector reform. GEDSI programs exceed expectations.</w:t>
            </w:r>
          </w:p>
          <w:p w14:paraId="435BA018"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2D198153"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t>Alumni effectively implement GEDSI-focused projects in priority areas like education, governance, and climate resilience.</w:t>
            </w:r>
          </w:p>
          <w:p w14:paraId="4683275E"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308A0F4D"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t>Alumni projects address critical issues, including climate adaptation, disability inclusion, and gender equality.</w:t>
            </w:r>
          </w:p>
          <w:p w14:paraId="6C553B94" w14:textId="77777777" w:rsidR="00F05BE1" w:rsidRPr="00226C43"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tc>
        <w:tc>
          <w:tcPr>
            <w:tcW w:w="851" w:type="dxa"/>
          </w:tcPr>
          <w:p w14:paraId="3B79C1C2"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4.3/6</w:t>
            </w:r>
          </w:p>
          <w:p w14:paraId="490AFF93"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45FB8AE9"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2FADF7D3" w14:textId="77777777" w:rsidR="00F05BE1" w:rsidRDefault="00F05BE1" w:rsidP="00610A3E">
            <w:pPr>
              <w:pStyle w:val="Tabletext"/>
              <w:spacing w:before="0" w:after="0"/>
              <w:cnfStyle w:val="000000010000" w:firstRow="0" w:lastRow="0" w:firstColumn="0" w:lastColumn="0" w:oddVBand="0" w:evenVBand="0" w:oddHBand="0" w:evenHBand="1" w:firstRowFirstColumn="0" w:firstRowLastColumn="0" w:lastRowFirstColumn="0" w:lastRowLastColumn="0"/>
            </w:pPr>
          </w:p>
          <w:p w14:paraId="400922DC"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398B1728"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28042D14"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4342200C"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AD446A6"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1CA7236D"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306CD43"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46FD53D0"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7F852F8C"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337DF7A9"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5E1BA21" w14:textId="77777777" w:rsidR="00F05BE1" w:rsidRDefault="00F05BE1" w:rsidP="00610A3E">
            <w:pPr>
              <w:pStyle w:val="Tabletext"/>
              <w:spacing w:before="0" w:after="0"/>
              <w:cnfStyle w:val="000000010000" w:firstRow="0" w:lastRow="0" w:firstColumn="0" w:lastColumn="0" w:oddVBand="0" w:evenVBand="0" w:oddHBand="0" w:evenHBand="1" w:firstRowFirstColumn="0" w:firstRowLastColumn="0" w:lastRowFirstColumn="0" w:lastRowLastColumn="0"/>
            </w:pPr>
          </w:p>
          <w:p w14:paraId="4FAE554A"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6E0AC56E"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2A13F636" w14:textId="77777777" w:rsidR="00F05BE1" w:rsidRDefault="00F05BE1" w:rsidP="00610A3E">
            <w:pPr>
              <w:pStyle w:val="Tabletext"/>
              <w:spacing w:before="0" w:after="0"/>
              <w:cnfStyle w:val="000000010000" w:firstRow="0" w:lastRow="0" w:firstColumn="0" w:lastColumn="0" w:oddVBand="0" w:evenVBand="0" w:oddHBand="0" w:evenHBand="1" w:firstRowFirstColumn="0" w:firstRowLastColumn="0" w:lastRowFirstColumn="0" w:lastRowLastColumn="0"/>
            </w:pPr>
          </w:p>
          <w:p w14:paraId="5AD93AB3"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5AADD0FF"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937BD06"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4A5B68B8"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426A7BA"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CDB916E" w14:textId="53B64FF7" w:rsidR="00F05BE1" w:rsidRPr="00226C43"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tc>
      </w:tr>
      <w:tr w:rsidR="00F05BE1" w14:paraId="35B48B31" w14:textId="77777777" w:rsidTr="00610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14:paraId="61992588" w14:textId="42665CEA" w:rsidR="00F05BE1" w:rsidRPr="00226C43" w:rsidRDefault="00F05BE1" w:rsidP="00F05BE1">
            <w:pPr>
              <w:suppressAutoHyphens w:val="0"/>
              <w:spacing w:after="0"/>
              <w:rPr>
                <w:b w:val="0"/>
                <w:bCs/>
              </w:rPr>
            </w:pPr>
            <w:r w:rsidRPr="00226C43">
              <w:rPr>
                <w:bCs/>
              </w:rPr>
              <w:t>Efficiency</w:t>
            </w:r>
          </w:p>
        </w:tc>
        <w:tc>
          <w:tcPr>
            <w:tcW w:w="799" w:type="dxa"/>
          </w:tcPr>
          <w:p w14:paraId="6C075F9C"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2018</w:t>
            </w:r>
          </w:p>
          <w:p w14:paraId="71EBE55F"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01CB578A"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70E9FD81"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2019</w:t>
            </w:r>
          </w:p>
          <w:p w14:paraId="5BAF3CCB"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CBC1D1F"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07B62540"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2020</w:t>
            </w:r>
          </w:p>
          <w:p w14:paraId="71BFCCCF"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62102C1"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1B739323"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2021</w:t>
            </w:r>
          </w:p>
          <w:p w14:paraId="3BE06435"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2A710B77"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br/>
            </w:r>
            <w:r w:rsidRPr="00226C43">
              <w:t>2022</w:t>
            </w:r>
          </w:p>
          <w:p w14:paraId="4DD18F46"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7B724F5C"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B5B81F1"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3094EEC4"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2023</w:t>
            </w:r>
          </w:p>
          <w:p w14:paraId="5C98A48D"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6ED9CC6"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4B41B5FC" w14:textId="44A432D1" w:rsidR="00F05BE1" w:rsidRPr="00226C43"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2024</w:t>
            </w:r>
          </w:p>
        </w:tc>
        <w:tc>
          <w:tcPr>
            <w:tcW w:w="5134" w:type="dxa"/>
          </w:tcPr>
          <w:p w14:paraId="6A3E626D"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Resources efficiently utilized; GEDSI programs integrated into processes effectively.</w:t>
            </w:r>
          </w:p>
          <w:p w14:paraId="7652DC04"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63CF7F49"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Partnerships and sound financial management enhance operational efficiency.</w:t>
            </w:r>
          </w:p>
          <w:p w14:paraId="2A52FAD9"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4C6E1CD1"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Effective cost management supports a wide range of GEDSI programs while maintaining outcomes.</w:t>
            </w:r>
          </w:p>
          <w:p w14:paraId="37544A6E"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37B822E5"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Blended online and in-person delivery reduced costs and ensured continuity during the pandemic.</w:t>
            </w:r>
          </w:p>
          <w:p w14:paraId="2E1F893A"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0AE04E57"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Resources efficiently allocated to GEDSI-focused projects, particularly climate change adaptation and disability inclusion.</w:t>
            </w:r>
          </w:p>
          <w:p w14:paraId="5A2A1208"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1B02A01D"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Streamlined processes minimize costs while effectively addressing GEDSI priorities.</w:t>
            </w:r>
          </w:p>
          <w:p w14:paraId="4EC53EE4"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000AA02D"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Efficient use of resources to deliver programs addressing emerging themes like digitalization and climate adaptation.</w:t>
            </w:r>
          </w:p>
          <w:p w14:paraId="32EF6DBF" w14:textId="77777777" w:rsidR="00F05BE1" w:rsidRPr="00226C43"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tc>
        <w:tc>
          <w:tcPr>
            <w:tcW w:w="851" w:type="dxa"/>
          </w:tcPr>
          <w:p w14:paraId="32AF8EAD"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4.4/6</w:t>
            </w:r>
          </w:p>
          <w:p w14:paraId="140162C3"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143680C6"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09F6ECAC"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60E23390"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0E0F42D"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31044C86"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0CF872EB"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325D6ABA"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44D434BE"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1BF82854"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1A2FE70D"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3ABF8A9B"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61352E94"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048CE8A"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142857C1"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ABB55DC"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2FD9D574"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2DE98A2"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26521320" w14:textId="4092625B" w:rsidR="00F05BE1" w:rsidRPr="00226C43"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tc>
      </w:tr>
      <w:tr w:rsidR="00F05BE1" w14:paraId="73F5C8C5" w14:textId="77777777" w:rsidTr="00610A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14:paraId="351F7183" w14:textId="0D754BEB" w:rsidR="00F05BE1" w:rsidRPr="00226C43" w:rsidRDefault="00F05BE1" w:rsidP="00F05BE1">
            <w:pPr>
              <w:suppressAutoHyphens w:val="0"/>
              <w:spacing w:after="0"/>
              <w:rPr>
                <w:b w:val="0"/>
                <w:bCs/>
              </w:rPr>
            </w:pPr>
            <w:r w:rsidRPr="00226C43">
              <w:rPr>
                <w:bCs/>
              </w:rPr>
              <w:t>Sustainability</w:t>
            </w:r>
          </w:p>
        </w:tc>
        <w:tc>
          <w:tcPr>
            <w:tcW w:w="799" w:type="dxa"/>
          </w:tcPr>
          <w:p w14:paraId="67EE3409"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2018</w:t>
            </w:r>
          </w:p>
          <w:p w14:paraId="5007DE62"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58EB306A"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1AD320A"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2019</w:t>
            </w:r>
          </w:p>
          <w:p w14:paraId="7C659A2C"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60D88371"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03CF1003"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6D3770D2" w14:textId="0F77D911"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lastRenderedPageBreak/>
              <w:t>2020</w:t>
            </w:r>
          </w:p>
          <w:p w14:paraId="02F02247"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15FA62E"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D7708E1"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2021</w:t>
            </w:r>
          </w:p>
          <w:p w14:paraId="3A9C8C3C"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22BCB43D"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3C5B44DA"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2022</w:t>
            </w:r>
          </w:p>
          <w:p w14:paraId="146D3DFC"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3DEF9768"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2B9046BA"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8F60E28"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2023</w:t>
            </w:r>
          </w:p>
          <w:p w14:paraId="728A0465"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33D79E2A"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25283A3" w14:textId="71DB7451" w:rsidR="00F05BE1" w:rsidRPr="00226C43"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2024</w:t>
            </w:r>
          </w:p>
        </w:tc>
        <w:tc>
          <w:tcPr>
            <w:tcW w:w="5134" w:type="dxa"/>
          </w:tcPr>
          <w:p w14:paraId="0B0A3713"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lastRenderedPageBreak/>
              <w:t>Alumni-driven initiatives and knowledge-sharing sustain program outcomes.</w:t>
            </w:r>
          </w:p>
          <w:p w14:paraId="21EF79E5"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7B23FD2F"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t>GEDSI-aligned initiatives and alumni collaboration foster long-term impact.</w:t>
            </w:r>
          </w:p>
          <w:p w14:paraId="0C60B703"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70E94412" w14:textId="0A76D89D"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lastRenderedPageBreak/>
              <w:t>Alumni networks foster systemic changes, supporting sustainable GEDSI implementation.</w:t>
            </w:r>
          </w:p>
          <w:p w14:paraId="3FE54D57"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5AD4E489"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t>GEDSI pilots enhance partner institutions’ capacity and alumni networks sustain program goals.</w:t>
            </w:r>
          </w:p>
          <w:p w14:paraId="3450451F"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06787894"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t>Alumni-led initiatives integrate GEDSI and climate adaptation into institutional practices, ensuring sustainability.</w:t>
            </w:r>
          </w:p>
          <w:p w14:paraId="56B66FB9"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2FE9019F"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t>Alumni implement projects that embed inclusivity and resilience within national and local policies.</w:t>
            </w:r>
          </w:p>
          <w:p w14:paraId="18EFFC71"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49B4400F"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t>GEDSI-focused reforms sustain long-term outcomes through partnerships with government agencies.</w:t>
            </w:r>
          </w:p>
          <w:p w14:paraId="0290BDEA" w14:textId="77777777" w:rsidR="00F05BE1" w:rsidRPr="00226C43"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tc>
        <w:tc>
          <w:tcPr>
            <w:tcW w:w="851" w:type="dxa"/>
          </w:tcPr>
          <w:p w14:paraId="230A6474"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lastRenderedPageBreak/>
              <w:t>4.3/6</w:t>
            </w:r>
          </w:p>
          <w:p w14:paraId="60BC8A49"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68B7843" w14:textId="77777777" w:rsidR="00F05BE1" w:rsidRDefault="00F05BE1" w:rsidP="00610A3E">
            <w:pPr>
              <w:pStyle w:val="Tabletext"/>
              <w:spacing w:before="0" w:after="0"/>
              <w:cnfStyle w:val="000000010000" w:firstRow="0" w:lastRow="0" w:firstColumn="0" w:lastColumn="0" w:oddVBand="0" w:evenVBand="0" w:oddHBand="0" w:evenHBand="1" w:firstRowFirstColumn="0" w:firstRowLastColumn="0" w:lastRowFirstColumn="0" w:lastRowLastColumn="0"/>
            </w:pPr>
          </w:p>
          <w:p w14:paraId="7F915417"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4/6</w:t>
            </w:r>
          </w:p>
          <w:p w14:paraId="0553E793"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7EE7B78F"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30EEA12A"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A79DBE4" w14:textId="6A99FF93"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lastRenderedPageBreak/>
              <w:t>5/6</w:t>
            </w:r>
          </w:p>
          <w:p w14:paraId="4FF585E1"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91DF097"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2CA3A141"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1C6E10A2"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4580DE68"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7BE12786"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07B64787"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76E2C5A7"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74C5A009"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C996996"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4/6</w:t>
            </w:r>
          </w:p>
          <w:p w14:paraId="04748420"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04FD70EF"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05D2683E" w14:textId="09E221DF" w:rsidR="00F05BE1" w:rsidRPr="00226C43"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4/6</w:t>
            </w:r>
          </w:p>
        </w:tc>
      </w:tr>
      <w:tr w:rsidR="00F05BE1" w14:paraId="52F9969F" w14:textId="77777777" w:rsidTr="00610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14:paraId="44B256ED" w14:textId="0B5ACA90" w:rsidR="00F05BE1" w:rsidRPr="00226C43" w:rsidRDefault="00F05BE1" w:rsidP="00F05BE1">
            <w:pPr>
              <w:suppressAutoHyphens w:val="0"/>
              <w:spacing w:after="0"/>
              <w:rPr>
                <w:b w:val="0"/>
                <w:bCs/>
              </w:rPr>
            </w:pPr>
            <w:r w:rsidRPr="00226C43">
              <w:rPr>
                <w:bCs/>
              </w:rPr>
              <w:lastRenderedPageBreak/>
              <w:t>Gender Equality</w:t>
            </w:r>
          </w:p>
        </w:tc>
        <w:tc>
          <w:tcPr>
            <w:tcW w:w="799" w:type="dxa"/>
          </w:tcPr>
          <w:p w14:paraId="3519AB96"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2018</w:t>
            </w:r>
          </w:p>
          <w:p w14:paraId="34D878F4"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FA4EBD9"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24F8E16A"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2019</w:t>
            </w:r>
          </w:p>
          <w:p w14:paraId="7AEC6377"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9B0C2C4"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D2CC0D4"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2020</w:t>
            </w:r>
          </w:p>
          <w:p w14:paraId="68EE66DF"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1CED5B8B"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8DDB7DD"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2021</w:t>
            </w:r>
          </w:p>
          <w:p w14:paraId="4CE3875B"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4FCC8161"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738C3F7A"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2022</w:t>
            </w:r>
          </w:p>
          <w:p w14:paraId="666C11F8"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AFA519A"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0195A1C"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77A2C3DA"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2023</w:t>
            </w:r>
          </w:p>
          <w:p w14:paraId="3A4080AD"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79537B3"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08BD89F5" w14:textId="1286B97A" w:rsidR="00F05BE1" w:rsidRPr="00226C43"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2024</w:t>
            </w:r>
          </w:p>
        </w:tc>
        <w:tc>
          <w:tcPr>
            <w:tcW w:w="5134" w:type="dxa"/>
          </w:tcPr>
          <w:p w14:paraId="558642ED"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Strong integration of gender equality principles in all program aspects.</w:t>
            </w:r>
          </w:p>
          <w:p w14:paraId="1AC2747D"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30FB9296"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Women leaders supported through scholarships; gender balance in program participation maintained.</w:t>
            </w:r>
          </w:p>
          <w:p w14:paraId="3E3360A8"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540FD08A"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GEDSI initiatives improve representation and engagement in policy-making processes.</w:t>
            </w:r>
          </w:p>
          <w:p w14:paraId="7DC03138"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512D318C"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Gender-sensitive practices embedded in alumni-driven projects and institutional strategies.</w:t>
            </w:r>
          </w:p>
          <w:p w14:paraId="4DD2999B"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235BAFAB"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Programs addressing gender inequality achieve substantial outcomes, particularly in leadership roles.</w:t>
            </w:r>
          </w:p>
          <w:p w14:paraId="0F6EFD3A"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2FF56633"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Alumni projects empower women in governance and education while advancing gender equality.</w:t>
            </w:r>
          </w:p>
          <w:p w14:paraId="745E7AFB"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6A6236E5" w14:textId="67A0E1D2" w:rsidR="00F05BE1" w:rsidRPr="00226C43"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GEDSI-focused efforts continue to promote gender inclusivity in leadership and decision-making</w:t>
            </w:r>
            <w:r>
              <w:t>.</w:t>
            </w:r>
          </w:p>
        </w:tc>
        <w:tc>
          <w:tcPr>
            <w:tcW w:w="851" w:type="dxa"/>
          </w:tcPr>
          <w:p w14:paraId="22043232"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4.5/6</w:t>
            </w:r>
          </w:p>
          <w:p w14:paraId="16067A23"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11885F9E"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37C8EE24"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3264A855"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A9A82C5"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74979AC0"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7718BA1F"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0AA93991"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19121E5C"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6723691D"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484787E"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790F5662"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5C71DAEC"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16E86A2D"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D3DFD0A"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7E21476A"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DBDA52B"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4F763F9B"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0673071C"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4E0E68D" w14:textId="77777777" w:rsidR="00F05BE1" w:rsidRPr="00226C43"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tc>
      </w:tr>
      <w:tr w:rsidR="00F05BE1" w14:paraId="0C3DC217" w14:textId="77777777" w:rsidTr="00610A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14:paraId="78B323ED" w14:textId="517C4777" w:rsidR="00F05BE1" w:rsidRPr="00226C43" w:rsidRDefault="00F05BE1" w:rsidP="00F05BE1">
            <w:pPr>
              <w:suppressAutoHyphens w:val="0"/>
              <w:spacing w:after="0"/>
              <w:rPr>
                <w:b w:val="0"/>
                <w:bCs/>
              </w:rPr>
            </w:pPr>
            <w:r w:rsidRPr="00226C43">
              <w:rPr>
                <w:bCs/>
              </w:rPr>
              <w:t>Disability</w:t>
            </w:r>
          </w:p>
        </w:tc>
        <w:tc>
          <w:tcPr>
            <w:tcW w:w="799" w:type="dxa"/>
          </w:tcPr>
          <w:p w14:paraId="27CE7F51"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2018</w:t>
            </w:r>
          </w:p>
          <w:p w14:paraId="37F70D29"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BC0A35B"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48479C25"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2019</w:t>
            </w:r>
          </w:p>
          <w:p w14:paraId="7E3E1938"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2F5A7B1F"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3D321ED1"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2020</w:t>
            </w:r>
          </w:p>
          <w:p w14:paraId="46D50780"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758D8F97"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2CA88BE"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2021</w:t>
            </w:r>
          </w:p>
          <w:p w14:paraId="3EECC8A6"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CDA6A2A"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02278948"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2022</w:t>
            </w:r>
          </w:p>
          <w:p w14:paraId="41CA2F3A"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04829406"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20756D65"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2023</w:t>
            </w:r>
          </w:p>
          <w:p w14:paraId="53F26C8B"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63AFAD2"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0C7A4839"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0B76281F" w14:textId="3CA120F6" w:rsidR="00F05BE1" w:rsidRPr="00226C43"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lastRenderedPageBreak/>
              <w:t>2024</w:t>
            </w:r>
          </w:p>
        </w:tc>
        <w:tc>
          <w:tcPr>
            <w:tcW w:w="5134" w:type="dxa"/>
          </w:tcPr>
          <w:p w14:paraId="11C50859"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lastRenderedPageBreak/>
              <w:t>Disability inclusion embedded in project design, with accommodations ensuring equitable participation.</w:t>
            </w:r>
          </w:p>
          <w:p w14:paraId="4EDDEBF6"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32B22DF6"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t>Programs promote accessibility, including resources and training for people with disabilities.</w:t>
            </w:r>
          </w:p>
          <w:p w14:paraId="7899F7ED"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45C93CD4"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t>GEDSI initiatives enhance access for disabled participants in leadership programs.</w:t>
            </w:r>
          </w:p>
          <w:p w14:paraId="542F6310"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38F832AE"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t>Alumni-driven disability inclusion programs align with GEDSI principles, strengthening advocacy.</w:t>
            </w:r>
          </w:p>
          <w:p w14:paraId="24BD1D32"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0615D4CB"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t>Strong progress in disability-inclusive leadership and education initiatives, driven by GEDSI scorecards.</w:t>
            </w:r>
          </w:p>
          <w:p w14:paraId="0E912A1E"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7209877A"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t>Alumni projects improve accessibility in public services and educational institutions.</w:t>
            </w:r>
          </w:p>
          <w:p w14:paraId="729F5791"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65EF4671"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226C43">
              <w:lastRenderedPageBreak/>
              <w:t>Focus on expanding disability inclusion in governance and capacity-building programs.</w:t>
            </w:r>
          </w:p>
          <w:p w14:paraId="4EEDEBD4" w14:textId="77777777" w:rsidR="00F05BE1" w:rsidRPr="00226C43"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tc>
        <w:tc>
          <w:tcPr>
            <w:tcW w:w="851" w:type="dxa"/>
          </w:tcPr>
          <w:p w14:paraId="276E4521"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lastRenderedPageBreak/>
              <w:t>4.4/6</w:t>
            </w:r>
          </w:p>
          <w:p w14:paraId="4C5EC1ED"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6A42911D"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6C5F495"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4344B2F3"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3D91DE4F"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200A41DC"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448D6180"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7EE23766"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47744455"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526E4985"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6C074895"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6E787117"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1D976E07"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564C0F5"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54B5C9C"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072C8BD7"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2FD6F4D"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26B06EE4"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FA3BFA7" w14:textId="031A6564"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lastRenderedPageBreak/>
              <w:t>5/6</w:t>
            </w:r>
          </w:p>
          <w:p w14:paraId="187CF132" w14:textId="77777777" w:rsidR="00F05BE1" w:rsidRPr="00226C43"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tc>
      </w:tr>
      <w:tr w:rsidR="00F05BE1" w14:paraId="47D58743" w14:textId="77777777" w:rsidTr="00610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14:paraId="410BCD9D" w14:textId="5D2951A9" w:rsidR="00F05BE1" w:rsidRPr="00226C43" w:rsidRDefault="00F05BE1" w:rsidP="00F05BE1">
            <w:pPr>
              <w:suppressAutoHyphens w:val="0"/>
              <w:spacing w:after="0"/>
              <w:rPr>
                <w:b w:val="0"/>
                <w:bCs/>
              </w:rPr>
            </w:pPr>
            <w:r w:rsidRPr="00226C43">
              <w:rPr>
                <w:bCs/>
              </w:rPr>
              <w:lastRenderedPageBreak/>
              <w:t>Climate Change</w:t>
            </w:r>
          </w:p>
        </w:tc>
        <w:tc>
          <w:tcPr>
            <w:tcW w:w="799" w:type="dxa"/>
          </w:tcPr>
          <w:p w14:paraId="152EA7A6"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2018</w:t>
            </w:r>
          </w:p>
          <w:p w14:paraId="39E24A52"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3949FC6A"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6653311"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2019</w:t>
            </w:r>
          </w:p>
          <w:p w14:paraId="5364F4BB"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30D96CD"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1B5F33C1"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2020</w:t>
            </w:r>
          </w:p>
          <w:p w14:paraId="2E514191"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7E4D11F7"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DB73D12"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2021</w:t>
            </w:r>
          </w:p>
          <w:p w14:paraId="29AEBD9F"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2FAD4DC3"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268CF2E1"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2022</w:t>
            </w:r>
          </w:p>
          <w:p w14:paraId="084E6EB2"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43F944AE"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4CCCB2E2"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3F7629D"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2023</w:t>
            </w:r>
          </w:p>
          <w:p w14:paraId="248F0B10"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1EA8191D"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7CDBDDC4" w14:textId="31D83F22" w:rsidR="00F05BE1" w:rsidRPr="00226C43"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2024</w:t>
            </w:r>
          </w:p>
        </w:tc>
        <w:tc>
          <w:tcPr>
            <w:tcW w:w="5134" w:type="dxa"/>
          </w:tcPr>
          <w:p w14:paraId="4FFACDC6"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GEDSI activities include resilience-building components addressing climate risks.</w:t>
            </w:r>
          </w:p>
          <w:p w14:paraId="63B4F746"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307F2A2C"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Climate-focused REAPs promote sustainability through policy and community action.</w:t>
            </w:r>
          </w:p>
          <w:p w14:paraId="1981A97C"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1E4FC92C"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Alumni integrate climate change adaptation strategies into institutional practices.</w:t>
            </w:r>
          </w:p>
          <w:p w14:paraId="75E56FA1"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7DF85ABC"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REAPs include innovative approaches to climate resilience and natural resource management.</w:t>
            </w:r>
          </w:p>
          <w:p w14:paraId="3BBDEA30"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7FCE1212"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Alumni-driven initiatives enhance climate resilience in public and private sectors.</w:t>
            </w:r>
          </w:p>
          <w:p w14:paraId="1F982631"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2AFDDDC6"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Collaborative projects integrate climate resilience strategies, supporting long-term environmental sustainability.</w:t>
            </w:r>
          </w:p>
          <w:p w14:paraId="6831C2B4"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p w14:paraId="5807620F" w14:textId="77777777" w:rsidR="00F05BE1"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r w:rsidRPr="00226C43">
              <w:t>REAPs address climate adaptation and resilience through inclusive and innovative approaches.</w:t>
            </w:r>
          </w:p>
          <w:p w14:paraId="19D7B153" w14:textId="77777777" w:rsidR="00F05BE1" w:rsidRPr="00226C43" w:rsidRDefault="00F05BE1" w:rsidP="00F05BE1">
            <w:pPr>
              <w:pStyle w:val="Tabletext"/>
              <w:spacing w:before="0" w:after="0"/>
              <w:cnfStyle w:val="000000100000" w:firstRow="0" w:lastRow="0" w:firstColumn="0" w:lastColumn="0" w:oddVBand="0" w:evenVBand="0" w:oddHBand="1" w:evenHBand="0" w:firstRowFirstColumn="0" w:firstRowLastColumn="0" w:lastRowFirstColumn="0" w:lastRowLastColumn="0"/>
            </w:pPr>
          </w:p>
        </w:tc>
        <w:tc>
          <w:tcPr>
            <w:tcW w:w="851" w:type="dxa"/>
          </w:tcPr>
          <w:p w14:paraId="2E49BE27"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4.5/6</w:t>
            </w:r>
          </w:p>
          <w:p w14:paraId="5E10BCCD"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4327EE1F"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DE6F972"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50FC709E"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7F792DF1"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66E480DE"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6730AA79"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108DE64"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C487486"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62AB1C7B"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97098C9" w14:textId="77777777" w:rsidR="00F05BE1" w:rsidRDefault="00F05BE1" w:rsidP="00610A3E">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4FA24BC2"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20412B2B"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7F21D45A"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4FDC88B1"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5A74BBDA"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4B5773F6"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75086F11"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p w14:paraId="5F99E30C" w14:textId="77777777" w:rsidR="00F05BE1"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226C43">
              <w:t>5/6</w:t>
            </w:r>
          </w:p>
          <w:p w14:paraId="02BA8038" w14:textId="77777777" w:rsidR="00F05BE1" w:rsidRPr="00226C43" w:rsidRDefault="00F05BE1" w:rsidP="00F05BE1">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p>
        </w:tc>
      </w:tr>
      <w:tr w:rsidR="00F05BE1" w14:paraId="26598373" w14:textId="77777777" w:rsidTr="00610A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14:paraId="4EB311B8" w14:textId="1CAB46EC" w:rsidR="00F05BE1" w:rsidRPr="00226C43" w:rsidRDefault="00F05BE1" w:rsidP="00F05BE1">
            <w:pPr>
              <w:suppressAutoHyphens w:val="0"/>
              <w:spacing w:after="0"/>
              <w:rPr>
                <w:b w:val="0"/>
                <w:bCs/>
              </w:rPr>
            </w:pPr>
            <w:r w:rsidRPr="00226C43">
              <w:rPr>
                <w:bCs/>
              </w:rPr>
              <w:t>Risk Management</w:t>
            </w:r>
          </w:p>
        </w:tc>
        <w:tc>
          <w:tcPr>
            <w:tcW w:w="799" w:type="dxa"/>
          </w:tcPr>
          <w:p w14:paraId="71CC82CE"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2018</w:t>
            </w:r>
          </w:p>
          <w:p w14:paraId="4DC30615"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4DCD272C"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264B121"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2019</w:t>
            </w:r>
          </w:p>
          <w:p w14:paraId="7BEC1946"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2B928DEA"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305B0AAC"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2FB538F5"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2020</w:t>
            </w:r>
          </w:p>
          <w:p w14:paraId="5656EBFD"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FA832B5"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2AE35E0"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2021</w:t>
            </w:r>
          </w:p>
          <w:p w14:paraId="0055B057"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725AA489"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A671F0C"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2022</w:t>
            </w:r>
          </w:p>
          <w:p w14:paraId="011EDA38"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7A63511"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E4E92C9"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2023</w:t>
            </w:r>
          </w:p>
          <w:p w14:paraId="0762048C"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565530A5"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46BBA54C" w14:textId="1D381637" w:rsidR="00F05BE1" w:rsidRPr="00226C43"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2024</w:t>
            </w:r>
          </w:p>
        </w:tc>
        <w:tc>
          <w:tcPr>
            <w:tcW w:w="5134" w:type="dxa"/>
          </w:tcPr>
          <w:p w14:paraId="0BB90184"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BB4BC0">
              <w:t>Risks effectively managed through governance frameworks and stakeholder collaboration.</w:t>
            </w:r>
          </w:p>
          <w:p w14:paraId="537BEE02"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5466A063"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BB4BC0">
              <w:t>Strengthened risk mitigation strategies ensure program delivery during uncertainties like political transitions.</w:t>
            </w:r>
          </w:p>
          <w:p w14:paraId="0023D1C2"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7932A024"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BB4BC0">
              <w:t>COVID-19 adaptations demonstrate the program's capacity to manage risks while maintaining outcomes.</w:t>
            </w:r>
          </w:p>
          <w:p w14:paraId="26368CC7"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15C36E5C"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BB4BC0">
              <w:t>Risk assessments embedded into REAPs and alumni engagement ensure long-term project viability.</w:t>
            </w:r>
          </w:p>
          <w:p w14:paraId="056D7E84"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549B3F2E"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E714E9">
              <w:t>Robust governance frameworks and adaptive management support risk mitigation</w:t>
            </w:r>
          </w:p>
          <w:p w14:paraId="62D3AE83"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6DDAB985"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E714E9">
              <w:t>Proactive risk management in alumni initiatives ensures success despite logistical challenges.</w:t>
            </w:r>
          </w:p>
          <w:p w14:paraId="7B0C0CAA"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p w14:paraId="184EBE96" w14:textId="77777777" w:rsidR="00F05BE1"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r w:rsidRPr="00E714E9">
              <w:t>Risk management strategies address emerging challenges, including global health and climate crises.</w:t>
            </w:r>
          </w:p>
          <w:p w14:paraId="27C12C34" w14:textId="77777777" w:rsidR="00F05BE1" w:rsidRPr="00226C43" w:rsidRDefault="00F05BE1" w:rsidP="00F05BE1">
            <w:pPr>
              <w:pStyle w:val="Tabletext"/>
              <w:spacing w:before="0" w:after="0"/>
              <w:cnfStyle w:val="000000010000" w:firstRow="0" w:lastRow="0" w:firstColumn="0" w:lastColumn="0" w:oddVBand="0" w:evenVBand="0" w:oddHBand="0" w:evenHBand="1" w:firstRowFirstColumn="0" w:firstRowLastColumn="0" w:lastRowFirstColumn="0" w:lastRowLastColumn="0"/>
            </w:pPr>
          </w:p>
        </w:tc>
        <w:tc>
          <w:tcPr>
            <w:tcW w:w="851" w:type="dxa"/>
          </w:tcPr>
          <w:p w14:paraId="1FF23877"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4.5/6</w:t>
            </w:r>
          </w:p>
          <w:p w14:paraId="2A6CFB02"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31E64409"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69CCCB9C"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70ABFE4E"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147DFFD"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0D68A4E3"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028A3FE2"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0CC1630C"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720181B3"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3ED9A5A8"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3EB4EF7B"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3E54062B" w14:textId="77777777" w:rsidR="00F05BE1" w:rsidRDefault="00F05BE1" w:rsidP="00610A3E">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387D7A36"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40C6343F"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0ECF2B6F"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3CC1ECEF"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76AB5BB8"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26EAAC50"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13E14651"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r w:rsidRPr="00226C43">
              <w:t>5/6</w:t>
            </w:r>
          </w:p>
          <w:p w14:paraId="44534F51" w14:textId="77777777" w:rsidR="00F05BE1"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p w14:paraId="38C98754" w14:textId="77777777" w:rsidR="00F05BE1" w:rsidRPr="00226C43" w:rsidRDefault="00F05BE1" w:rsidP="00F05BE1">
            <w:pPr>
              <w:pStyle w:val="Tabletext"/>
              <w:spacing w:before="0" w:after="0"/>
              <w:jc w:val="center"/>
              <w:cnfStyle w:val="000000010000" w:firstRow="0" w:lastRow="0" w:firstColumn="0" w:lastColumn="0" w:oddVBand="0" w:evenVBand="0" w:oddHBand="0" w:evenHBand="1" w:firstRowFirstColumn="0" w:firstRowLastColumn="0" w:lastRowFirstColumn="0" w:lastRowLastColumn="0"/>
            </w:pPr>
          </w:p>
        </w:tc>
      </w:tr>
    </w:tbl>
    <w:p w14:paraId="55889420" w14:textId="569EE531" w:rsidR="00903C8E" w:rsidRPr="00226C43" w:rsidRDefault="00903C8E">
      <w:pPr>
        <w:suppressAutoHyphens w:val="0"/>
        <w:spacing w:after="0"/>
        <w:sectPr w:rsidR="00903C8E" w:rsidRPr="00226C43" w:rsidSect="00903C8E">
          <w:headerReference w:type="first" r:id="rId34"/>
          <w:footerReference w:type="first" r:id="rId35"/>
          <w:pgSz w:w="11906" w:h="16838"/>
          <w:pgMar w:top="1440" w:right="1440" w:bottom="1440" w:left="1440" w:header="567" w:footer="567" w:gutter="0"/>
          <w:cols w:space="708"/>
          <w:titlePg/>
          <w:docGrid w:linePitch="360"/>
        </w:sectPr>
      </w:pPr>
    </w:p>
    <w:p w14:paraId="4E365B56" w14:textId="15FF22F7" w:rsidR="00B81F0E" w:rsidRPr="00226C43" w:rsidRDefault="00B81F0E" w:rsidP="005A698C">
      <w:pPr>
        <w:pStyle w:val="Appendices"/>
        <w:rPr>
          <w:rFonts w:asciiTheme="minorHAnsi" w:hAnsiTheme="minorHAnsi"/>
          <w:color w:val="auto"/>
        </w:rPr>
      </w:pPr>
      <w:bookmarkStart w:id="94" w:name="_Toc190195437"/>
      <w:bookmarkStart w:id="95" w:name="_Toc190248334"/>
      <w:bookmarkStart w:id="96" w:name="_Toc170122240"/>
      <w:bookmarkStart w:id="97" w:name="_Toc170122313"/>
      <w:r w:rsidRPr="00226C43">
        <w:rPr>
          <w:rFonts w:asciiTheme="minorHAnsi" w:hAnsiTheme="minorHAnsi"/>
          <w:color w:val="auto"/>
        </w:rPr>
        <w:lastRenderedPageBreak/>
        <w:t>Current Board and PCC Members</w:t>
      </w:r>
      <w:bookmarkEnd w:id="94"/>
      <w:bookmarkEnd w:id="95"/>
    </w:p>
    <w:p w14:paraId="569EBCBE" w14:textId="14A87CA8" w:rsidR="00B94A30" w:rsidRDefault="00B94A30" w:rsidP="00076A05">
      <w:pPr>
        <w:pStyle w:val="ListParagraph"/>
        <w:spacing w:after="0"/>
        <w:ind w:left="0"/>
        <w:rPr>
          <w:b/>
          <w:bCs/>
        </w:rPr>
      </w:pPr>
      <w:r w:rsidRPr="00226C43">
        <w:rPr>
          <w:b/>
          <w:bCs/>
        </w:rPr>
        <w:t>AAAEP-P Program Board Members</w:t>
      </w:r>
    </w:p>
    <w:p w14:paraId="077506B0" w14:textId="08B4874C" w:rsidR="00F7051A" w:rsidRDefault="00F7051A" w:rsidP="00F7051A">
      <w:pPr>
        <w:spacing w:after="0"/>
        <w:jc w:val="both"/>
        <w:rPr>
          <w:b/>
          <w:bCs/>
          <w:sz w:val="20"/>
          <w:szCs w:val="20"/>
        </w:rPr>
      </w:pPr>
      <w:r w:rsidRPr="00226C43">
        <w:rPr>
          <w:b/>
          <w:bCs/>
          <w:sz w:val="20"/>
          <w:szCs w:val="20"/>
        </w:rPr>
        <w:t>Atty Karlo Alexei Nograles</w:t>
      </w:r>
    </w:p>
    <w:p w14:paraId="09A2C5A7" w14:textId="033F8489" w:rsidR="00F7051A" w:rsidRPr="00F7051A" w:rsidRDefault="00F7051A" w:rsidP="00F7051A">
      <w:pPr>
        <w:jc w:val="both"/>
        <w:rPr>
          <w:b/>
          <w:bCs/>
          <w:sz w:val="20"/>
          <w:szCs w:val="20"/>
        </w:rPr>
      </w:pPr>
      <w:r w:rsidRPr="00226C43">
        <w:rPr>
          <w:sz w:val="20"/>
          <w:szCs w:val="20"/>
        </w:rPr>
        <w:t>Chairperson</w:t>
      </w:r>
      <w:r w:rsidR="00076A05">
        <w:rPr>
          <w:sz w:val="20"/>
          <w:szCs w:val="20"/>
        </w:rPr>
        <w:t xml:space="preserve">, </w:t>
      </w:r>
      <w:r w:rsidRPr="00226C43">
        <w:rPr>
          <w:sz w:val="20"/>
          <w:szCs w:val="20"/>
        </w:rPr>
        <w:t>Civil Service Commission (CSC)</w:t>
      </w:r>
    </w:p>
    <w:p w14:paraId="4647D724" w14:textId="2D1674A5" w:rsidR="00F7051A" w:rsidRPr="00226C43" w:rsidRDefault="00F7051A" w:rsidP="00A70E02">
      <w:pPr>
        <w:spacing w:after="0"/>
        <w:jc w:val="both"/>
        <w:rPr>
          <w:sz w:val="20"/>
          <w:szCs w:val="20"/>
        </w:rPr>
      </w:pPr>
      <w:r w:rsidRPr="00226C43">
        <w:rPr>
          <w:sz w:val="20"/>
          <w:szCs w:val="20"/>
        </w:rPr>
        <w:t>Australia Awards Short Course Attended:</w:t>
      </w:r>
      <w:r w:rsidR="00A70E02">
        <w:rPr>
          <w:sz w:val="20"/>
          <w:szCs w:val="20"/>
        </w:rPr>
        <w:t xml:space="preserve"> </w:t>
      </w:r>
      <w:r w:rsidRPr="00226C43">
        <w:rPr>
          <w:sz w:val="20"/>
          <w:szCs w:val="20"/>
        </w:rPr>
        <w:t>Digital Transformation Strategy Development and Implementation – Australia Benchmarking Study Visit (2024)</w:t>
      </w:r>
    </w:p>
    <w:p w14:paraId="6A906FA9" w14:textId="77777777" w:rsidR="00A70E02" w:rsidRDefault="00A70E02" w:rsidP="00A70E02">
      <w:pPr>
        <w:spacing w:after="0"/>
        <w:jc w:val="both"/>
        <w:rPr>
          <w:sz w:val="20"/>
          <w:szCs w:val="20"/>
        </w:rPr>
      </w:pPr>
    </w:p>
    <w:p w14:paraId="4D156AC7" w14:textId="6BCB1FD0" w:rsidR="00F7051A" w:rsidRPr="00226C43" w:rsidRDefault="00F7051A" w:rsidP="00A70E02">
      <w:pPr>
        <w:spacing w:after="0"/>
        <w:jc w:val="both"/>
        <w:rPr>
          <w:sz w:val="20"/>
          <w:szCs w:val="20"/>
        </w:rPr>
      </w:pPr>
      <w:r w:rsidRPr="00226C43">
        <w:rPr>
          <w:sz w:val="20"/>
          <w:szCs w:val="20"/>
        </w:rPr>
        <w:t>Before being appointed the CSC Chairperson, he was the Cabinet Secretary (2018–2022) and acting Presidential Spokesperson (2021–2022) in the Duterte administration.</w:t>
      </w:r>
    </w:p>
    <w:p w14:paraId="49AE20F2" w14:textId="77777777" w:rsidR="00F7051A" w:rsidRPr="00226C43" w:rsidRDefault="00F7051A" w:rsidP="00076A05">
      <w:pPr>
        <w:spacing w:after="0"/>
        <w:jc w:val="both"/>
        <w:rPr>
          <w:sz w:val="20"/>
          <w:szCs w:val="20"/>
        </w:rPr>
      </w:pPr>
      <w:r w:rsidRPr="00226C43">
        <w:rPr>
          <w:sz w:val="20"/>
          <w:szCs w:val="20"/>
        </w:rPr>
        <w:t>As Cabinet Secretary, he was:</w:t>
      </w:r>
    </w:p>
    <w:p w14:paraId="3832B6C9" w14:textId="77777777" w:rsidR="00F7051A" w:rsidRPr="00226C43" w:rsidRDefault="00F7051A" w:rsidP="00F7051A">
      <w:pPr>
        <w:pStyle w:val="ListParagraph"/>
        <w:numPr>
          <w:ilvl w:val="0"/>
          <w:numId w:val="37"/>
        </w:numPr>
        <w:jc w:val="both"/>
        <w:rPr>
          <w:sz w:val="20"/>
          <w:szCs w:val="20"/>
        </w:rPr>
      </w:pPr>
      <w:r w:rsidRPr="00226C43">
        <w:rPr>
          <w:sz w:val="20"/>
          <w:szCs w:val="20"/>
        </w:rPr>
        <w:t>Co-Chair of the Inter-Agency Task Force on Emerging Infectious Disease</w:t>
      </w:r>
    </w:p>
    <w:p w14:paraId="0C9B12D1" w14:textId="77777777" w:rsidR="00F7051A" w:rsidRPr="00226C43" w:rsidRDefault="00F7051A" w:rsidP="00F7051A">
      <w:pPr>
        <w:pStyle w:val="ListParagraph"/>
        <w:numPr>
          <w:ilvl w:val="0"/>
          <w:numId w:val="37"/>
        </w:numPr>
        <w:jc w:val="both"/>
        <w:rPr>
          <w:sz w:val="20"/>
          <w:szCs w:val="20"/>
        </w:rPr>
      </w:pPr>
      <w:r w:rsidRPr="00226C43">
        <w:rPr>
          <w:sz w:val="20"/>
          <w:szCs w:val="20"/>
        </w:rPr>
        <w:t>Chair of the Inter-Agency Task Force on Zero Hunger</w:t>
      </w:r>
    </w:p>
    <w:p w14:paraId="342D8E94" w14:textId="77777777" w:rsidR="00F7051A" w:rsidRPr="00226C43" w:rsidRDefault="00F7051A" w:rsidP="00F7051A">
      <w:pPr>
        <w:pStyle w:val="ListParagraph"/>
        <w:numPr>
          <w:ilvl w:val="0"/>
          <w:numId w:val="37"/>
        </w:numPr>
        <w:jc w:val="both"/>
        <w:rPr>
          <w:sz w:val="20"/>
          <w:szCs w:val="20"/>
        </w:rPr>
      </w:pPr>
      <w:r w:rsidRPr="00226C43">
        <w:rPr>
          <w:sz w:val="20"/>
          <w:szCs w:val="20"/>
        </w:rPr>
        <w:t>Chair of the National Irrigation Administration</w:t>
      </w:r>
    </w:p>
    <w:p w14:paraId="52C39583" w14:textId="77777777" w:rsidR="00F7051A" w:rsidRPr="00226C43" w:rsidRDefault="00F7051A" w:rsidP="00F7051A">
      <w:pPr>
        <w:pStyle w:val="ListParagraph"/>
        <w:numPr>
          <w:ilvl w:val="0"/>
          <w:numId w:val="37"/>
        </w:numPr>
        <w:jc w:val="both"/>
        <w:rPr>
          <w:sz w:val="20"/>
          <w:szCs w:val="20"/>
        </w:rPr>
      </w:pPr>
      <w:r w:rsidRPr="00226C43">
        <w:rPr>
          <w:sz w:val="20"/>
          <w:szCs w:val="20"/>
        </w:rPr>
        <w:t>Chair of the Cabinet Assistance System (CAS</w:t>
      </w:r>
    </w:p>
    <w:p w14:paraId="344BA2F3" w14:textId="77777777" w:rsidR="00F7051A" w:rsidRPr="00226C43" w:rsidRDefault="00F7051A" w:rsidP="00F7051A">
      <w:pPr>
        <w:pStyle w:val="ListParagraph"/>
        <w:numPr>
          <w:ilvl w:val="0"/>
          <w:numId w:val="37"/>
        </w:numPr>
        <w:jc w:val="both"/>
        <w:rPr>
          <w:sz w:val="20"/>
          <w:szCs w:val="20"/>
        </w:rPr>
      </w:pPr>
      <w:r w:rsidRPr="00226C43">
        <w:rPr>
          <w:sz w:val="20"/>
          <w:szCs w:val="20"/>
        </w:rPr>
        <w:t>Chair of the Cabinet Cluster Secretariat.</w:t>
      </w:r>
    </w:p>
    <w:p w14:paraId="54B70E61" w14:textId="77777777" w:rsidR="00F7051A" w:rsidRPr="00226C43" w:rsidRDefault="00F7051A" w:rsidP="00F7051A">
      <w:pPr>
        <w:jc w:val="both"/>
        <w:rPr>
          <w:sz w:val="20"/>
          <w:szCs w:val="20"/>
        </w:rPr>
      </w:pPr>
      <w:r w:rsidRPr="00226C43">
        <w:rPr>
          <w:sz w:val="20"/>
          <w:szCs w:val="20"/>
        </w:rPr>
        <w:t>Before being appointed Cabinet Secretary, he was Chair of the House Committee on Appropriations. He served as a three-term congressman of the 1st District of Davao City.</w:t>
      </w:r>
    </w:p>
    <w:p w14:paraId="0DAF91BB" w14:textId="77777777" w:rsidR="00F7051A" w:rsidRPr="00226C43" w:rsidRDefault="00F7051A" w:rsidP="00F7051A">
      <w:pPr>
        <w:jc w:val="both"/>
        <w:rPr>
          <w:sz w:val="20"/>
          <w:szCs w:val="20"/>
        </w:rPr>
      </w:pPr>
      <w:r w:rsidRPr="00226C43">
        <w:rPr>
          <w:sz w:val="20"/>
          <w:szCs w:val="20"/>
        </w:rPr>
        <w:t>Chairperson Nograles graduated from Philippine Science High School. He holds a BS in Management Engineering from Ateneo de Manila University and a Juris Doctor from the Ateneo de Manila Law School.</w:t>
      </w:r>
    </w:p>
    <w:p w14:paraId="23767B64" w14:textId="77777777" w:rsidR="00F7051A" w:rsidRPr="00226C43" w:rsidRDefault="00F7051A" w:rsidP="00F7051A">
      <w:pPr>
        <w:jc w:val="both"/>
        <w:rPr>
          <w:sz w:val="20"/>
          <w:szCs w:val="20"/>
        </w:rPr>
      </w:pPr>
      <w:r w:rsidRPr="00226C43">
        <w:rPr>
          <w:sz w:val="20"/>
          <w:szCs w:val="20"/>
        </w:rPr>
        <w:t>He was a professional lawyer and previously worked for the Nograles law firm in Davao City. He was born and raised in Davao City, the second among four children of Prospero Nograles, the former Speaker of the House of Representatives, and Rhodora Bendigo-Nograles, a cousin of President Rodrigo Duterte.</w:t>
      </w:r>
    </w:p>
    <w:p w14:paraId="2D9DCD2E" w14:textId="50BDB8BD" w:rsidR="00F7051A" w:rsidRDefault="00F7051A" w:rsidP="00F7051A">
      <w:pPr>
        <w:pStyle w:val="ListParagraph"/>
        <w:spacing w:after="0"/>
        <w:ind w:left="0"/>
        <w:jc w:val="both"/>
        <w:rPr>
          <w:sz w:val="20"/>
          <w:szCs w:val="20"/>
        </w:rPr>
      </w:pPr>
      <w:r w:rsidRPr="00226C43">
        <w:rPr>
          <w:sz w:val="20"/>
          <w:szCs w:val="20"/>
        </w:rPr>
        <w:t>As an outstanding legislator, he has received numerous prestigious awards, including the Golden Globe Awards for Excellence in Public Service in 2015 and 2016.</w:t>
      </w:r>
    </w:p>
    <w:p w14:paraId="340A1C41" w14:textId="77777777" w:rsidR="00076A05" w:rsidRDefault="00076A05" w:rsidP="00F7051A">
      <w:pPr>
        <w:pStyle w:val="ListParagraph"/>
        <w:spacing w:after="0"/>
        <w:ind w:left="0"/>
        <w:jc w:val="both"/>
        <w:rPr>
          <w:sz w:val="20"/>
          <w:szCs w:val="20"/>
        </w:rPr>
      </w:pPr>
    </w:p>
    <w:p w14:paraId="1FC63F68" w14:textId="52878EBD" w:rsidR="00076A05" w:rsidRPr="00226C43" w:rsidRDefault="00076A05" w:rsidP="00076A05">
      <w:pPr>
        <w:rPr>
          <w:sz w:val="20"/>
          <w:szCs w:val="20"/>
        </w:rPr>
      </w:pPr>
      <w:r w:rsidRPr="00226C43">
        <w:rPr>
          <w:b/>
          <w:bCs/>
          <w:sz w:val="20"/>
          <w:szCs w:val="20"/>
        </w:rPr>
        <w:t>Michel Kristian Ablan</w:t>
      </w:r>
      <w:r w:rsidRPr="00226C43">
        <w:rPr>
          <w:b/>
          <w:bCs/>
          <w:sz w:val="20"/>
          <w:szCs w:val="20"/>
        </w:rPr>
        <w:br/>
      </w:r>
      <w:r w:rsidRPr="00226C43">
        <w:rPr>
          <w:sz w:val="20"/>
          <w:szCs w:val="20"/>
        </w:rPr>
        <w:t>Assistant Secretary</w:t>
      </w:r>
      <w:r>
        <w:rPr>
          <w:sz w:val="20"/>
          <w:szCs w:val="20"/>
        </w:rPr>
        <w:t xml:space="preserve">, </w:t>
      </w:r>
      <w:r w:rsidRPr="00226C43">
        <w:rPr>
          <w:sz w:val="20"/>
          <w:szCs w:val="20"/>
        </w:rPr>
        <w:t>Department of Trade and Industry (DTI)</w:t>
      </w:r>
    </w:p>
    <w:p w14:paraId="7B8233EB" w14:textId="62790377" w:rsidR="00076A05" w:rsidRPr="00226C43" w:rsidRDefault="00076A05" w:rsidP="00A70E02">
      <w:pPr>
        <w:spacing w:after="0"/>
        <w:rPr>
          <w:sz w:val="20"/>
          <w:szCs w:val="20"/>
        </w:rPr>
      </w:pPr>
      <w:r w:rsidRPr="00226C43">
        <w:rPr>
          <w:sz w:val="20"/>
          <w:szCs w:val="20"/>
        </w:rPr>
        <w:t>Australia Benchmarking Attended:</w:t>
      </w:r>
      <w:r w:rsidR="00A70E02">
        <w:rPr>
          <w:sz w:val="20"/>
          <w:szCs w:val="20"/>
        </w:rPr>
        <w:t xml:space="preserve"> </w:t>
      </w:r>
      <w:r w:rsidRPr="00226C43">
        <w:rPr>
          <w:sz w:val="20"/>
          <w:szCs w:val="20"/>
        </w:rPr>
        <w:t>Benchmarking on Freedom of Information in Australia (2022)</w:t>
      </w:r>
    </w:p>
    <w:p w14:paraId="4D0EB7C1" w14:textId="77777777" w:rsidR="00076A05" w:rsidRPr="00226C43" w:rsidRDefault="00076A05" w:rsidP="00076A05">
      <w:pPr>
        <w:rPr>
          <w:sz w:val="20"/>
          <w:szCs w:val="20"/>
        </w:rPr>
      </w:pPr>
      <w:proofErr w:type="spellStart"/>
      <w:r w:rsidRPr="00226C43">
        <w:rPr>
          <w:sz w:val="20"/>
          <w:szCs w:val="20"/>
        </w:rPr>
        <w:t>Asec</w:t>
      </w:r>
      <w:proofErr w:type="spellEnd"/>
      <w:r w:rsidRPr="00226C43">
        <w:rPr>
          <w:sz w:val="20"/>
          <w:szCs w:val="20"/>
        </w:rPr>
        <w:t xml:space="preserve"> Ablan is currently an Assistance Secretary at the Department of Trade and Industry, supervising the Management Services Group. </w:t>
      </w:r>
      <w:proofErr w:type="gramStart"/>
      <w:r w:rsidRPr="00226C43">
        <w:rPr>
          <w:sz w:val="20"/>
          <w:szCs w:val="20"/>
        </w:rPr>
        <w:t>Previous to</w:t>
      </w:r>
      <w:proofErr w:type="gramEnd"/>
      <w:r w:rsidRPr="00226C43">
        <w:rPr>
          <w:sz w:val="20"/>
          <w:szCs w:val="20"/>
        </w:rPr>
        <w:t xml:space="preserve"> this, he was the Undersecretary for Administration at the Department of Education where he oversaw administration, planning, and ICT. And before that, he worked at the Presidential Communications and Operations Office (PCOO) for 6 years as its Assistant Secretary and Undersecretary for administration, finance, and freedom of information.</w:t>
      </w:r>
    </w:p>
    <w:p w14:paraId="02AF7272" w14:textId="48AC4AD8" w:rsidR="00076A05" w:rsidRDefault="00076A05" w:rsidP="00076A05">
      <w:pPr>
        <w:pStyle w:val="ListParagraph"/>
        <w:spacing w:after="0"/>
        <w:ind w:left="0"/>
        <w:jc w:val="both"/>
        <w:rPr>
          <w:sz w:val="20"/>
          <w:szCs w:val="20"/>
        </w:rPr>
      </w:pPr>
      <w:r w:rsidRPr="00226C43">
        <w:rPr>
          <w:sz w:val="20"/>
          <w:szCs w:val="20"/>
        </w:rPr>
        <w:t>A lawyer by profession and a career public administrator with over 20 years of experience. In 2021, Philippine President awarded him the Gawad CES—the highest award a career public official can receive, for work in access to information.</w:t>
      </w:r>
    </w:p>
    <w:p w14:paraId="530FF059" w14:textId="77777777" w:rsidR="00076A05" w:rsidRDefault="00076A05" w:rsidP="00076A05">
      <w:pPr>
        <w:pStyle w:val="ListParagraph"/>
        <w:spacing w:after="0"/>
        <w:ind w:left="0"/>
        <w:jc w:val="both"/>
        <w:rPr>
          <w:sz w:val="20"/>
          <w:szCs w:val="20"/>
        </w:rPr>
      </w:pPr>
    </w:p>
    <w:p w14:paraId="00F40333" w14:textId="77723D00" w:rsidR="00076A05" w:rsidRPr="00226C43" w:rsidRDefault="00076A05" w:rsidP="00076A05">
      <w:pPr>
        <w:rPr>
          <w:sz w:val="20"/>
          <w:szCs w:val="20"/>
        </w:rPr>
      </w:pPr>
      <w:r w:rsidRPr="00226C43">
        <w:rPr>
          <w:b/>
          <w:bCs/>
          <w:sz w:val="20"/>
          <w:szCs w:val="20"/>
        </w:rPr>
        <w:t>Joseph J. Capuno</w:t>
      </w:r>
      <w:r w:rsidRPr="00226C43">
        <w:rPr>
          <w:b/>
          <w:bCs/>
          <w:sz w:val="20"/>
          <w:szCs w:val="20"/>
        </w:rPr>
        <w:br/>
      </w:r>
      <w:r w:rsidRPr="00226C43">
        <w:rPr>
          <w:sz w:val="20"/>
          <w:szCs w:val="20"/>
        </w:rPr>
        <w:t>Undersecretary</w:t>
      </w:r>
      <w:r>
        <w:rPr>
          <w:sz w:val="20"/>
          <w:szCs w:val="20"/>
        </w:rPr>
        <w:t xml:space="preserve">, </w:t>
      </w:r>
      <w:r w:rsidRPr="00226C43">
        <w:rPr>
          <w:sz w:val="20"/>
          <w:szCs w:val="20"/>
        </w:rPr>
        <w:t>National Economic and Development Authority (NEDA)</w:t>
      </w:r>
    </w:p>
    <w:p w14:paraId="647B31DC" w14:textId="2C2B5E12" w:rsidR="00076A05" w:rsidRDefault="00076A05" w:rsidP="00076A05">
      <w:pPr>
        <w:pStyle w:val="ListParagraph"/>
        <w:spacing w:after="0"/>
        <w:ind w:left="0"/>
        <w:jc w:val="both"/>
        <w:rPr>
          <w:b/>
          <w:bCs/>
        </w:rPr>
      </w:pPr>
      <w:r w:rsidRPr="00226C43">
        <w:rPr>
          <w:sz w:val="20"/>
          <w:szCs w:val="20"/>
        </w:rPr>
        <w:t>Joseph J. Capuno serves as the Undersecretary for Investment Planning of NEDA. As Undersecretary, he is tasked to oversee the formulation of strategies for efficiency in linking the government’s planning, programming and implementation of projects. He is also tasked to provide policy guidance in the project appraisal, monitoring and evaluation of big-ticket infrastructure projects of the national government, formulation of development plans and policies, and programming of the official development assistance (ODA), among others.</w:t>
      </w:r>
    </w:p>
    <w:p w14:paraId="736E242E" w14:textId="77777777" w:rsidR="00F7051A" w:rsidRDefault="00F7051A" w:rsidP="00B94A30">
      <w:pPr>
        <w:pStyle w:val="ListParagraph"/>
        <w:spacing w:after="0"/>
        <w:ind w:left="0"/>
        <w:jc w:val="center"/>
        <w:rPr>
          <w:b/>
          <w:bCs/>
        </w:rPr>
      </w:pPr>
    </w:p>
    <w:p w14:paraId="468E0F53" w14:textId="77777777" w:rsidR="00A70E02" w:rsidRDefault="00A70E02" w:rsidP="00076A05">
      <w:pPr>
        <w:spacing w:after="0"/>
        <w:rPr>
          <w:b/>
          <w:bCs/>
        </w:rPr>
      </w:pPr>
    </w:p>
    <w:p w14:paraId="2A260159" w14:textId="77777777" w:rsidR="00A70E02" w:rsidRDefault="00A70E02" w:rsidP="00076A05">
      <w:pPr>
        <w:spacing w:after="0"/>
        <w:rPr>
          <w:b/>
          <w:bCs/>
        </w:rPr>
      </w:pPr>
    </w:p>
    <w:p w14:paraId="37205E26" w14:textId="77777777" w:rsidR="00A70E02" w:rsidRDefault="00A70E02" w:rsidP="00076A05">
      <w:pPr>
        <w:spacing w:after="0"/>
        <w:rPr>
          <w:b/>
          <w:bCs/>
        </w:rPr>
      </w:pPr>
    </w:p>
    <w:p w14:paraId="570BC21B" w14:textId="4CAFC105" w:rsidR="004741DA" w:rsidRDefault="004741DA" w:rsidP="00076A05">
      <w:pPr>
        <w:spacing w:after="0"/>
        <w:rPr>
          <w:b/>
          <w:bCs/>
        </w:rPr>
      </w:pPr>
      <w:r w:rsidRPr="00226C43">
        <w:rPr>
          <w:b/>
          <w:bCs/>
        </w:rPr>
        <w:t>AAAEP</w:t>
      </w:r>
      <w:r w:rsidR="00B94A30" w:rsidRPr="00226C43">
        <w:rPr>
          <w:b/>
          <w:bCs/>
        </w:rPr>
        <w:t>-P</w:t>
      </w:r>
      <w:r w:rsidRPr="00226C43">
        <w:rPr>
          <w:b/>
          <w:bCs/>
        </w:rPr>
        <w:t xml:space="preserve"> Program Coordinating Committee Members</w:t>
      </w:r>
    </w:p>
    <w:p w14:paraId="4A05408A" w14:textId="5127E813" w:rsidR="00076A05" w:rsidRPr="00CA04C5" w:rsidRDefault="00076A05" w:rsidP="007D74C7">
      <w:pPr>
        <w:pStyle w:val="ListParagraph"/>
        <w:numPr>
          <w:ilvl w:val="0"/>
          <w:numId w:val="67"/>
        </w:numPr>
        <w:rPr>
          <w:noProof/>
          <w:sz w:val="20"/>
          <w:szCs w:val="20"/>
        </w:rPr>
      </w:pPr>
      <w:r w:rsidRPr="00CA04C5">
        <w:rPr>
          <w:b/>
          <w:bCs/>
          <w:noProof/>
          <w:sz w:val="20"/>
          <w:szCs w:val="20"/>
        </w:rPr>
        <w:t>Joel Cruz</w:t>
      </w:r>
      <w:r w:rsidRPr="00CA04C5">
        <w:rPr>
          <w:b/>
          <w:bCs/>
          <w:noProof/>
          <w:sz w:val="20"/>
          <w:szCs w:val="20"/>
        </w:rPr>
        <w:br/>
      </w:r>
      <w:r w:rsidRPr="00CA04C5">
        <w:rPr>
          <w:noProof/>
          <w:sz w:val="20"/>
          <w:szCs w:val="20"/>
        </w:rPr>
        <w:t>Director IV, Human Resource and Administrative Service, DTI</w:t>
      </w:r>
    </w:p>
    <w:p w14:paraId="4689D143" w14:textId="77777777" w:rsidR="00076A05" w:rsidRPr="00226C43" w:rsidRDefault="00076A05" w:rsidP="00B80565">
      <w:pPr>
        <w:spacing w:after="0"/>
        <w:ind w:left="720"/>
        <w:rPr>
          <w:noProof/>
          <w:sz w:val="20"/>
          <w:szCs w:val="20"/>
        </w:rPr>
      </w:pPr>
      <w:r w:rsidRPr="00226C43">
        <w:rPr>
          <w:noProof/>
          <w:sz w:val="20"/>
          <w:szCs w:val="20"/>
        </w:rPr>
        <w:t>Australia Awards Short Courses Attended:</w:t>
      </w:r>
    </w:p>
    <w:p w14:paraId="2FDEFE7A" w14:textId="77777777" w:rsidR="00A70E02" w:rsidRPr="00A70E02" w:rsidRDefault="00076A05" w:rsidP="00A70E02">
      <w:pPr>
        <w:pStyle w:val="ListParagraph"/>
        <w:numPr>
          <w:ilvl w:val="0"/>
          <w:numId w:val="37"/>
        </w:numPr>
        <w:tabs>
          <w:tab w:val="clear" w:pos="720"/>
          <w:tab w:val="num" w:pos="1440"/>
        </w:tabs>
        <w:ind w:left="1440"/>
        <w:rPr>
          <w:b/>
          <w:bCs/>
          <w:noProof/>
          <w:sz w:val="20"/>
          <w:szCs w:val="20"/>
        </w:rPr>
      </w:pPr>
      <w:r w:rsidRPr="00226C43">
        <w:rPr>
          <w:noProof/>
          <w:sz w:val="20"/>
          <w:szCs w:val="20"/>
        </w:rPr>
        <w:t>Australia Awards Short Course on GEDSI Mainstreaming Batch 1, University of Queensland (2018)</w:t>
      </w:r>
    </w:p>
    <w:p w14:paraId="469A6958" w14:textId="755A9A51" w:rsidR="00076A05" w:rsidRPr="00A70E02" w:rsidRDefault="00076A05" w:rsidP="00A70E02">
      <w:pPr>
        <w:pStyle w:val="ListParagraph"/>
        <w:numPr>
          <w:ilvl w:val="0"/>
          <w:numId w:val="37"/>
        </w:numPr>
        <w:tabs>
          <w:tab w:val="clear" w:pos="720"/>
          <w:tab w:val="num" w:pos="1440"/>
        </w:tabs>
        <w:ind w:left="1440"/>
        <w:rPr>
          <w:b/>
          <w:bCs/>
          <w:noProof/>
          <w:sz w:val="20"/>
          <w:szCs w:val="20"/>
        </w:rPr>
      </w:pPr>
      <w:r w:rsidRPr="00A70E02">
        <w:rPr>
          <w:noProof/>
          <w:sz w:val="20"/>
          <w:szCs w:val="20"/>
        </w:rPr>
        <w:t>Australia Awards Short Course in Digital Transformation Strategy Development and Implementation – Australia Benchmarking Study Visit, University of Adelaide (2024)</w:t>
      </w:r>
    </w:p>
    <w:p w14:paraId="1A3D6987" w14:textId="77777777" w:rsidR="00A70E02" w:rsidRPr="00A70E02" w:rsidRDefault="00A70E02" w:rsidP="00A70E02">
      <w:pPr>
        <w:pStyle w:val="ListParagraph"/>
        <w:rPr>
          <w:noProof/>
          <w:sz w:val="20"/>
          <w:szCs w:val="20"/>
        </w:rPr>
      </w:pPr>
    </w:p>
    <w:p w14:paraId="26F791DB" w14:textId="4F9174DF" w:rsidR="00076A05" w:rsidRPr="00CA04C5" w:rsidRDefault="00076A05" w:rsidP="007D74C7">
      <w:pPr>
        <w:pStyle w:val="ListParagraph"/>
        <w:numPr>
          <w:ilvl w:val="0"/>
          <w:numId w:val="67"/>
        </w:numPr>
        <w:rPr>
          <w:noProof/>
          <w:sz w:val="20"/>
          <w:szCs w:val="20"/>
        </w:rPr>
      </w:pPr>
      <w:r w:rsidRPr="00CA04C5">
        <w:rPr>
          <w:b/>
          <w:bCs/>
          <w:noProof/>
          <w:sz w:val="20"/>
          <w:szCs w:val="20"/>
        </w:rPr>
        <w:t>Joseph Norley Capistrano</w:t>
      </w:r>
      <w:r w:rsidRPr="00CA04C5">
        <w:rPr>
          <w:b/>
          <w:bCs/>
          <w:noProof/>
          <w:sz w:val="20"/>
          <w:szCs w:val="20"/>
        </w:rPr>
        <w:br/>
      </w:r>
      <w:r w:rsidRPr="00CA04C5">
        <w:rPr>
          <w:noProof/>
          <w:sz w:val="20"/>
          <w:szCs w:val="20"/>
        </w:rPr>
        <w:t>OIC – Director, Public Investment Staff (PIS), NEDA</w:t>
      </w:r>
    </w:p>
    <w:p w14:paraId="73BEB4A0" w14:textId="758E30FE" w:rsidR="00076A05" w:rsidRDefault="00076A05" w:rsidP="00CA04C5">
      <w:pPr>
        <w:spacing w:after="0"/>
        <w:ind w:left="720"/>
        <w:rPr>
          <w:b/>
          <w:bCs/>
        </w:rPr>
      </w:pPr>
      <w:r w:rsidRPr="00226C43">
        <w:rPr>
          <w:noProof/>
          <w:sz w:val="20"/>
          <w:szCs w:val="20"/>
        </w:rPr>
        <w:t>Australia Awards Scholarships Attended:</w:t>
      </w:r>
      <w:r w:rsidR="00A70E02">
        <w:rPr>
          <w:noProof/>
          <w:sz w:val="20"/>
          <w:szCs w:val="20"/>
        </w:rPr>
        <w:t xml:space="preserve"> </w:t>
      </w:r>
      <w:r w:rsidRPr="00226C43">
        <w:rPr>
          <w:noProof/>
          <w:sz w:val="20"/>
          <w:szCs w:val="20"/>
        </w:rPr>
        <w:t>Master of Public Policy and Management, Universtiy of Melbourne (2012)</w:t>
      </w:r>
    </w:p>
    <w:p w14:paraId="16D54B95" w14:textId="77777777" w:rsidR="00076A05" w:rsidRDefault="00076A05" w:rsidP="00076A05">
      <w:pPr>
        <w:spacing w:after="0"/>
        <w:rPr>
          <w:b/>
          <w:bCs/>
        </w:rPr>
      </w:pPr>
    </w:p>
    <w:p w14:paraId="73F297A6" w14:textId="23B0D0BA" w:rsidR="00076A05" w:rsidRPr="00CA04C5" w:rsidRDefault="00076A05" w:rsidP="007D74C7">
      <w:pPr>
        <w:pStyle w:val="ListParagraph"/>
        <w:numPr>
          <w:ilvl w:val="0"/>
          <w:numId w:val="67"/>
        </w:numPr>
        <w:rPr>
          <w:noProof/>
          <w:sz w:val="20"/>
          <w:szCs w:val="20"/>
        </w:rPr>
      </w:pPr>
      <w:r w:rsidRPr="00CA04C5">
        <w:rPr>
          <w:b/>
          <w:bCs/>
          <w:noProof/>
          <w:sz w:val="20"/>
          <w:szCs w:val="20"/>
        </w:rPr>
        <w:t>Nerissa Canguilan</w:t>
      </w:r>
      <w:r w:rsidRPr="00CA04C5">
        <w:rPr>
          <w:b/>
          <w:bCs/>
          <w:noProof/>
          <w:sz w:val="20"/>
          <w:szCs w:val="20"/>
        </w:rPr>
        <w:br/>
      </w:r>
      <w:r w:rsidRPr="00CA04C5">
        <w:rPr>
          <w:noProof/>
          <w:sz w:val="20"/>
          <w:szCs w:val="20"/>
        </w:rPr>
        <w:t>Assistant Commissioner, CSC</w:t>
      </w:r>
    </w:p>
    <w:p w14:paraId="3CB0B43D" w14:textId="77777777" w:rsidR="00076A05" w:rsidRPr="00226C43" w:rsidRDefault="00076A05" w:rsidP="00B80565">
      <w:pPr>
        <w:spacing w:after="0"/>
        <w:ind w:firstLine="720"/>
        <w:rPr>
          <w:noProof/>
          <w:sz w:val="20"/>
          <w:szCs w:val="20"/>
        </w:rPr>
      </w:pPr>
      <w:r w:rsidRPr="00226C43">
        <w:rPr>
          <w:noProof/>
          <w:sz w:val="20"/>
          <w:szCs w:val="20"/>
        </w:rPr>
        <w:t>Australia Awards Scholarships and Short Courses Attended:</w:t>
      </w:r>
    </w:p>
    <w:p w14:paraId="61FF6897" w14:textId="77777777" w:rsidR="00076A05" w:rsidRPr="00226C43" w:rsidRDefault="00076A05" w:rsidP="00B80565">
      <w:pPr>
        <w:pStyle w:val="ListParagraph"/>
        <w:numPr>
          <w:ilvl w:val="0"/>
          <w:numId w:val="37"/>
        </w:numPr>
        <w:tabs>
          <w:tab w:val="clear" w:pos="720"/>
        </w:tabs>
        <w:ind w:left="1418"/>
        <w:rPr>
          <w:noProof/>
          <w:sz w:val="20"/>
          <w:szCs w:val="20"/>
        </w:rPr>
      </w:pPr>
      <w:r w:rsidRPr="00226C43">
        <w:rPr>
          <w:noProof/>
          <w:sz w:val="20"/>
          <w:szCs w:val="20"/>
        </w:rPr>
        <w:t>Master of Social Change and Development, University of Newcastle (2012)</w:t>
      </w:r>
    </w:p>
    <w:p w14:paraId="1E5C604B" w14:textId="77777777" w:rsidR="00076A05" w:rsidRPr="00226C43" w:rsidRDefault="00076A05" w:rsidP="00B80565">
      <w:pPr>
        <w:pStyle w:val="ListParagraph"/>
        <w:numPr>
          <w:ilvl w:val="0"/>
          <w:numId w:val="37"/>
        </w:numPr>
        <w:tabs>
          <w:tab w:val="clear" w:pos="720"/>
        </w:tabs>
        <w:ind w:left="1418"/>
        <w:rPr>
          <w:noProof/>
          <w:sz w:val="20"/>
          <w:szCs w:val="20"/>
        </w:rPr>
      </w:pPr>
      <w:r w:rsidRPr="00226C43">
        <w:rPr>
          <w:noProof/>
          <w:sz w:val="20"/>
          <w:szCs w:val="20"/>
        </w:rPr>
        <w:t>Australia Awards Short Course on Design Thinking (2023)</w:t>
      </w:r>
    </w:p>
    <w:p w14:paraId="6BB5DD81" w14:textId="77777777" w:rsidR="00076A05" w:rsidRDefault="00076A05" w:rsidP="00B80565">
      <w:pPr>
        <w:pStyle w:val="ListParagraph"/>
        <w:numPr>
          <w:ilvl w:val="0"/>
          <w:numId w:val="37"/>
        </w:numPr>
        <w:tabs>
          <w:tab w:val="clear" w:pos="720"/>
        </w:tabs>
        <w:ind w:left="1418"/>
        <w:rPr>
          <w:noProof/>
          <w:sz w:val="20"/>
          <w:szCs w:val="20"/>
        </w:rPr>
      </w:pPr>
      <w:r w:rsidRPr="00226C43">
        <w:rPr>
          <w:noProof/>
          <w:sz w:val="20"/>
          <w:szCs w:val="20"/>
        </w:rPr>
        <w:t>Australia Awards Short Course on Strategic Communications (Senior Officer Group) – Batch 3 (2024)</w:t>
      </w:r>
    </w:p>
    <w:p w14:paraId="6B54FD4E" w14:textId="062E3E54" w:rsidR="004741DA" w:rsidRPr="00076A05" w:rsidRDefault="00076A05" w:rsidP="00B80565">
      <w:pPr>
        <w:pStyle w:val="ListParagraph"/>
        <w:numPr>
          <w:ilvl w:val="0"/>
          <w:numId w:val="37"/>
        </w:numPr>
        <w:tabs>
          <w:tab w:val="clear" w:pos="720"/>
        </w:tabs>
        <w:ind w:left="1418"/>
        <w:rPr>
          <w:noProof/>
          <w:sz w:val="20"/>
          <w:szCs w:val="20"/>
        </w:rPr>
      </w:pPr>
      <w:r w:rsidRPr="00076A05">
        <w:rPr>
          <w:noProof/>
          <w:sz w:val="20"/>
          <w:szCs w:val="20"/>
        </w:rPr>
        <w:t>PAHRODF Training on Managing Performance and Rewards (2015)</w:t>
      </w:r>
    </w:p>
    <w:bookmarkEnd w:id="96"/>
    <w:bookmarkEnd w:id="97"/>
    <w:p w14:paraId="0565C459" w14:textId="77777777" w:rsidR="00A35ED8" w:rsidRPr="00226C43" w:rsidRDefault="00A35ED8" w:rsidP="00B50656">
      <w:pPr>
        <w:rPr>
          <w:rFonts w:cs="Calibri"/>
          <w:sz w:val="22"/>
          <w:szCs w:val="22"/>
          <w:lang w:eastAsia="en-US"/>
        </w:rPr>
      </w:pPr>
    </w:p>
    <w:sectPr w:rsidR="00A35ED8" w:rsidRPr="00226C43" w:rsidSect="000E1C28">
      <w:headerReference w:type="first" r:id="rId36"/>
      <w:footerReference w:type="first" r:id="rId3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A357E" w14:textId="77777777" w:rsidR="0015291E" w:rsidRDefault="0015291E" w:rsidP="009517C8">
      <w:pPr>
        <w:spacing w:after="0"/>
      </w:pPr>
      <w:r>
        <w:separator/>
      </w:r>
    </w:p>
  </w:endnote>
  <w:endnote w:type="continuationSeparator" w:id="0">
    <w:p w14:paraId="02B94F80" w14:textId="77777777" w:rsidR="0015291E" w:rsidRDefault="0015291E" w:rsidP="009517C8">
      <w:pPr>
        <w:spacing w:after="0"/>
      </w:pPr>
      <w:r>
        <w:continuationSeparator/>
      </w:r>
    </w:p>
  </w:endnote>
  <w:endnote w:type="continuationNotice" w:id="1">
    <w:p w14:paraId="172133ED" w14:textId="77777777" w:rsidR="0015291E" w:rsidRDefault="001529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rdia New (Body CS)">
    <w:charset w:val="00"/>
    <w:family w:val="roman"/>
    <w:pitch w:val="default"/>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E961E" w14:textId="11797247" w:rsidR="006A274D" w:rsidRPr="007B0E02" w:rsidRDefault="4DD21A85">
    <w:pPr>
      <w:pStyle w:val="Footer"/>
      <w:rPr>
        <w:rFonts w:ascii="Aptos Light" w:hAnsi="Aptos Light"/>
        <w:color w:val="5F6062" w:themeColor="text2"/>
      </w:rPr>
    </w:pPr>
    <w:r w:rsidRPr="4DD21A85">
      <w:rPr>
        <w:rFonts w:ascii="Aptos Light" w:hAnsi="Aptos Light"/>
        <w:color w:val="5F6062" w:themeColor="text2"/>
      </w:rPr>
      <w:t>sustineo.com.au</w:t>
    </w:r>
    <w:r w:rsidR="006A274D">
      <w:tab/>
    </w:r>
    <w:r w:rsidR="006440C2">
      <w:tab/>
    </w:r>
    <w:r w:rsidR="006A274D" w:rsidRPr="4DD21A85">
      <w:rPr>
        <w:noProof/>
        <w:color w:val="5F6062" w:themeColor="text2"/>
      </w:rPr>
      <w:fldChar w:fldCharType="begin"/>
    </w:r>
    <w:r w:rsidR="006A274D" w:rsidRPr="4DD21A85">
      <w:rPr>
        <w:color w:val="5F6062" w:themeColor="text2"/>
      </w:rPr>
      <w:instrText xml:space="preserve"> PAGE  \* MERGEFORMAT </w:instrText>
    </w:r>
    <w:r w:rsidR="006A274D" w:rsidRPr="4DD21A85">
      <w:rPr>
        <w:color w:val="5F6062" w:themeColor="text2"/>
      </w:rPr>
      <w:fldChar w:fldCharType="separate"/>
    </w:r>
    <w:r w:rsidRPr="4DD21A85">
      <w:rPr>
        <w:noProof/>
        <w:color w:val="5F6062" w:themeColor="text2"/>
      </w:rPr>
      <w:t>2</w:t>
    </w:r>
    <w:r w:rsidR="006A274D" w:rsidRPr="4DD21A85">
      <w:rPr>
        <w:noProof/>
        <w:color w:val="5F6062" w:themeColor="text2"/>
      </w:rPr>
      <w:fldChar w:fldCharType="end"/>
    </w:r>
    <w:r w:rsidRPr="4DD21A85">
      <w:rPr>
        <w:rFonts w:ascii="Aptos Light" w:hAnsi="Aptos Light"/>
        <w:color w:val="5F6062" w:themeColor="text2"/>
      </w:rPr>
      <w:t xml:space="preserve"> / </w:t>
    </w:r>
    <w:r w:rsidR="006A274D" w:rsidRPr="4DD21A85">
      <w:rPr>
        <w:noProof/>
        <w:color w:val="5F6062" w:themeColor="text2"/>
      </w:rPr>
      <w:fldChar w:fldCharType="begin"/>
    </w:r>
    <w:r w:rsidR="006A274D" w:rsidRPr="4DD21A85">
      <w:rPr>
        <w:color w:val="5F6062" w:themeColor="text2"/>
      </w:rPr>
      <w:instrText xml:space="preserve"> NUMPAGES  \* MERGEFORMAT </w:instrText>
    </w:r>
    <w:r w:rsidR="006A274D" w:rsidRPr="4DD21A85">
      <w:rPr>
        <w:color w:val="5F6062" w:themeColor="text2"/>
      </w:rPr>
      <w:fldChar w:fldCharType="separate"/>
    </w:r>
    <w:r w:rsidRPr="4DD21A85">
      <w:rPr>
        <w:noProof/>
        <w:color w:val="5F6062" w:themeColor="text2"/>
      </w:rPr>
      <w:t>7</w:t>
    </w:r>
    <w:r w:rsidR="006A274D" w:rsidRPr="4DD21A85">
      <w:rPr>
        <w:noProof/>
        <w:color w:val="5F6062"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3A3600" w:rsidRPr="003A3600" w14:paraId="5A815A1F" w14:textId="77777777" w:rsidTr="4DD21A85">
      <w:trPr>
        <w:trHeight w:val="300"/>
      </w:trPr>
      <w:tc>
        <w:tcPr>
          <w:tcW w:w="3005" w:type="dxa"/>
        </w:tcPr>
        <w:p w14:paraId="6A3EB27E" w14:textId="298B8E33" w:rsidR="4DD21A85" w:rsidRPr="00610A3E" w:rsidRDefault="4DD21A85" w:rsidP="4DD21A85">
          <w:pPr>
            <w:pStyle w:val="Header"/>
            <w:ind w:left="-115"/>
            <w:rPr>
              <w:color w:val="5F6062" w:themeColor="text2"/>
            </w:rPr>
          </w:pPr>
        </w:p>
      </w:tc>
      <w:tc>
        <w:tcPr>
          <w:tcW w:w="3005" w:type="dxa"/>
        </w:tcPr>
        <w:p w14:paraId="235E29BA" w14:textId="4611D066" w:rsidR="4DD21A85" w:rsidRPr="00610A3E" w:rsidRDefault="4DD21A85" w:rsidP="4DD21A85">
          <w:pPr>
            <w:pStyle w:val="Header"/>
            <w:jc w:val="center"/>
            <w:rPr>
              <w:color w:val="5F6062" w:themeColor="text2"/>
            </w:rPr>
          </w:pPr>
        </w:p>
      </w:tc>
      <w:tc>
        <w:tcPr>
          <w:tcW w:w="3005" w:type="dxa"/>
        </w:tcPr>
        <w:p w14:paraId="2CE7BF0C" w14:textId="20D6CEC2" w:rsidR="4DD21A85" w:rsidRPr="00610A3E" w:rsidRDefault="4DD21A85" w:rsidP="4DD21A85">
          <w:pPr>
            <w:pStyle w:val="Header"/>
            <w:ind w:right="-115"/>
            <w:jc w:val="right"/>
            <w:rPr>
              <w:color w:val="5F6062" w:themeColor="text2"/>
            </w:rPr>
          </w:pPr>
        </w:p>
      </w:tc>
    </w:tr>
  </w:tbl>
  <w:p w14:paraId="0F3B55CF" w14:textId="1C90DBB7" w:rsidR="4DD21A85" w:rsidRPr="00610A3E" w:rsidRDefault="4DD21A85" w:rsidP="4DD21A85">
    <w:pPr>
      <w:pStyle w:val="Footer"/>
      <w:rPr>
        <w:color w:val="5F6062" w:themeColor="text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40" w:type="dxa"/>
      <w:tblLayout w:type="fixed"/>
      <w:tblLook w:val="06A0" w:firstRow="1" w:lastRow="0" w:firstColumn="1" w:lastColumn="0" w:noHBand="1" w:noVBand="1"/>
    </w:tblPr>
    <w:tblGrid>
      <w:gridCol w:w="4650"/>
      <w:gridCol w:w="4650"/>
      <w:gridCol w:w="240"/>
    </w:tblGrid>
    <w:tr w:rsidR="4DD21A85" w14:paraId="752C84CD" w14:textId="77777777" w:rsidTr="0015013F">
      <w:trPr>
        <w:trHeight w:val="300"/>
      </w:trPr>
      <w:tc>
        <w:tcPr>
          <w:tcW w:w="4650" w:type="dxa"/>
        </w:tcPr>
        <w:p w14:paraId="58DCAFBB" w14:textId="54A094F2" w:rsidR="4DD21A85" w:rsidRDefault="4DD21A85" w:rsidP="4DD21A85">
          <w:pPr>
            <w:pStyle w:val="Header"/>
            <w:ind w:left="-115"/>
          </w:pPr>
        </w:p>
      </w:tc>
      <w:tc>
        <w:tcPr>
          <w:tcW w:w="4650" w:type="dxa"/>
        </w:tcPr>
        <w:p w14:paraId="48C1C736" w14:textId="74327C77" w:rsidR="4DD21A85" w:rsidRDefault="4DD21A85" w:rsidP="4DD21A85">
          <w:pPr>
            <w:pStyle w:val="Header"/>
            <w:jc w:val="center"/>
          </w:pPr>
        </w:p>
      </w:tc>
      <w:tc>
        <w:tcPr>
          <w:tcW w:w="240" w:type="dxa"/>
        </w:tcPr>
        <w:p w14:paraId="1FE82DDD" w14:textId="1523531F" w:rsidR="4DD21A85" w:rsidRDefault="4DD21A85" w:rsidP="4DD21A85">
          <w:pPr>
            <w:pStyle w:val="Header"/>
            <w:ind w:right="-115"/>
            <w:jc w:val="right"/>
          </w:pPr>
        </w:p>
      </w:tc>
    </w:tr>
  </w:tbl>
  <w:p w14:paraId="2C457990" w14:textId="1D7AE381" w:rsidR="4DD21A85" w:rsidRDefault="4DD21A85" w:rsidP="4DD21A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DD21A85" w14:paraId="1590F7B6" w14:textId="77777777" w:rsidTr="4DD21A85">
      <w:trPr>
        <w:trHeight w:val="300"/>
      </w:trPr>
      <w:tc>
        <w:tcPr>
          <w:tcW w:w="3005" w:type="dxa"/>
        </w:tcPr>
        <w:p w14:paraId="237DF6B5" w14:textId="72495489" w:rsidR="4DD21A85" w:rsidRDefault="4DD21A85" w:rsidP="4DD21A85">
          <w:pPr>
            <w:pStyle w:val="Header"/>
            <w:ind w:left="-115"/>
          </w:pPr>
        </w:p>
      </w:tc>
      <w:tc>
        <w:tcPr>
          <w:tcW w:w="3005" w:type="dxa"/>
        </w:tcPr>
        <w:p w14:paraId="5E2FF5A4" w14:textId="60ECC081" w:rsidR="4DD21A85" w:rsidRDefault="4DD21A85" w:rsidP="4DD21A85">
          <w:pPr>
            <w:pStyle w:val="Header"/>
            <w:jc w:val="center"/>
          </w:pPr>
        </w:p>
      </w:tc>
      <w:tc>
        <w:tcPr>
          <w:tcW w:w="3005" w:type="dxa"/>
        </w:tcPr>
        <w:p w14:paraId="763AC016" w14:textId="320ABEB3" w:rsidR="4DD21A85" w:rsidRDefault="4DD21A85" w:rsidP="4DD21A85">
          <w:pPr>
            <w:pStyle w:val="Header"/>
            <w:ind w:right="-115"/>
            <w:jc w:val="right"/>
          </w:pPr>
        </w:p>
      </w:tc>
    </w:tr>
  </w:tbl>
  <w:p w14:paraId="07BF6FA0" w14:textId="1F3EE6C6" w:rsidR="4DD21A85" w:rsidRDefault="4DD21A85" w:rsidP="4DD21A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DD21A85" w14:paraId="7C989039" w14:textId="77777777" w:rsidTr="4DD21A85">
      <w:trPr>
        <w:trHeight w:val="300"/>
      </w:trPr>
      <w:tc>
        <w:tcPr>
          <w:tcW w:w="3005" w:type="dxa"/>
        </w:tcPr>
        <w:p w14:paraId="320B49A2" w14:textId="1E5F3AA2" w:rsidR="4DD21A85" w:rsidRDefault="4DD21A85" w:rsidP="4DD21A85">
          <w:pPr>
            <w:pStyle w:val="Header"/>
            <w:ind w:left="-115"/>
          </w:pPr>
        </w:p>
      </w:tc>
      <w:tc>
        <w:tcPr>
          <w:tcW w:w="3005" w:type="dxa"/>
        </w:tcPr>
        <w:p w14:paraId="22A5CE37" w14:textId="4C518692" w:rsidR="4DD21A85" w:rsidRDefault="4DD21A85" w:rsidP="4DD21A85">
          <w:pPr>
            <w:pStyle w:val="Header"/>
            <w:jc w:val="center"/>
          </w:pPr>
        </w:p>
      </w:tc>
      <w:tc>
        <w:tcPr>
          <w:tcW w:w="3005" w:type="dxa"/>
        </w:tcPr>
        <w:p w14:paraId="591686EA" w14:textId="203D6A33" w:rsidR="4DD21A85" w:rsidRDefault="4DD21A85" w:rsidP="4DD21A85">
          <w:pPr>
            <w:pStyle w:val="Header"/>
            <w:ind w:right="-115"/>
            <w:jc w:val="right"/>
          </w:pPr>
        </w:p>
      </w:tc>
    </w:tr>
  </w:tbl>
  <w:p w14:paraId="29DDF7A0" w14:textId="3B621397" w:rsidR="4DD21A85" w:rsidRDefault="4DD21A85" w:rsidP="4DD21A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4DD21A85" w14:paraId="3908BD5B" w14:textId="77777777" w:rsidTr="4DD21A85">
      <w:trPr>
        <w:trHeight w:val="300"/>
      </w:trPr>
      <w:tc>
        <w:tcPr>
          <w:tcW w:w="4650" w:type="dxa"/>
        </w:tcPr>
        <w:p w14:paraId="523DD263" w14:textId="64D5C81F" w:rsidR="4DD21A85" w:rsidRDefault="4DD21A85" w:rsidP="4DD21A85">
          <w:pPr>
            <w:pStyle w:val="Header"/>
            <w:ind w:left="-115"/>
          </w:pPr>
        </w:p>
      </w:tc>
      <w:tc>
        <w:tcPr>
          <w:tcW w:w="4650" w:type="dxa"/>
        </w:tcPr>
        <w:p w14:paraId="25713D49" w14:textId="0D10DD9C" w:rsidR="4DD21A85" w:rsidRDefault="4DD21A85" w:rsidP="4DD21A85">
          <w:pPr>
            <w:pStyle w:val="Header"/>
            <w:jc w:val="center"/>
          </w:pPr>
        </w:p>
      </w:tc>
      <w:tc>
        <w:tcPr>
          <w:tcW w:w="4650" w:type="dxa"/>
        </w:tcPr>
        <w:p w14:paraId="799980A1" w14:textId="61A15978" w:rsidR="4DD21A85" w:rsidRDefault="4DD21A85" w:rsidP="4DD21A85">
          <w:pPr>
            <w:pStyle w:val="Header"/>
            <w:ind w:right="-115"/>
            <w:jc w:val="right"/>
          </w:pPr>
        </w:p>
      </w:tc>
    </w:tr>
  </w:tbl>
  <w:p w14:paraId="4ABB657D" w14:textId="7017C55F" w:rsidR="4DD21A85" w:rsidRDefault="4DD21A85" w:rsidP="4DD21A8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DD21A85" w14:paraId="41D1B56C" w14:textId="77777777" w:rsidTr="4DD21A85">
      <w:trPr>
        <w:trHeight w:val="300"/>
      </w:trPr>
      <w:tc>
        <w:tcPr>
          <w:tcW w:w="3005" w:type="dxa"/>
        </w:tcPr>
        <w:p w14:paraId="55291F98" w14:textId="58860C99" w:rsidR="4DD21A85" w:rsidRDefault="4DD21A85" w:rsidP="4DD21A85">
          <w:pPr>
            <w:pStyle w:val="Header"/>
            <w:ind w:left="-115"/>
          </w:pPr>
        </w:p>
      </w:tc>
      <w:tc>
        <w:tcPr>
          <w:tcW w:w="3005" w:type="dxa"/>
        </w:tcPr>
        <w:p w14:paraId="465006B1" w14:textId="37C35670" w:rsidR="4DD21A85" w:rsidRDefault="4DD21A85" w:rsidP="4DD21A85">
          <w:pPr>
            <w:pStyle w:val="Header"/>
            <w:jc w:val="center"/>
          </w:pPr>
        </w:p>
      </w:tc>
      <w:tc>
        <w:tcPr>
          <w:tcW w:w="3005" w:type="dxa"/>
        </w:tcPr>
        <w:p w14:paraId="014F8677" w14:textId="371D3577" w:rsidR="4DD21A85" w:rsidRDefault="4DD21A85" w:rsidP="4DD21A85">
          <w:pPr>
            <w:pStyle w:val="Header"/>
            <w:ind w:right="-115"/>
            <w:jc w:val="right"/>
          </w:pPr>
        </w:p>
      </w:tc>
    </w:tr>
  </w:tbl>
  <w:p w14:paraId="02FFEE9B" w14:textId="6ACAAA21" w:rsidR="4DD21A85" w:rsidRDefault="4DD21A85" w:rsidP="4DD21A8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DD21A85" w14:paraId="1E657C68" w14:textId="77777777" w:rsidTr="4DD21A85">
      <w:trPr>
        <w:trHeight w:val="300"/>
      </w:trPr>
      <w:tc>
        <w:tcPr>
          <w:tcW w:w="3005" w:type="dxa"/>
        </w:tcPr>
        <w:p w14:paraId="26D19623" w14:textId="70972890" w:rsidR="4DD21A85" w:rsidRDefault="4DD21A85" w:rsidP="4DD21A85">
          <w:pPr>
            <w:pStyle w:val="Header"/>
            <w:ind w:left="-115"/>
          </w:pPr>
        </w:p>
      </w:tc>
      <w:tc>
        <w:tcPr>
          <w:tcW w:w="3005" w:type="dxa"/>
        </w:tcPr>
        <w:p w14:paraId="6214D7F0" w14:textId="4F10EE8F" w:rsidR="4DD21A85" w:rsidRDefault="4DD21A85" w:rsidP="4DD21A85">
          <w:pPr>
            <w:pStyle w:val="Header"/>
            <w:jc w:val="center"/>
          </w:pPr>
        </w:p>
      </w:tc>
      <w:tc>
        <w:tcPr>
          <w:tcW w:w="3005" w:type="dxa"/>
        </w:tcPr>
        <w:p w14:paraId="6169FDD3" w14:textId="35E32627" w:rsidR="4DD21A85" w:rsidRDefault="4DD21A85" w:rsidP="4DD21A85">
          <w:pPr>
            <w:pStyle w:val="Header"/>
            <w:ind w:right="-115"/>
            <w:jc w:val="right"/>
          </w:pPr>
        </w:p>
      </w:tc>
    </w:tr>
  </w:tbl>
  <w:p w14:paraId="1C366968" w14:textId="4E951691" w:rsidR="4DD21A85" w:rsidRDefault="4DD21A85" w:rsidP="4DD21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72109" w14:textId="77777777" w:rsidR="0015291E" w:rsidRDefault="0015291E" w:rsidP="009517C8">
      <w:pPr>
        <w:spacing w:after="0"/>
      </w:pPr>
      <w:r>
        <w:separator/>
      </w:r>
    </w:p>
  </w:footnote>
  <w:footnote w:type="continuationSeparator" w:id="0">
    <w:p w14:paraId="008FC48C" w14:textId="77777777" w:rsidR="0015291E" w:rsidRDefault="0015291E" w:rsidP="009517C8">
      <w:pPr>
        <w:spacing w:after="0"/>
      </w:pPr>
      <w:r>
        <w:continuationSeparator/>
      </w:r>
    </w:p>
  </w:footnote>
  <w:footnote w:type="continuationNotice" w:id="1">
    <w:p w14:paraId="46DB8D9F" w14:textId="77777777" w:rsidR="0015291E" w:rsidRDefault="0015291E">
      <w:pPr>
        <w:spacing w:after="0"/>
      </w:pPr>
    </w:p>
  </w:footnote>
  <w:footnote w:id="2">
    <w:p w14:paraId="6E27CDB3" w14:textId="0D70607F" w:rsidR="00E93F3B" w:rsidRDefault="00E93F3B" w:rsidP="00061D40">
      <w:pPr>
        <w:pStyle w:val="FootnoteText"/>
        <w:spacing w:after="0"/>
      </w:pPr>
      <w:r>
        <w:rPr>
          <w:rStyle w:val="FootnoteReference"/>
        </w:rPr>
        <w:footnoteRef/>
      </w:r>
      <w:r>
        <w:t xml:space="preserve"> </w:t>
      </w:r>
      <w:r w:rsidR="00D2476F">
        <w:t>This evaluation is intended to act as a final evaluation for the program, noting that the current phase will conclude in 2026</w:t>
      </w:r>
      <w:r w:rsidR="0046729F">
        <w:t>.</w:t>
      </w:r>
      <w:r w:rsidR="0078429F">
        <w:t xml:space="preserve"> </w:t>
      </w:r>
      <w:r w:rsidR="0046729F">
        <w:t xml:space="preserve">The evaluation report </w:t>
      </w:r>
      <w:r w:rsidR="002C0532">
        <w:t>is intended to</w:t>
      </w:r>
      <w:r w:rsidR="00930FE9" w:rsidRPr="00061D40">
        <w:t xml:space="preserve"> provide recommendations for the remainder of the program</w:t>
      </w:r>
      <w:r w:rsidR="0046729F">
        <w:t>. I</w:t>
      </w:r>
      <w:r w:rsidR="00930FE9" w:rsidRPr="00061D40">
        <w:t xml:space="preserve">nsights and suggested improvements may also be incorporated into a new successor program/procurement process </w:t>
      </w:r>
      <w:r w:rsidR="0046729F">
        <w:t xml:space="preserve">which is </w:t>
      </w:r>
      <w:r w:rsidR="00930FE9" w:rsidRPr="00061D40">
        <w:t>expected in the first half of financial year 2025.</w:t>
      </w:r>
      <w:r w:rsidR="0078429F">
        <w:t xml:space="preserve"> </w:t>
      </w:r>
      <w:r w:rsidR="0046729F">
        <w:t>See Appendix A for further detail.</w:t>
      </w:r>
    </w:p>
  </w:footnote>
  <w:footnote w:id="3">
    <w:p w14:paraId="384A07F2" w14:textId="7FFD3404" w:rsidR="007F567D" w:rsidRDefault="007F567D">
      <w:pPr>
        <w:pStyle w:val="FootnoteText"/>
      </w:pPr>
      <w:r>
        <w:rPr>
          <w:rStyle w:val="FootnoteReference"/>
        </w:rPr>
        <w:footnoteRef/>
      </w:r>
      <w:r>
        <w:t xml:space="preserve"> </w:t>
      </w:r>
      <w:r w:rsidR="006154C4">
        <w:t xml:space="preserve">Aka ‘partner </w:t>
      </w:r>
      <w:r w:rsidR="006154C4">
        <w:t>organisations’</w:t>
      </w:r>
      <w:r w:rsidR="00BA1EDF">
        <w:t>.</w:t>
      </w:r>
    </w:p>
  </w:footnote>
  <w:footnote w:id="4">
    <w:p w14:paraId="01173AE5" w14:textId="2BED4583" w:rsidR="00F41C5A" w:rsidRDefault="00F41C5A">
      <w:pPr>
        <w:pStyle w:val="FootnoteText"/>
      </w:pPr>
      <w:r>
        <w:rPr>
          <w:rStyle w:val="FootnoteReference"/>
        </w:rPr>
        <w:footnoteRef/>
      </w:r>
      <w:r>
        <w:t xml:space="preserve"> Additional GEDSI recommendations are set out in Section 5.</w:t>
      </w:r>
    </w:p>
  </w:footnote>
  <w:footnote w:id="5">
    <w:p w14:paraId="5ED7E81C" w14:textId="7596D758" w:rsidR="00C66B84" w:rsidRDefault="00C66B84" w:rsidP="00C23E0C">
      <w:pPr>
        <w:pStyle w:val="FootnoteText"/>
        <w:spacing w:after="0"/>
      </w:pPr>
      <w:r>
        <w:rPr>
          <w:rStyle w:val="FootnoteReference"/>
        </w:rPr>
        <w:footnoteRef/>
      </w:r>
      <w:r>
        <w:t xml:space="preserve"> </w:t>
      </w:r>
      <w:hyperlink r:id="rId1" w:history="1">
        <w:r w:rsidR="00F70A19" w:rsidRPr="004E09F6">
          <w:rPr>
            <w:rStyle w:val="Hyperlink"/>
          </w:rPr>
          <w:t>https://pdp.neda.gov.ph/updated-pdp-2017-2022/</w:t>
        </w:r>
      </w:hyperlink>
      <w:r w:rsidR="00F70A19">
        <w:t xml:space="preserve"> </w:t>
      </w:r>
    </w:p>
  </w:footnote>
  <w:footnote w:id="6">
    <w:p w14:paraId="1BF05A4F" w14:textId="2944F027" w:rsidR="00C66B84" w:rsidRDefault="00C66B84" w:rsidP="00C66B84">
      <w:pPr>
        <w:pStyle w:val="FootnoteText"/>
        <w:spacing w:after="0"/>
      </w:pPr>
      <w:r>
        <w:rPr>
          <w:rStyle w:val="FootnoteReference"/>
        </w:rPr>
        <w:footnoteRef/>
      </w:r>
      <w:r>
        <w:t xml:space="preserve"> </w:t>
      </w:r>
      <w:hyperlink r:id="rId2" w:history="1">
        <w:r w:rsidRPr="008A5A2F">
          <w:rPr>
            <w:rStyle w:val="Hyperlink"/>
          </w:rPr>
          <w:t>https://2040.neda.gov.ph</w:t>
        </w:r>
      </w:hyperlink>
      <w:r>
        <w:t>, p</w:t>
      </w:r>
      <w:r w:rsidR="00F70A19">
        <w:t xml:space="preserve">. </w:t>
      </w:r>
      <w:r>
        <w:t>3</w:t>
      </w:r>
    </w:p>
  </w:footnote>
  <w:footnote w:id="7">
    <w:p w14:paraId="6EC53DE5" w14:textId="627E778A" w:rsidR="00C66B84" w:rsidRDefault="00C66B84" w:rsidP="00C66B84">
      <w:pPr>
        <w:pStyle w:val="FootnoteText"/>
        <w:spacing w:after="0"/>
      </w:pPr>
      <w:r>
        <w:rPr>
          <w:rStyle w:val="FootnoteReference"/>
        </w:rPr>
        <w:footnoteRef/>
      </w:r>
      <w:r>
        <w:t xml:space="preserve"> </w:t>
      </w:r>
      <w:hyperlink r:id="rId3" w:history="1">
        <w:r w:rsidR="00F70A19" w:rsidRPr="004E09F6">
          <w:rPr>
            <w:rStyle w:val="Hyperlink"/>
          </w:rPr>
          <w:t>https://pdp.neda.gov.ph/philippine-development-plan-2023-2028/</w:t>
        </w:r>
      </w:hyperlink>
      <w:r w:rsidR="00F70A19">
        <w:t xml:space="preserve"> </w:t>
      </w:r>
    </w:p>
  </w:footnote>
  <w:footnote w:id="8">
    <w:p w14:paraId="1FE4790C" w14:textId="77777777" w:rsidR="00C66B84" w:rsidRDefault="00C66B84" w:rsidP="00CC04DE">
      <w:pPr>
        <w:pStyle w:val="FootnoteText"/>
        <w:spacing w:after="0"/>
      </w:pPr>
      <w:r>
        <w:rPr>
          <w:rStyle w:val="FootnoteReference"/>
        </w:rPr>
        <w:footnoteRef/>
      </w:r>
      <w:r>
        <w:t xml:space="preserve"> The eight objectives are: (i) economic growth and stability; (ii) poverty reduction and inequality; (iii) human capital development; (iv) infrastructure development; (v) climate resilience and environmental sustainability; (vi) regional development; (vii) good governance, and (viii) global competitiveness.</w:t>
      </w:r>
    </w:p>
  </w:footnote>
  <w:footnote w:id="9">
    <w:p w14:paraId="5C65DAA4" w14:textId="39F3BD72" w:rsidR="00537182" w:rsidRDefault="00537182">
      <w:pPr>
        <w:pStyle w:val="FootnoteText"/>
      </w:pPr>
      <w:r>
        <w:rPr>
          <w:rStyle w:val="FootnoteReference"/>
        </w:rPr>
        <w:footnoteRef/>
      </w:r>
      <w:r>
        <w:t xml:space="preserve"> </w:t>
      </w:r>
      <w:r w:rsidR="00847038">
        <w:t>Respondent’s identities are anonymised. A record of attributed quotations is kept confidentially on file.</w:t>
      </w:r>
    </w:p>
  </w:footnote>
  <w:footnote w:id="10">
    <w:p w14:paraId="57C77B20" w14:textId="77777777" w:rsidR="005C45D8" w:rsidRDefault="005C45D8" w:rsidP="005C45D8">
      <w:pPr>
        <w:pStyle w:val="FootnoteText"/>
        <w:spacing w:after="0"/>
      </w:pPr>
      <w:r>
        <w:rPr>
          <w:rStyle w:val="FootnoteReference"/>
        </w:rPr>
        <w:footnoteRef/>
      </w:r>
      <w:r>
        <w:t xml:space="preserve"> Strategy Paper for Achievement of Program Outcomes, March 2019.</w:t>
      </w:r>
    </w:p>
  </w:footnote>
  <w:footnote w:id="11">
    <w:p w14:paraId="1ACB58F6" w14:textId="77777777" w:rsidR="005C45D8" w:rsidRDefault="005C45D8" w:rsidP="005C45D8">
      <w:pPr>
        <w:pStyle w:val="FootnoteText"/>
        <w:spacing w:after="0"/>
      </w:pPr>
      <w:r>
        <w:rPr>
          <w:rStyle w:val="FootnoteReference"/>
        </w:rPr>
        <w:footnoteRef/>
      </w:r>
      <w:r>
        <w:t xml:space="preserve"> AAAEP–P Communications and Public Diplomacy Strategy.</w:t>
      </w:r>
    </w:p>
  </w:footnote>
  <w:footnote w:id="12">
    <w:p w14:paraId="0620A326" w14:textId="77777777" w:rsidR="005C45D8" w:rsidRDefault="005C45D8" w:rsidP="00061D40">
      <w:pPr>
        <w:pStyle w:val="FootnoteText"/>
        <w:spacing w:after="0"/>
      </w:pPr>
      <w:r>
        <w:rPr>
          <w:rStyle w:val="FootnoteReference"/>
        </w:rPr>
        <w:footnoteRef/>
      </w:r>
      <w:r>
        <w:t xml:space="preserve"> </w:t>
      </w:r>
      <w:hyperlink r:id="rId4" w:history="1">
        <w:r w:rsidRPr="00671D9F">
          <w:rPr>
            <w:rStyle w:val="Hyperlink"/>
          </w:rPr>
          <w:t>PH to achieve upper middle-income status by 2025 | Philippine News Agency</w:t>
        </w:r>
      </w:hyperlink>
      <w:r>
        <w:t>.</w:t>
      </w:r>
    </w:p>
  </w:footnote>
  <w:footnote w:id="13">
    <w:p w14:paraId="2F4E8B1A" w14:textId="2C9FEB13" w:rsidR="005D5168" w:rsidRDefault="005D5168" w:rsidP="005D5168">
      <w:pPr>
        <w:pStyle w:val="FootnoteText"/>
        <w:spacing w:after="0"/>
      </w:pPr>
      <w:r>
        <w:rPr>
          <w:rStyle w:val="FootnoteReference"/>
        </w:rPr>
        <w:footnoteRef/>
      </w:r>
      <w:r>
        <w:t xml:space="preserve"> DFAT released the DPP for the Philippines which runs from 2024 to 2029 on 17 October 2024. This was after field work was completed. The DPP consists of three objectives: (i) enhancing conditions for stability; (ii) bolstering inclusive and sustainable growth; and (iii) Increasing</w:t>
      </w:r>
      <w:r w:rsidRPr="00CB5E91">
        <w:t xml:space="preserve"> institutional and community resilience to social, economic and climate-related shocks</w:t>
      </w:r>
      <w:r>
        <w:t xml:space="preserve">. The DPP makes specific reference to scholarships relevant to objectives (i) and (ii). The </w:t>
      </w:r>
      <w:r w:rsidR="0064432C">
        <w:t>AAAEP–P</w:t>
      </w:r>
      <w:r>
        <w:t xml:space="preserve"> therefore will continue to remain relevant to the DPP for the remainder of the program’s term.</w:t>
      </w:r>
    </w:p>
  </w:footnote>
  <w:footnote w:id="14">
    <w:p w14:paraId="254257D4" w14:textId="77777777" w:rsidR="00C97444" w:rsidRDefault="00C97444" w:rsidP="00C97444">
      <w:pPr>
        <w:pStyle w:val="FootnoteText"/>
      </w:pPr>
      <w:r>
        <w:rPr>
          <w:rStyle w:val="FootnoteReference"/>
        </w:rPr>
        <w:footnoteRef/>
      </w:r>
      <w:r>
        <w:t xml:space="preserve"> </w:t>
      </w:r>
      <w:r w:rsidRPr="000F10C4">
        <w:t>https://vuxano.com/international-scholarships-for-philippine-students/?utm</w:t>
      </w:r>
    </w:p>
  </w:footnote>
  <w:footnote w:id="15">
    <w:p w14:paraId="0010A499" w14:textId="2896A485" w:rsidR="009C7143" w:rsidRDefault="009C7143">
      <w:pPr>
        <w:pStyle w:val="FootnoteText"/>
      </w:pPr>
      <w:r>
        <w:rPr>
          <w:rStyle w:val="FootnoteReference"/>
        </w:rPr>
        <w:footnoteRef/>
      </w:r>
      <w:r>
        <w:t xml:space="preserve"> Only binary gender figures are available.</w:t>
      </w:r>
    </w:p>
  </w:footnote>
  <w:footnote w:id="16">
    <w:p w14:paraId="1AE086C4" w14:textId="0E0A0874" w:rsidR="004A5079" w:rsidRDefault="004A5079">
      <w:pPr>
        <w:pStyle w:val="FootnoteText"/>
      </w:pPr>
      <w:r>
        <w:rPr>
          <w:rStyle w:val="FootnoteReference"/>
        </w:rPr>
        <w:footnoteRef/>
      </w:r>
      <w:r>
        <w:t xml:space="preserve"> </w:t>
      </w:r>
      <w:r w:rsidR="00164ADC">
        <w:t xml:space="preserve">An earlier investment (HDROF) mobilised the </w:t>
      </w:r>
      <w:r w:rsidR="00164ADC" w:rsidRPr="00164ADC">
        <w:t>first two batches</w:t>
      </w:r>
      <w:r w:rsidR="00164ADC">
        <w:t xml:space="preserve">, and </w:t>
      </w:r>
      <w:r w:rsidR="0064432C">
        <w:t>AAAEP–P</w:t>
      </w:r>
      <w:r w:rsidR="00164ADC">
        <w:t xml:space="preserve"> Phase 1 provided </w:t>
      </w:r>
      <w:r w:rsidR="00164ADC" w:rsidRPr="00164ADC">
        <w:t xml:space="preserve">on award management for these </w:t>
      </w:r>
      <w:r w:rsidR="00164ADC">
        <w:t>batches.</w:t>
      </w:r>
    </w:p>
  </w:footnote>
  <w:footnote w:id="17">
    <w:p w14:paraId="7EC4E27C" w14:textId="77777777" w:rsidR="00B50B53" w:rsidRDefault="00B50B53" w:rsidP="00B50B53">
      <w:pPr>
        <w:pStyle w:val="FootnoteText"/>
        <w:spacing w:after="0"/>
      </w:pPr>
      <w:r>
        <w:rPr>
          <w:rStyle w:val="FootnoteReference"/>
        </w:rPr>
        <w:footnoteRef/>
      </w:r>
      <w:r>
        <w:t xml:space="preserve"> Only binary gender figures were available.</w:t>
      </w:r>
    </w:p>
  </w:footnote>
  <w:footnote w:id="18">
    <w:p w14:paraId="0BF73500" w14:textId="2F8EAA2F" w:rsidR="0043681B" w:rsidRDefault="0043681B">
      <w:pPr>
        <w:pStyle w:val="FootnoteText"/>
      </w:pPr>
      <w:r>
        <w:rPr>
          <w:rStyle w:val="FootnoteReference"/>
        </w:rPr>
        <w:footnoteRef/>
      </w:r>
      <w:r>
        <w:t xml:space="preserve"> </w:t>
      </w:r>
      <w:r w:rsidR="00511EBE">
        <w:t xml:space="preserve">Some of whom are legacy alumni generated under previous scholarship investments but </w:t>
      </w:r>
      <w:r w:rsidR="0079502E">
        <w:t>with whom the program continued to engage and build relationships.</w:t>
      </w:r>
    </w:p>
  </w:footnote>
  <w:footnote w:id="19">
    <w:p w14:paraId="5960F2FE" w14:textId="274275B6" w:rsidR="00C43C5F" w:rsidRPr="00C43C5F" w:rsidRDefault="006D1DB8" w:rsidP="00C43C5F">
      <w:pPr>
        <w:pStyle w:val="FootnoteText"/>
      </w:pPr>
      <w:r>
        <w:rPr>
          <w:rStyle w:val="FootnoteReference"/>
        </w:rPr>
        <w:footnoteRef/>
      </w:r>
      <w:r>
        <w:t xml:space="preserve"> </w:t>
      </w:r>
      <w:r w:rsidR="00C43C5F" w:rsidRPr="00543337">
        <w:t>In 2024</w:t>
      </w:r>
      <w:r w:rsidR="008A1B13" w:rsidRPr="00543337">
        <w:t xml:space="preserve"> </w:t>
      </w:r>
      <w:r w:rsidR="005502BB" w:rsidRPr="00543337">
        <w:t>the Civil Service Commission</w:t>
      </w:r>
      <w:r w:rsidR="00C43C5F" w:rsidRPr="00543337">
        <w:t xml:space="preserve"> Assistant Commissioner Nerissa </w:t>
      </w:r>
      <w:r w:rsidR="00C43C5F" w:rsidRPr="00543337">
        <w:t>Canguilan</w:t>
      </w:r>
      <w:r w:rsidR="008A1B13" w:rsidRPr="00543337">
        <w:t xml:space="preserve"> </w:t>
      </w:r>
      <w:r w:rsidR="00C43C5F" w:rsidRPr="00543337">
        <w:t xml:space="preserve">and </w:t>
      </w:r>
      <w:r w:rsidR="008A1B13" w:rsidRPr="00543337">
        <w:t>DFAT’s Joh Stratten, both members of the PCC,</w:t>
      </w:r>
      <w:r w:rsidR="00C43C5F" w:rsidRPr="00543337">
        <w:t xml:space="preserve"> sat on the selection </w:t>
      </w:r>
      <w:r w:rsidR="008A1B13" w:rsidRPr="00543337">
        <w:t>committee.</w:t>
      </w:r>
    </w:p>
    <w:p w14:paraId="07F269F0" w14:textId="7756CD71" w:rsidR="006D1DB8" w:rsidRDefault="006D1DB8">
      <w:pPr>
        <w:pStyle w:val="FootnoteText"/>
      </w:pPr>
    </w:p>
  </w:footnote>
  <w:footnote w:id="20">
    <w:p w14:paraId="15877D93" w14:textId="68DF2B2A" w:rsidR="00664BDD" w:rsidRDefault="00664BDD">
      <w:pPr>
        <w:pStyle w:val="FootnoteText"/>
      </w:pPr>
      <w:r>
        <w:rPr>
          <w:rStyle w:val="FootnoteReference"/>
        </w:rPr>
        <w:footnoteRef/>
      </w:r>
      <w:r>
        <w:t xml:space="preserve"> A ramp was not provided to the stage, which resulted in one MC who is a person living with a disability </w:t>
      </w:r>
      <w:r w:rsidR="00592D88">
        <w:t>not being able to access the stage.</w:t>
      </w:r>
      <w:r w:rsidR="0078429F">
        <w:t xml:space="preserve"> </w:t>
      </w:r>
    </w:p>
  </w:footnote>
  <w:footnote w:id="21">
    <w:p w14:paraId="7D6F2025" w14:textId="77777777" w:rsidR="000C4CBA" w:rsidRDefault="000C4CBA" w:rsidP="000C4CBA">
      <w:pPr>
        <w:pStyle w:val="FootnoteText"/>
      </w:pPr>
      <w:r>
        <w:rPr>
          <w:rStyle w:val="FootnoteReference"/>
        </w:rPr>
        <w:footnoteRef/>
      </w:r>
      <w:r>
        <w:t xml:space="preserve"> </w:t>
      </w:r>
      <w:r w:rsidRPr="00BF2609">
        <w:t>https://journalnews.com.ph</w:t>
      </w:r>
    </w:p>
  </w:footnote>
  <w:footnote w:id="22">
    <w:p w14:paraId="7F18524D" w14:textId="77777777" w:rsidR="005619A8" w:rsidRPr="00D91A50" w:rsidRDefault="005619A8" w:rsidP="0075602D">
      <w:pPr>
        <w:spacing w:after="0"/>
        <w:rPr>
          <w:sz w:val="20"/>
        </w:rPr>
      </w:pPr>
      <w:r w:rsidRPr="002B1E0E">
        <w:rPr>
          <w:rStyle w:val="FootnoteReference"/>
          <w:sz w:val="20"/>
        </w:rPr>
        <w:footnoteRef/>
      </w:r>
      <w:r w:rsidRPr="00D91A50">
        <w:rPr>
          <w:sz w:val="20"/>
        </w:rPr>
        <w:t xml:space="preserve"> </w:t>
      </w:r>
      <w:r w:rsidRPr="00D91A50">
        <w:rPr>
          <w:sz w:val="20"/>
        </w:rPr>
        <w:t>Imas, Linda and Rist, Ray (2009). The Road to Results: Designing and Conducting Effective Development Evaluations. The International Bank for Reconstruction and Development / The World Bank.</w:t>
      </w:r>
    </w:p>
  </w:footnote>
  <w:footnote w:id="23">
    <w:p w14:paraId="1EAC7104" w14:textId="5487EB0F" w:rsidR="002E64BA" w:rsidRDefault="002E64BA" w:rsidP="0075602D">
      <w:pPr>
        <w:pStyle w:val="FootnoteText"/>
        <w:spacing w:after="0"/>
      </w:pPr>
      <w:r>
        <w:rPr>
          <w:rStyle w:val="FootnoteReference"/>
        </w:rPr>
        <w:footnoteRef/>
      </w:r>
      <w:r>
        <w:t xml:space="preserve"> See </w:t>
      </w:r>
      <w:r w:rsidR="009E4EC8">
        <w:t xml:space="preserve">Monitoring </w:t>
      </w:r>
      <w:r>
        <w:t>and Evaluation Strategy, p17.</w:t>
      </w:r>
    </w:p>
  </w:footnote>
  <w:footnote w:id="24">
    <w:p w14:paraId="435D5750" w14:textId="6801AB9D" w:rsidR="00366906" w:rsidRDefault="00366906">
      <w:pPr>
        <w:pStyle w:val="FootnoteText"/>
      </w:pPr>
      <w:r>
        <w:rPr>
          <w:rStyle w:val="FootnoteReference"/>
        </w:rPr>
        <w:footnoteRef/>
      </w:r>
      <w:r>
        <w:t xml:space="preserve"> DFAT notes that</w:t>
      </w:r>
      <w:r w:rsidR="00FB4A4B">
        <w:t xml:space="preserve"> t</w:t>
      </w:r>
      <w:r w:rsidR="00FB4A4B" w:rsidRPr="00FB4A4B">
        <w:t>he duty of care for all on award students resides with the Australian universities and not the Managing Contractor.</w:t>
      </w:r>
    </w:p>
  </w:footnote>
  <w:footnote w:id="25">
    <w:p w14:paraId="5A09DDF2" w14:textId="28D2F865" w:rsidR="004A1C40" w:rsidRPr="004A1C40" w:rsidRDefault="00677DD4" w:rsidP="004A1C40">
      <w:pPr>
        <w:pStyle w:val="FootnoteText"/>
      </w:pPr>
      <w:r>
        <w:rPr>
          <w:rStyle w:val="FootnoteReference"/>
        </w:rPr>
        <w:footnoteRef/>
      </w:r>
      <w:r>
        <w:t xml:space="preserve"> </w:t>
      </w:r>
      <w:r w:rsidR="00F22925" w:rsidRPr="00717996">
        <w:t>Source: M&amp;E Report as of December 2024, Table 9, p23.</w:t>
      </w:r>
      <w:r w:rsidR="003D16B6">
        <w:t xml:space="preserve"> </w:t>
      </w:r>
      <w:r w:rsidR="00F22925" w:rsidRPr="00717996">
        <w:t>(updated alumni data)</w:t>
      </w:r>
      <w:r w:rsidR="00F22925">
        <w:t>.</w:t>
      </w:r>
    </w:p>
    <w:p w14:paraId="79FFAAA3" w14:textId="72AD592B" w:rsidR="00677DD4" w:rsidRDefault="00677DD4" w:rsidP="00677DD4">
      <w:pPr>
        <w:pStyle w:val="FootnoteText"/>
      </w:pPr>
    </w:p>
  </w:footnote>
  <w:footnote w:id="26">
    <w:p w14:paraId="22604C4D" w14:textId="77777777" w:rsidR="00ED4E39" w:rsidRDefault="00ED4E39" w:rsidP="00F6005F">
      <w:pPr>
        <w:pStyle w:val="FootnoteText"/>
        <w:spacing w:after="0"/>
      </w:pPr>
      <w:r>
        <w:rPr>
          <w:rStyle w:val="FootnoteReference"/>
        </w:rPr>
        <w:footnoteRef/>
      </w:r>
      <w:r>
        <w:t xml:space="preserve"> See: </w:t>
      </w:r>
      <w:r w:rsidRPr="005F04D1">
        <w:t>2020 Partner Performance Assessment (PPA), p4</w:t>
      </w:r>
      <w:r w:rsidR="00BA1EDF">
        <w:t>.</w:t>
      </w:r>
    </w:p>
  </w:footnote>
  <w:footnote w:id="27">
    <w:p w14:paraId="1C575549" w14:textId="77777777" w:rsidR="006A4A8F" w:rsidRDefault="006A4A8F" w:rsidP="006A4A8F">
      <w:pPr>
        <w:pStyle w:val="FootnoteText"/>
        <w:spacing w:after="0"/>
      </w:pPr>
      <w:r>
        <w:rPr>
          <w:rStyle w:val="FootnoteReference"/>
        </w:rPr>
        <w:footnoteRef/>
      </w:r>
      <w:r>
        <w:t xml:space="preserve"> Email communication from Team Leader, 22 August 2024.</w:t>
      </w:r>
    </w:p>
  </w:footnote>
  <w:footnote w:id="28">
    <w:p w14:paraId="5D6F8897" w14:textId="27438C9D" w:rsidR="006A4A8F" w:rsidRDefault="006A4A8F" w:rsidP="006A4A8F">
      <w:pPr>
        <w:pStyle w:val="FootnoteText"/>
        <w:spacing w:after="0"/>
      </w:pPr>
      <w:r>
        <w:rPr>
          <w:rStyle w:val="FootnoteReference"/>
        </w:rPr>
        <w:footnoteRef/>
      </w:r>
      <w:r>
        <w:t xml:space="preserve"> Email communication on 14 October 2024 from DFAT’s </w:t>
      </w:r>
      <w:r w:rsidRPr="00D14E4E">
        <w:t>Global Education and Scholarships Section</w:t>
      </w:r>
      <w:r>
        <w:t xml:space="preserve">, </w:t>
      </w:r>
      <w:r w:rsidRPr="00D14E4E">
        <w:t>Global Programs and Partnerships Branch | Development Policy Division</w:t>
      </w:r>
      <w:r>
        <w:t>. Note that a strict</w:t>
      </w:r>
      <w:r w:rsidR="00F40B32">
        <w:t xml:space="preserve"> </w:t>
      </w:r>
      <w:r>
        <w:t>1:1 comparison is not possible</w:t>
      </w:r>
      <w:r w:rsidRPr="00B80B39">
        <w:t xml:space="preserve"> </w:t>
      </w:r>
      <w:r>
        <w:t xml:space="preserve">as </w:t>
      </w:r>
      <w:r w:rsidRPr="00B80B39">
        <w:t>the programs have different modalities that require appropriate staffing structures</w:t>
      </w:r>
      <w:r>
        <w:t xml:space="preserve">. </w:t>
      </w:r>
    </w:p>
  </w:footnote>
  <w:footnote w:id="29">
    <w:p w14:paraId="617C607F" w14:textId="77777777" w:rsidR="008C2A05" w:rsidRDefault="008C2A05" w:rsidP="006A4A8F">
      <w:pPr>
        <w:pStyle w:val="FootnoteText"/>
        <w:spacing w:after="0"/>
      </w:pPr>
      <w:r>
        <w:rPr>
          <w:rStyle w:val="FootnoteReference"/>
        </w:rPr>
        <w:footnoteRef/>
      </w:r>
      <w:r>
        <w:t xml:space="preserve"> </w:t>
      </w:r>
      <w:r w:rsidRPr="00843691">
        <w:t xml:space="preserve">During the first six years of AAAEP, </w:t>
      </w:r>
      <w:r>
        <w:t xml:space="preserve">there was </w:t>
      </w:r>
      <w:r w:rsidRPr="00843691">
        <w:t>one</w:t>
      </w:r>
      <w:r>
        <w:t xml:space="preserve"> full time</w:t>
      </w:r>
      <w:r w:rsidRPr="00843691">
        <w:t xml:space="preserve"> LTA (Mark Kilner, the Tertiary Education Adviser)</w:t>
      </w:r>
      <w:r>
        <w:t xml:space="preserve"> who </w:t>
      </w:r>
      <w:r w:rsidRPr="00843691">
        <w:t>handled our short courses.</w:t>
      </w:r>
      <w:r>
        <w:t xml:space="preserve"> There was one STA who assisted with short courses when this LTA was vacated. Two STAs were engaged to assist with the GEDSI Strategy and the Alumni Strategy.</w:t>
      </w:r>
    </w:p>
  </w:footnote>
  <w:footnote w:id="30">
    <w:p w14:paraId="332F51E4" w14:textId="77777777" w:rsidR="008C2A05" w:rsidRPr="007914B0" w:rsidRDefault="008C2A05" w:rsidP="006A4A8F">
      <w:pPr>
        <w:pStyle w:val="FootnoteText"/>
      </w:pPr>
      <w:r>
        <w:rPr>
          <w:rStyle w:val="FootnoteReference"/>
        </w:rPr>
        <w:footnoteRef/>
      </w:r>
      <w:r>
        <w:t xml:space="preserve"> All staff are LES, including the Program Director. LES roles are: 1. </w:t>
      </w:r>
      <w:r w:rsidRPr="007914B0">
        <w:t>MELQUI Adviser</w:t>
      </w:r>
      <w:r>
        <w:t xml:space="preserve">; </w:t>
      </w:r>
      <w:r w:rsidRPr="007914B0">
        <w:t>Communications Specialist and 1 junior staff</w:t>
      </w:r>
      <w:r>
        <w:t xml:space="preserve">; </w:t>
      </w:r>
      <w:r w:rsidRPr="007914B0">
        <w:t>Alumni senior project officer</w:t>
      </w:r>
      <w:r>
        <w:t xml:space="preserve"> </w:t>
      </w:r>
      <w:r w:rsidRPr="007914B0">
        <w:t>and 1 junior staff</w:t>
      </w:r>
      <w:r>
        <w:t xml:space="preserve">; </w:t>
      </w:r>
      <w:r w:rsidRPr="007914B0">
        <w:t>Scholarship senior project officer – 2</w:t>
      </w:r>
      <w:r>
        <w:t xml:space="preserve">; </w:t>
      </w:r>
      <w:r w:rsidRPr="007914B0">
        <w:t>Mindanao engagement manager/IT officer - plus 1 junior staff (based in Davao)</w:t>
      </w:r>
      <w:r>
        <w:t xml:space="preserve">; </w:t>
      </w:r>
      <w:r w:rsidRPr="007914B0">
        <w:t>Finance and Admin Manager plus 2 admin staff, 1 driver</w:t>
      </w:r>
      <w:r>
        <w:t xml:space="preserve">; </w:t>
      </w:r>
      <w:r w:rsidRPr="007914B0">
        <w:t>IT staff – 2</w:t>
      </w:r>
      <w:r>
        <w:t xml:space="preserve"> </w:t>
      </w:r>
      <w:r w:rsidRPr="007914B0">
        <w:t>who are based in Davao</w:t>
      </w:r>
      <w:r>
        <w:t xml:space="preserve">; </w:t>
      </w:r>
      <w:r w:rsidRPr="007914B0">
        <w:t>HRD Specialist</w:t>
      </w:r>
      <w:r>
        <w:t xml:space="preserve">; </w:t>
      </w:r>
      <w:r w:rsidRPr="007914B0">
        <w:t>Short Course Coordinator</w:t>
      </w:r>
      <w:r>
        <w:t xml:space="preserve">; </w:t>
      </w:r>
      <w:r w:rsidRPr="007914B0">
        <w:t>Program Director</w:t>
      </w:r>
      <w:r>
        <w:t>.</w:t>
      </w:r>
    </w:p>
    <w:p w14:paraId="3965769D" w14:textId="77777777" w:rsidR="008C2A05" w:rsidRDefault="008C2A05" w:rsidP="006A4A8F">
      <w:pPr>
        <w:pStyle w:val="FootnoteText"/>
      </w:pPr>
    </w:p>
  </w:footnote>
  <w:footnote w:id="31">
    <w:p w14:paraId="09D6C628" w14:textId="371DA602" w:rsidR="00DA3C95" w:rsidRDefault="00DA3C95">
      <w:pPr>
        <w:pStyle w:val="FootnoteText"/>
      </w:pPr>
      <w:r>
        <w:rPr>
          <w:rStyle w:val="FootnoteReference"/>
        </w:rPr>
        <w:footnoteRef/>
      </w:r>
      <w:r>
        <w:t xml:space="preserve"> </w:t>
      </w:r>
      <w:r w:rsidR="00B6108F" w:rsidRPr="00B6108F">
        <w:t>Agricultural Systems International, Inc.</w:t>
      </w:r>
      <w:r w:rsidR="00FE2193">
        <w:t xml:space="preserve"> (AGREA)</w:t>
      </w:r>
      <w:r w:rsidR="00FF5126">
        <w:t>.</w:t>
      </w:r>
    </w:p>
  </w:footnote>
  <w:footnote w:id="32">
    <w:p w14:paraId="4E506DD9" w14:textId="07767791" w:rsidR="00517DBE" w:rsidRDefault="00517DBE" w:rsidP="0075602D">
      <w:pPr>
        <w:pStyle w:val="FootnoteText"/>
        <w:spacing w:after="0"/>
      </w:pPr>
      <w:r>
        <w:rPr>
          <w:rStyle w:val="FootnoteReference"/>
        </w:rPr>
        <w:footnoteRef/>
      </w:r>
      <w:r>
        <w:t xml:space="preserve"> Subsidiary </w:t>
      </w:r>
      <w:r w:rsidR="009E4EC8">
        <w:t>Arrangement</w:t>
      </w:r>
      <w:r>
        <w:t xml:space="preserve"> between the Government of Australia and the Government of the </w:t>
      </w:r>
      <w:r w:rsidR="00C51069">
        <w:t>Philippines</w:t>
      </w:r>
      <w:r>
        <w:t xml:space="preserve"> Relating to the Australia Awards and Alumni Engagement Program Philippines, Clause 7.2</w:t>
      </w:r>
      <w:r w:rsidR="00C51069">
        <w:t>, December 2017.</w:t>
      </w:r>
    </w:p>
  </w:footnote>
  <w:footnote w:id="33">
    <w:p w14:paraId="62634F1B" w14:textId="77777777" w:rsidR="00DC0CBE" w:rsidRDefault="00DC0CBE" w:rsidP="0075602D">
      <w:pPr>
        <w:pStyle w:val="FootnoteText"/>
        <w:spacing w:after="0"/>
      </w:pPr>
      <w:r>
        <w:rPr>
          <w:rStyle w:val="FootnoteReference"/>
        </w:rPr>
        <w:footnoteRef/>
      </w:r>
      <w:r>
        <w:t xml:space="preserve"> DFAT Development Evaluation Policy 2023.</w:t>
      </w:r>
    </w:p>
  </w:footnote>
  <w:footnote w:id="34">
    <w:p w14:paraId="3BB97DC8" w14:textId="2E14AB59" w:rsidR="00532D05" w:rsidRDefault="00532D05" w:rsidP="0075602D">
      <w:pPr>
        <w:pStyle w:val="FootnoteText"/>
        <w:spacing w:after="0"/>
      </w:pPr>
      <w:r>
        <w:rPr>
          <w:rStyle w:val="FootnoteReference"/>
        </w:rPr>
        <w:footnoteRef/>
      </w:r>
      <w:r w:rsidR="00DD1412">
        <w:t xml:space="preserve">The </w:t>
      </w:r>
      <w:r w:rsidRPr="00532D05">
        <w:t xml:space="preserve">ICSP </w:t>
      </w:r>
      <w:r w:rsidR="00DD1412">
        <w:t xml:space="preserve">component commenced </w:t>
      </w:r>
      <w:r w:rsidRPr="00532D05">
        <w:t>in 2012 to provide postgraduate study opportunities for individuals in the Bangsamoro region who are unable to study in Australia due to work or family commitments.</w:t>
      </w:r>
      <w:r w:rsidR="0078429F">
        <w:t xml:space="preserve"> </w:t>
      </w:r>
      <w:r w:rsidRPr="00532D05">
        <w:t xml:space="preserve">In July 2015, the program </w:t>
      </w:r>
      <w:r w:rsidR="00DC1817">
        <w:t xml:space="preserve">was </w:t>
      </w:r>
      <w:r w:rsidRPr="00532D05">
        <w:t>expanded to build a pool of potential leaders and technical specialists</w:t>
      </w:r>
      <w:r w:rsidR="00C20ED8">
        <w:t xml:space="preserve">. See: </w:t>
      </w:r>
      <w:hyperlink r:id="rId5" w:history="1">
        <w:r w:rsidR="0063568D" w:rsidRPr="0063568D">
          <w:rPr>
            <w:rStyle w:val="Hyperlink"/>
          </w:rPr>
          <w:t>Australia Awards Philippines - ICSP</w:t>
        </w:r>
      </w:hyperlink>
      <w:r w:rsidR="00C20ED8">
        <w:t xml:space="preserve"> </w:t>
      </w:r>
      <w:r w:rsidRPr="00532D05">
        <w:t>.</w:t>
      </w:r>
    </w:p>
  </w:footnote>
  <w:footnote w:id="35">
    <w:p w14:paraId="7DE5FF2F" w14:textId="5B0E38FD" w:rsidR="008E0950" w:rsidRPr="008E0950" w:rsidRDefault="008E0950">
      <w:pPr>
        <w:pStyle w:val="FootnoteText"/>
      </w:pPr>
      <w:r>
        <w:rPr>
          <w:rStyle w:val="FootnoteReference"/>
        </w:rPr>
        <w:footnoteRef/>
      </w:r>
      <w:r>
        <w:t xml:space="preserve"> </w:t>
      </w:r>
      <w:r w:rsidRPr="008E0950">
        <w:t>https://www.dfat.gov.au/people-to-people/australia-awards?utm_source=chatgpt.com</w:t>
      </w:r>
    </w:p>
  </w:footnote>
  <w:footnote w:id="36">
    <w:p w14:paraId="7113DF99" w14:textId="3F4F46B7" w:rsidR="00E70126" w:rsidRPr="009F326C" w:rsidRDefault="00E70126" w:rsidP="0075602D">
      <w:pPr>
        <w:pStyle w:val="FootnoteText"/>
        <w:spacing w:after="0"/>
      </w:pPr>
      <w:r w:rsidRPr="002B1E0E">
        <w:rPr>
          <w:vertAlign w:val="superscript"/>
        </w:rPr>
        <w:footnoteRef/>
      </w:r>
      <w:r w:rsidRPr="002B1E0E">
        <w:rPr>
          <w:vertAlign w:val="superscript"/>
        </w:rPr>
        <w:t xml:space="preserve"> </w:t>
      </w:r>
      <w:r w:rsidRPr="009F326C">
        <w:t>Including women, LGBTQI</w:t>
      </w:r>
      <w:r w:rsidR="00181670">
        <w:t>A</w:t>
      </w:r>
      <w:r>
        <w:t>+</w:t>
      </w:r>
      <w:r w:rsidRPr="009F326C">
        <w:t>, persons with disabilities and indigenous people's priorities.</w:t>
      </w:r>
    </w:p>
  </w:footnote>
  <w:footnote w:id="37">
    <w:p w14:paraId="2275E77F" w14:textId="77777777" w:rsidR="00E70126" w:rsidRDefault="00E70126" w:rsidP="0075602D">
      <w:pPr>
        <w:pStyle w:val="FootnoteText"/>
        <w:spacing w:after="0"/>
      </w:pPr>
      <w:r w:rsidRPr="00CB51A0">
        <w:rPr>
          <w:rFonts w:cs="Cordia New (Body CS)"/>
          <w:vertAlign w:val="superscript"/>
        </w:rPr>
        <w:footnoteRef/>
      </w:r>
      <w:r>
        <w:t xml:space="preserve"> </w:t>
      </w:r>
      <w:r w:rsidRPr="5C6F8DEA">
        <w:t>Desirable if there is sufficient time/resources.</w:t>
      </w:r>
      <w:r>
        <w:t xml:space="preserve"> The evaluation team aims to include case studies to reflect this.</w:t>
      </w:r>
    </w:p>
  </w:footnote>
  <w:footnote w:id="38">
    <w:p w14:paraId="203EB0CE" w14:textId="77777777" w:rsidR="00E70126" w:rsidRDefault="00E70126" w:rsidP="0075602D">
      <w:pPr>
        <w:pStyle w:val="FootnoteText"/>
        <w:spacing w:after="0"/>
      </w:pPr>
      <w:r w:rsidRPr="00CB51A0">
        <w:rPr>
          <w:rFonts w:cs="Cordia New (Body CS)"/>
          <w:vertAlign w:val="superscript"/>
        </w:rPr>
        <w:footnoteRef/>
      </w:r>
      <w:r w:rsidRPr="00CB51A0">
        <w:rPr>
          <w:rFonts w:cs="Cordia New (Body CS)"/>
          <w:vertAlign w:val="superscript"/>
        </w:rPr>
        <w:t xml:space="preserve"> </w:t>
      </w:r>
      <w:r w:rsidRPr="5C6F8DEA">
        <w:t>Desirable if there is sufficient time/resources</w:t>
      </w:r>
      <w:r>
        <w:t>. The evaluation team aims to include case studies to reflect this.</w:t>
      </w:r>
    </w:p>
  </w:footnote>
  <w:footnote w:id="39">
    <w:p w14:paraId="21F45C5A" w14:textId="77777777" w:rsidR="00243243" w:rsidRDefault="00243243" w:rsidP="00243243">
      <w:pPr>
        <w:pStyle w:val="FootnoteText"/>
        <w:spacing w:after="0"/>
      </w:pPr>
      <w:r>
        <w:rPr>
          <w:rStyle w:val="FootnoteReference"/>
        </w:rPr>
        <w:footnoteRef/>
      </w:r>
      <w:r>
        <w:t xml:space="preserve"> Respondent agrees if they responded “Relevant”, “Quite relevant” or “Very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9CE8B" w14:textId="654ED697" w:rsidR="006A274D" w:rsidRDefault="006A274D">
    <w:pPr>
      <w:pStyle w:val="Header"/>
    </w:pPr>
    <w:r>
      <w:rPr>
        <w:noProof/>
      </w:rPr>
      <w:drawing>
        <wp:anchor distT="0" distB="0" distL="114300" distR="114300" simplePos="0" relativeHeight="251658240" behindDoc="0" locked="0" layoutInCell="1" allowOverlap="1" wp14:anchorId="6D2DB39E" wp14:editId="0D5099A1">
          <wp:simplePos x="0" y="0"/>
          <wp:positionH relativeFrom="margin">
            <wp:posOffset>4385310</wp:posOffset>
          </wp:positionH>
          <wp:positionV relativeFrom="page">
            <wp:posOffset>360045</wp:posOffset>
          </wp:positionV>
          <wp:extent cx="1346400" cy="360000"/>
          <wp:effectExtent l="0" t="0" r="6350" b="2540"/>
          <wp:wrapSquare wrapText="bothSides"/>
          <wp:docPr id="356320834" name="Picture 3" descr="sustin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18127" name="Picture 3" descr="sustineo (logo)"/>
                  <pic:cNvPicPr/>
                </pic:nvPicPr>
                <pic:blipFill>
                  <a:blip r:embed="rId1" cstate="print">
                    <a:extLst>
                      <a:ext uri="{28A0092B-C50C-407E-A947-70E740481C1C}">
                        <a14:useLocalDpi xmlns:a14="http://schemas.microsoft.com/office/drawing/2010/main"/>
                      </a:ext>
                    </a:extLst>
                  </a:blip>
                  <a:stretch>
                    <a:fillRect/>
                  </a:stretch>
                </pic:blipFill>
                <pic:spPr>
                  <a:xfrm>
                    <a:off x="0" y="0"/>
                    <a:ext cx="1346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DD21A85" w14:paraId="33DF5763" w14:textId="77777777" w:rsidTr="4DD21A85">
      <w:trPr>
        <w:trHeight w:val="300"/>
      </w:trPr>
      <w:tc>
        <w:tcPr>
          <w:tcW w:w="3005" w:type="dxa"/>
        </w:tcPr>
        <w:p w14:paraId="17690883" w14:textId="14959D61" w:rsidR="4DD21A85" w:rsidRDefault="4DD21A85" w:rsidP="4DD21A85">
          <w:pPr>
            <w:pStyle w:val="Header"/>
            <w:ind w:left="-115"/>
          </w:pPr>
        </w:p>
      </w:tc>
      <w:tc>
        <w:tcPr>
          <w:tcW w:w="3005" w:type="dxa"/>
        </w:tcPr>
        <w:p w14:paraId="1DD4CFB3" w14:textId="2A4D60CF" w:rsidR="4DD21A85" w:rsidRDefault="4DD21A85" w:rsidP="4DD21A85">
          <w:pPr>
            <w:pStyle w:val="Header"/>
            <w:jc w:val="center"/>
          </w:pPr>
        </w:p>
      </w:tc>
      <w:tc>
        <w:tcPr>
          <w:tcW w:w="3005" w:type="dxa"/>
        </w:tcPr>
        <w:p w14:paraId="66DA98B7" w14:textId="64EA0D2A" w:rsidR="4DD21A85" w:rsidRDefault="4DD21A85" w:rsidP="4DD21A85">
          <w:pPr>
            <w:pStyle w:val="Header"/>
            <w:ind w:right="-115"/>
            <w:jc w:val="right"/>
          </w:pPr>
        </w:p>
      </w:tc>
    </w:tr>
  </w:tbl>
  <w:p w14:paraId="02046F4D" w14:textId="5AEC7330" w:rsidR="4DD21A85" w:rsidRDefault="4DD21A85" w:rsidP="4DD21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4" w:type="dxa"/>
      <w:tblLayout w:type="fixed"/>
      <w:tblLook w:val="06A0" w:firstRow="1" w:lastRow="0" w:firstColumn="1" w:lastColumn="0" w:noHBand="1" w:noVBand="1"/>
    </w:tblPr>
    <w:tblGrid>
      <w:gridCol w:w="3108"/>
      <w:gridCol w:w="3108"/>
      <w:gridCol w:w="3108"/>
    </w:tblGrid>
    <w:tr w:rsidR="4DD21A85" w14:paraId="3B51FEBF" w14:textId="77777777" w:rsidTr="0015013F">
      <w:trPr>
        <w:trHeight w:val="294"/>
      </w:trPr>
      <w:tc>
        <w:tcPr>
          <w:tcW w:w="3108" w:type="dxa"/>
        </w:tcPr>
        <w:p w14:paraId="23F1C3C0" w14:textId="30292B51" w:rsidR="4DD21A85" w:rsidRDefault="4DD21A85" w:rsidP="4DD21A85">
          <w:pPr>
            <w:pStyle w:val="Header"/>
            <w:ind w:left="-115"/>
          </w:pPr>
        </w:p>
      </w:tc>
      <w:tc>
        <w:tcPr>
          <w:tcW w:w="3108" w:type="dxa"/>
        </w:tcPr>
        <w:p w14:paraId="1A9C4A1B" w14:textId="2C4A2323" w:rsidR="4DD21A85" w:rsidRDefault="4DD21A85" w:rsidP="4DD21A85">
          <w:pPr>
            <w:pStyle w:val="Header"/>
            <w:jc w:val="center"/>
          </w:pPr>
        </w:p>
      </w:tc>
      <w:tc>
        <w:tcPr>
          <w:tcW w:w="3108" w:type="dxa"/>
        </w:tcPr>
        <w:p w14:paraId="1C58432C" w14:textId="01439777" w:rsidR="4DD21A85" w:rsidRDefault="4DD21A85" w:rsidP="4DD21A85">
          <w:pPr>
            <w:pStyle w:val="Header"/>
            <w:ind w:right="-115"/>
            <w:jc w:val="right"/>
          </w:pPr>
        </w:p>
      </w:tc>
    </w:tr>
  </w:tbl>
  <w:p w14:paraId="6C544761" w14:textId="63D7BE54" w:rsidR="4DD21A85" w:rsidRDefault="4DD21A85" w:rsidP="4DD21A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DD21A85" w14:paraId="33FD89F8" w14:textId="77777777" w:rsidTr="4DD21A85">
      <w:trPr>
        <w:trHeight w:val="300"/>
      </w:trPr>
      <w:tc>
        <w:tcPr>
          <w:tcW w:w="3005" w:type="dxa"/>
        </w:tcPr>
        <w:p w14:paraId="59A4297E" w14:textId="15BD0200" w:rsidR="4DD21A85" w:rsidRDefault="4DD21A85" w:rsidP="4DD21A85">
          <w:pPr>
            <w:pStyle w:val="Header"/>
            <w:ind w:left="-115"/>
          </w:pPr>
        </w:p>
      </w:tc>
      <w:tc>
        <w:tcPr>
          <w:tcW w:w="3005" w:type="dxa"/>
        </w:tcPr>
        <w:p w14:paraId="78AE11AE" w14:textId="5C490C3D" w:rsidR="4DD21A85" w:rsidRDefault="4DD21A85" w:rsidP="4DD21A85">
          <w:pPr>
            <w:pStyle w:val="Header"/>
            <w:jc w:val="center"/>
          </w:pPr>
        </w:p>
      </w:tc>
      <w:tc>
        <w:tcPr>
          <w:tcW w:w="3005" w:type="dxa"/>
        </w:tcPr>
        <w:p w14:paraId="5C9320BC" w14:textId="291FB057" w:rsidR="4DD21A85" w:rsidRDefault="4DD21A85" w:rsidP="4DD21A85">
          <w:pPr>
            <w:pStyle w:val="Header"/>
            <w:ind w:right="-115"/>
            <w:jc w:val="right"/>
          </w:pPr>
        </w:p>
      </w:tc>
    </w:tr>
  </w:tbl>
  <w:p w14:paraId="20444D7C" w14:textId="23106268" w:rsidR="4DD21A85" w:rsidRDefault="4DD21A85" w:rsidP="4DD21A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DD21A85" w14:paraId="73C1F3C6" w14:textId="77777777" w:rsidTr="4DD21A85">
      <w:trPr>
        <w:trHeight w:val="300"/>
      </w:trPr>
      <w:tc>
        <w:tcPr>
          <w:tcW w:w="3005" w:type="dxa"/>
        </w:tcPr>
        <w:p w14:paraId="1C9BE8E7" w14:textId="76B76E33" w:rsidR="4DD21A85" w:rsidRDefault="4DD21A85" w:rsidP="4DD21A85">
          <w:pPr>
            <w:pStyle w:val="Header"/>
            <w:ind w:left="-115"/>
          </w:pPr>
        </w:p>
      </w:tc>
      <w:tc>
        <w:tcPr>
          <w:tcW w:w="3005" w:type="dxa"/>
        </w:tcPr>
        <w:p w14:paraId="0D6D0B7C" w14:textId="5C8FFF30" w:rsidR="4DD21A85" w:rsidRDefault="4DD21A85" w:rsidP="4DD21A85">
          <w:pPr>
            <w:pStyle w:val="Header"/>
            <w:jc w:val="center"/>
          </w:pPr>
        </w:p>
      </w:tc>
      <w:tc>
        <w:tcPr>
          <w:tcW w:w="3005" w:type="dxa"/>
        </w:tcPr>
        <w:p w14:paraId="76EA3CCC" w14:textId="3F937F0A" w:rsidR="4DD21A85" w:rsidRDefault="4DD21A85" w:rsidP="4DD21A85">
          <w:pPr>
            <w:pStyle w:val="Header"/>
            <w:ind w:right="-115"/>
            <w:jc w:val="right"/>
          </w:pPr>
        </w:p>
      </w:tc>
    </w:tr>
  </w:tbl>
  <w:p w14:paraId="2FEEFE64" w14:textId="7E5472E7" w:rsidR="4DD21A85" w:rsidRDefault="4DD21A85" w:rsidP="4DD21A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4DD21A85" w14:paraId="4C13D373" w14:textId="77777777" w:rsidTr="4DD21A85">
      <w:trPr>
        <w:trHeight w:val="300"/>
      </w:trPr>
      <w:tc>
        <w:tcPr>
          <w:tcW w:w="4650" w:type="dxa"/>
        </w:tcPr>
        <w:p w14:paraId="538843A3" w14:textId="78381ECF" w:rsidR="4DD21A85" w:rsidRDefault="4DD21A85" w:rsidP="4DD21A85">
          <w:pPr>
            <w:pStyle w:val="Header"/>
            <w:ind w:left="-115"/>
          </w:pPr>
        </w:p>
      </w:tc>
      <w:tc>
        <w:tcPr>
          <w:tcW w:w="4650" w:type="dxa"/>
        </w:tcPr>
        <w:p w14:paraId="286B12A7" w14:textId="30D46F37" w:rsidR="4DD21A85" w:rsidRDefault="4DD21A85" w:rsidP="4DD21A85">
          <w:pPr>
            <w:pStyle w:val="Header"/>
            <w:jc w:val="center"/>
          </w:pPr>
        </w:p>
      </w:tc>
      <w:tc>
        <w:tcPr>
          <w:tcW w:w="4650" w:type="dxa"/>
        </w:tcPr>
        <w:p w14:paraId="58FE5A8A" w14:textId="1B6493DE" w:rsidR="4DD21A85" w:rsidRDefault="4DD21A85" w:rsidP="4DD21A85">
          <w:pPr>
            <w:pStyle w:val="Header"/>
            <w:ind w:right="-115"/>
            <w:jc w:val="right"/>
          </w:pPr>
        </w:p>
      </w:tc>
    </w:tr>
  </w:tbl>
  <w:p w14:paraId="50AEC627" w14:textId="4E364C8D" w:rsidR="4DD21A85" w:rsidRDefault="4DD21A85" w:rsidP="4DD21A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DD21A85" w14:paraId="6877F778" w14:textId="77777777" w:rsidTr="4DD21A85">
      <w:trPr>
        <w:trHeight w:val="300"/>
      </w:trPr>
      <w:tc>
        <w:tcPr>
          <w:tcW w:w="3005" w:type="dxa"/>
        </w:tcPr>
        <w:p w14:paraId="395116E6" w14:textId="030DB7A5" w:rsidR="4DD21A85" w:rsidRDefault="4DD21A85" w:rsidP="4DD21A85">
          <w:pPr>
            <w:pStyle w:val="Header"/>
            <w:ind w:left="-115"/>
          </w:pPr>
        </w:p>
      </w:tc>
      <w:tc>
        <w:tcPr>
          <w:tcW w:w="3005" w:type="dxa"/>
        </w:tcPr>
        <w:p w14:paraId="2E5472BE" w14:textId="5C0CA200" w:rsidR="4DD21A85" w:rsidRDefault="4DD21A85" w:rsidP="4DD21A85">
          <w:pPr>
            <w:pStyle w:val="Header"/>
            <w:jc w:val="center"/>
          </w:pPr>
        </w:p>
      </w:tc>
      <w:tc>
        <w:tcPr>
          <w:tcW w:w="3005" w:type="dxa"/>
        </w:tcPr>
        <w:p w14:paraId="2A0EFE8F" w14:textId="63CCE5F0" w:rsidR="4DD21A85" w:rsidRDefault="4DD21A85" w:rsidP="4DD21A85">
          <w:pPr>
            <w:pStyle w:val="Header"/>
            <w:ind w:right="-115"/>
            <w:jc w:val="right"/>
          </w:pPr>
        </w:p>
      </w:tc>
    </w:tr>
  </w:tbl>
  <w:p w14:paraId="06E12628" w14:textId="2CAD6056" w:rsidR="4DD21A85" w:rsidRDefault="4DD21A85" w:rsidP="4DD21A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DD21A85" w14:paraId="31C222C9" w14:textId="77777777" w:rsidTr="4DD21A85">
      <w:trPr>
        <w:trHeight w:val="300"/>
      </w:trPr>
      <w:tc>
        <w:tcPr>
          <w:tcW w:w="3005" w:type="dxa"/>
        </w:tcPr>
        <w:p w14:paraId="163F2F31" w14:textId="43D373C8" w:rsidR="4DD21A85" w:rsidRDefault="4DD21A85" w:rsidP="4DD21A85">
          <w:pPr>
            <w:pStyle w:val="Header"/>
            <w:ind w:left="-115"/>
          </w:pPr>
        </w:p>
      </w:tc>
      <w:tc>
        <w:tcPr>
          <w:tcW w:w="3005" w:type="dxa"/>
        </w:tcPr>
        <w:p w14:paraId="35D88C0C" w14:textId="51114A2E" w:rsidR="4DD21A85" w:rsidRDefault="4DD21A85" w:rsidP="4DD21A85">
          <w:pPr>
            <w:pStyle w:val="Header"/>
            <w:jc w:val="center"/>
          </w:pPr>
        </w:p>
      </w:tc>
      <w:tc>
        <w:tcPr>
          <w:tcW w:w="3005" w:type="dxa"/>
        </w:tcPr>
        <w:p w14:paraId="400D4748" w14:textId="3437D48E" w:rsidR="4DD21A85" w:rsidRDefault="4DD21A85" w:rsidP="4DD21A85">
          <w:pPr>
            <w:pStyle w:val="Header"/>
            <w:ind w:right="-115"/>
            <w:jc w:val="right"/>
          </w:pPr>
        </w:p>
      </w:tc>
    </w:tr>
  </w:tbl>
  <w:p w14:paraId="6DCF27A4" w14:textId="041252C5" w:rsidR="4DD21A85" w:rsidRDefault="4DD21A85" w:rsidP="4DD21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770870E"/>
    <w:lvl w:ilvl="0">
      <w:start w:val="1"/>
      <w:numFmt w:val="bullet"/>
      <w:pStyle w:val="ListBullet5"/>
      <w:lvlText w:val=""/>
      <w:lvlJc w:val="left"/>
      <w:pPr>
        <w:tabs>
          <w:tab w:val="num" w:pos="1492"/>
        </w:tabs>
        <w:ind w:left="1492" w:hanging="360"/>
      </w:pPr>
      <w:rPr>
        <w:rFonts w:ascii="Symbol" w:hAnsi="Symbol" w:hint="default"/>
        <w:color w:val="8B4E04" w:themeColor="accent6" w:themeShade="BF"/>
      </w:rPr>
    </w:lvl>
  </w:abstractNum>
  <w:abstractNum w:abstractNumId="1" w15:restartNumberingAfterBreak="0">
    <w:nsid w:val="FFFFFF81"/>
    <w:multiLevelType w:val="singleLevel"/>
    <w:tmpl w:val="E086F592"/>
    <w:lvl w:ilvl="0">
      <w:start w:val="1"/>
      <w:numFmt w:val="bullet"/>
      <w:pStyle w:val="ListBullet4"/>
      <w:lvlText w:val=""/>
      <w:lvlJc w:val="left"/>
      <w:pPr>
        <w:tabs>
          <w:tab w:val="num" w:pos="1209"/>
        </w:tabs>
        <w:ind w:left="1209" w:hanging="360"/>
      </w:pPr>
      <w:rPr>
        <w:rFonts w:ascii="Symbol" w:hAnsi="Symbol" w:hint="default"/>
        <w:color w:val="8B4E04" w:themeColor="accent6" w:themeShade="BF"/>
      </w:rPr>
    </w:lvl>
  </w:abstractNum>
  <w:abstractNum w:abstractNumId="2" w15:restartNumberingAfterBreak="0">
    <w:nsid w:val="FFFFFF82"/>
    <w:multiLevelType w:val="singleLevel"/>
    <w:tmpl w:val="DD665232"/>
    <w:lvl w:ilvl="0">
      <w:start w:val="1"/>
      <w:numFmt w:val="bullet"/>
      <w:pStyle w:val="ListBullet3"/>
      <w:lvlText w:val=""/>
      <w:lvlJc w:val="left"/>
      <w:pPr>
        <w:tabs>
          <w:tab w:val="num" w:pos="926"/>
        </w:tabs>
        <w:ind w:left="926" w:hanging="360"/>
      </w:pPr>
      <w:rPr>
        <w:rFonts w:ascii="Symbol" w:hAnsi="Symbol" w:hint="default"/>
        <w:color w:val="8B4E04" w:themeColor="accent6" w:themeShade="BF"/>
      </w:rPr>
    </w:lvl>
  </w:abstractNum>
  <w:abstractNum w:abstractNumId="3" w15:restartNumberingAfterBreak="0">
    <w:nsid w:val="FFFFFF83"/>
    <w:multiLevelType w:val="singleLevel"/>
    <w:tmpl w:val="94308342"/>
    <w:lvl w:ilvl="0">
      <w:start w:val="1"/>
      <w:numFmt w:val="bullet"/>
      <w:pStyle w:val="ListBullet2"/>
      <w:lvlText w:val=""/>
      <w:lvlJc w:val="left"/>
      <w:pPr>
        <w:tabs>
          <w:tab w:val="num" w:pos="643"/>
        </w:tabs>
        <w:ind w:left="643" w:hanging="360"/>
      </w:pPr>
      <w:rPr>
        <w:rFonts w:ascii="Symbol" w:hAnsi="Symbol" w:hint="default"/>
        <w:color w:val="8B4E04" w:themeColor="accent6" w:themeShade="BF"/>
      </w:rPr>
    </w:lvl>
  </w:abstractNum>
  <w:abstractNum w:abstractNumId="4" w15:restartNumberingAfterBreak="0">
    <w:nsid w:val="FFFFFF89"/>
    <w:multiLevelType w:val="singleLevel"/>
    <w:tmpl w:val="277ACF3E"/>
    <w:styleLink w:val="111111"/>
    <w:lvl w:ilvl="0">
      <w:start w:val="1"/>
      <w:numFmt w:val="bullet"/>
      <w:pStyle w:val="ListBullet"/>
      <w:lvlText w:val=""/>
      <w:lvlJc w:val="left"/>
      <w:pPr>
        <w:tabs>
          <w:tab w:val="num" w:pos="360"/>
        </w:tabs>
        <w:ind w:left="360" w:hanging="360"/>
      </w:pPr>
      <w:rPr>
        <w:rFonts w:ascii="Symbol" w:hAnsi="Symbol" w:hint="default"/>
        <w:color w:val="8B4E04" w:themeColor="accent6" w:themeShade="BF"/>
      </w:rPr>
    </w:lvl>
  </w:abstractNum>
  <w:abstractNum w:abstractNumId="5" w15:restartNumberingAfterBreak="0">
    <w:nsid w:val="0049219F"/>
    <w:multiLevelType w:val="hybridMultilevel"/>
    <w:tmpl w:val="0ABADB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02522A"/>
    <w:multiLevelType w:val="hybridMultilevel"/>
    <w:tmpl w:val="CA1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925C4B"/>
    <w:multiLevelType w:val="multilevel"/>
    <w:tmpl w:val="E4E834F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343A5A"/>
    <w:multiLevelType w:val="multilevel"/>
    <w:tmpl w:val="74BA7700"/>
    <w:styleLink w:val="CurrentList5"/>
    <w:lvl w:ilvl="0">
      <w:start w:val="1"/>
      <w:numFmt w:val="upperRoman"/>
      <w:lvlText w:val="%1."/>
      <w:lvlJc w:val="left"/>
      <w:pPr>
        <w:ind w:left="-720" w:firstLine="0"/>
      </w:pPr>
      <w:rPr>
        <w:rFonts w:hint="default"/>
      </w:rPr>
    </w:lvl>
    <w:lvl w:ilvl="1">
      <w:start w:val="1"/>
      <w:numFmt w:val="upperLetter"/>
      <w:lvlText w:val="Appendix %2."/>
      <w:lvlJc w:val="left"/>
      <w:pPr>
        <w:ind w:left="1871" w:hanging="1871"/>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9" w15:restartNumberingAfterBreak="0">
    <w:nsid w:val="076E38ED"/>
    <w:multiLevelType w:val="hybridMultilevel"/>
    <w:tmpl w:val="233AB018"/>
    <w:lvl w:ilvl="0" w:tplc="A58202D2">
      <w:start w:val="1"/>
      <w:numFmt w:val="bullet"/>
      <w:lvlText w:val="›"/>
      <w:lvlJc w:val="left"/>
      <w:pPr>
        <w:ind w:left="720" w:hanging="360"/>
      </w:pPr>
      <w:rPr>
        <w:rFonts w:ascii="Calibri Light" w:hAnsi="Calibri Light"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71524D"/>
    <w:multiLevelType w:val="hybridMultilevel"/>
    <w:tmpl w:val="422AB5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7D155D"/>
    <w:multiLevelType w:val="hybridMultilevel"/>
    <w:tmpl w:val="AEB001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F650C4"/>
    <w:multiLevelType w:val="multilevel"/>
    <w:tmpl w:val="EC60D768"/>
    <w:styleLink w:val="CurrentList2"/>
    <w:lvl w:ilvl="0">
      <w:start w:val="1"/>
      <w:numFmt w:val="upperRoman"/>
      <w:lvlText w:val="%1."/>
      <w:lvlJc w:val="left"/>
      <w:pPr>
        <w:ind w:left="-720" w:firstLine="0"/>
      </w:pPr>
      <w:rPr>
        <w:rFonts w:hint="default"/>
      </w:rPr>
    </w:lvl>
    <w:lvl w:ilvl="1">
      <w:start w:val="1"/>
      <w:numFmt w:val="upperLetter"/>
      <w:lvlText w:val="Appendix %2."/>
      <w:lvlJc w:val="left"/>
      <w:pPr>
        <w:ind w:left="1701" w:hanging="1701"/>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13" w15:restartNumberingAfterBreak="0">
    <w:nsid w:val="12FF7CF3"/>
    <w:multiLevelType w:val="multilevel"/>
    <w:tmpl w:val="A5D680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471287"/>
    <w:multiLevelType w:val="hybridMultilevel"/>
    <w:tmpl w:val="894EFB82"/>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5" w15:restartNumberingAfterBreak="0">
    <w:nsid w:val="17B35490"/>
    <w:multiLevelType w:val="hybridMultilevel"/>
    <w:tmpl w:val="AEB001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287CBC"/>
    <w:multiLevelType w:val="multilevel"/>
    <w:tmpl w:val="F8E4C40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0D5A77"/>
    <w:multiLevelType w:val="hybridMultilevel"/>
    <w:tmpl w:val="AFC6B5F2"/>
    <w:lvl w:ilvl="0" w:tplc="A58202D2">
      <w:start w:val="1"/>
      <w:numFmt w:val="bullet"/>
      <w:lvlText w:val="›"/>
      <w:lvlJc w:val="left"/>
      <w:pPr>
        <w:ind w:left="720" w:hanging="360"/>
      </w:pPr>
      <w:rPr>
        <w:rFonts w:ascii="Calibri Light" w:hAnsi="Calibri Light"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1E3FBA"/>
    <w:multiLevelType w:val="multilevel"/>
    <w:tmpl w:val="F170125A"/>
    <w:styleLink w:val="CurrentList4"/>
    <w:lvl w:ilvl="0">
      <w:start w:val="1"/>
      <w:numFmt w:val="upperRoman"/>
      <w:lvlText w:val="%1."/>
      <w:lvlJc w:val="left"/>
      <w:pPr>
        <w:ind w:left="-720" w:firstLine="0"/>
      </w:pPr>
      <w:rPr>
        <w:rFonts w:hint="default"/>
      </w:rPr>
    </w:lvl>
    <w:lvl w:ilvl="1">
      <w:start w:val="1"/>
      <w:numFmt w:val="upperLetter"/>
      <w:lvlText w:val="Appendix %2."/>
      <w:lvlJc w:val="left"/>
      <w:pPr>
        <w:ind w:left="1814" w:hanging="1814"/>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19" w15:restartNumberingAfterBreak="0">
    <w:nsid w:val="1F886E55"/>
    <w:multiLevelType w:val="hybridMultilevel"/>
    <w:tmpl w:val="8F369144"/>
    <w:lvl w:ilvl="0" w:tplc="A58202D2">
      <w:start w:val="1"/>
      <w:numFmt w:val="bullet"/>
      <w:lvlText w:val="›"/>
      <w:lvlJc w:val="left"/>
      <w:pPr>
        <w:ind w:left="720" w:hanging="360"/>
      </w:pPr>
      <w:rPr>
        <w:rFonts w:ascii="Calibri Light" w:hAnsi="Calibri Light" w:hint="default"/>
        <w:color w:val="002060"/>
      </w:rPr>
    </w:lvl>
    <w:lvl w:ilvl="1" w:tplc="0060AF52">
      <w:start w:val="1"/>
      <w:numFmt w:val="bullet"/>
      <w:lvlText w:val=""/>
      <w:lvlJc w:val="left"/>
      <w:pPr>
        <w:ind w:left="1440" w:hanging="360"/>
      </w:pPr>
      <w:rPr>
        <w:rFonts w:ascii="Symbol" w:hAnsi="Symbol" w:hint="default"/>
        <w:color w:val="7F7F7F" w:themeColor="text1" w:themeTint="80"/>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FD046D"/>
    <w:multiLevelType w:val="hybridMultilevel"/>
    <w:tmpl w:val="AEB001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017979"/>
    <w:multiLevelType w:val="hybridMultilevel"/>
    <w:tmpl w:val="03C4B1BE"/>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2" w15:restartNumberingAfterBreak="0">
    <w:nsid w:val="285D2F11"/>
    <w:multiLevelType w:val="multilevel"/>
    <w:tmpl w:val="A8D0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8879F0"/>
    <w:multiLevelType w:val="hybridMultilevel"/>
    <w:tmpl w:val="9D8C9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603E4B"/>
    <w:multiLevelType w:val="hybridMultilevel"/>
    <w:tmpl w:val="19FAEC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5858AE"/>
    <w:multiLevelType w:val="hybridMultilevel"/>
    <w:tmpl w:val="E69A2562"/>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6" w15:restartNumberingAfterBreak="0">
    <w:nsid w:val="2FB14542"/>
    <w:multiLevelType w:val="hybridMultilevel"/>
    <w:tmpl w:val="617EB74C"/>
    <w:lvl w:ilvl="0" w:tplc="A58202D2">
      <w:start w:val="1"/>
      <w:numFmt w:val="bullet"/>
      <w:lvlText w:val="›"/>
      <w:lvlJc w:val="left"/>
      <w:pPr>
        <w:ind w:left="720" w:hanging="360"/>
      </w:pPr>
      <w:rPr>
        <w:rFonts w:ascii="Calibri Light" w:hAnsi="Calibri Light"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F90D97"/>
    <w:multiLevelType w:val="hybridMultilevel"/>
    <w:tmpl w:val="14AC6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18B5525"/>
    <w:multiLevelType w:val="hybridMultilevel"/>
    <w:tmpl w:val="9A4272A8"/>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9" w15:restartNumberingAfterBreak="0">
    <w:nsid w:val="341E2F88"/>
    <w:multiLevelType w:val="hybridMultilevel"/>
    <w:tmpl w:val="6FC40D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EC28AB"/>
    <w:multiLevelType w:val="multilevel"/>
    <w:tmpl w:val="EB0E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DD0018"/>
    <w:multiLevelType w:val="multilevel"/>
    <w:tmpl w:val="176E4458"/>
    <w:styleLink w:val="CurrentList6"/>
    <w:lvl w:ilvl="0">
      <w:start w:val="1"/>
      <w:numFmt w:val="upperRoman"/>
      <w:lvlText w:val="%1."/>
      <w:lvlJc w:val="left"/>
      <w:pPr>
        <w:ind w:left="-720" w:firstLine="0"/>
      </w:pPr>
      <w:rPr>
        <w:rFonts w:hint="default"/>
      </w:rPr>
    </w:lvl>
    <w:lvl w:ilvl="1">
      <w:start w:val="1"/>
      <w:numFmt w:val="upperLetter"/>
      <w:lvlText w:val="Appendix %2"/>
      <w:lvlJc w:val="left"/>
      <w:pPr>
        <w:ind w:left="1871" w:hanging="1871"/>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2" w15:restartNumberingAfterBreak="0">
    <w:nsid w:val="3A5632D6"/>
    <w:multiLevelType w:val="multilevel"/>
    <w:tmpl w:val="BC128D66"/>
    <w:styleLink w:val="CurrentList1"/>
    <w:lvl w:ilvl="0">
      <w:start w:val="1"/>
      <w:numFmt w:val="upperRoman"/>
      <w:lvlText w:val="%1."/>
      <w:lvlJc w:val="left"/>
      <w:pPr>
        <w:ind w:left="-720" w:firstLine="0"/>
      </w:pPr>
      <w:rPr>
        <w:rFonts w:hint="default"/>
      </w:rPr>
    </w:lvl>
    <w:lvl w:ilvl="1">
      <w:start w:val="1"/>
      <w:numFmt w:val="upperLetter"/>
      <w:pStyle w:val="Appendices"/>
      <w:lvlText w:val="Appendix %2"/>
      <w:lvlJc w:val="left"/>
      <w:pPr>
        <w:ind w:left="2268" w:hanging="2268"/>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3" w15:restartNumberingAfterBreak="0">
    <w:nsid w:val="3BFC0068"/>
    <w:multiLevelType w:val="hybridMultilevel"/>
    <w:tmpl w:val="93103AF4"/>
    <w:lvl w:ilvl="0" w:tplc="A58202D2">
      <w:start w:val="1"/>
      <w:numFmt w:val="bullet"/>
      <w:lvlText w:val="›"/>
      <w:lvlJc w:val="left"/>
      <w:pPr>
        <w:ind w:left="720" w:hanging="360"/>
      </w:pPr>
      <w:rPr>
        <w:rFonts w:ascii="Calibri Light" w:hAnsi="Calibri Light"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051294C"/>
    <w:multiLevelType w:val="multilevel"/>
    <w:tmpl w:val="ECFC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293DED"/>
    <w:multiLevelType w:val="hybridMultilevel"/>
    <w:tmpl w:val="F0F69C68"/>
    <w:styleLink w:val="CurrentList7"/>
    <w:lvl w:ilvl="0" w:tplc="B2AA9F20">
      <w:start w:val="1"/>
      <w:numFmt w:val="bullet"/>
      <w:pStyle w:val="Boxbullett"/>
      <w:lvlText w:val=""/>
      <w:lvlJc w:val="left"/>
      <w:pPr>
        <w:tabs>
          <w:tab w:val="num" w:pos="527"/>
        </w:tabs>
        <w:ind w:left="527" w:hanging="357"/>
      </w:pPr>
      <w:rPr>
        <w:rFonts w:ascii="Symbol" w:hAnsi="Symbol" w:hint="default"/>
      </w:rPr>
    </w:lvl>
    <w:lvl w:ilvl="1" w:tplc="04090003" w:tentative="1">
      <w:start w:val="1"/>
      <w:numFmt w:val="bullet"/>
      <w:lvlText w:val="o"/>
      <w:lvlJc w:val="left"/>
      <w:pPr>
        <w:ind w:left="1610" w:hanging="360"/>
      </w:pPr>
      <w:rPr>
        <w:rFonts w:ascii="Courier New" w:hAnsi="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6"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5673F25"/>
    <w:multiLevelType w:val="hybridMultilevel"/>
    <w:tmpl w:val="0810AE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6654955"/>
    <w:multiLevelType w:val="hybridMultilevel"/>
    <w:tmpl w:val="E7F41E04"/>
    <w:lvl w:ilvl="0" w:tplc="A58202D2">
      <w:start w:val="1"/>
      <w:numFmt w:val="bullet"/>
      <w:lvlText w:val="›"/>
      <w:lvlJc w:val="left"/>
      <w:pPr>
        <w:ind w:left="720" w:hanging="360"/>
      </w:pPr>
      <w:rPr>
        <w:rFonts w:ascii="Calibri Light" w:hAnsi="Calibri Light"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6683B57"/>
    <w:multiLevelType w:val="hybridMultilevel"/>
    <w:tmpl w:val="7D8CE5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69460B7"/>
    <w:multiLevelType w:val="multilevel"/>
    <w:tmpl w:val="28D49B7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490779"/>
    <w:multiLevelType w:val="hybridMultilevel"/>
    <w:tmpl w:val="CAE8D3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ADE6090"/>
    <w:multiLevelType w:val="multilevel"/>
    <w:tmpl w:val="5A70124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193BD6"/>
    <w:multiLevelType w:val="hybridMultilevel"/>
    <w:tmpl w:val="13A85F90"/>
    <w:lvl w:ilvl="0" w:tplc="AD96E798">
      <w:start w:val="1"/>
      <w:numFmt w:val="bullet"/>
      <w:pStyle w:val="ListBullet1"/>
      <w:lvlText w:val=""/>
      <w:lvlJc w:val="left"/>
      <w:pPr>
        <w:ind w:left="360" w:hanging="360"/>
      </w:pPr>
      <w:rPr>
        <w:rFonts w:ascii="Symbol" w:hAnsi="Symbol" w:hint="default"/>
        <w:color w:val="000000" w:themeColor="text1"/>
        <w:sz w:val="20"/>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58C67224"/>
    <w:multiLevelType w:val="hybridMultilevel"/>
    <w:tmpl w:val="58067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A62233C"/>
    <w:multiLevelType w:val="hybridMultilevel"/>
    <w:tmpl w:val="F28ECF1A"/>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46" w15:restartNumberingAfterBreak="0">
    <w:nsid w:val="5DC1084B"/>
    <w:multiLevelType w:val="hybridMultilevel"/>
    <w:tmpl w:val="3BD4AE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15:restartNumberingAfterBreak="0">
    <w:nsid w:val="5FD8313E"/>
    <w:multiLevelType w:val="multilevel"/>
    <w:tmpl w:val="B16C0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DC57B6"/>
    <w:multiLevelType w:val="multilevel"/>
    <w:tmpl w:val="8FB82B70"/>
    <w:styleLink w:val="CurrentList3"/>
    <w:lvl w:ilvl="0">
      <w:start w:val="1"/>
      <w:numFmt w:val="upperRoman"/>
      <w:lvlText w:val="%1."/>
      <w:lvlJc w:val="left"/>
      <w:pPr>
        <w:ind w:left="-720" w:firstLine="0"/>
      </w:pPr>
      <w:rPr>
        <w:rFonts w:hint="default"/>
      </w:rPr>
    </w:lvl>
    <w:lvl w:ilvl="1">
      <w:start w:val="1"/>
      <w:numFmt w:val="upperLetter"/>
      <w:lvlText w:val="Appendix %2."/>
      <w:lvlJc w:val="left"/>
      <w:pPr>
        <w:tabs>
          <w:tab w:val="num" w:pos="1701"/>
        </w:tabs>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49" w15:restartNumberingAfterBreak="0">
    <w:nsid w:val="633D687B"/>
    <w:multiLevelType w:val="hybridMultilevel"/>
    <w:tmpl w:val="0E3EC6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37C4592"/>
    <w:multiLevelType w:val="hybridMultilevel"/>
    <w:tmpl w:val="69A2CA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42B1B18"/>
    <w:multiLevelType w:val="multilevel"/>
    <w:tmpl w:val="4332338E"/>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2563" w:hanging="720"/>
      </w:pPr>
      <w:rPr>
        <w:rFonts w:hint="default"/>
        <w:b w:val="0"/>
        <w:bCs w:val="0"/>
        <w:i w:val="0"/>
        <w:iCs w:val="0"/>
      </w:rPr>
    </w:lvl>
    <w:lvl w:ilvl="2">
      <w:start w:val="1"/>
      <w:numFmt w:val="decimal"/>
      <w:pStyle w:val="Heading3"/>
      <w:lvlText w:val="%1.%2.%3"/>
      <w:lvlJc w:val="left"/>
      <w:pPr>
        <w:ind w:left="720" w:hanging="720"/>
      </w:pPr>
      <w:rPr>
        <w:rFonts w:hint="default"/>
      </w:rPr>
    </w:lvl>
    <w:lvl w:ilvl="3">
      <w:start w:val="1"/>
      <w:numFmt w:val="none"/>
      <w:pStyle w:val="Heading4"/>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52" w15:restartNumberingAfterBreak="0">
    <w:nsid w:val="65037771"/>
    <w:multiLevelType w:val="multilevel"/>
    <w:tmpl w:val="250A55C6"/>
    <w:lvl w:ilvl="0">
      <w:start w:val="1"/>
      <w:numFmt w:val="bullet"/>
      <w:lvlText w:val="›"/>
      <w:lvlJc w:val="left"/>
      <w:pPr>
        <w:tabs>
          <w:tab w:val="num" w:pos="720"/>
        </w:tabs>
        <w:ind w:left="720" w:hanging="360"/>
      </w:pPr>
      <w:rPr>
        <w:rFonts w:ascii="Calibri Light" w:hAnsi="Calibri Light" w:hint="default"/>
        <w:color w:val="00206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395035"/>
    <w:multiLevelType w:val="hybridMultilevel"/>
    <w:tmpl w:val="778EF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799278D"/>
    <w:multiLevelType w:val="hybridMultilevel"/>
    <w:tmpl w:val="0E4E4738"/>
    <w:lvl w:ilvl="0" w:tplc="A58202D2">
      <w:start w:val="1"/>
      <w:numFmt w:val="bullet"/>
      <w:lvlText w:val="›"/>
      <w:lvlJc w:val="left"/>
      <w:pPr>
        <w:ind w:left="720" w:hanging="360"/>
      </w:pPr>
      <w:rPr>
        <w:rFonts w:ascii="Calibri Light" w:hAnsi="Calibri Light"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7CF33FC"/>
    <w:multiLevelType w:val="multilevel"/>
    <w:tmpl w:val="FEAE211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8B35F2"/>
    <w:multiLevelType w:val="multilevel"/>
    <w:tmpl w:val="71A2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B172CFB"/>
    <w:multiLevelType w:val="multilevel"/>
    <w:tmpl w:val="B3EC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E324D92"/>
    <w:multiLevelType w:val="hybridMultilevel"/>
    <w:tmpl w:val="60367014"/>
    <w:lvl w:ilvl="0" w:tplc="A58202D2">
      <w:start w:val="1"/>
      <w:numFmt w:val="bullet"/>
      <w:lvlText w:val="›"/>
      <w:lvlJc w:val="left"/>
      <w:pPr>
        <w:ind w:left="720" w:hanging="360"/>
      </w:pPr>
      <w:rPr>
        <w:rFonts w:ascii="Calibri Light" w:hAnsi="Calibri Light"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F3B7C2C"/>
    <w:multiLevelType w:val="multilevel"/>
    <w:tmpl w:val="070CCE7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1800B53"/>
    <w:multiLevelType w:val="hybridMultilevel"/>
    <w:tmpl w:val="1F6268C0"/>
    <w:lvl w:ilvl="0" w:tplc="A58202D2">
      <w:start w:val="1"/>
      <w:numFmt w:val="bullet"/>
      <w:lvlText w:val="›"/>
      <w:lvlJc w:val="left"/>
      <w:pPr>
        <w:ind w:left="1800" w:hanging="360"/>
      </w:pPr>
      <w:rPr>
        <w:rFonts w:ascii="Calibri Light" w:hAnsi="Calibri Light" w:hint="default"/>
        <w:color w:val="002060"/>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1" w15:restartNumberingAfterBreak="0">
    <w:nsid w:val="74D43B22"/>
    <w:multiLevelType w:val="hybridMultilevel"/>
    <w:tmpl w:val="77FEAF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68A5985"/>
    <w:multiLevelType w:val="multilevel"/>
    <w:tmpl w:val="FF98F18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751EA7"/>
    <w:multiLevelType w:val="multilevel"/>
    <w:tmpl w:val="22F0BC6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9E52AAF"/>
    <w:multiLevelType w:val="hybridMultilevel"/>
    <w:tmpl w:val="7EE240E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5" w15:restartNumberingAfterBreak="0">
    <w:nsid w:val="7A4B5247"/>
    <w:multiLevelType w:val="hybridMultilevel"/>
    <w:tmpl w:val="AEB001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A53154F"/>
    <w:multiLevelType w:val="hybridMultilevel"/>
    <w:tmpl w:val="55B46B4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E2F29DB"/>
    <w:multiLevelType w:val="multilevel"/>
    <w:tmpl w:val="DF9AC7D8"/>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E363121"/>
    <w:multiLevelType w:val="multilevel"/>
    <w:tmpl w:val="085062A8"/>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AC3088"/>
    <w:multiLevelType w:val="hybridMultilevel"/>
    <w:tmpl w:val="DFE04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7226581">
    <w:abstractNumId w:val="4"/>
  </w:num>
  <w:num w:numId="2" w16cid:durableId="803042035">
    <w:abstractNumId w:val="3"/>
  </w:num>
  <w:num w:numId="3" w16cid:durableId="1394038109">
    <w:abstractNumId w:val="2"/>
  </w:num>
  <w:num w:numId="4" w16cid:durableId="731467073">
    <w:abstractNumId w:val="1"/>
  </w:num>
  <w:num w:numId="5" w16cid:durableId="1046567027">
    <w:abstractNumId w:val="0"/>
  </w:num>
  <w:num w:numId="6" w16cid:durableId="180172307">
    <w:abstractNumId w:val="51"/>
  </w:num>
  <w:num w:numId="7" w16cid:durableId="1380276812">
    <w:abstractNumId w:val="43"/>
  </w:num>
  <w:num w:numId="8" w16cid:durableId="2046561254">
    <w:abstractNumId w:val="32"/>
  </w:num>
  <w:num w:numId="9" w16cid:durableId="1126239400">
    <w:abstractNumId w:val="12"/>
  </w:num>
  <w:num w:numId="10" w16cid:durableId="694379265">
    <w:abstractNumId w:val="48"/>
  </w:num>
  <w:num w:numId="11" w16cid:durableId="111169793">
    <w:abstractNumId w:val="18"/>
  </w:num>
  <w:num w:numId="12" w16cid:durableId="1414358739">
    <w:abstractNumId w:val="8"/>
  </w:num>
  <w:num w:numId="13" w16cid:durableId="1469128901">
    <w:abstractNumId w:val="31"/>
  </w:num>
  <w:num w:numId="14" w16cid:durableId="441152794">
    <w:abstractNumId w:val="35"/>
  </w:num>
  <w:num w:numId="15" w16cid:durableId="1815877393">
    <w:abstractNumId w:val="36"/>
  </w:num>
  <w:num w:numId="16" w16cid:durableId="963081079">
    <w:abstractNumId w:val="60"/>
  </w:num>
  <w:num w:numId="17" w16cid:durableId="1788428255">
    <w:abstractNumId w:val="15"/>
  </w:num>
  <w:num w:numId="18" w16cid:durableId="1120957223">
    <w:abstractNumId w:val="65"/>
  </w:num>
  <w:num w:numId="19" w16cid:durableId="2137141931">
    <w:abstractNumId w:val="20"/>
  </w:num>
  <w:num w:numId="20" w16cid:durableId="86078682">
    <w:abstractNumId w:val="24"/>
  </w:num>
  <w:num w:numId="21" w16cid:durableId="1904948226">
    <w:abstractNumId w:val="66"/>
  </w:num>
  <w:num w:numId="22" w16cid:durableId="1285311869">
    <w:abstractNumId w:val="11"/>
  </w:num>
  <w:num w:numId="23" w16cid:durableId="594095827">
    <w:abstractNumId w:val="19"/>
  </w:num>
  <w:num w:numId="24" w16cid:durableId="509871903">
    <w:abstractNumId w:val="46"/>
  </w:num>
  <w:num w:numId="25" w16cid:durableId="255673088">
    <w:abstractNumId w:val="64"/>
  </w:num>
  <w:num w:numId="26" w16cid:durableId="592511790">
    <w:abstractNumId w:val="21"/>
  </w:num>
  <w:num w:numId="27" w16cid:durableId="1637836207">
    <w:abstractNumId w:val="28"/>
  </w:num>
  <w:num w:numId="28" w16cid:durableId="1422679270">
    <w:abstractNumId w:val="25"/>
  </w:num>
  <w:num w:numId="29" w16cid:durableId="1103376379">
    <w:abstractNumId w:val="45"/>
  </w:num>
  <w:num w:numId="30" w16cid:durableId="1299609234">
    <w:abstractNumId w:val="14"/>
  </w:num>
  <w:num w:numId="31" w16cid:durableId="457915971">
    <w:abstractNumId w:val="38"/>
  </w:num>
  <w:num w:numId="32" w16cid:durableId="964239289">
    <w:abstractNumId w:val="33"/>
  </w:num>
  <w:num w:numId="33" w16cid:durableId="1153376718">
    <w:abstractNumId w:val="17"/>
  </w:num>
  <w:num w:numId="34" w16cid:durableId="1603300315">
    <w:abstractNumId w:val="9"/>
  </w:num>
  <w:num w:numId="35" w16cid:durableId="380784419">
    <w:abstractNumId w:val="26"/>
  </w:num>
  <w:num w:numId="36" w16cid:durableId="1594779110">
    <w:abstractNumId w:val="54"/>
  </w:num>
  <w:num w:numId="37" w16cid:durableId="504170558">
    <w:abstractNumId w:val="52"/>
  </w:num>
  <w:num w:numId="38" w16cid:durableId="249047597">
    <w:abstractNumId w:val="50"/>
  </w:num>
  <w:num w:numId="39" w16cid:durableId="252517835">
    <w:abstractNumId w:val="58"/>
  </w:num>
  <w:num w:numId="40" w16cid:durableId="600339296">
    <w:abstractNumId w:val="56"/>
  </w:num>
  <w:num w:numId="41" w16cid:durableId="988442199">
    <w:abstractNumId w:val="57"/>
  </w:num>
  <w:num w:numId="42" w16cid:durableId="1333292019">
    <w:abstractNumId w:val="34"/>
  </w:num>
  <w:num w:numId="43" w16cid:durableId="2095081369">
    <w:abstractNumId w:val="22"/>
  </w:num>
  <w:num w:numId="44" w16cid:durableId="1312096591">
    <w:abstractNumId w:val="30"/>
  </w:num>
  <w:num w:numId="45" w16cid:durableId="127209930">
    <w:abstractNumId w:val="27"/>
  </w:num>
  <w:num w:numId="46" w16cid:durableId="1933395162">
    <w:abstractNumId w:val="47"/>
  </w:num>
  <w:num w:numId="47" w16cid:durableId="6299075">
    <w:abstractNumId w:val="13"/>
  </w:num>
  <w:num w:numId="48" w16cid:durableId="80570036">
    <w:abstractNumId w:val="59"/>
  </w:num>
  <w:num w:numId="49" w16cid:durableId="1347748625">
    <w:abstractNumId w:val="40"/>
  </w:num>
  <w:num w:numId="50" w16cid:durableId="1304312244">
    <w:abstractNumId w:val="42"/>
  </w:num>
  <w:num w:numId="51" w16cid:durableId="310250740">
    <w:abstractNumId w:val="63"/>
  </w:num>
  <w:num w:numId="52" w16cid:durableId="1623995731">
    <w:abstractNumId w:val="16"/>
  </w:num>
  <w:num w:numId="53" w16cid:durableId="1025860174">
    <w:abstractNumId w:val="55"/>
  </w:num>
  <w:num w:numId="54" w16cid:durableId="2145077302">
    <w:abstractNumId w:val="7"/>
  </w:num>
  <w:num w:numId="55" w16cid:durableId="1411779687">
    <w:abstractNumId w:val="62"/>
  </w:num>
  <w:num w:numId="56" w16cid:durableId="344751368">
    <w:abstractNumId w:val="68"/>
  </w:num>
  <w:num w:numId="57" w16cid:durableId="617756407">
    <w:abstractNumId w:val="67"/>
  </w:num>
  <w:num w:numId="58" w16cid:durableId="9469604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67879994">
    <w:abstractNumId w:val="37"/>
  </w:num>
  <w:num w:numId="60" w16cid:durableId="749421968">
    <w:abstractNumId w:val="61"/>
  </w:num>
  <w:num w:numId="61" w16cid:durableId="787630349">
    <w:abstractNumId w:val="39"/>
  </w:num>
  <w:num w:numId="62" w16cid:durableId="248076140">
    <w:abstractNumId w:val="5"/>
  </w:num>
  <w:num w:numId="63" w16cid:durableId="185490156">
    <w:abstractNumId w:val="49"/>
  </w:num>
  <w:num w:numId="64" w16cid:durableId="348213633">
    <w:abstractNumId w:val="10"/>
  </w:num>
  <w:num w:numId="65" w16cid:durableId="407580276">
    <w:abstractNumId w:val="41"/>
  </w:num>
  <w:num w:numId="66" w16cid:durableId="1613441547">
    <w:abstractNumId w:val="29"/>
  </w:num>
  <w:num w:numId="67" w16cid:durableId="960960709">
    <w:abstractNumId w:val="69"/>
  </w:num>
  <w:num w:numId="68" w16cid:durableId="1015158771">
    <w:abstractNumId w:val="6"/>
  </w:num>
  <w:num w:numId="69" w16cid:durableId="1069964199">
    <w:abstractNumId w:val="53"/>
  </w:num>
  <w:num w:numId="70" w16cid:durableId="389308294">
    <w:abstractNumId w:val="44"/>
  </w:num>
  <w:num w:numId="71" w16cid:durableId="2134787721">
    <w:abstractNumId w:val="2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34"/>
    <w:rsid w:val="00000137"/>
    <w:rsid w:val="00000782"/>
    <w:rsid w:val="00000986"/>
    <w:rsid w:val="000012A5"/>
    <w:rsid w:val="000013B3"/>
    <w:rsid w:val="000017B7"/>
    <w:rsid w:val="00001C08"/>
    <w:rsid w:val="00001F40"/>
    <w:rsid w:val="000020A7"/>
    <w:rsid w:val="00002108"/>
    <w:rsid w:val="000021B9"/>
    <w:rsid w:val="000028EF"/>
    <w:rsid w:val="00002C10"/>
    <w:rsid w:val="00002C6B"/>
    <w:rsid w:val="000031BD"/>
    <w:rsid w:val="000036C4"/>
    <w:rsid w:val="00003962"/>
    <w:rsid w:val="00003C8F"/>
    <w:rsid w:val="00003CBB"/>
    <w:rsid w:val="000040F6"/>
    <w:rsid w:val="0000491F"/>
    <w:rsid w:val="00004935"/>
    <w:rsid w:val="00004D8D"/>
    <w:rsid w:val="00005161"/>
    <w:rsid w:val="00005687"/>
    <w:rsid w:val="00005957"/>
    <w:rsid w:val="00006016"/>
    <w:rsid w:val="00006A9A"/>
    <w:rsid w:val="00006F63"/>
    <w:rsid w:val="000076A4"/>
    <w:rsid w:val="00007996"/>
    <w:rsid w:val="00007D7E"/>
    <w:rsid w:val="00007E4F"/>
    <w:rsid w:val="000107C5"/>
    <w:rsid w:val="00010813"/>
    <w:rsid w:val="00010BE8"/>
    <w:rsid w:val="00010C20"/>
    <w:rsid w:val="00010DA8"/>
    <w:rsid w:val="00011206"/>
    <w:rsid w:val="000113F9"/>
    <w:rsid w:val="00011526"/>
    <w:rsid w:val="000116B9"/>
    <w:rsid w:val="000117AB"/>
    <w:rsid w:val="00011AE3"/>
    <w:rsid w:val="00011D9D"/>
    <w:rsid w:val="00012054"/>
    <w:rsid w:val="000125C0"/>
    <w:rsid w:val="000127A9"/>
    <w:rsid w:val="00012A99"/>
    <w:rsid w:val="00012FF1"/>
    <w:rsid w:val="00014226"/>
    <w:rsid w:val="0001422B"/>
    <w:rsid w:val="0001424F"/>
    <w:rsid w:val="00014504"/>
    <w:rsid w:val="0001479E"/>
    <w:rsid w:val="000154DD"/>
    <w:rsid w:val="000156B5"/>
    <w:rsid w:val="00015769"/>
    <w:rsid w:val="00015D1D"/>
    <w:rsid w:val="0001617F"/>
    <w:rsid w:val="00016220"/>
    <w:rsid w:val="000163C1"/>
    <w:rsid w:val="000166CB"/>
    <w:rsid w:val="00016E4B"/>
    <w:rsid w:val="0001743F"/>
    <w:rsid w:val="00017A96"/>
    <w:rsid w:val="00017CDD"/>
    <w:rsid w:val="00017DDD"/>
    <w:rsid w:val="00017F3A"/>
    <w:rsid w:val="000203AC"/>
    <w:rsid w:val="00020414"/>
    <w:rsid w:val="00020D1C"/>
    <w:rsid w:val="00020DB8"/>
    <w:rsid w:val="00020EBE"/>
    <w:rsid w:val="00020F0C"/>
    <w:rsid w:val="000212EB"/>
    <w:rsid w:val="00021346"/>
    <w:rsid w:val="0002171C"/>
    <w:rsid w:val="000218E5"/>
    <w:rsid w:val="00021BEE"/>
    <w:rsid w:val="00021C0F"/>
    <w:rsid w:val="00021CCA"/>
    <w:rsid w:val="00021E62"/>
    <w:rsid w:val="00021F01"/>
    <w:rsid w:val="00022005"/>
    <w:rsid w:val="000222DD"/>
    <w:rsid w:val="00022395"/>
    <w:rsid w:val="00022FE1"/>
    <w:rsid w:val="0002318F"/>
    <w:rsid w:val="0002336D"/>
    <w:rsid w:val="000233E6"/>
    <w:rsid w:val="00023692"/>
    <w:rsid w:val="00024040"/>
    <w:rsid w:val="00024793"/>
    <w:rsid w:val="00024F5A"/>
    <w:rsid w:val="0002514C"/>
    <w:rsid w:val="00025761"/>
    <w:rsid w:val="00026760"/>
    <w:rsid w:val="00026F44"/>
    <w:rsid w:val="00027010"/>
    <w:rsid w:val="0002754A"/>
    <w:rsid w:val="0002792F"/>
    <w:rsid w:val="00027FB5"/>
    <w:rsid w:val="00031407"/>
    <w:rsid w:val="00031749"/>
    <w:rsid w:val="0003192C"/>
    <w:rsid w:val="00031B28"/>
    <w:rsid w:val="00031BF1"/>
    <w:rsid w:val="00032394"/>
    <w:rsid w:val="00032668"/>
    <w:rsid w:val="00032812"/>
    <w:rsid w:val="00032F75"/>
    <w:rsid w:val="0003307A"/>
    <w:rsid w:val="0003320B"/>
    <w:rsid w:val="000336DE"/>
    <w:rsid w:val="000340F0"/>
    <w:rsid w:val="00034245"/>
    <w:rsid w:val="00034E65"/>
    <w:rsid w:val="00035C4B"/>
    <w:rsid w:val="00035ECC"/>
    <w:rsid w:val="00035F16"/>
    <w:rsid w:val="00035FB3"/>
    <w:rsid w:val="00036072"/>
    <w:rsid w:val="0003672D"/>
    <w:rsid w:val="00036B4A"/>
    <w:rsid w:val="00036B57"/>
    <w:rsid w:val="00036CF1"/>
    <w:rsid w:val="00036FAC"/>
    <w:rsid w:val="00037108"/>
    <w:rsid w:val="00037264"/>
    <w:rsid w:val="00037370"/>
    <w:rsid w:val="00037A2B"/>
    <w:rsid w:val="00037A69"/>
    <w:rsid w:val="00037D79"/>
    <w:rsid w:val="00037E81"/>
    <w:rsid w:val="00037E92"/>
    <w:rsid w:val="000405BF"/>
    <w:rsid w:val="000409A1"/>
    <w:rsid w:val="00040A34"/>
    <w:rsid w:val="00040F5C"/>
    <w:rsid w:val="000415A1"/>
    <w:rsid w:val="000422FA"/>
    <w:rsid w:val="00042849"/>
    <w:rsid w:val="00042D3B"/>
    <w:rsid w:val="00042D92"/>
    <w:rsid w:val="00042E43"/>
    <w:rsid w:val="0004309A"/>
    <w:rsid w:val="00043988"/>
    <w:rsid w:val="00043D5C"/>
    <w:rsid w:val="0004438A"/>
    <w:rsid w:val="0004450F"/>
    <w:rsid w:val="0004453D"/>
    <w:rsid w:val="0004456F"/>
    <w:rsid w:val="0004459D"/>
    <w:rsid w:val="00044A79"/>
    <w:rsid w:val="00044C71"/>
    <w:rsid w:val="00044CDF"/>
    <w:rsid w:val="000450F3"/>
    <w:rsid w:val="000453BE"/>
    <w:rsid w:val="00045414"/>
    <w:rsid w:val="00045650"/>
    <w:rsid w:val="000456E4"/>
    <w:rsid w:val="00045850"/>
    <w:rsid w:val="00046329"/>
    <w:rsid w:val="00046E32"/>
    <w:rsid w:val="00047000"/>
    <w:rsid w:val="000471B2"/>
    <w:rsid w:val="000471F1"/>
    <w:rsid w:val="000473D8"/>
    <w:rsid w:val="00047507"/>
    <w:rsid w:val="00047545"/>
    <w:rsid w:val="0004769C"/>
    <w:rsid w:val="00047D65"/>
    <w:rsid w:val="00047D67"/>
    <w:rsid w:val="000509BB"/>
    <w:rsid w:val="000509EC"/>
    <w:rsid w:val="00050DF7"/>
    <w:rsid w:val="000511A6"/>
    <w:rsid w:val="0005166F"/>
    <w:rsid w:val="000517AB"/>
    <w:rsid w:val="000518C9"/>
    <w:rsid w:val="00051D82"/>
    <w:rsid w:val="0005248B"/>
    <w:rsid w:val="00052618"/>
    <w:rsid w:val="00052BC3"/>
    <w:rsid w:val="000534C7"/>
    <w:rsid w:val="0005370E"/>
    <w:rsid w:val="000539E5"/>
    <w:rsid w:val="00053CE7"/>
    <w:rsid w:val="000542E5"/>
    <w:rsid w:val="000543F2"/>
    <w:rsid w:val="000543F7"/>
    <w:rsid w:val="00054FD0"/>
    <w:rsid w:val="000552E3"/>
    <w:rsid w:val="00055302"/>
    <w:rsid w:val="000553C1"/>
    <w:rsid w:val="00055419"/>
    <w:rsid w:val="00055C84"/>
    <w:rsid w:val="00055F7B"/>
    <w:rsid w:val="00055FA6"/>
    <w:rsid w:val="0005676C"/>
    <w:rsid w:val="00056797"/>
    <w:rsid w:val="00056AD4"/>
    <w:rsid w:val="00057076"/>
    <w:rsid w:val="00057769"/>
    <w:rsid w:val="000578DF"/>
    <w:rsid w:val="00057AB6"/>
    <w:rsid w:val="00057B2D"/>
    <w:rsid w:val="000606E0"/>
    <w:rsid w:val="000609A7"/>
    <w:rsid w:val="00060D4D"/>
    <w:rsid w:val="000612BF"/>
    <w:rsid w:val="000613B3"/>
    <w:rsid w:val="000614FB"/>
    <w:rsid w:val="00061690"/>
    <w:rsid w:val="000619E6"/>
    <w:rsid w:val="00061D38"/>
    <w:rsid w:val="00061D40"/>
    <w:rsid w:val="0006260A"/>
    <w:rsid w:val="00062BBE"/>
    <w:rsid w:val="00062DB9"/>
    <w:rsid w:val="00062DF0"/>
    <w:rsid w:val="00063165"/>
    <w:rsid w:val="0006317F"/>
    <w:rsid w:val="000631CF"/>
    <w:rsid w:val="00063381"/>
    <w:rsid w:val="00063450"/>
    <w:rsid w:val="00063778"/>
    <w:rsid w:val="00063D5D"/>
    <w:rsid w:val="00063E25"/>
    <w:rsid w:val="00064BB2"/>
    <w:rsid w:val="000651CF"/>
    <w:rsid w:val="000653A3"/>
    <w:rsid w:val="00065AAC"/>
    <w:rsid w:val="00065CC5"/>
    <w:rsid w:val="0006694A"/>
    <w:rsid w:val="000670C3"/>
    <w:rsid w:val="00067A02"/>
    <w:rsid w:val="0007060C"/>
    <w:rsid w:val="00070B30"/>
    <w:rsid w:val="00070CCB"/>
    <w:rsid w:val="00070FDC"/>
    <w:rsid w:val="00071184"/>
    <w:rsid w:val="0007168F"/>
    <w:rsid w:val="00071F8E"/>
    <w:rsid w:val="0007231E"/>
    <w:rsid w:val="000725EC"/>
    <w:rsid w:val="00072637"/>
    <w:rsid w:val="00072A82"/>
    <w:rsid w:val="0007328D"/>
    <w:rsid w:val="000732F1"/>
    <w:rsid w:val="00073C54"/>
    <w:rsid w:val="00073D59"/>
    <w:rsid w:val="00073FE5"/>
    <w:rsid w:val="0007414E"/>
    <w:rsid w:val="00075633"/>
    <w:rsid w:val="00075C2D"/>
    <w:rsid w:val="000760D0"/>
    <w:rsid w:val="00076788"/>
    <w:rsid w:val="00076975"/>
    <w:rsid w:val="00076A05"/>
    <w:rsid w:val="00076C3C"/>
    <w:rsid w:val="00076DAC"/>
    <w:rsid w:val="000773F3"/>
    <w:rsid w:val="000774A0"/>
    <w:rsid w:val="00080151"/>
    <w:rsid w:val="0008087B"/>
    <w:rsid w:val="00080930"/>
    <w:rsid w:val="00080C20"/>
    <w:rsid w:val="00080E42"/>
    <w:rsid w:val="00080F50"/>
    <w:rsid w:val="000811E3"/>
    <w:rsid w:val="00081BE8"/>
    <w:rsid w:val="00082E98"/>
    <w:rsid w:val="0008356F"/>
    <w:rsid w:val="00083BC4"/>
    <w:rsid w:val="00084187"/>
    <w:rsid w:val="0008430C"/>
    <w:rsid w:val="0008448F"/>
    <w:rsid w:val="00084704"/>
    <w:rsid w:val="00084B19"/>
    <w:rsid w:val="00084F2E"/>
    <w:rsid w:val="00084FCD"/>
    <w:rsid w:val="000850EA"/>
    <w:rsid w:val="00085366"/>
    <w:rsid w:val="00085701"/>
    <w:rsid w:val="000859AF"/>
    <w:rsid w:val="00085D9D"/>
    <w:rsid w:val="00086193"/>
    <w:rsid w:val="000865DF"/>
    <w:rsid w:val="00087D5C"/>
    <w:rsid w:val="00087E12"/>
    <w:rsid w:val="00087F03"/>
    <w:rsid w:val="000915B6"/>
    <w:rsid w:val="00091675"/>
    <w:rsid w:val="00091A65"/>
    <w:rsid w:val="00091D13"/>
    <w:rsid w:val="00092E3B"/>
    <w:rsid w:val="00093290"/>
    <w:rsid w:val="0009377A"/>
    <w:rsid w:val="00093BB7"/>
    <w:rsid w:val="00093D55"/>
    <w:rsid w:val="00094A30"/>
    <w:rsid w:val="00094BEE"/>
    <w:rsid w:val="00094F6F"/>
    <w:rsid w:val="00094F70"/>
    <w:rsid w:val="00095263"/>
    <w:rsid w:val="00095380"/>
    <w:rsid w:val="000957EC"/>
    <w:rsid w:val="000958C7"/>
    <w:rsid w:val="000959CA"/>
    <w:rsid w:val="00095EFC"/>
    <w:rsid w:val="00096010"/>
    <w:rsid w:val="000965E7"/>
    <w:rsid w:val="00096F39"/>
    <w:rsid w:val="0009724B"/>
    <w:rsid w:val="0009726D"/>
    <w:rsid w:val="00097F7B"/>
    <w:rsid w:val="000A074F"/>
    <w:rsid w:val="000A07DC"/>
    <w:rsid w:val="000A092B"/>
    <w:rsid w:val="000A09FA"/>
    <w:rsid w:val="000A0A13"/>
    <w:rsid w:val="000A0C7D"/>
    <w:rsid w:val="000A1152"/>
    <w:rsid w:val="000A12E8"/>
    <w:rsid w:val="000A1881"/>
    <w:rsid w:val="000A1F0C"/>
    <w:rsid w:val="000A2030"/>
    <w:rsid w:val="000A2303"/>
    <w:rsid w:val="000A27C8"/>
    <w:rsid w:val="000A2B17"/>
    <w:rsid w:val="000A3218"/>
    <w:rsid w:val="000A3693"/>
    <w:rsid w:val="000A3A78"/>
    <w:rsid w:val="000A41E5"/>
    <w:rsid w:val="000A454A"/>
    <w:rsid w:val="000A4D45"/>
    <w:rsid w:val="000A57F0"/>
    <w:rsid w:val="000A6146"/>
    <w:rsid w:val="000A721A"/>
    <w:rsid w:val="000A78F3"/>
    <w:rsid w:val="000A790F"/>
    <w:rsid w:val="000A7BE5"/>
    <w:rsid w:val="000A7CFF"/>
    <w:rsid w:val="000A7D6E"/>
    <w:rsid w:val="000B0884"/>
    <w:rsid w:val="000B0B50"/>
    <w:rsid w:val="000B0BF0"/>
    <w:rsid w:val="000B0C41"/>
    <w:rsid w:val="000B0CAD"/>
    <w:rsid w:val="000B1D31"/>
    <w:rsid w:val="000B2169"/>
    <w:rsid w:val="000B222B"/>
    <w:rsid w:val="000B2B34"/>
    <w:rsid w:val="000B3B0B"/>
    <w:rsid w:val="000B3FB3"/>
    <w:rsid w:val="000B41AE"/>
    <w:rsid w:val="000B4214"/>
    <w:rsid w:val="000B4720"/>
    <w:rsid w:val="000B54FB"/>
    <w:rsid w:val="000B56B5"/>
    <w:rsid w:val="000B603B"/>
    <w:rsid w:val="000B6832"/>
    <w:rsid w:val="000B6CB7"/>
    <w:rsid w:val="000B6D35"/>
    <w:rsid w:val="000B6DA2"/>
    <w:rsid w:val="000B6F25"/>
    <w:rsid w:val="000B722C"/>
    <w:rsid w:val="000B7356"/>
    <w:rsid w:val="000B7731"/>
    <w:rsid w:val="000B774F"/>
    <w:rsid w:val="000B777B"/>
    <w:rsid w:val="000B7C8F"/>
    <w:rsid w:val="000B7D4F"/>
    <w:rsid w:val="000C0445"/>
    <w:rsid w:val="000C04BF"/>
    <w:rsid w:val="000C05CE"/>
    <w:rsid w:val="000C0830"/>
    <w:rsid w:val="000C1774"/>
    <w:rsid w:val="000C1A95"/>
    <w:rsid w:val="000C1CAA"/>
    <w:rsid w:val="000C2356"/>
    <w:rsid w:val="000C24D2"/>
    <w:rsid w:val="000C284A"/>
    <w:rsid w:val="000C2937"/>
    <w:rsid w:val="000C2C29"/>
    <w:rsid w:val="000C3001"/>
    <w:rsid w:val="000C31DD"/>
    <w:rsid w:val="000C34D0"/>
    <w:rsid w:val="000C36E6"/>
    <w:rsid w:val="000C3A5A"/>
    <w:rsid w:val="000C3B31"/>
    <w:rsid w:val="000C426A"/>
    <w:rsid w:val="000C46D0"/>
    <w:rsid w:val="000C4B00"/>
    <w:rsid w:val="000C4CBA"/>
    <w:rsid w:val="000C4E76"/>
    <w:rsid w:val="000C5002"/>
    <w:rsid w:val="000C50DA"/>
    <w:rsid w:val="000C65A7"/>
    <w:rsid w:val="000C69F2"/>
    <w:rsid w:val="000C71AF"/>
    <w:rsid w:val="000C73C9"/>
    <w:rsid w:val="000C74E0"/>
    <w:rsid w:val="000C75E2"/>
    <w:rsid w:val="000C7A23"/>
    <w:rsid w:val="000C7B2D"/>
    <w:rsid w:val="000C7E7E"/>
    <w:rsid w:val="000C7F1E"/>
    <w:rsid w:val="000D033E"/>
    <w:rsid w:val="000D083A"/>
    <w:rsid w:val="000D09D5"/>
    <w:rsid w:val="000D0A00"/>
    <w:rsid w:val="000D0D92"/>
    <w:rsid w:val="000D0F52"/>
    <w:rsid w:val="000D1011"/>
    <w:rsid w:val="000D143D"/>
    <w:rsid w:val="000D1756"/>
    <w:rsid w:val="000D17A2"/>
    <w:rsid w:val="000D22C0"/>
    <w:rsid w:val="000D237E"/>
    <w:rsid w:val="000D32DD"/>
    <w:rsid w:val="000D33E5"/>
    <w:rsid w:val="000D375C"/>
    <w:rsid w:val="000D3BAF"/>
    <w:rsid w:val="000D4246"/>
    <w:rsid w:val="000D42C0"/>
    <w:rsid w:val="000D4308"/>
    <w:rsid w:val="000D44D7"/>
    <w:rsid w:val="000D4774"/>
    <w:rsid w:val="000D47FE"/>
    <w:rsid w:val="000D52E7"/>
    <w:rsid w:val="000D564C"/>
    <w:rsid w:val="000D57F7"/>
    <w:rsid w:val="000D5E41"/>
    <w:rsid w:val="000D6615"/>
    <w:rsid w:val="000D6625"/>
    <w:rsid w:val="000D66D3"/>
    <w:rsid w:val="000D695A"/>
    <w:rsid w:val="000D6AE7"/>
    <w:rsid w:val="000D6E65"/>
    <w:rsid w:val="000D71DE"/>
    <w:rsid w:val="000D723A"/>
    <w:rsid w:val="000D75EB"/>
    <w:rsid w:val="000D78CF"/>
    <w:rsid w:val="000D7DE6"/>
    <w:rsid w:val="000D7E67"/>
    <w:rsid w:val="000D7F9F"/>
    <w:rsid w:val="000E08A7"/>
    <w:rsid w:val="000E0FDD"/>
    <w:rsid w:val="000E0FDF"/>
    <w:rsid w:val="000E182F"/>
    <w:rsid w:val="000E1840"/>
    <w:rsid w:val="000E19F7"/>
    <w:rsid w:val="000E1C28"/>
    <w:rsid w:val="000E1CCD"/>
    <w:rsid w:val="000E1FDB"/>
    <w:rsid w:val="000E2156"/>
    <w:rsid w:val="000E23B1"/>
    <w:rsid w:val="000E2A0A"/>
    <w:rsid w:val="000E2EAD"/>
    <w:rsid w:val="000E2EBD"/>
    <w:rsid w:val="000E3264"/>
    <w:rsid w:val="000E3B4E"/>
    <w:rsid w:val="000E4901"/>
    <w:rsid w:val="000E4B32"/>
    <w:rsid w:val="000E5226"/>
    <w:rsid w:val="000E57E1"/>
    <w:rsid w:val="000E584E"/>
    <w:rsid w:val="000E58B8"/>
    <w:rsid w:val="000E5EF3"/>
    <w:rsid w:val="000E6042"/>
    <w:rsid w:val="000E7158"/>
    <w:rsid w:val="000E75D9"/>
    <w:rsid w:val="000E7758"/>
    <w:rsid w:val="000E7794"/>
    <w:rsid w:val="000E7C62"/>
    <w:rsid w:val="000E7D88"/>
    <w:rsid w:val="000F03F8"/>
    <w:rsid w:val="000F1016"/>
    <w:rsid w:val="000F1088"/>
    <w:rsid w:val="000F135D"/>
    <w:rsid w:val="000F19E0"/>
    <w:rsid w:val="000F19E8"/>
    <w:rsid w:val="000F1AF1"/>
    <w:rsid w:val="000F24CE"/>
    <w:rsid w:val="000F2A09"/>
    <w:rsid w:val="000F2E74"/>
    <w:rsid w:val="000F2F67"/>
    <w:rsid w:val="000F313C"/>
    <w:rsid w:val="000F3482"/>
    <w:rsid w:val="000F37D4"/>
    <w:rsid w:val="000F3A2A"/>
    <w:rsid w:val="000F463A"/>
    <w:rsid w:val="000F4656"/>
    <w:rsid w:val="000F47B4"/>
    <w:rsid w:val="000F4CE9"/>
    <w:rsid w:val="000F4E4E"/>
    <w:rsid w:val="000F4FCE"/>
    <w:rsid w:val="000F5766"/>
    <w:rsid w:val="000F59F3"/>
    <w:rsid w:val="000F614C"/>
    <w:rsid w:val="000F6A71"/>
    <w:rsid w:val="000F6E33"/>
    <w:rsid w:val="000F6E41"/>
    <w:rsid w:val="000F73A9"/>
    <w:rsid w:val="000F7A28"/>
    <w:rsid w:val="000F7A9D"/>
    <w:rsid w:val="000F7CD0"/>
    <w:rsid w:val="000F7E74"/>
    <w:rsid w:val="0010084C"/>
    <w:rsid w:val="0010158B"/>
    <w:rsid w:val="0010182C"/>
    <w:rsid w:val="001018A1"/>
    <w:rsid w:val="00101ECC"/>
    <w:rsid w:val="00101F2E"/>
    <w:rsid w:val="001027D2"/>
    <w:rsid w:val="001029BE"/>
    <w:rsid w:val="00102F2C"/>
    <w:rsid w:val="001032FF"/>
    <w:rsid w:val="00103898"/>
    <w:rsid w:val="00103C9A"/>
    <w:rsid w:val="00103E8F"/>
    <w:rsid w:val="00104350"/>
    <w:rsid w:val="001044DC"/>
    <w:rsid w:val="001048C7"/>
    <w:rsid w:val="00104E9B"/>
    <w:rsid w:val="00105632"/>
    <w:rsid w:val="00105A53"/>
    <w:rsid w:val="00105C0A"/>
    <w:rsid w:val="00106B9A"/>
    <w:rsid w:val="0010766D"/>
    <w:rsid w:val="001079D8"/>
    <w:rsid w:val="00107D23"/>
    <w:rsid w:val="00107D27"/>
    <w:rsid w:val="0011073D"/>
    <w:rsid w:val="00110970"/>
    <w:rsid w:val="00110ADC"/>
    <w:rsid w:val="00110AFE"/>
    <w:rsid w:val="00111719"/>
    <w:rsid w:val="00111C6B"/>
    <w:rsid w:val="00111E44"/>
    <w:rsid w:val="00111EC5"/>
    <w:rsid w:val="00111FF5"/>
    <w:rsid w:val="00113125"/>
    <w:rsid w:val="0011390C"/>
    <w:rsid w:val="00113939"/>
    <w:rsid w:val="0011415B"/>
    <w:rsid w:val="00114302"/>
    <w:rsid w:val="001144C0"/>
    <w:rsid w:val="0011566B"/>
    <w:rsid w:val="00115940"/>
    <w:rsid w:val="00116C3E"/>
    <w:rsid w:val="00116FBE"/>
    <w:rsid w:val="0011710A"/>
    <w:rsid w:val="00117212"/>
    <w:rsid w:val="00117DAF"/>
    <w:rsid w:val="00120186"/>
    <w:rsid w:val="001201A6"/>
    <w:rsid w:val="001202F3"/>
    <w:rsid w:val="001205B7"/>
    <w:rsid w:val="00121086"/>
    <w:rsid w:val="00121309"/>
    <w:rsid w:val="00121771"/>
    <w:rsid w:val="001221B2"/>
    <w:rsid w:val="001224D0"/>
    <w:rsid w:val="00122535"/>
    <w:rsid w:val="001227B1"/>
    <w:rsid w:val="00122886"/>
    <w:rsid w:val="00122E87"/>
    <w:rsid w:val="001238E7"/>
    <w:rsid w:val="0012394A"/>
    <w:rsid w:val="00123F8A"/>
    <w:rsid w:val="001242B3"/>
    <w:rsid w:val="001242FC"/>
    <w:rsid w:val="0012433B"/>
    <w:rsid w:val="00124483"/>
    <w:rsid w:val="001246D1"/>
    <w:rsid w:val="0012524B"/>
    <w:rsid w:val="00126851"/>
    <w:rsid w:val="00126B12"/>
    <w:rsid w:val="00126D9D"/>
    <w:rsid w:val="0012712C"/>
    <w:rsid w:val="00127E74"/>
    <w:rsid w:val="001301B7"/>
    <w:rsid w:val="001301CA"/>
    <w:rsid w:val="00130207"/>
    <w:rsid w:val="00130875"/>
    <w:rsid w:val="00130BA7"/>
    <w:rsid w:val="00131195"/>
    <w:rsid w:val="00131508"/>
    <w:rsid w:val="00131612"/>
    <w:rsid w:val="00131B07"/>
    <w:rsid w:val="00131C0C"/>
    <w:rsid w:val="00131F1B"/>
    <w:rsid w:val="00131FF5"/>
    <w:rsid w:val="00132534"/>
    <w:rsid w:val="00132D08"/>
    <w:rsid w:val="00132EA7"/>
    <w:rsid w:val="00132FAD"/>
    <w:rsid w:val="001330F8"/>
    <w:rsid w:val="0013359A"/>
    <w:rsid w:val="00133815"/>
    <w:rsid w:val="00133890"/>
    <w:rsid w:val="001339D6"/>
    <w:rsid w:val="00133C62"/>
    <w:rsid w:val="001346AB"/>
    <w:rsid w:val="001346D0"/>
    <w:rsid w:val="00134D0D"/>
    <w:rsid w:val="00135142"/>
    <w:rsid w:val="001358D7"/>
    <w:rsid w:val="001360DE"/>
    <w:rsid w:val="00136185"/>
    <w:rsid w:val="0013640A"/>
    <w:rsid w:val="001367B1"/>
    <w:rsid w:val="001367DC"/>
    <w:rsid w:val="001368B9"/>
    <w:rsid w:val="00136A6D"/>
    <w:rsid w:val="00137185"/>
    <w:rsid w:val="00137D48"/>
    <w:rsid w:val="00137DB8"/>
    <w:rsid w:val="00140865"/>
    <w:rsid w:val="00140D8F"/>
    <w:rsid w:val="001414EC"/>
    <w:rsid w:val="00141ED9"/>
    <w:rsid w:val="00141FE3"/>
    <w:rsid w:val="0014204F"/>
    <w:rsid w:val="001422FE"/>
    <w:rsid w:val="0014268E"/>
    <w:rsid w:val="001426BB"/>
    <w:rsid w:val="00142F9E"/>
    <w:rsid w:val="00143030"/>
    <w:rsid w:val="001431EA"/>
    <w:rsid w:val="00143407"/>
    <w:rsid w:val="001435B4"/>
    <w:rsid w:val="001436D6"/>
    <w:rsid w:val="00143829"/>
    <w:rsid w:val="00143D26"/>
    <w:rsid w:val="00143F6D"/>
    <w:rsid w:val="00144082"/>
    <w:rsid w:val="0014420D"/>
    <w:rsid w:val="001444EC"/>
    <w:rsid w:val="00144A63"/>
    <w:rsid w:val="00144BE3"/>
    <w:rsid w:val="00144DBC"/>
    <w:rsid w:val="00144E50"/>
    <w:rsid w:val="0014502E"/>
    <w:rsid w:val="00145124"/>
    <w:rsid w:val="00145485"/>
    <w:rsid w:val="00145513"/>
    <w:rsid w:val="00145875"/>
    <w:rsid w:val="001458E8"/>
    <w:rsid w:val="00145DF4"/>
    <w:rsid w:val="00145F3F"/>
    <w:rsid w:val="00145F4D"/>
    <w:rsid w:val="0014612F"/>
    <w:rsid w:val="0014656D"/>
    <w:rsid w:val="0014685C"/>
    <w:rsid w:val="0014688E"/>
    <w:rsid w:val="00146C1D"/>
    <w:rsid w:val="0014743E"/>
    <w:rsid w:val="0014761E"/>
    <w:rsid w:val="00147750"/>
    <w:rsid w:val="00147759"/>
    <w:rsid w:val="00147B68"/>
    <w:rsid w:val="00147C15"/>
    <w:rsid w:val="00147DCE"/>
    <w:rsid w:val="00147DD0"/>
    <w:rsid w:val="0015013F"/>
    <w:rsid w:val="0015027C"/>
    <w:rsid w:val="00150B58"/>
    <w:rsid w:val="00150DD5"/>
    <w:rsid w:val="00150FEF"/>
    <w:rsid w:val="00151617"/>
    <w:rsid w:val="00151D27"/>
    <w:rsid w:val="00151F62"/>
    <w:rsid w:val="0015245E"/>
    <w:rsid w:val="0015270A"/>
    <w:rsid w:val="0015291E"/>
    <w:rsid w:val="00152ED4"/>
    <w:rsid w:val="0015304A"/>
    <w:rsid w:val="00153091"/>
    <w:rsid w:val="00153296"/>
    <w:rsid w:val="001538B0"/>
    <w:rsid w:val="00153BBE"/>
    <w:rsid w:val="00153F74"/>
    <w:rsid w:val="00154475"/>
    <w:rsid w:val="00154A17"/>
    <w:rsid w:val="00154D26"/>
    <w:rsid w:val="00155021"/>
    <w:rsid w:val="001553EF"/>
    <w:rsid w:val="0015545C"/>
    <w:rsid w:val="00155498"/>
    <w:rsid w:val="0015554E"/>
    <w:rsid w:val="0015604D"/>
    <w:rsid w:val="0015695C"/>
    <w:rsid w:val="00156BE6"/>
    <w:rsid w:val="00156D2F"/>
    <w:rsid w:val="00156E26"/>
    <w:rsid w:val="00157288"/>
    <w:rsid w:val="00157DEC"/>
    <w:rsid w:val="00160304"/>
    <w:rsid w:val="001604C4"/>
    <w:rsid w:val="001610FD"/>
    <w:rsid w:val="00161DCE"/>
    <w:rsid w:val="00161F0A"/>
    <w:rsid w:val="001623BD"/>
    <w:rsid w:val="00162688"/>
    <w:rsid w:val="001628BD"/>
    <w:rsid w:val="001630C5"/>
    <w:rsid w:val="0016366B"/>
    <w:rsid w:val="00163794"/>
    <w:rsid w:val="001637C0"/>
    <w:rsid w:val="00163A94"/>
    <w:rsid w:val="00163DA4"/>
    <w:rsid w:val="00163F6C"/>
    <w:rsid w:val="0016412E"/>
    <w:rsid w:val="0016441E"/>
    <w:rsid w:val="00164ADC"/>
    <w:rsid w:val="00164F16"/>
    <w:rsid w:val="0016503A"/>
    <w:rsid w:val="00165606"/>
    <w:rsid w:val="00165B66"/>
    <w:rsid w:val="00165CB6"/>
    <w:rsid w:val="00165FE6"/>
    <w:rsid w:val="0016628A"/>
    <w:rsid w:val="0016692D"/>
    <w:rsid w:val="00166B07"/>
    <w:rsid w:val="00167FE4"/>
    <w:rsid w:val="001710B2"/>
    <w:rsid w:val="001712A1"/>
    <w:rsid w:val="00171C1C"/>
    <w:rsid w:val="00171F7F"/>
    <w:rsid w:val="001720F1"/>
    <w:rsid w:val="001723C1"/>
    <w:rsid w:val="00172AAF"/>
    <w:rsid w:val="001731AC"/>
    <w:rsid w:val="001732FE"/>
    <w:rsid w:val="001733DD"/>
    <w:rsid w:val="001734B6"/>
    <w:rsid w:val="001738B7"/>
    <w:rsid w:val="00173B7B"/>
    <w:rsid w:val="00173E18"/>
    <w:rsid w:val="0017409D"/>
    <w:rsid w:val="001751E8"/>
    <w:rsid w:val="001756D4"/>
    <w:rsid w:val="00176852"/>
    <w:rsid w:val="0017692D"/>
    <w:rsid w:val="00176EBE"/>
    <w:rsid w:val="00176FA5"/>
    <w:rsid w:val="001772CD"/>
    <w:rsid w:val="001773B7"/>
    <w:rsid w:val="00177802"/>
    <w:rsid w:val="00177CB0"/>
    <w:rsid w:val="00180807"/>
    <w:rsid w:val="0018113F"/>
    <w:rsid w:val="0018116C"/>
    <w:rsid w:val="00181399"/>
    <w:rsid w:val="00181670"/>
    <w:rsid w:val="00181AF7"/>
    <w:rsid w:val="00182485"/>
    <w:rsid w:val="00182525"/>
    <w:rsid w:val="00182B03"/>
    <w:rsid w:val="00182D1B"/>
    <w:rsid w:val="00182D24"/>
    <w:rsid w:val="00183366"/>
    <w:rsid w:val="001835D0"/>
    <w:rsid w:val="001838A1"/>
    <w:rsid w:val="00183AE2"/>
    <w:rsid w:val="00184010"/>
    <w:rsid w:val="001841D3"/>
    <w:rsid w:val="00184B72"/>
    <w:rsid w:val="00185056"/>
    <w:rsid w:val="00185BC0"/>
    <w:rsid w:val="00186806"/>
    <w:rsid w:val="00186827"/>
    <w:rsid w:val="00186BD5"/>
    <w:rsid w:val="00186E05"/>
    <w:rsid w:val="001870FB"/>
    <w:rsid w:val="00187282"/>
    <w:rsid w:val="00187840"/>
    <w:rsid w:val="00187C0E"/>
    <w:rsid w:val="00187C55"/>
    <w:rsid w:val="001902B2"/>
    <w:rsid w:val="00190418"/>
    <w:rsid w:val="001906A4"/>
    <w:rsid w:val="00190A1E"/>
    <w:rsid w:val="00191389"/>
    <w:rsid w:val="0019155B"/>
    <w:rsid w:val="00191665"/>
    <w:rsid w:val="00191C7C"/>
    <w:rsid w:val="00191FF4"/>
    <w:rsid w:val="00192085"/>
    <w:rsid w:val="0019274C"/>
    <w:rsid w:val="00192847"/>
    <w:rsid w:val="00192DD8"/>
    <w:rsid w:val="001930B4"/>
    <w:rsid w:val="001930FE"/>
    <w:rsid w:val="001934EB"/>
    <w:rsid w:val="001935B6"/>
    <w:rsid w:val="00193811"/>
    <w:rsid w:val="00193C19"/>
    <w:rsid w:val="00193D82"/>
    <w:rsid w:val="0019411D"/>
    <w:rsid w:val="001942D5"/>
    <w:rsid w:val="00194474"/>
    <w:rsid w:val="00194F7E"/>
    <w:rsid w:val="001950ED"/>
    <w:rsid w:val="00195167"/>
    <w:rsid w:val="00195E05"/>
    <w:rsid w:val="00196057"/>
    <w:rsid w:val="001965AF"/>
    <w:rsid w:val="0019697F"/>
    <w:rsid w:val="00197208"/>
    <w:rsid w:val="00197CF4"/>
    <w:rsid w:val="00197F1D"/>
    <w:rsid w:val="001A0BFD"/>
    <w:rsid w:val="001A0F09"/>
    <w:rsid w:val="001A15D6"/>
    <w:rsid w:val="001A15FA"/>
    <w:rsid w:val="001A1D94"/>
    <w:rsid w:val="001A1F4E"/>
    <w:rsid w:val="001A21AF"/>
    <w:rsid w:val="001A2243"/>
    <w:rsid w:val="001A2AE0"/>
    <w:rsid w:val="001A3153"/>
    <w:rsid w:val="001A32DD"/>
    <w:rsid w:val="001A3A50"/>
    <w:rsid w:val="001A3A59"/>
    <w:rsid w:val="001A43CA"/>
    <w:rsid w:val="001A4415"/>
    <w:rsid w:val="001A4A52"/>
    <w:rsid w:val="001A4AE9"/>
    <w:rsid w:val="001A55A2"/>
    <w:rsid w:val="001A56D3"/>
    <w:rsid w:val="001A56FA"/>
    <w:rsid w:val="001A69D2"/>
    <w:rsid w:val="001A727C"/>
    <w:rsid w:val="001A74FB"/>
    <w:rsid w:val="001B00AB"/>
    <w:rsid w:val="001B037E"/>
    <w:rsid w:val="001B09D8"/>
    <w:rsid w:val="001B1511"/>
    <w:rsid w:val="001B1C4A"/>
    <w:rsid w:val="001B1FAF"/>
    <w:rsid w:val="001B202E"/>
    <w:rsid w:val="001B31E8"/>
    <w:rsid w:val="001B338E"/>
    <w:rsid w:val="001B3580"/>
    <w:rsid w:val="001B3622"/>
    <w:rsid w:val="001B399E"/>
    <w:rsid w:val="001B3E6F"/>
    <w:rsid w:val="001B3E80"/>
    <w:rsid w:val="001B3F1F"/>
    <w:rsid w:val="001B424D"/>
    <w:rsid w:val="001B4348"/>
    <w:rsid w:val="001B45A6"/>
    <w:rsid w:val="001B4679"/>
    <w:rsid w:val="001B4998"/>
    <w:rsid w:val="001B4ADC"/>
    <w:rsid w:val="001B534E"/>
    <w:rsid w:val="001B53A1"/>
    <w:rsid w:val="001B53BB"/>
    <w:rsid w:val="001B5842"/>
    <w:rsid w:val="001B670F"/>
    <w:rsid w:val="001B690B"/>
    <w:rsid w:val="001B6A23"/>
    <w:rsid w:val="001B6F17"/>
    <w:rsid w:val="001B78FB"/>
    <w:rsid w:val="001C0046"/>
    <w:rsid w:val="001C0157"/>
    <w:rsid w:val="001C0220"/>
    <w:rsid w:val="001C0690"/>
    <w:rsid w:val="001C101D"/>
    <w:rsid w:val="001C15C8"/>
    <w:rsid w:val="001C231C"/>
    <w:rsid w:val="001C28DB"/>
    <w:rsid w:val="001C337A"/>
    <w:rsid w:val="001C3DBB"/>
    <w:rsid w:val="001C3DC6"/>
    <w:rsid w:val="001C459C"/>
    <w:rsid w:val="001C4C30"/>
    <w:rsid w:val="001C4FA0"/>
    <w:rsid w:val="001C50BE"/>
    <w:rsid w:val="001C5235"/>
    <w:rsid w:val="001C53CE"/>
    <w:rsid w:val="001C541C"/>
    <w:rsid w:val="001C5752"/>
    <w:rsid w:val="001C5A20"/>
    <w:rsid w:val="001C5B59"/>
    <w:rsid w:val="001C5CC3"/>
    <w:rsid w:val="001C6F0C"/>
    <w:rsid w:val="001C7045"/>
    <w:rsid w:val="001C713D"/>
    <w:rsid w:val="001C7524"/>
    <w:rsid w:val="001C75A8"/>
    <w:rsid w:val="001C79F1"/>
    <w:rsid w:val="001C7A47"/>
    <w:rsid w:val="001C7DF3"/>
    <w:rsid w:val="001C7F4D"/>
    <w:rsid w:val="001D0687"/>
    <w:rsid w:val="001D09F5"/>
    <w:rsid w:val="001D13D6"/>
    <w:rsid w:val="001D15E6"/>
    <w:rsid w:val="001D1F68"/>
    <w:rsid w:val="001D234B"/>
    <w:rsid w:val="001D2718"/>
    <w:rsid w:val="001D2C69"/>
    <w:rsid w:val="001D2CD3"/>
    <w:rsid w:val="001D313B"/>
    <w:rsid w:val="001D35F2"/>
    <w:rsid w:val="001D3858"/>
    <w:rsid w:val="001D3AE4"/>
    <w:rsid w:val="001D4297"/>
    <w:rsid w:val="001D45DD"/>
    <w:rsid w:val="001D4B79"/>
    <w:rsid w:val="001D50D2"/>
    <w:rsid w:val="001D53CE"/>
    <w:rsid w:val="001D550F"/>
    <w:rsid w:val="001D559E"/>
    <w:rsid w:val="001D55C6"/>
    <w:rsid w:val="001D5606"/>
    <w:rsid w:val="001D5AB4"/>
    <w:rsid w:val="001D5F7A"/>
    <w:rsid w:val="001D627A"/>
    <w:rsid w:val="001D62BA"/>
    <w:rsid w:val="001D6384"/>
    <w:rsid w:val="001D65F5"/>
    <w:rsid w:val="001D6646"/>
    <w:rsid w:val="001D79FB"/>
    <w:rsid w:val="001D7FB9"/>
    <w:rsid w:val="001E036C"/>
    <w:rsid w:val="001E0FDF"/>
    <w:rsid w:val="001E161E"/>
    <w:rsid w:val="001E1656"/>
    <w:rsid w:val="001E1781"/>
    <w:rsid w:val="001E1C2F"/>
    <w:rsid w:val="001E1C55"/>
    <w:rsid w:val="001E1D20"/>
    <w:rsid w:val="001E1E70"/>
    <w:rsid w:val="001E24B4"/>
    <w:rsid w:val="001E2703"/>
    <w:rsid w:val="001E2A9B"/>
    <w:rsid w:val="001E2C33"/>
    <w:rsid w:val="001E2ED6"/>
    <w:rsid w:val="001E3553"/>
    <w:rsid w:val="001E39EC"/>
    <w:rsid w:val="001E3D0D"/>
    <w:rsid w:val="001E3F80"/>
    <w:rsid w:val="001E3FFF"/>
    <w:rsid w:val="001E4024"/>
    <w:rsid w:val="001E412D"/>
    <w:rsid w:val="001E4294"/>
    <w:rsid w:val="001E4383"/>
    <w:rsid w:val="001E4F47"/>
    <w:rsid w:val="001E527D"/>
    <w:rsid w:val="001E5774"/>
    <w:rsid w:val="001E5A24"/>
    <w:rsid w:val="001E5D91"/>
    <w:rsid w:val="001E6327"/>
    <w:rsid w:val="001E641C"/>
    <w:rsid w:val="001E6599"/>
    <w:rsid w:val="001E6FC7"/>
    <w:rsid w:val="001E722E"/>
    <w:rsid w:val="001E7235"/>
    <w:rsid w:val="001E7FFD"/>
    <w:rsid w:val="001F0833"/>
    <w:rsid w:val="001F08F6"/>
    <w:rsid w:val="001F0CFB"/>
    <w:rsid w:val="001F2A42"/>
    <w:rsid w:val="001F2C04"/>
    <w:rsid w:val="001F37C0"/>
    <w:rsid w:val="001F41DE"/>
    <w:rsid w:val="001F4972"/>
    <w:rsid w:val="001F5105"/>
    <w:rsid w:val="001F5195"/>
    <w:rsid w:val="001F5485"/>
    <w:rsid w:val="001F5829"/>
    <w:rsid w:val="001F5908"/>
    <w:rsid w:val="001F5DFB"/>
    <w:rsid w:val="001F5FB5"/>
    <w:rsid w:val="001F6598"/>
    <w:rsid w:val="001F68B9"/>
    <w:rsid w:val="001F70CB"/>
    <w:rsid w:val="001F7E44"/>
    <w:rsid w:val="00200505"/>
    <w:rsid w:val="002005C8"/>
    <w:rsid w:val="00201479"/>
    <w:rsid w:val="00201A74"/>
    <w:rsid w:val="00201DFD"/>
    <w:rsid w:val="00201EDE"/>
    <w:rsid w:val="0020203E"/>
    <w:rsid w:val="002022BC"/>
    <w:rsid w:val="002029D9"/>
    <w:rsid w:val="00202CF4"/>
    <w:rsid w:val="00203C58"/>
    <w:rsid w:val="0020408F"/>
    <w:rsid w:val="00204451"/>
    <w:rsid w:val="0020500F"/>
    <w:rsid w:val="00205279"/>
    <w:rsid w:val="00205600"/>
    <w:rsid w:val="00205603"/>
    <w:rsid w:val="00206257"/>
    <w:rsid w:val="00206922"/>
    <w:rsid w:val="00206A7C"/>
    <w:rsid w:val="00206B89"/>
    <w:rsid w:val="00207205"/>
    <w:rsid w:val="00207452"/>
    <w:rsid w:val="00207724"/>
    <w:rsid w:val="00207B69"/>
    <w:rsid w:val="00210A71"/>
    <w:rsid w:val="00211324"/>
    <w:rsid w:val="002117CD"/>
    <w:rsid w:val="00211968"/>
    <w:rsid w:val="0021199A"/>
    <w:rsid w:val="00211B8E"/>
    <w:rsid w:val="00211BF8"/>
    <w:rsid w:val="00211EFA"/>
    <w:rsid w:val="002121A3"/>
    <w:rsid w:val="00212E32"/>
    <w:rsid w:val="00213003"/>
    <w:rsid w:val="00213057"/>
    <w:rsid w:val="0021321D"/>
    <w:rsid w:val="002137B6"/>
    <w:rsid w:val="002137E8"/>
    <w:rsid w:val="0021427F"/>
    <w:rsid w:val="0021471B"/>
    <w:rsid w:val="00214A20"/>
    <w:rsid w:val="00214B44"/>
    <w:rsid w:val="00214C35"/>
    <w:rsid w:val="002151D7"/>
    <w:rsid w:val="00215229"/>
    <w:rsid w:val="002158E7"/>
    <w:rsid w:val="00215A68"/>
    <w:rsid w:val="00215E18"/>
    <w:rsid w:val="002160A2"/>
    <w:rsid w:val="00216BA1"/>
    <w:rsid w:val="00216ECE"/>
    <w:rsid w:val="00217025"/>
    <w:rsid w:val="002204E7"/>
    <w:rsid w:val="00220FC0"/>
    <w:rsid w:val="0022137E"/>
    <w:rsid w:val="0022153B"/>
    <w:rsid w:val="00221BA9"/>
    <w:rsid w:val="0022217A"/>
    <w:rsid w:val="0022221D"/>
    <w:rsid w:val="00222F9B"/>
    <w:rsid w:val="00223052"/>
    <w:rsid w:val="00223362"/>
    <w:rsid w:val="002233CF"/>
    <w:rsid w:val="002238D8"/>
    <w:rsid w:val="002243BF"/>
    <w:rsid w:val="0022441C"/>
    <w:rsid w:val="00224F54"/>
    <w:rsid w:val="00225A6A"/>
    <w:rsid w:val="00225BC4"/>
    <w:rsid w:val="00225BE7"/>
    <w:rsid w:val="00226442"/>
    <w:rsid w:val="002264F1"/>
    <w:rsid w:val="00226907"/>
    <w:rsid w:val="00226C43"/>
    <w:rsid w:val="00226CDF"/>
    <w:rsid w:val="00226E4F"/>
    <w:rsid w:val="002272D3"/>
    <w:rsid w:val="00227421"/>
    <w:rsid w:val="00230332"/>
    <w:rsid w:val="0023084A"/>
    <w:rsid w:val="00230A1E"/>
    <w:rsid w:val="00230A54"/>
    <w:rsid w:val="00230D18"/>
    <w:rsid w:val="00230D1D"/>
    <w:rsid w:val="00230E9D"/>
    <w:rsid w:val="00232608"/>
    <w:rsid w:val="00232648"/>
    <w:rsid w:val="002327F9"/>
    <w:rsid w:val="00232994"/>
    <w:rsid w:val="00232B22"/>
    <w:rsid w:val="00232E40"/>
    <w:rsid w:val="00232FEE"/>
    <w:rsid w:val="00233023"/>
    <w:rsid w:val="0023387A"/>
    <w:rsid w:val="00233A59"/>
    <w:rsid w:val="00233DBA"/>
    <w:rsid w:val="00233FF7"/>
    <w:rsid w:val="00234006"/>
    <w:rsid w:val="0023428C"/>
    <w:rsid w:val="002344E4"/>
    <w:rsid w:val="0023458C"/>
    <w:rsid w:val="00234AB5"/>
    <w:rsid w:val="00234EE1"/>
    <w:rsid w:val="00235758"/>
    <w:rsid w:val="0023581B"/>
    <w:rsid w:val="00236636"/>
    <w:rsid w:val="002366AE"/>
    <w:rsid w:val="0023673C"/>
    <w:rsid w:val="00236A61"/>
    <w:rsid w:val="00236AD6"/>
    <w:rsid w:val="00236CD8"/>
    <w:rsid w:val="0024094D"/>
    <w:rsid w:val="00241523"/>
    <w:rsid w:val="0024198F"/>
    <w:rsid w:val="00241B1A"/>
    <w:rsid w:val="00241DC6"/>
    <w:rsid w:val="002420E2"/>
    <w:rsid w:val="00242647"/>
    <w:rsid w:val="00242814"/>
    <w:rsid w:val="00243243"/>
    <w:rsid w:val="002437EA"/>
    <w:rsid w:val="00244002"/>
    <w:rsid w:val="002442F1"/>
    <w:rsid w:val="00244733"/>
    <w:rsid w:val="00244BD4"/>
    <w:rsid w:val="00244D69"/>
    <w:rsid w:val="002451B8"/>
    <w:rsid w:val="002454B9"/>
    <w:rsid w:val="002459D9"/>
    <w:rsid w:val="002459F4"/>
    <w:rsid w:val="00245C89"/>
    <w:rsid w:val="00245D30"/>
    <w:rsid w:val="00245EAE"/>
    <w:rsid w:val="002464C7"/>
    <w:rsid w:val="00246F98"/>
    <w:rsid w:val="0024766B"/>
    <w:rsid w:val="00247B85"/>
    <w:rsid w:val="00247F3D"/>
    <w:rsid w:val="002509A8"/>
    <w:rsid w:val="002509FC"/>
    <w:rsid w:val="00250A0A"/>
    <w:rsid w:val="00251022"/>
    <w:rsid w:val="00251031"/>
    <w:rsid w:val="00251357"/>
    <w:rsid w:val="00251467"/>
    <w:rsid w:val="002517BA"/>
    <w:rsid w:val="00251A1C"/>
    <w:rsid w:val="00251BF2"/>
    <w:rsid w:val="00251CD7"/>
    <w:rsid w:val="0025261B"/>
    <w:rsid w:val="00252A54"/>
    <w:rsid w:val="00252B4C"/>
    <w:rsid w:val="00252B4E"/>
    <w:rsid w:val="002535F5"/>
    <w:rsid w:val="0025370D"/>
    <w:rsid w:val="0025389F"/>
    <w:rsid w:val="0025402D"/>
    <w:rsid w:val="00254430"/>
    <w:rsid w:val="002548F9"/>
    <w:rsid w:val="00254991"/>
    <w:rsid w:val="00254EB0"/>
    <w:rsid w:val="00255130"/>
    <w:rsid w:val="0025515B"/>
    <w:rsid w:val="00255B97"/>
    <w:rsid w:val="00255BE4"/>
    <w:rsid w:val="00255C75"/>
    <w:rsid w:val="00255CC3"/>
    <w:rsid w:val="0025605B"/>
    <w:rsid w:val="0025607C"/>
    <w:rsid w:val="002563C5"/>
    <w:rsid w:val="002563EE"/>
    <w:rsid w:val="00256444"/>
    <w:rsid w:val="00256774"/>
    <w:rsid w:val="0025678A"/>
    <w:rsid w:val="002569D9"/>
    <w:rsid w:val="0025785D"/>
    <w:rsid w:val="00257A5A"/>
    <w:rsid w:val="00257DB3"/>
    <w:rsid w:val="0026011B"/>
    <w:rsid w:val="002608FB"/>
    <w:rsid w:val="0026176F"/>
    <w:rsid w:val="00262790"/>
    <w:rsid w:val="002629A5"/>
    <w:rsid w:val="00262A38"/>
    <w:rsid w:val="00262BE4"/>
    <w:rsid w:val="0026303F"/>
    <w:rsid w:val="00264EC0"/>
    <w:rsid w:val="00265958"/>
    <w:rsid w:val="0026641B"/>
    <w:rsid w:val="00266458"/>
    <w:rsid w:val="0026672F"/>
    <w:rsid w:val="0026700A"/>
    <w:rsid w:val="002674C5"/>
    <w:rsid w:val="00267B31"/>
    <w:rsid w:val="0027015D"/>
    <w:rsid w:val="0027021E"/>
    <w:rsid w:val="00270299"/>
    <w:rsid w:val="0027071F"/>
    <w:rsid w:val="00270792"/>
    <w:rsid w:val="00270BF6"/>
    <w:rsid w:val="00270E28"/>
    <w:rsid w:val="00270EE6"/>
    <w:rsid w:val="00270F6F"/>
    <w:rsid w:val="00270FBD"/>
    <w:rsid w:val="00271616"/>
    <w:rsid w:val="00271A22"/>
    <w:rsid w:val="00271A48"/>
    <w:rsid w:val="00271B3D"/>
    <w:rsid w:val="00271B71"/>
    <w:rsid w:val="00271BD9"/>
    <w:rsid w:val="00271C62"/>
    <w:rsid w:val="00272C46"/>
    <w:rsid w:val="00272D0F"/>
    <w:rsid w:val="00272EC2"/>
    <w:rsid w:val="00272EFB"/>
    <w:rsid w:val="00273A55"/>
    <w:rsid w:val="00273F40"/>
    <w:rsid w:val="00273F95"/>
    <w:rsid w:val="00274424"/>
    <w:rsid w:val="00274A7F"/>
    <w:rsid w:val="00274EFB"/>
    <w:rsid w:val="00275246"/>
    <w:rsid w:val="002753DF"/>
    <w:rsid w:val="00275A39"/>
    <w:rsid w:val="00275F5D"/>
    <w:rsid w:val="00276051"/>
    <w:rsid w:val="0027637B"/>
    <w:rsid w:val="00276793"/>
    <w:rsid w:val="00276E61"/>
    <w:rsid w:val="002771A0"/>
    <w:rsid w:val="002771C2"/>
    <w:rsid w:val="0027735E"/>
    <w:rsid w:val="0027737F"/>
    <w:rsid w:val="002773D9"/>
    <w:rsid w:val="002779C3"/>
    <w:rsid w:val="00277ED4"/>
    <w:rsid w:val="00280427"/>
    <w:rsid w:val="002807B4"/>
    <w:rsid w:val="00280A9E"/>
    <w:rsid w:val="0028185B"/>
    <w:rsid w:val="00281905"/>
    <w:rsid w:val="002828A3"/>
    <w:rsid w:val="00282912"/>
    <w:rsid w:val="00282C16"/>
    <w:rsid w:val="00282C1C"/>
    <w:rsid w:val="00282E30"/>
    <w:rsid w:val="00282F4E"/>
    <w:rsid w:val="00283A06"/>
    <w:rsid w:val="00283F7E"/>
    <w:rsid w:val="002840C2"/>
    <w:rsid w:val="0028491E"/>
    <w:rsid w:val="00284A26"/>
    <w:rsid w:val="00284E83"/>
    <w:rsid w:val="00284F3C"/>
    <w:rsid w:val="00285265"/>
    <w:rsid w:val="002852F8"/>
    <w:rsid w:val="002853A5"/>
    <w:rsid w:val="00285773"/>
    <w:rsid w:val="00285E2D"/>
    <w:rsid w:val="00286267"/>
    <w:rsid w:val="002862E9"/>
    <w:rsid w:val="002866CB"/>
    <w:rsid w:val="00286ED9"/>
    <w:rsid w:val="0028727B"/>
    <w:rsid w:val="00290792"/>
    <w:rsid w:val="00291916"/>
    <w:rsid w:val="002919D8"/>
    <w:rsid w:val="00291BDA"/>
    <w:rsid w:val="00291CB3"/>
    <w:rsid w:val="00291CDD"/>
    <w:rsid w:val="00291E3F"/>
    <w:rsid w:val="00292115"/>
    <w:rsid w:val="002928F1"/>
    <w:rsid w:val="0029403E"/>
    <w:rsid w:val="0029444E"/>
    <w:rsid w:val="00294589"/>
    <w:rsid w:val="00294710"/>
    <w:rsid w:val="0029489E"/>
    <w:rsid w:val="00294CA6"/>
    <w:rsid w:val="00294F59"/>
    <w:rsid w:val="00295089"/>
    <w:rsid w:val="002958B4"/>
    <w:rsid w:val="00295D72"/>
    <w:rsid w:val="00295E8C"/>
    <w:rsid w:val="00296666"/>
    <w:rsid w:val="00296C13"/>
    <w:rsid w:val="00297607"/>
    <w:rsid w:val="002976F1"/>
    <w:rsid w:val="00297C82"/>
    <w:rsid w:val="00297CC1"/>
    <w:rsid w:val="00297DEE"/>
    <w:rsid w:val="002A0425"/>
    <w:rsid w:val="002A0E1B"/>
    <w:rsid w:val="002A0F9F"/>
    <w:rsid w:val="002A1CD5"/>
    <w:rsid w:val="002A1CE3"/>
    <w:rsid w:val="002A2091"/>
    <w:rsid w:val="002A2145"/>
    <w:rsid w:val="002A2E53"/>
    <w:rsid w:val="002A3163"/>
    <w:rsid w:val="002A33E8"/>
    <w:rsid w:val="002A37F1"/>
    <w:rsid w:val="002A3A6D"/>
    <w:rsid w:val="002A4623"/>
    <w:rsid w:val="002A465A"/>
    <w:rsid w:val="002A48F8"/>
    <w:rsid w:val="002A4987"/>
    <w:rsid w:val="002A4A9B"/>
    <w:rsid w:val="002A4B1C"/>
    <w:rsid w:val="002A4DF0"/>
    <w:rsid w:val="002A4DFB"/>
    <w:rsid w:val="002A5292"/>
    <w:rsid w:val="002A550C"/>
    <w:rsid w:val="002A5744"/>
    <w:rsid w:val="002A58AB"/>
    <w:rsid w:val="002A601C"/>
    <w:rsid w:val="002A64F0"/>
    <w:rsid w:val="002A6719"/>
    <w:rsid w:val="002A6F18"/>
    <w:rsid w:val="002A71E7"/>
    <w:rsid w:val="002A73F9"/>
    <w:rsid w:val="002A741E"/>
    <w:rsid w:val="002A7801"/>
    <w:rsid w:val="002A7A40"/>
    <w:rsid w:val="002A7DBE"/>
    <w:rsid w:val="002B04A0"/>
    <w:rsid w:val="002B0846"/>
    <w:rsid w:val="002B0C6D"/>
    <w:rsid w:val="002B0ED4"/>
    <w:rsid w:val="002B109A"/>
    <w:rsid w:val="002B115E"/>
    <w:rsid w:val="002B1E0E"/>
    <w:rsid w:val="002B22E3"/>
    <w:rsid w:val="002B2380"/>
    <w:rsid w:val="002B28F4"/>
    <w:rsid w:val="002B2D0E"/>
    <w:rsid w:val="002B2D72"/>
    <w:rsid w:val="002B2F5C"/>
    <w:rsid w:val="002B30A6"/>
    <w:rsid w:val="002B3921"/>
    <w:rsid w:val="002B3B3A"/>
    <w:rsid w:val="002B3E5C"/>
    <w:rsid w:val="002B40E6"/>
    <w:rsid w:val="002B4456"/>
    <w:rsid w:val="002B45B4"/>
    <w:rsid w:val="002B4915"/>
    <w:rsid w:val="002B4E61"/>
    <w:rsid w:val="002B5098"/>
    <w:rsid w:val="002B50C6"/>
    <w:rsid w:val="002B5DC8"/>
    <w:rsid w:val="002B6232"/>
    <w:rsid w:val="002B684C"/>
    <w:rsid w:val="002B6B3E"/>
    <w:rsid w:val="002B6C56"/>
    <w:rsid w:val="002B70C1"/>
    <w:rsid w:val="002B72A9"/>
    <w:rsid w:val="002B7445"/>
    <w:rsid w:val="002B79DB"/>
    <w:rsid w:val="002B7D98"/>
    <w:rsid w:val="002B7FB5"/>
    <w:rsid w:val="002C0532"/>
    <w:rsid w:val="002C08E5"/>
    <w:rsid w:val="002C0997"/>
    <w:rsid w:val="002C0A43"/>
    <w:rsid w:val="002C0F19"/>
    <w:rsid w:val="002C1160"/>
    <w:rsid w:val="002C1960"/>
    <w:rsid w:val="002C205D"/>
    <w:rsid w:val="002C25D9"/>
    <w:rsid w:val="002C27CB"/>
    <w:rsid w:val="002C2938"/>
    <w:rsid w:val="002C2CCE"/>
    <w:rsid w:val="002C3082"/>
    <w:rsid w:val="002C3934"/>
    <w:rsid w:val="002C3B5B"/>
    <w:rsid w:val="002C3C4A"/>
    <w:rsid w:val="002C3F18"/>
    <w:rsid w:val="002C40E6"/>
    <w:rsid w:val="002C4344"/>
    <w:rsid w:val="002C4349"/>
    <w:rsid w:val="002C43B8"/>
    <w:rsid w:val="002C4668"/>
    <w:rsid w:val="002C474C"/>
    <w:rsid w:val="002C5236"/>
    <w:rsid w:val="002C571C"/>
    <w:rsid w:val="002C600E"/>
    <w:rsid w:val="002C6456"/>
    <w:rsid w:val="002C6843"/>
    <w:rsid w:val="002C7198"/>
    <w:rsid w:val="002C7548"/>
    <w:rsid w:val="002C777F"/>
    <w:rsid w:val="002C77FA"/>
    <w:rsid w:val="002C7BBC"/>
    <w:rsid w:val="002D03BE"/>
    <w:rsid w:val="002D0C55"/>
    <w:rsid w:val="002D0DB9"/>
    <w:rsid w:val="002D0E9D"/>
    <w:rsid w:val="002D1847"/>
    <w:rsid w:val="002D1AC4"/>
    <w:rsid w:val="002D1DEA"/>
    <w:rsid w:val="002D2075"/>
    <w:rsid w:val="002D2306"/>
    <w:rsid w:val="002D24CE"/>
    <w:rsid w:val="002D2E75"/>
    <w:rsid w:val="002D2ED5"/>
    <w:rsid w:val="002D2F75"/>
    <w:rsid w:val="002D2FF0"/>
    <w:rsid w:val="002D3B67"/>
    <w:rsid w:val="002D4A36"/>
    <w:rsid w:val="002D4A7C"/>
    <w:rsid w:val="002D4E66"/>
    <w:rsid w:val="002D4F26"/>
    <w:rsid w:val="002D4F98"/>
    <w:rsid w:val="002D507F"/>
    <w:rsid w:val="002D52E0"/>
    <w:rsid w:val="002D5A2D"/>
    <w:rsid w:val="002D5AF5"/>
    <w:rsid w:val="002D5C61"/>
    <w:rsid w:val="002D5DCD"/>
    <w:rsid w:val="002D609B"/>
    <w:rsid w:val="002D70A0"/>
    <w:rsid w:val="002D7337"/>
    <w:rsid w:val="002D7456"/>
    <w:rsid w:val="002D7665"/>
    <w:rsid w:val="002D7712"/>
    <w:rsid w:val="002D79D6"/>
    <w:rsid w:val="002D7B49"/>
    <w:rsid w:val="002D7D0A"/>
    <w:rsid w:val="002E141F"/>
    <w:rsid w:val="002E14C8"/>
    <w:rsid w:val="002E1D5A"/>
    <w:rsid w:val="002E2114"/>
    <w:rsid w:val="002E26DF"/>
    <w:rsid w:val="002E2C98"/>
    <w:rsid w:val="002E2F4C"/>
    <w:rsid w:val="002E3076"/>
    <w:rsid w:val="002E3623"/>
    <w:rsid w:val="002E3814"/>
    <w:rsid w:val="002E3B85"/>
    <w:rsid w:val="002E4029"/>
    <w:rsid w:val="002E489A"/>
    <w:rsid w:val="002E512C"/>
    <w:rsid w:val="002E516C"/>
    <w:rsid w:val="002E557D"/>
    <w:rsid w:val="002E5692"/>
    <w:rsid w:val="002E56AA"/>
    <w:rsid w:val="002E5E36"/>
    <w:rsid w:val="002E64BA"/>
    <w:rsid w:val="002E65E3"/>
    <w:rsid w:val="002E6848"/>
    <w:rsid w:val="002E6CBA"/>
    <w:rsid w:val="002E7715"/>
    <w:rsid w:val="002E7E4F"/>
    <w:rsid w:val="002E7EF0"/>
    <w:rsid w:val="002F01C5"/>
    <w:rsid w:val="002F0898"/>
    <w:rsid w:val="002F0DF6"/>
    <w:rsid w:val="002F180F"/>
    <w:rsid w:val="002F1B10"/>
    <w:rsid w:val="002F2AE5"/>
    <w:rsid w:val="002F2D1C"/>
    <w:rsid w:val="002F2F1C"/>
    <w:rsid w:val="002F328E"/>
    <w:rsid w:val="002F37FE"/>
    <w:rsid w:val="002F381E"/>
    <w:rsid w:val="002F3DE6"/>
    <w:rsid w:val="002F4312"/>
    <w:rsid w:val="002F4CDF"/>
    <w:rsid w:val="002F4F55"/>
    <w:rsid w:val="002F5192"/>
    <w:rsid w:val="002F5215"/>
    <w:rsid w:val="002F52E1"/>
    <w:rsid w:val="002F53C7"/>
    <w:rsid w:val="002F555A"/>
    <w:rsid w:val="002F56FD"/>
    <w:rsid w:val="002F5965"/>
    <w:rsid w:val="002F5B77"/>
    <w:rsid w:val="002F6BC4"/>
    <w:rsid w:val="002F6D2C"/>
    <w:rsid w:val="002F6D4B"/>
    <w:rsid w:val="002F6FE9"/>
    <w:rsid w:val="002F739F"/>
    <w:rsid w:val="002F74EF"/>
    <w:rsid w:val="002F7F4A"/>
    <w:rsid w:val="003003A7"/>
    <w:rsid w:val="00300730"/>
    <w:rsid w:val="00300A57"/>
    <w:rsid w:val="00300E6F"/>
    <w:rsid w:val="00301243"/>
    <w:rsid w:val="003016A5"/>
    <w:rsid w:val="00301B15"/>
    <w:rsid w:val="00301B4E"/>
    <w:rsid w:val="00301D3A"/>
    <w:rsid w:val="00301FD0"/>
    <w:rsid w:val="00302139"/>
    <w:rsid w:val="003023D4"/>
    <w:rsid w:val="0030258C"/>
    <w:rsid w:val="0030259E"/>
    <w:rsid w:val="0030274E"/>
    <w:rsid w:val="00302EEE"/>
    <w:rsid w:val="00304DFA"/>
    <w:rsid w:val="0030523B"/>
    <w:rsid w:val="00305483"/>
    <w:rsid w:val="003060A4"/>
    <w:rsid w:val="0030642B"/>
    <w:rsid w:val="00306E7F"/>
    <w:rsid w:val="00306F16"/>
    <w:rsid w:val="00306FED"/>
    <w:rsid w:val="00307206"/>
    <w:rsid w:val="00307C8B"/>
    <w:rsid w:val="00307CF0"/>
    <w:rsid w:val="003103FF"/>
    <w:rsid w:val="00310531"/>
    <w:rsid w:val="00310FA0"/>
    <w:rsid w:val="00310FF0"/>
    <w:rsid w:val="003113A3"/>
    <w:rsid w:val="0031164C"/>
    <w:rsid w:val="00311B80"/>
    <w:rsid w:val="00311EF3"/>
    <w:rsid w:val="0031255D"/>
    <w:rsid w:val="0031268A"/>
    <w:rsid w:val="003128EF"/>
    <w:rsid w:val="00312F8A"/>
    <w:rsid w:val="00313286"/>
    <w:rsid w:val="003134A1"/>
    <w:rsid w:val="00313667"/>
    <w:rsid w:val="00313EC6"/>
    <w:rsid w:val="0031439A"/>
    <w:rsid w:val="00314E91"/>
    <w:rsid w:val="003150CD"/>
    <w:rsid w:val="00315BE4"/>
    <w:rsid w:val="00315EAA"/>
    <w:rsid w:val="003161C5"/>
    <w:rsid w:val="0031623C"/>
    <w:rsid w:val="00316462"/>
    <w:rsid w:val="003165A8"/>
    <w:rsid w:val="003166EB"/>
    <w:rsid w:val="003167B3"/>
    <w:rsid w:val="00316A9F"/>
    <w:rsid w:val="00316B30"/>
    <w:rsid w:val="00316CE9"/>
    <w:rsid w:val="00316DEF"/>
    <w:rsid w:val="00316F7C"/>
    <w:rsid w:val="00317508"/>
    <w:rsid w:val="00320106"/>
    <w:rsid w:val="00320968"/>
    <w:rsid w:val="003213BA"/>
    <w:rsid w:val="003213C4"/>
    <w:rsid w:val="00321520"/>
    <w:rsid w:val="00321FDE"/>
    <w:rsid w:val="0032210E"/>
    <w:rsid w:val="00322262"/>
    <w:rsid w:val="00322691"/>
    <w:rsid w:val="003228FF"/>
    <w:rsid w:val="00322F3C"/>
    <w:rsid w:val="00323775"/>
    <w:rsid w:val="00323793"/>
    <w:rsid w:val="00323818"/>
    <w:rsid w:val="003243FA"/>
    <w:rsid w:val="00324F4A"/>
    <w:rsid w:val="00324F75"/>
    <w:rsid w:val="003253AD"/>
    <w:rsid w:val="003253D2"/>
    <w:rsid w:val="003256D7"/>
    <w:rsid w:val="00325829"/>
    <w:rsid w:val="00325A13"/>
    <w:rsid w:val="00325D84"/>
    <w:rsid w:val="003264C5"/>
    <w:rsid w:val="00326523"/>
    <w:rsid w:val="00326AE7"/>
    <w:rsid w:val="00326D37"/>
    <w:rsid w:val="0032710F"/>
    <w:rsid w:val="00327361"/>
    <w:rsid w:val="003275F7"/>
    <w:rsid w:val="0032792B"/>
    <w:rsid w:val="00327B7C"/>
    <w:rsid w:val="00330242"/>
    <w:rsid w:val="003308F4"/>
    <w:rsid w:val="00330EDF"/>
    <w:rsid w:val="003312E0"/>
    <w:rsid w:val="00331423"/>
    <w:rsid w:val="0033156D"/>
    <w:rsid w:val="00332211"/>
    <w:rsid w:val="00332B01"/>
    <w:rsid w:val="00332F97"/>
    <w:rsid w:val="00333451"/>
    <w:rsid w:val="0033349E"/>
    <w:rsid w:val="00333563"/>
    <w:rsid w:val="0033370D"/>
    <w:rsid w:val="00333AB6"/>
    <w:rsid w:val="00333DB1"/>
    <w:rsid w:val="00333E30"/>
    <w:rsid w:val="00333FFF"/>
    <w:rsid w:val="003343C9"/>
    <w:rsid w:val="003348B8"/>
    <w:rsid w:val="0033547A"/>
    <w:rsid w:val="0033583B"/>
    <w:rsid w:val="00335951"/>
    <w:rsid w:val="00335B3B"/>
    <w:rsid w:val="00336F0E"/>
    <w:rsid w:val="00336F27"/>
    <w:rsid w:val="00337567"/>
    <w:rsid w:val="00337655"/>
    <w:rsid w:val="00337CBB"/>
    <w:rsid w:val="00337EDA"/>
    <w:rsid w:val="0034005F"/>
    <w:rsid w:val="003400B4"/>
    <w:rsid w:val="003402F5"/>
    <w:rsid w:val="00340358"/>
    <w:rsid w:val="0034092E"/>
    <w:rsid w:val="00340A78"/>
    <w:rsid w:val="00340CE3"/>
    <w:rsid w:val="003410BC"/>
    <w:rsid w:val="00341D4D"/>
    <w:rsid w:val="00341F90"/>
    <w:rsid w:val="003420DC"/>
    <w:rsid w:val="00342E18"/>
    <w:rsid w:val="00342EAD"/>
    <w:rsid w:val="003432EA"/>
    <w:rsid w:val="0034388E"/>
    <w:rsid w:val="0034405E"/>
    <w:rsid w:val="003447C2"/>
    <w:rsid w:val="00344ED6"/>
    <w:rsid w:val="00344F6C"/>
    <w:rsid w:val="00345179"/>
    <w:rsid w:val="003452FC"/>
    <w:rsid w:val="00345725"/>
    <w:rsid w:val="0034575D"/>
    <w:rsid w:val="003459AE"/>
    <w:rsid w:val="00345BCD"/>
    <w:rsid w:val="00346476"/>
    <w:rsid w:val="003469BD"/>
    <w:rsid w:val="0034735B"/>
    <w:rsid w:val="00347548"/>
    <w:rsid w:val="003478A5"/>
    <w:rsid w:val="00347D34"/>
    <w:rsid w:val="00347EF4"/>
    <w:rsid w:val="00350CB6"/>
    <w:rsid w:val="00351294"/>
    <w:rsid w:val="003512BE"/>
    <w:rsid w:val="00351382"/>
    <w:rsid w:val="00351FF2"/>
    <w:rsid w:val="003520FE"/>
    <w:rsid w:val="003521A5"/>
    <w:rsid w:val="003522A2"/>
    <w:rsid w:val="0035263D"/>
    <w:rsid w:val="003534E1"/>
    <w:rsid w:val="003535E3"/>
    <w:rsid w:val="0035390E"/>
    <w:rsid w:val="00353ACF"/>
    <w:rsid w:val="00354896"/>
    <w:rsid w:val="003550B0"/>
    <w:rsid w:val="0035577F"/>
    <w:rsid w:val="003558EC"/>
    <w:rsid w:val="00355B5F"/>
    <w:rsid w:val="00355E84"/>
    <w:rsid w:val="0035603C"/>
    <w:rsid w:val="0035625F"/>
    <w:rsid w:val="003563FB"/>
    <w:rsid w:val="003571AF"/>
    <w:rsid w:val="00357506"/>
    <w:rsid w:val="00357B21"/>
    <w:rsid w:val="00357F2D"/>
    <w:rsid w:val="003604AC"/>
    <w:rsid w:val="00360641"/>
    <w:rsid w:val="003607BD"/>
    <w:rsid w:val="003608FF"/>
    <w:rsid w:val="00360AF9"/>
    <w:rsid w:val="00360BF9"/>
    <w:rsid w:val="003611EA"/>
    <w:rsid w:val="00361422"/>
    <w:rsid w:val="003622AC"/>
    <w:rsid w:val="00362465"/>
    <w:rsid w:val="00362CCF"/>
    <w:rsid w:val="00362E97"/>
    <w:rsid w:val="00363089"/>
    <w:rsid w:val="00363DA3"/>
    <w:rsid w:val="00363FBF"/>
    <w:rsid w:val="00364164"/>
    <w:rsid w:val="003641B2"/>
    <w:rsid w:val="003641C2"/>
    <w:rsid w:val="003642CB"/>
    <w:rsid w:val="0036493F"/>
    <w:rsid w:val="00364CC6"/>
    <w:rsid w:val="003653FC"/>
    <w:rsid w:val="00366566"/>
    <w:rsid w:val="0036658C"/>
    <w:rsid w:val="00366906"/>
    <w:rsid w:val="0036697E"/>
    <w:rsid w:val="00366D93"/>
    <w:rsid w:val="00367859"/>
    <w:rsid w:val="00367E8C"/>
    <w:rsid w:val="00367F3D"/>
    <w:rsid w:val="00370167"/>
    <w:rsid w:val="00370413"/>
    <w:rsid w:val="00370D0E"/>
    <w:rsid w:val="00370F70"/>
    <w:rsid w:val="00371389"/>
    <w:rsid w:val="0037181C"/>
    <w:rsid w:val="003719FC"/>
    <w:rsid w:val="0037214B"/>
    <w:rsid w:val="003721E5"/>
    <w:rsid w:val="00372741"/>
    <w:rsid w:val="003735AF"/>
    <w:rsid w:val="003743CF"/>
    <w:rsid w:val="00374F08"/>
    <w:rsid w:val="00374F7F"/>
    <w:rsid w:val="00375029"/>
    <w:rsid w:val="003752A5"/>
    <w:rsid w:val="0037547F"/>
    <w:rsid w:val="0037555F"/>
    <w:rsid w:val="003759EF"/>
    <w:rsid w:val="0037606B"/>
    <w:rsid w:val="00376494"/>
    <w:rsid w:val="00376756"/>
    <w:rsid w:val="003769AD"/>
    <w:rsid w:val="00376EEE"/>
    <w:rsid w:val="00376F0A"/>
    <w:rsid w:val="003770AE"/>
    <w:rsid w:val="00377137"/>
    <w:rsid w:val="0037725C"/>
    <w:rsid w:val="003774D2"/>
    <w:rsid w:val="003774E1"/>
    <w:rsid w:val="0037753D"/>
    <w:rsid w:val="003779D0"/>
    <w:rsid w:val="00377BC9"/>
    <w:rsid w:val="00377DF4"/>
    <w:rsid w:val="003800D8"/>
    <w:rsid w:val="00380581"/>
    <w:rsid w:val="003810B6"/>
    <w:rsid w:val="00381198"/>
    <w:rsid w:val="0038133D"/>
    <w:rsid w:val="00381477"/>
    <w:rsid w:val="00381572"/>
    <w:rsid w:val="00381B33"/>
    <w:rsid w:val="00381E1E"/>
    <w:rsid w:val="00381EE2"/>
    <w:rsid w:val="003822FA"/>
    <w:rsid w:val="00382529"/>
    <w:rsid w:val="003837A5"/>
    <w:rsid w:val="00383C47"/>
    <w:rsid w:val="00383F43"/>
    <w:rsid w:val="00385191"/>
    <w:rsid w:val="003859E3"/>
    <w:rsid w:val="00385A86"/>
    <w:rsid w:val="0038604F"/>
    <w:rsid w:val="0038679E"/>
    <w:rsid w:val="00386F44"/>
    <w:rsid w:val="00387019"/>
    <w:rsid w:val="00387215"/>
    <w:rsid w:val="003873EE"/>
    <w:rsid w:val="00387721"/>
    <w:rsid w:val="00387C22"/>
    <w:rsid w:val="00387D39"/>
    <w:rsid w:val="00387E0F"/>
    <w:rsid w:val="003900D8"/>
    <w:rsid w:val="00390FC1"/>
    <w:rsid w:val="0039152F"/>
    <w:rsid w:val="0039171F"/>
    <w:rsid w:val="00392068"/>
    <w:rsid w:val="003922BB"/>
    <w:rsid w:val="003927C4"/>
    <w:rsid w:val="00392A23"/>
    <w:rsid w:val="00392B50"/>
    <w:rsid w:val="003931E8"/>
    <w:rsid w:val="00393264"/>
    <w:rsid w:val="00393360"/>
    <w:rsid w:val="00393833"/>
    <w:rsid w:val="00393AF0"/>
    <w:rsid w:val="003943A0"/>
    <w:rsid w:val="00394440"/>
    <w:rsid w:val="00394AEC"/>
    <w:rsid w:val="0039531B"/>
    <w:rsid w:val="0039534E"/>
    <w:rsid w:val="0039544C"/>
    <w:rsid w:val="003957A9"/>
    <w:rsid w:val="003961A2"/>
    <w:rsid w:val="0039620B"/>
    <w:rsid w:val="003964A3"/>
    <w:rsid w:val="00396DFA"/>
    <w:rsid w:val="00396E1E"/>
    <w:rsid w:val="00396E96"/>
    <w:rsid w:val="003970B7"/>
    <w:rsid w:val="0039712A"/>
    <w:rsid w:val="00397288"/>
    <w:rsid w:val="00397F78"/>
    <w:rsid w:val="003A0159"/>
    <w:rsid w:val="003A0817"/>
    <w:rsid w:val="003A0C01"/>
    <w:rsid w:val="003A1062"/>
    <w:rsid w:val="003A1590"/>
    <w:rsid w:val="003A15F1"/>
    <w:rsid w:val="003A212C"/>
    <w:rsid w:val="003A215C"/>
    <w:rsid w:val="003A21FB"/>
    <w:rsid w:val="003A221C"/>
    <w:rsid w:val="003A2324"/>
    <w:rsid w:val="003A266A"/>
    <w:rsid w:val="003A2DB4"/>
    <w:rsid w:val="003A2DE8"/>
    <w:rsid w:val="003A33CA"/>
    <w:rsid w:val="003A3413"/>
    <w:rsid w:val="003A3600"/>
    <w:rsid w:val="003A38E2"/>
    <w:rsid w:val="003A39A2"/>
    <w:rsid w:val="003A3F5A"/>
    <w:rsid w:val="003A4A73"/>
    <w:rsid w:val="003A4B47"/>
    <w:rsid w:val="003A4D31"/>
    <w:rsid w:val="003A50B1"/>
    <w:rsid w:val="003A53D5"/>
    <w:rsid w:val="003A59FE"/>
    <w:rsid w:val="003A5A96"/>
    <w:rsid w:val="003A5C1B"/>
    <w:rsid w:val="003A633B"/>
    <w:rsid w:val="003A68FE"/>
    <w:rsid w:val="003A6C23"/>
    <w:rsid w:val="003A6C8E"/>
    <w:rsid w:val="003A6D27"/>
    <w:rsid w:val="003A70AA"/>
    <w:rsid w:val="003A75DA"/>
    <w:rsid w:val="003A7821"/>
    <w:rsid w:val="003A799D"/>
    <w:rsid w:val="003B022C"/>
    <w:rsid w:val="003B04A8"/>
    <w:rsid w:val="003B051E"/>
    <w:rsid w:val="003B068A"/>
    <w:rsid w:val="003B07CD"/>
    <w:rsid w:val="003B0835"/>
    <w:rsid w:val="003B08B8"/>
    <w:rsid w:val="003B09A9"/>
    <w:rsid w:val="003B0B3A"/>
    <w:rsid w:val="003B0BAE"/>
    <w:rsid w:val="003B0D76"/>
    <w:rsid w:val="003B1307"/>
    <w:rsid w:val="003B189D"/>
    <w:rsid w:val="003B1A9E"/>
    <w:rsid w:val="003B1C81"/>
    <w:rsid w:val="003B1DB0"/>
    <w:rsid w:val="003B2700"/>
    <w:rsid w:val="003B283E"/>
    <w:rsid w:val="003B382B"/>
    <w:rsid w:val="003B41BB"/>
    <w:rsid w:val="003B4205"/>
    <w:rsid w:val="003B443B"/>
    <w:rsid w:val="003B4B63"/>
    <w:rsid w:val="003B5068"/>
    <w:rsid w:val="003B559C"/>
    <w:rsid w:val="003B55B2"/>
    <w:rsid w:val="003B591B"/>
    <w:rsid w:val="003B59B2"/>
    <w:rsid w:val="003B6874"/>
    <w:rsid w:val="003B7002"/>
    <w:rsid w:val="003B710A"/>
    <w:rsid w:val="003B740C"/>
    <w:rsid w:val="003B7542"/>
    <w:rsid w:val="003B7AD1"/>
    <w:rsid w:val="003B7B71"/>
    <w:rsid w:val="003C0346"/>
    <w:rsid w:val="003C0548"/>
    <w:rsid w:val="003C0738"/>
    <w:rsid w:val="003C08F7"/>
    <w:rsid w:val="003C1109"/>
    <w:rsid w:val="003C122E"/>
    <w:rsid w:val="003C1354"/>
    <w:rsid w:val="003C1799"/>
    <w:rsid w:val="003C19F0"/>
    <w:rsid w:val="003C1E2D"/>
    <w:rsid w:val="003C27FE"/>
    <w:rsid w:val="003C2AE8"/>
    <w:rsid w:val="003C33F5"/>
    <w:rsid w:val="003C370A"/>
    <w:rsid w:val="003C3CF3"/>
    <w:rsid w:val="003C3FC8"/>
    <w:rsid w:val="003C470C"/>
    <w:rsid w:val="003C4755"/>
    <w:rsid w:val="003C489B"/>
    <w:rsid w:val="003C496B"/>
    <w:rsid w:val="003C4DBA"/>
    <w:rsid w:val="003C4DFC"/>
    <w:rsid w:val="003C5C4A"/>
    <w:rsid w:val="003C6063"/>
    <w:rsid w:val="003C64BB"/>
    <w:rsid w:val="003C65BD"/>
    <w:rsid w:val="003C6654"/>
    <w:rsid w:val="003C76C8"/>
    <w:rsid w:val="003C7789"/>
    <w:rsid w:val="003C7936"/>
    <w:rsid w:val="003C7CC0"/>
    <w:rsid w:val="003C7CDC"/>
    <w:rsid w:val="003D00ED"/>
    <w:rsid w:val="003D03A7"/>
    <w:rsid w:val="003D06C7"/>
    <w:rsid w:val="003D0E00"/>
    <w:rsid w:val="003D0E5A"/>
    <w:rsid w:val="003D10CA"/>
    <w:rsid w:val="003D15FC"/>
    <w:rsid w:val="003D16B6"/>
    <w:rsid w:val="003D17A2"/>
    <w:rsid w:val="003D24FD"/>
    <w:rsid w:val="003D333F"/>
    <w:rsid w:val="003D33FC"/>
    <w:rsid w:val="003D3506"/>
    <w:rsid w:val="003D3B3F"/>
    <w:rsid w:val="003D424F"/>
    <w:rsid w:val="003D42C2"/>
    <w:rsid w:val="003D4634"/>
    <w:rsid w:val="003D46F6"/>
    <w:rsid w:val="003D4975"/>
    <w:rsid w:val="003D57AE"/>
    <w:rsid w:val="003D5B05"/>
    <w:rsid w:val="003D5BF7"/>
    <w:rsid w:val="003D5EAE"/>
    <w:rsid w:val="003D62E6"/>
    <w:rsid w:val="003D66A2"/>
    <w:rsid w:val="003D7175"/>
    <w:rsid w:val="003D71D2"/>
    <w:rsid w:val="003D7403"/>
    <w:rsid w:val="003D7669"/>
    <w:rsid w:val="003E0127"/>
    <w:rsid w:val="003E04D4"/>
    <w:rsid w:val="003E0F8B"/>
    <w:rsid w:val="003E115E"/>
    <w:rsid w:val="003E1351"/>
    <w:rsid w:val="003E14E2"/>
    <w:rsid w:val="003E1527"/>
    <w:rsid w:val="003E1AE0"/>
    <w:rsid w:val="003E2398"/>
    <w:rsid w:val="003E2AC2"/>
    <w:rsid w:val="003E2CE9"/>
    <w:rsid w:val="003E3542"/>
    <w:rsid w:val="003E3A3B"/>
    <w:rsid w:val="003E3CD2"/>
    <w:rsid w:val="003E4232"/>
    <w:rsid w:val="003E44B9"/>
    <w:rsid w:val="003E4732"/>
    <w:rsid w:val="003E4805"/>
    <w:rsid w:val="003E4876"/>
    <w:rsid w:val="003E5872"/>
    <w:rsid w:val="003E62A3"/>
    <w:rsid w:val="003E634D"/>
    <w:rsid w:val="003E6A8B"/>
    <w:rsid w:val="003E6B32"/>
    <w:rsid w:val="003F0D6D"/>
    <w:rsid w:val="003F0EC3"/>
    <w:rsid w:val="003F191A"/>
    <w:rsid w:val="003F23BC"/>
    <w:rsid w:val="003F2669"/>
    <w:rsid w:val="003F2A01"/>
    <w:rsid w:val="003F2DD7"/>
    <w:rsid w:val="003F3D79"/>
    <w:rsid w:val="003F3FB4"/>
    <w:rsid w:val="003F3FE0"/>
    <w:rsid w:val="003F46EC"/>
    <w:rsid w:val="003F4ADC"/>
    <w:rsid w:val="003F58B9"/>
    <w:rsid w:val="003F5AE3"/>
    <w:rsid w:val="003F5C04"/>
    <w:rsid w:val="003F5C8C"/>
    <w:rsid w:val="003F65CE"/>
    <w:rsid w:val="003F6643"/>
    <w:rsid w:val="003F6D58"/>
    <w:rsid w:val="003F6F2F"/>
    <w:rsid w:val="003F71B3"/>
    <w:rsid w:val="003F76BF"/>
    <w:rsid w:val="003F7DCC"/>
    <w:rsid w:val="003F7E7F"/>
    <w:rsid w:val="004004AD"/>
    <w:rsid w:val="00400573"/>
    <w:rsid w:val="0040098A"/>
    <w:rsid w:val="00400FAB"/>
    <w:rsid w:val="00401EB9"/>
    <w:rsid w:val="00402040"/>
    <w:rsid w:val="004024B6"/>
    <w:rsid w:val="004028A4"/>
    <w:rsid w:val="004031F7"/>
    <w:rsid w:val="0040338E"/>
    <w:rsid w:val="004036AA"/>
    <w:rsid w:val="00403FBD"/>
    <w:rsid w:val="0040443E"/>
    <w:rsid w:val="004044BE"/>
    <w:rsid w:val="004048DA"/>
    <w:rsid w:val="00404A97"/>
    <w:rsid w:val="00404BC1"/>
    <w:rsid w:val="00405778"/>
    <w:rsid w:val="00405B3F"/>
    <w:rsid w:val="00406271"/>
    <w:rsid w:val="00406405"/>
    <w:rsid w:val="00406C4F"/>
    <w:rsid w:val="004079CD"/>
    <w:rsid w:val="00407BF4"/>
    <w:rsid w:val="00407F20"/>
    <w:rsid w:val="00407F6D"/>
    <w:rsid w:val="004104B6"/>
    <w:rsid w:val="00410E04"/>
    <w:rsid w:val="00411026"/>
    <w:rsid w:val="00411873"/>
    <w:rsid w:val="00411D43"/>
    <w:rsid w:val="004121DC"/>
    <w:rsid w:val="004122D2"/>
    <w:rsid w:val="004125BA"/>
    <w:rsid w:val="00412863"/>
    <w:rsid w:val="004134AD"/>
    <w:rsid w:val="0041372A"/>
    <w:rsid w:val="00413FBC"/>
    <w:rsid w:val="00413FE9"/>
    <w:rsid w:val="00414465"/>
    <w:rsid w:val="004145B8"/>
    <w:rsid w:val="00414B9B"/>
    <w:rsid w:val="00414D25"/>
    <w:rsid w:val="00414FB6"/>
    <w:rsid w:val="00415130"/>
    <w:rsid w:val="004151FE"/>
    <w:rsid w:val="004153C6"/>
    <w:rsid w:val="00415E30"/>
    <w:rsid w:val="00416126"/>
    <w:rsid w:val="0041636F"/>
    <w:rsid w:val="0041652E"/>
    <w:rsid w:val="00417B26"/>
    <w:rsid w:val="00417C6E"/>
    <w:rsid w:val="00420402"/>
    <w:rsid w:val="0042114E"/>
    <w:rsid w:val="004215DC"/>
    <w:rsid w:val="00421BC2"/>
    <w:rsid w:val="004222A3"/>
    <w:rsid w:val="00422343"/>
    <w:rsid w:val="00422AFA"/>
    <w:rsid w:val="0042389C"/>
    <w:rsid w:val="00423964"/>
    <w:rsid w:val="00423C42"/>
    <w:rsid w:val="004240CA"/>
    <w:rsid w:val="00424563"/>
    <w:rsid w:val="004247D1"/>
    <w:rsid w:val="004248E9"/>
    <w:rsid w:val="00424F75"/>
    <w:rsid w:val="00424F92"/>
    <w:rsid w:val="00425285"/>
    <w:rsid w:val="00425287"/>
    <w:rsid w:val="0042532D"/>
    <w:rsid w:val="004255B7"/>
    <w:rsid w:val="004256DD"/>
    <w:rsid w:val="004258E1"/>
    <w:rsid w:val="004263FF"/>
    <w:rsid w:val="0042687D"/>
    <w:rsid w:val="00426D62"/>
    <w:rsid w:val="004271FF"/>
    <w:rsid w:val="004273D2"/>
    <w:rsid w:val="00427455"/>
    <w:rsid w:val="004274AB"/>
    <w:rsid w:val="00427BA1"/>
    <w:rsid w:val="0043094D"/>
    <w:rsid w:val="00430AE8"/>
    <w:rsid w:val="00430CD8"/>
    <w:rsid w:val="00430DB4"/>
    <w:rsid w:val="004310B3"/>
    <w:rsid w:val="004328BF"/>
    <w:rsid w:val="00432B6B"/>
    <w:rsid w:val="00433942"/>
    <w:rsid w:val="00433F0A"/>
    <w:rsid w:val="00433F11"/>
    <w:rsid w:val="0043449D"/>
    <w:rsid w:val="00434AA0"/>
    <w:rsid w:val="00435597"/>
    <w:rsid w:val="0043588F"/>
    <w:rsid w:val="00435D52"/>
    <w:rsid w:val="00435DD7"/>
    <w:rsid w:val="00436069"/>
    <w:rsid w:val="0043636D"/>
    <w:rsid w:val="0043681B"/>
    <w:rsid w:val="00436955"/>
    <w:rsid w:val="00436FD2"/>
    <w:rsid w:val="0043702E"/>
    <w:rsid w:val="00437649"/>
    <w:rsid w:val="004402B5"/>
    <w:rsid w:val="0044070E"/>
    <w:rsid w:val="004409A6"/>
    <w:rsid w:val="00440E98"/>
    <w:rsid w:val="004411C4"/>
    <w:rsid w:val="0044127F"/>
    <w:rsid w:val="00441445"/>
    <w:rsid w:val="00441C56"/>
    <w:rsid w:val="00441D2E"/>
    <w:rsid w:val="004428A8"/>
    <w:rsid w:val="004429EF"/>
    <w:rsid w:val="00443297"/>
    <w:rsid w:val="00443624"/>
    <w:rsid w:val="004437C0"/>
    <w:rsid w:val="004438F9"/>
    <w:rsid w:val="0044413E"/>
    <w:rsid w:val="00444294"/>
    <w:rsid w:val="004449C6"/>
    <w:rsid w:val="00445170"/>
    <w:rsid w:val="0044570C"/>
    <w:rsid w:val="00445ABA"/>
    <w:rsid w:val="00445D3B"/>
    <w:rsid w:val="00446064"/>
    <w:rsid w:val="00446501"/>
    <w:rsid w:val="00446A55"/>
    <w:rsid w:val="00446B4B"/>
    <w:rsid w:val="00446DC8"/>
    <w:rsid w:val="00446DFB"/>
    <w:rsid w:val="00446E7A"/>
    <w:rsid w:val="00446F2C"/>
    <w:rsid w:val="00447190"/>
    <w:rsid w:val="0044752E"/>
    <w:rsid w:val="0044780B"/>
    <w:rsid w:val="00447F42"/>
    <w:rsid w:val="004508B9"/>
    <w:rsid w:val="00450DFF"/>
    <w:rsid w:val="00450E08"/>
    <w:rsid w:val="004517EC"/>
    <w:rsid w:val="0045228F"/>
    <w:rsid w:val="0045244C"/>
    <w:rsid w:val="004534DB"/>
    <w:rsid w:val="00453553"/>
    <w:rsid w:val="0045365A"/>
    <w:rsid w:val="00453A99"/>
    <w:rsid w:val="00453B3A"/>
    <w:rsid w:val="00453BD9"/>
    <w:rsid w:val="00453CC1"/>
    <w:rsid w:val="00454766"/>
    <w:rsid w:val="00455152"/>
    <w:rsid w:val="004552EB"/>
    <w:rsid w:val="00455493"/>
    <w:rsid w:val="004565C6"/>
    <w:rsid w:val="00457327"/>
    <w:rsid w:val="00457388"/>
    <w:rsid w:val="00457D68"/>
    <w:rsid w:val="00457D94"/>
    <w:rsid w:val="00460105"/>
    <w:rsid w:val="00460106"/>
    <w:rsid w:val="00460217"/>
    <w:rsid w:val="0046045C"/>
    <w:rsid w:val="00460695"/>
    <w:rsid w:val="00460B63"/>
    <w:rsid w:val="00460B85"/>
    <w:rsid w:val="0046124A"/>
    <w:rsid w:val="004612F0"/>
    <w:rsid w:val="0046133D"/>
    <w:rsid w:val="004616D8"/>
    <w:rsid w:val="00461AC2"/>
    <w:rsid w:val="00461C38"/>
    <w:rsid w:val="0046220D"/>
    <w:rsid w:val="00462750"/>
    <w:rsid w:val="00463588"/>
    <w:rsid w:val="0046389B"/>
    <w:rsid w:val="00463E55"/>
    <w:rsid w:val="00463FAD"/>
    <w:rsid w:val="004648F8"/>
    <w:rsid w:val="00464F43"/>
    <w:rsid w:val="00464F8A"/>
    <w:rsid w:val="0046593E"/>
    <w:rsid w:val="00465B66"/>
    <w:rsid w:val="00465DD3"/>
    <w:rsid w:val="0046632B"/>
    <w:rsid w:val="00466863"/>
    <w:rsid w:val="004669C7"/>
    <w:rsid w:val="00466BD3"/>
    <w:rsid w:val="00466FEE"/>
    <w:rsid w:val="00467230"/>
    <w:rsid w:val="0046729F"/>
    <w:rsid w:val="00467725"/>
    <w:rsid w:val="004700F3"/>
    <w:rsid w:val="00470121"/>
    <w:rsid w:val="004702D3"/>
    <w:rsid w:val="00470440"/>
    <w:rsid w:val="00470B68"/>
    <w:rsid w:val="00471544"/>
    <w:rsid w:val="00471561"/>
    <w:rsid w:val="00471E2E"/>
    <w:rsid w:val="004726F7"/>
    <w:rsid w:val="00472931"/>
    <w:rsid w:val="00472939"/>
    <w:rsid w:val="00472B5B"/>
    <w:rsid w:val="00472C31"/>
    <w:rsid w:val="00472FE6"/>
    <w:rsid w:val="00473743"/>
    <w:rsid w:val="0047377A"/>
    <w:rsid w:val="00473FF0"/>
    <w:rsid w:val="004741DA"/>
    <w:rsid w:val="004743D6"/>
    <w:rsid w:val="004746D1"/>
    <w:rsid w:val="00474B3E"/>
    <w:rsid w:val="00474E8A"/>
    <w:rsid w:val="00475014"/>
    <w:rsid w:val="00475099"/>
    <w:rsid w:val="00475534"/>
    <w:rsid w:val="004756C2"/>
    <w:rsid w:val="0047572C"/>
    <w:rsid w:val="0047579C"/>
    <w:rsid w:val="004761D1"/>
    <w:rsid w:val="00476224"/>
    <w:rsid w:val="004763C5"/>
    <w:rsid w:val="00476570"/>
    <w:rsid w:val="00476BE7"/>
    <w:rsid w:val="00477116"/>
    <w:rsid w:val="00477D2E"/>
    <w:rsid w:val="00477FC4"/>
    <w:rsid w:val="0048000F"/>
    <w:rsid w:val="00480037"/>
    <w:rsid w:val="004800FD"/>
    <w:rsid w:val="00480126"/>
    <w:rsid w:val="0048045B"/>
    <w:rsid w:val="00480656"/>
    <w:rsid w:val="00480F03"/>
    <w:rsid w:val="004816DC"/>
    <w:rsid w:val="00481BC4"/>
    <w:rsid w:val="00481BD1"/>
    <w:rsid w:val="004822C5"/>
    <w:rsid w:val="004822D2"/>
    <w:rsid w:val="004826AF"/>
    <w:rsid w:val="00482D0F"/>
    <w:rsid w:val="00483590"/>
    <w:rsid w:val="0048393B"/>
    <w:rsid w:val="00483980"/>
    <w:rsid w:val="00484287"/>
    <w:rsid w:val="0048442D"/>
    <w:rsid w:val="004848FB"/>
    <w:rsid w:val="00484917"/>
    <w:rsid w:val="004849E7"/>
    <w:rsid w:val="00484B7B"/>
    <w:rsid w:val="00484C57"/>
    <w:rsid w:val="00484C6D"/>
    <w:rsid w:val="00485173"/>
    <w:rsid w:val="00485D21"/>
    <w:rsid w:val="00485E4D"/>
    <w:rsid w:val="00485E5D"/>
    <w:rsid w:val="004864AE"/>
    <w:rsid w:val="00486658"/>
    <w:rsid w:val="00487471"/>
    <w:rsid w:val="004877D8"/>
    <w:rsid w:val="00487B6A"/>
    <w:rsid w:val="0049018F"/>
    <w:rsid w:val="00490467"/>
    <w:rsid w:val="0049086D"/>
    <w:rsid w:val="00490FC7"/>
    <w:rsid w:val="004911D4"/>
    <w:rsid w:val="00491351"/>
    <w:rsid w:val="004917A7"/>
    <w:rsid w:val="0049198C"/>
    <w:rsid w:val="00492007"/>
    <w:rsid w:val="00492069"/>
    <w:rsid w:val="0049290F"/>
    <w:rsid w:val="004929AB"/>
    <w:rsid w:val="00492CFE"/>
    <w:rsid w:val="00492D52"/>
    <w:rsid w:val="00493792"/>
    <w:rsid w:val="00494C21"/>
    <w:rsid w:val="00494CCD"/>
    <w:rsid w:val="00494D1C"/>
    <w:rsid w:val="00494D39"/>
    <w:rsid w:val="00494D87"/>
    <w:rsid w:val="00494D91"/>
    <w:rsid w:val="00495368"/>
    <w:rsid w:val="004955D8"/>
    <w:rsid w:val="00495732"/>
    <w:rsid w:val="0049577A"/>
    <w:rsid w:val="004957FB"/>
    <w:rsid w:val="00495ADF"/>
    <w:rsid w:val="00495E66"/>
    <w:rsid w:val="00495EE4"/>
    <w:rsid w:val="0049609C"/>
    <w:rsid w:val="0049644F"/>
    <w:rsid w:val="004964BE"/>
    <w:rsid w:val="004966B1"/>
    <w:rsid w:val="00496FF3"/>
    <w:rsid w:val="004971B6"/>
    <w:rsid w:val="00497247"/>
    <w:rsid w:val="00497483"/>
    <w:rsid w:val="00497BC9"/>
    <w:rsid w:val="004A00AB"/>
    <w:rsid w:val="004A090F"/>
    <w:rsid w:val="004A0AB4"/>
    <w:rsid w:val="004A0DA8"/>
    <w:rsid w:val="004A0EFF"/>
    <w:rsid w:val="004A10F2"/>
    <w:rsid w:val="004A1646"/>
    <w:rsid w:val="004A1A5B"/>
    <w:rsid w:val="004A1C40"/>
    <w:rsid w:val="004A1E61"/>
    <w:rsid w:val="004A1F12"/>
    <w:rsid w:val="004A259C"/>
    <w:rsid w:val="004A26C8"/>
    <w:rsid w:val="004A271B"/>
    <w:rsid w:val="004A2A93"/>
    <w:rsid w:val="004A2FF8"/>
    <w:rsid w:val="004A3260"/>
    <w:rsid w:val="004A3348"/>
    <w:rsid w:val="004A3372"/>
    <w:rsid w:val="004A3470"/>
    <w:rsid w:val="004A3715"/>
    <w:rsid w:val="004A3866"/>
    <w:rsid w:val="004A3D39"/>
    <w:rsid w:val="004A4116"/>
    <w:rsid w:val="004A4847"/>
    <w:rsid w:val="004A4915"/>
    <w:rsid w:val="004A5079"/>
    <w:rsid w:val="004A50A3"/>
    <w:rsid w:val="004A53E8"/>
    <w:rsid w:val="004A5434"/>
    <w:rsid w:val="004A5471"/>
    <w:rsid w:val="004A550D"/>
    <w:rsid w:val="004A57AC"/>
    <w:rsid w:val="004A5958"/>
    <w:rsid w:val="004A64C9"/>
    <w:rsid w:val="004A65FF"/>
    <w:rsid w:val="004A6699"/>
    <w:rsid w:val="004A673C"/>
    <w:rsid w:val="004B04AB"/>
    <w:rsid w:val="004B08FC"/>
    <w:rsid w:val="004B0DAD"/>
    <w:rsid w:val="004B0DB9"/>
    <w:rsid w:val="004B10EE"/>
    <w:rsid w:val="004B1846"/>
    <w:rsid w:val="004B1A0B"/>
    <w:rsid w:val="004B1E86"/>
    <w:rsid w:val="004B1FB9"/>
    <w:rsid w:val="004B2011"/>
    <w:rsid w:val="004B22F9"/>
    <w:rsid w:val="004B25EF"/>
    <w:rsid w:val="004B2681"/>
    <w:rsid w:val="004B283F"/>
    <w:rsid w:val="004B2AC1"/>
    <w:rsid w:val="004B2D39"/>
    <w:rsid w:val="004B2F17"/>
    <w:rsid w:val="004B2FC9"/>
    <w:rsid w:val="004B3153"/>
    <w:rsid w:val="004B3653"/>
    <w:rsid w:val="004B3922"/>
    <w:rsid w:val="004B396B"/>
    <w:rsid w:val="004B42F6"/>
    <w:rsid w:val="004B4720"/>
    <w:rsid w:val="004B4C0D"/>
    <w:rsid w:val="004B4F56"/>
    <w:rsid w:val="004B5683"/>
    <w:rsid w:val="004B5A96"/>
    <w:rsid w:val="004B5AC7"/>
    <w:rsid w:val="004B5CB8"/>
    <w:rsid w:val="004B5D02"/>
    <w:rsid w:val="004B5D40"/>
    <w:rsid w:val="004B5D7A"/>
    <w:rsid w:val="004B6427"/>
    <w:rsid w:val="004B660B"/>
    <w:rsid w:val="004B6907"/>
    <w:rsid w:val="004B697F"/>
    <w:rsid w:val="004B7724"/>
    <w:rsid w:val="004B7C35"/>
    <w:rsid w:val="004C0297"/>
    <w:rsid w:val="004C035F"/>
    <w:rsid w:val="004C03BC"/>
    <w:rsid w:val="004C0419"/>
    <w:rsid w:val="004C0750"/>
    <w:rsid w:val="004C0A02"/>
    <w:rsid w:val="004C0F35"/>
    <w:rsid w:val="004C1089"/>
    <w:rsid w:val="004C1427"/>
    <w:rsid w:val="004C18F6"/>
    <w:rsid w:val="004C1BA2"/>
    <w:rsid w:val="004C1C6A"/>
    <w:rsid w:val="004C1E7C"/>
    <w:rsid w:val="004C1EFB"/>
    <w:rsid w:val="004C2187"/>
    <w:rsid w:val="004C24C8"/>
    <w:rsid w:val="004C2FEC"/>
    <w:rsid w:val="004C33DF"/>
    <w:rsid w:val="004C487F"/>
    <w:rsid w:val="004C4C01"/>
    <w:rsid w:val="004C4C82"/>
    <w:rsid w:val="004C4E18"/>
    <w:rsid w:val="004C4F00"/>
    <w:rsid w:val="004C5188"/>
    <w:rsid w:val="004C5B7C"/>
    <w:rsid w:val="004C5C6B"/>
    <w:rsid w:val="004C622B"/>
    <w:rsid w:val="004C6447"/>
    <w:rsid w:val="004C6572"/>
    <w:rsid w:val="004C6818"/>
    <w:rsid w:val="004C6B4D"/>
    <w:rsid w:val="004C6FBF"/>
    <w:rsid w:val="004C71DF"/>
    <w:rsid w:val="004C725B"/>
    <w:rsid w:val="004C7779"/>
    <w:rsid w:val="004C7EA4"/>
    <w:rsid w:val="004D045F"/>
    <w:rsid w:val="004D07BE"/>
    <w:rsid w:val="004D0BA4"/>
    <w:rsid w:val="004D10CE"/>
    <w:rsid w:val="004D1324"/>
    <w:rsid w:val="004D19DA"/>
    <w:rsid w:val="004D1BCF"/>
    <w:rsid w:val="004D1D3B"/>
    <w:rsid w:val="004D1D6C"/>
    <w:rsid w:val="004D21FF"/>
    <w:rsid w:val="004D25F5"/>
    <w:rsid w:val="004D2D22"/>
    <w:rsid w:val="004D2E48"/>
    <w:rsid w:val="004D2F92"/>
    <w:rsid w:val="004D310A"/>
    <w:rsid w:val="004D31F0"/>
    <w:rsid w:val="004D355B"/>
    <w:rsid w:val="004D3747"/>
    <w:rsid w:val="004D39E8"/>
    <w:rsid w:val="004D39FE"/>
    <w:rsid w:val="004D401C"/>
    <w:rsid w:val="004D44BD"/>
    <w:rsid w:val="004D46EF"/>
    <w:rsid w:val="004D479F"/>
    <w:rsid w:val="004D4B94"/>
    <w:rsid w:val="004D4CCA"/>
    <w:rsid w:val="004D598F"/>
    <w:rsid w:val="004D6213"/>
    <w:rsid w:val="004D6988"/>
    <w:rsid w:val="004D707A"/>
    <w:rsid w:val="004D71A0"/>
    <w:rsid w:val="004D7225"/>
    <w:rsid w:val="004D7566"/>
    <w:rsid w:val="004D7BD6"/>
    <w:rsid w:val="004D7C8B"/>
    <w:rsid w:val="004E011D"/>
    <w:rsid w:val="004E02EF"/>
    <w:rsid w:val="004E054A"/>
    <w:rsid w:val="004E090F"/>
    <w:rsid w:val="004E0A92"/>
    <w:rsid w:val="004E1697"/>
    <w:rsid w:val="004E173B"/>
    <w:rsid w:val="004E1D13"/>
    <w:rsid w:val="004E1D4A"/>
    <w:rsid w:val="004E1D50"/>
    <w:rsid w:val="004E1E28"/>
    <w:rsid w:val="004E1EAC"/>
    <w:rsid w:val="004E2208"/>
    <w:rsid w:val="004E2680"/>
    <w:rsid w:val="004E2839"/>
    <w:rsid w:val="004E2C15"/>
    <w:rsid w:val="004E31FE"/>
    <w:rsid w:val="004E3772"/>
    <w:rsid w:val="004E3950"/>
    <w:rsid w:val="004E4160"/>
    <w:rsid w:val="004E4D3A"/>
    <w:rsid w:val="004E4D4F"/>
    <w:rsid w:val="004E4F8B"/>
    <w:rsid w:val="004E55BF"/>
    <w:rsid w:val="004E5890"/>
    <w:rsid w:val="004E6217"/>
    <w:rsid w:val="004E680B"/>
    <w:rsid w:val="004E6B00"/>
    <w:rsid w:val="004E7031"/>
    <w:rsid w:val="004E711A"/>
    <w:rsid w:val="004E7220"/>
    <w:rsid w:val="004E75BB"/>
    <w:rsid w:val="004E7A09"/>
    <w:rsid w:val="004E7B8D"/>
    <w:rsid w:val="004F0072"/>
    <w:rsid w:val="004F016E"/>
    <w:rsid w:val="004F0398"/>
    <w:rsid w:val="004F054A"/>
    <w:rsid w:val="004F0C8E"/>
    <w:rsid w:val="004F0CE8"/>
    <w:rsid w:val="004F0F0F"/>
    <w:rsid w:val="004F1208"/>
    <w:rsid w:val="004F16F1"/>
    <w:rsid w:val="004F16F9"/>
    <w:rsid w:val="004F1842"/>
    <w:rsid w:val="004F1939"/>
    <w:rsid w:val="004F1963"/>
    <w:rsid w:val="004F1BD9"/>
    <w:rsid w:val="004F1F8B"/>
    <w:rsid w:val="004F2322"/>
    <w:rsid w:val="004F24CC"/>
    <w:rsid w:val="004F2EB9"/>
    <w:rsid w:val="004F331A"/>
    <w:rsid w:val="004F3931"/>
    <w:rsid w:val="004F41A0"/>
    <w:rsid w:val="004F4252"/>
    <w:rsid w:val="004F4475"/>
    <w:rsid w:val="004F4507"/>
    <w:rsid w:val="004F4891"/>
    <w:rsid w:val="004F4E72"/>
    <w:rsid w:val="004F4FE3"/>
    <w:rsid w:val="004F5757"/>
    <w:rsid w:val="004F5A26"/>
    <w:rsid w:val="004F5BCB"/>
    <w:rsid w:val="004F6350"/>
    <w:rsid w:val="004F6BA8"/>
    <w:rsid w:val="004F6C74"/>
    <w:rsid w:val="004F703B"/>
    <w:rsid w:val="004F79A4"/>
    <w:rsid w:val="004F7DE3"/>
    <w:rsid w:val="005000A9"/>
    <w:rsid w:val="0050071D"/>
    <w:rsid w:val="005009F7"/>
    <w:rsid w:val="00500A9C"/>
    <w:rsid w:val="00500B61"/>
    <w:rsid w:val="00500EAB"/>
    <w:rsid w:val="00501394"/>
    <w:rsid w:val="00501542"/>
    <w:rsid w:val="0050256B"/>
    <w:rsid w:val="00502FE4"/>
    <w:rsid w:val="0050367A"/>
    <w:rsid w:val="00503A64"/>
    <w:rsid w:val="00503A9C"/>
    <w:rsid w:val="00503AE4"/>
    <w:rsid w:val="00503E8F"/>
    <w:rsid w:val="0050449B"/>
    <w:rsid w:val="00504592"/>
    <w:rsid w:val="00504764"/>
    <w:rsid w:val="00504F1F"/>
    <w:rsid w:val="00505002"/>
    <w:rsid w:val="0050506F"/>
    <w:rsid w:val="005051B1"/>
    <w:rsid w:val="0050599E"/>
    <w:rsid w:val="005059FF"/>
    <w:rsid w:val="005061F8"/>
    <w:rsid w:val="0050631C"/>
    <w:rsid w:val="00506A60"/>
    <w:rsid w:val="00506E08"/>
    <w:rsid w:val="0050717B"/>
    <w:rsid w:val="005072A2"/>
    <w:rsid w:val="005075FA"/>
    <w:rsid w:val="00507E1D"/>
    <w:rsid w:val="00507EBA"/>
    <w:rsid w:val="00507ED1"/>
    <w:rsid w:val="00510346"/>
    <w:rsid w:val="00510773"/>
    <w:rsid w:val="005111DA"/>
    <w:rsid w:val="00511276"/>
    <w:rsid w:val="005114AA"/>
    <w:rsid w:val="00511788"/>
    <w:rsid w:val="00511EBE"/>
    <w:rsid w:val="00511EC3"/>
    <w:rsid w:val="00511F8A"/>
    <w:rsid w:val="00512884"/>
    <w:rsid w:val="005129B7"/>
    <w:rsid w:val="00512A7B"/>
    <w:rsid w:val="00512B77"/>
    <w:rsid w:val="00512D84"/>
    <w:rsid w:val="005130D3"/>
    <w:rsid w:val="00513305"/>
    <w:rsid w:val="0051348F"/>
    <w:rsid w:val="005134AA"/>
    <w:rsid w:val="00513DAE"/>
    <w:rsid w:val="00514237"/>
    <w:rsid w:val="005142BC"/>
    <w:rsid w:val="005142CA"/>
    <w:rsid w:val="0051474C"/>
    <w:rsid w:val="00514B92"/>
    <w:rsid w:val="00514D4C"/>
    <w:rsid w:val="00515874"/>
    <w:rsid w:val="00515A56"/>
    <w:rsid w:val="005160FF"/>
    <w:rsid w:val="0051631A"/>
    <w:rsid w:val="00516581"/>
    <w:rsid w:val="0051681C"/>
    <w:rsid w:val="00516B42"/>
    <w:rsid w:val="00516BAF"/>
    <w:rsid w:val="00517240"/>
    <w:rsid w:val="005176C2"/>
    <w:rsid w:val="00517CCC"/>
    <w:rsid w:val="00517D49"/>
    <w:rsid w:val="00517DBE"/>
    <w:rsid w:val="00520437"/>
    <w:rsid w:val="0052048F"/>
    <w:rsid w:val="00520791"/>
    <w:rsid w:val="00520C76"/>
    <w:rsid w:val="00520F13"/>
    <w:rsid w:val="00521108"/>
    <w:rsid w:val="00521EEE"/>
    <w:rsid w:val="00522729"/>
    <w:rsid w:val="005227D6"/>
    <w:rsid w:val="00522DFD"/>
    <w:rsid w:val="00522E83"/>
    <w:rsid w:val="005230BC"/>
    <w:rsid w:val="0052329F"/>
    <w:rsid w:val="00523CB2"/>
    <w:rsid w:val="005242DB"/>
    <w:rsid w:val="005243CC"/>
    <w:rsid w:val="005245AF"/>
    <w:rsid w:val="00524940"/>
    <w:rsid w:val="00525277"/>
    <w:rsid w:val="00525A4D"/>
    <w:rsid w:val="00525E40"/>
    <w:rsid w:val="00525E56"/>
    <w:rsid w:val="00526946"/>
    <w:rsid w:val="0052705C"/>
    <w:rsid w:val="005271CC"/>
    <w:rsid w:val="0052759C"/>
    <w:rsid w:val="005278D6"/>
    <w:rsid w:val="0052792A"/>
    <w:rsid w:val="00527AC4"/>
    <w:rsid w:val="00527E16"/>
    <w:rsid w:val="00527F4D"/>
    <w:rsid w:val="005301F8"/>
    <w:rsid w:val="005305F0"/>
    <w:rsid w:val="005307F1"/>
    <w:rsid w:val="00530A43"/>
    <w:rsid w:val="00530B7F"/>
    <w:rsid w:val="00530DED"/>
    <w:rsid w:val="00531139"/>
    <w:rsid w:val="005316DE"/>
    <w:rsid w:val="00531A82"/>
    <w:rsid w:val="00531AD3"/>
    <w:rsid w:val="00532220"/>
    <w:rsid w:val="00532D05"/>
    <w:rsid w:val="00532E9A"/>
    <w:rsid w:val="00533B98"/>
    <w:rsid w:val="005345BF"/>
    <w:rsid w:val="00534957"/>
    <w:rsid w:val="005366A4"/>
    <w:rsid w:val="0053689C"/>
    <w:rsid w:val="00536A43"/>
    <w:rsid w:val="00536DAD"/>
    <w:rsid w:val="00537182"/>
    <w:rsid w:val="00537298"/>
    <w:rsid w:val="0053753D"/>
    <w:rsid w:val="00537840"/>
    <w:rsid w:val="00540226"/>
    <w:rsid w:val="00540C01"/>
    <w:rsid w:val="00540C1C"/>
    <w:rsid w:val="00540D0D"/>
    <w:rsid w:val="00541677"/>
    <w:rsid w:val="00541897"/>
    <w:rsid w:val="00541FBF"/>
    <w:rsid w:val="00542106"/>
    <w:rsid w:val="00542205"/>
    <w:rsid w:val="005424B6"/>
    <w:rsid w:val="00542B0D"/>
    <w:rsid w:val="00542B43"/>
    <w:rsid w:val="00542C72"/>
    <w:rsid w:val="00543019"/>
    <w:rsid w:val="00543087"/>
    <w:rsid w:val="00543337"/>
    <w:rsid w:val="00544224"/>
    <w:rsid w:val="005443F6"/>
    <w:rsid w:val="0054499E"/>
    <w:rsid w:val="00544CA8"/>
    <w:rsid w:val="00544F8C"/>
    <w:rsid w:val="00545241"/>
    <w:rsid w:val="005452C7"/>
    <w:rsid w:val="00545D62"/>
    <w:rsid w:val="00545E18"/>
    <w:rsid w:val="005460CE"/>
    <w:rsid w:val="00546744"/>
    <w:rsid w:val="00547011"/>
    <w:rsid w:val="00547272"/>
    <w:rsid w:val="005477F3"/>
    <w:rsid w:val="00547F1C"/>
    <w:rsid w:val="00550049"/>
    <w:rsid w:val="005501BA"/>
    <w:rsid w:val="005502BB"/>
    <w:rsid w:val="0055048F"/>
    <w:rsid w:val="0055082B"/>
    <w:rsid w:val="00550E8D"/>
    <w:rsid w:val="00550F74"/>
    <w:rsid w:val="00550F85"/>
    <w:rsid w:val="005512A1"/>
    <w:rsid w:val="0055144E"/>
    <w:rsid w:val="00552506"/>
    <w:rsid w:val="00552FB4"/>
    <w:rsid w:val="005530B6"/>
    <w:rsid w:val="005532CD"/>
    <w:rsid w:val="00553B0A"/>
    <w:rsid w:val="00553E8B"/>
    <w:rsid w:val="00553F5F"/>
    <w:rsid w:val="00554842"/>
    <w:rsid w:val="00554A90"/>
    <w:rsid w:val="00554AD1"/>
    <w:rsid w:val="00554F51"/>
    <w:rsid w:val="00555792"/>
    <w:rsid w:val="00555890"/>
    <w:rsid w:val="005559CD"/>
    <w:rsid w:val="00555D9F"/>
    <w:rsid w:val="005567AA"/>
    <w:rsid w:val="005569F6"/>
    <w:rsid w:val="00556E7D"/>
    <w:rsid w:val="005572EF"/>
    <w:rsid w:val="00557AC3"/>
    <w:rsid w:val="00557BFA"/>
    <w:rsid w:val="00557E04"/>
    <w:rsid w:val="005601DC"/>
    <w:rsid w:val="005602A8"/>
    <w:rsid w:val="005606A8"/>
    <w:rsid w:val="005608DC"/>
    <w:rsid w:val="005609B4"/>
    <w:rsid w:val="00560C9F"/>
    <w:rsid w:val="0056173C"/>
    <w:rsid w:val="00561776"/>
    <w:rsid w:val="005619A8"/>
    <w:rsid w:val="00561A09"/>
    <w:rsid w:val="00561CF7"/>
    <w:rsid w:val="005623D4"/>
    <w:rsid w:val="00562751"/>
    <w:rsid w:val="00562A17"/>
    <w:rsid w:val="00562CC8"/>
    <w:rsid w:val="00563170"/>
    <w:rsid w:val="00563911"/>
    <w:rsid w:val="00563E8C"/>
    <w:rsid w:val="00563ECC"/>
    <w:rsid w:val="0056407D"/>
    <w:rsid w:val="00564DCF"/>
    <w:rsid w:val="00565745"/>
    <w:rsid w:val="00565828"/>
    <w:rsid w:val="0056598E"/>
    <w:rsid w:val="005667E2"/>
    <w:rsid w:val="00566C17"/>
    <w:rsid w:val="00566C6C"/>
    <w:rsid w:val="00566F71"/>
    <w:rsid w:val="00567857"/>
    <w:rsid w:val="00570146"/>
    <w:rsid w:val="005701AE"/>
    <w:rsid w:val="00570203"/>
    <w:rsid w:val="005703A8"/>
    <w:rsid w:val="0057097C"/>
    <w:rsid w:val="005712EC"/>
    <w:rsid w:val="00571388"/>
    <w:rsid w:val="00571775"/>
    <w:rsid w:val="00571C6D"/>
    <w:rsid w:val="00571E6C"/>
    <w:rsid w:val="00572230"/>
    <w:rsid w:val="005723D3"/>
    <w:rsid w:val="0057253C"/>
    <w:rsid w:val="00572614"/>
    <w:rsid w:val="00572DED"/>
    <w:rsid w:val="005733ED"/>
    <w:rsid w:val="0057367D"/>
    <w:rsid w:val="00574D10"/>
    <w:rsid w:val="00574E1F"/>
    <w:rsid w:val="00574EE8"/>
    <w:rsid w:val="00575008"/>
    <w:rsid w:val="005754C1"/>
    <w:rsid w:val="00575993"/>
    <w:rsid w:val="00575AAE"/>
    <w:rsid w:val="00575C83"/>
    <w:rsid w:val="00575D01"/>
    <w:rsid w:val="0057623D"/>
    <w:rsid w:val="005765A2"/>
    <w:rsid w:val="005768BD"/>
    <w:rsid w:val="00576AF5"/>
    <w:rsid w:val="00576B86"/>
    <w:rsid w:val="00576E4E"/>
    <w:rsid w:val="00576EC8"/>
    <w:rsid w:val="0057701D"/>
    <w:rsid w:val="00577956"/>
    <w:rsid w:val="00577BAD"/>
    <w:rsid w:val="005801DC"/>
    <w:rsid w:val="00580276"/>
    <w:rsid w:val="005803B1"/>
    <w:rsid w:val="0058047E"/>
    <w:rsid w:val="0058052D"/>
    <w:rsid w:val="00580665"/>
    <w:rsid w:val="005809F6"/>
    <w:rsid w:val="00580A28"/>
    <w:rsid w:val="00580ECD"/>
    <w:rsid w:val="00581428"/>
    <w:rsid w:val="00581476"/>
    <w:rsid w:val="005818A2"/>
    <w:rsid w:val="00581C63"/>
    <w:rsid w:val="005820F5"/>
    <w:rsid w:val="005827EF"/>
    <w:rsid w:val="00582A48"/>
    <w:rsid w:val="00582AF2"/>
    <w:rsid w:val="005831DB"/>
    <w:rsid w:val="0058370F"/>
    <w:rsid w:val="00583825"/>
    <w:rsid w:val="00583895"/>
    <w:rsid w:val="005840F9"/>
    <w:rsid w:val="00584A0E"/>
    <w:rsid w:val="00584E44"/>
    <w:rsid w:val="005851E5"/>
    <w:rsid w:val="00585480"/>
    <w:rsid w:val="00585D08"/>
    <w:rsid w:val="00585FFB"/>
    <w:rsid w:val="00586422"/>
    <w:rsid w:val="00586545"/>
    <w:rsid w:val="00586BCF"/>
    <w:rsid w:val="00586C9C"/>
    <w:rsid w:val="005870A8"/>
    <w:rsid w:val="005872EB"/>
    <w:rsid w:val="00587D8E"/>
    <w:rsid w:val="00587F3A"/>
    <w:rsid w:val="005904C6"/>
    <w:rsid w:val="005904F4"/>
    <w:rsid w:val="00590615"/>
    <w:rsid w:val="005907B1"/>
    <w:rsid w:val="00590A32"/>
    <w:rsid w:val="00590D66"/>
    <w:rsid w:val="00591423"/>
    <w:rsid w:val="00592807"/>
    <w:rsid w:val="00592D88"/>
    <w:rsid w:val="0059329E"/>
    <w:rsid w:val="0059333D"/>
    <w:rsid w:val="0059338A"/>
    <w:rsid w:val="0059348E"/>
    <w:rsid w:val="005939C2"/>
    <w:rsid w:val="005946CF"/>
    <w:rsid w:val="00594DFA"/>
    <w:rsid w:val="00595983"/>
    <w:rsid w:val="00595EB0"/>
    <w:rsid w:val="00595ED1"/>
    <w:rsid w:val="005960D9"/>
    <w:rsid w:val="00596386"/>
    <w:rsid w:val="005963C1"/>
    <w:rsid w:val="005965A4"/>
    <w:rsid w:val="0059676A"/>
    <w:rsid w:val="00596832"/>
    <w:rsid w:val="005969E0"/>
    <w:rsid w:val="00597011"/>
    <w:rsid w:val="00597301"/>
    <w:rsid w:val="0059754B"/>
    <w:rsid w:val="005979FE"/>
    <w:rsid w:val="005A06F8"/>
    <w:rsid w:val="005A07BA"/>
    <w:rsid w:val="005A07D3"/>
    <w:rsid w:val="005A1046"/>
    <w:rsid w:val="005A192D"/>
    <w:rsid w:val="005A268C"/>
    <w:rsid w:val="005A26E1"/>
    <w:rsid w:val="005A2739"/>
    <w:rsid w:val="005A276B"/>
    <w:rsid w:val="005A27D5"/>
    <w:rsid w:val="005A2CF5"/>
    <w:rsid w:val="005A2E46"/>
    <w:rsid w:val="005A2E69"/>
    <w:rsid w:val="005A2EDD"/>
    <w:rsid w:val="005A31D1"/>
    <w:rsid w:val="005A34CD"/>
    <w:rsid w:val="005A3A41"/>
    <w:rsid w:val="005A3A72"/>
    <w:rsid w:val="005A4483"/>
    <w:rsid w:val="005A54EA"/>
    <w:rsid w:val="005A5792"/>
    <w:rsid w:val="005A5A07"/>
    <w:rsid w:val="005A5BB6"/>
    <w:rsid w:val="005A5DCF"/>
    <w:rsid w:val="005A608F"/>
    <w:rsid w:val="005A698C"/>
    <w:rsid w:val="005A6D16"/>
    <w:rsid w:val="005A701A"/>
    <w:rsid w:val="005A7034"/>
    <w:rsid w:val="005A7602"/>
    <w:rsid w:val="005A7887"/>
    <w:rsid w:val="005A78BF"/>
    <w:rsid w:val="005A7999"/>
    <w:rsid w:val="005A7A38"/>
    <w:rsid w:val="005A7AF6"/>
    <w:rsid w:val="005B0208"/>
    <w:rsid w:val="005B07BF"/>
    <w:rsid w:val="005B0820"/>
    <w:rsid w:val="005B0A1A"/>
    <w:rsid w:val="005B0AFA"/>
    <w:rsid w:val="005B0EA8"/>
    <w:rsid w:val="005B1191"/>
    <w:rsid w:val="005B1433"/>
    <w:rsid w:val="005B14D1"/>
    <w:rsid w:val="005B197E"/>
    <w:rsid w:val="005B1BBB"/>
    <w:rsid w:val="005B1DD4"/>
    <w:rsid w:val="005B20A8"/>
    <w:rsid w:val="005B225F"/>
    <w:rsid w:val="005B283C"/>
    <w:rsid w:val="005B294B"/>
    <w:rsid w:val="005B2CB6"/>
    <w:rsid w:val="005B3224"/>
    <w:rsid w:val="005B33E3"/>
    <w:rsid w:val="005B341C"/>
    <w:rsid w:val="005B3742"/>
    <w:rsid w:val="005B37D2"/>
    <w:rsid w:val="005B3E51"/>
    <w:rsid w:val="005B3E9A"/>
    <w:rsid w:val="005B3FF6"/>
    <w:rsid w:val="005B6044"/>
    <w:rsid w:val="005B665F"/>
    <w:rsid w:val="005B6B08"/>
    <w:rsid w:val="005B6F9E"/>
    <w:rsid w:val="005B77C7"/>
    <w:rsid w:val="005B7F4C"/>
    <w:rsid w:val="005C00B1"/>
    <w:rsid w:val="005C0469"/>
    <w:rsid w:val="005C09D3"/>
    <w:rsid w:val="005C0AE9"/>
    <w:rsid w:val="005C0F0C"/>
    <w:rsid w:val="005C2553"/>
    <w:rsid w:val="005C3128"/>
    <w:rsid w:val="005C4137"/>
    <w:rsid w:val="005C45D8"/>
    <w:rsid w:val="005C4B63"/>
    <w:rsid w:val="005C4B82"/>
    <w:rsid w:val="005C4E23"/>
    <w:rsid w:val="005C5486"/>
    <w:rsid w:val="005C665C"/>
    <w:rsid w:val="005C66CF"/>
    <w:rsid w:val="005C69CE"/>
    <w:rsid w:val="005C6AA4"/>
    <w:rsid w:val="005C7355"/>
    <w:rsid w:val="005C78F4"/>
    <w:rsid w:val="005C7B51"/>
    <w:rsid w:val="005C7B64"/>
    <w:rsid w:val="005C7BA7"/>
    <w:rsid w:val="005C7E98"/>
    <w:rsid w:val="005D0109"/>
    <w:rsid w:val="005D03F4"/>
    <w:rsid w:val="005D057E"/>
    <w:rsid w:val="005D0712"/>
    <w:rsid w:val="005D10F2"/>
    <w:rsid w:val="005D1B6C"/>
    <w:rsid w:val="005D1CC2"/>
    <w:rsid w:val="005D1EBB"/>
    <w:rsid w:val="005D212C"/>
    <w:rsid w:val="005D2487"/>
    <w:rsid w:val="005D2917"/>
    <w:rsid w:val="005D2EE4"/>
    <w:rsid w:val="005D3002"/>
    <w:rsid w:val="005D335D"/>
    <w:rsid w:val="005D344B"/>
    <w:rsid w:val="005D3541"/>
    <w:rsid w:val="005D3F90"/>
    <w:rsid w:val="005D4188"/>
    <w:rsid w:val="005D43BE"/>
    <w:rsid w:val="005D44EF"/>
    <w:rsid w:val="005D4661"/>
    <w:rsid w:val="005D46A1"/>
    <w:rsid w:val="005D4CE7"/>
    <w:rsid w:val="005D4F63"/>
    <w:rsid w:val="005D5168"/>
    <w:rsid w:val="005D540A"/>
    <w:rsid w:val="005D5702"/>
    <w:rsid w:val="005D5731"/>
    <w:rsid w:val="005D578B"/>
    <w:rsid w:val="005D590D"/>
    <w:rsid w:val="005D5D4C"/>
    <w:rsid w:val="005D5EA9"/>
    <w:rsid w:val="005D60FB"/>
    <w:rsid w:val="005D61B1"/>
    <w:rsid w:val="005D64EB"/>
    <w:rsid w:val="005D6776"/>
    <w:rsid w:val="005D67FE"/>
    <w:rsid w:val="005D6AE7"/>
    <w:rsid w:val="005D7360"/>
    <w:rsid w:val="005D760B"/>
    <w:rsid w:val="005D76C9"/>
    <w:rsid w:val="005D788D"/>
    <w:rsid w:val="005D7A1A"/>
    <w:rsid w:val="005D7DD2"/>
    <w:rsid w:val="005E0738"/>
    <w:rsid w:val="005E0943"/>
    <w:rsid w:val="005E09D7"/>
    <w:rsid w:val="005E0BB2"/>
    <w:rsid w:val="005E0C2F"/>
    <w:rsid w:val="005E0D69"/>
    <w:rsid w:val="005E115F"/>
    <w:rsid w:val="005E1219"/>
    <w:rsid w:val="005E12B7"/>
    <w:rsid w:val="005E182B"/>
    <w:rsid w:val="005E1DE9"/>
    <w:rsid w:val="005E2283"/>
    <w:rsid w:val="005E27CE"/>
    <w:rsid w:val="005E2984"/>
    <w:rsid w:val="005E31A5"/>
    <w:rsid w:val="005E36DB"/>
    <w:rsid w:val="005E39D1"/>
    <w:rsid w:val="005E39F7"/>
    <w:rsid w:val="005E3B7A"/>
    <w:rsid w:val="005E433D"/>
    <w:rsid w:val="005E440F"/>
    <w:rsid w:val="005E452E"/>
    <w:rsid w:val="005E46A2"/>
    <w:rsid w:val="005E4771"/>
    <w:rsid w:val="005E4817"/>
    <w:rsid w:val="005E48A9"/>
    <w:rsid w:val="005E49A2"/>
    <w:rsid w:val="005E4D71"/>
    <w:rsid w:val="005E4DA6"/>
    <w:rsid w:val="005E4F5D"/>
    <w:rsid w:val="005E50C2"/>
    <w:rsid w:val="005E524C"/>
    <w:rsid w:val="005E5321"/>
    <w:rsid w:val="005E58AA"/>
    <w:rsid w:val="005E58BC"/>
    <w:rsid w:val="005E637C"/>
    <w:rsid w:val="005E63CB"/>
    <w:rsid w:val="005E6D6C"/>
    <w:rsid w:val="005E6F86"/>
    <w:rsid w:val="005E6FB9"/>
    <w:rsid w:val="005E7188"/>
    <w:rsid w:val="005E7243"/>
    <w:rsid w:val="005E72BC"/>
    <w:rsid w:val="005F0648"/>
    <w:rsid w:val="005F064F"/>
    <w:rsid w:val="005F071D"/>
    <w:rsid w:val="005F07D4"/>
    <w:rsid w:val="005F10CA"/>
    <w:rsid w:val="005F1250"/>
    <w:rsid w:val="005F12D0"/>
    <w:rsid w:val="005F14EE"/>
    <w:rsid w:val="005F1D4F"/>
    <w:rsid w:val="005F1D5E"/>
    <w:rsid w:val="005F2673"/>
    <w:rsid w:val="005F26EA"/>
    <w:rsid w:val="005F28B8"/>
    <w:rsid w:val="005F307B"/>
    <w:rsid w:val="005F32C4"/>
    <w:rsid w:val="005F32CB"/>
    <w:rsid w:val="005F3446"/>
    <w:rsid w:val="005F40D5"/>
    <w:rsid w:val="005F4403"/>
    <w:rsid w:val="005F4E59"/>
    <w:rsid w:val="005F4E93"/>
    <w:rsid w:val="005F502C"/>
    <w:rsid w:val="005F53D0"/>
    <w:rsid w:val="005F5444"/>
    <w:rsid w:val="005F589C"/>
    <w:rsid w:val="005F5B13"/>
    <w:rsid w:val="005F5D4D"/>
    <w:rsid w:val="005F5DFF"/>
    <w:rsid w:val="005F62F5"/>
    <w:rsid w:val="005F6E1D"/>
    <w:rsid w:val="005F74B0"/>
    <w:rsid w:val="005F74C5"/>
    <w:rsid w:val="005F7A94"/>
    <w:rsid w:val="006000A8"/>
    <w:rsid w:val="00600770"/>
    <w:rsid w:val="00600B85"/>
    <w:rsid w:val="00600BD4"/>
    <w:rsid w:val="006013DD"/>
    <w:rsid w:val="00601AEA"/>
    <w:rsid w:val="00601C22"/>
    <w:rsid w:val="00601F77"/>
    <w:rsid w:val="00602118"/>
    <w:rsid w:val="00602636"/>
    <w:rsid w:val="00602C30"/>
    <w:rsid w:val="00602F1B"/>
    <w:rsid w:val="0060312D"/>
    <w:rsid w:val="006033D1"/>
    <w:rsid w:val="00603FF3"/>
    <w:rsid w:val="006040D9"/>
    <w:rsid w:val="00604412"/>
    <w:rsid w:val="006044DB"/>
    <w:rsid w:val="0060473A"/>
    <w:rsid w:val="006047AF"/>
    <w:rsid w:val="00604F64"/>
    <w:rsid w:val="006051DE"/>
    <w:rsid w:val="00605200"/>
    <w:rsid w:val="00605789"/>
    <w:rsid w:val="006057F8"/>
    <w:rsid w:val="006058C6"/>
    <w:rsid w:val="00605930"/>
    <w:rsid w:val="00605C1E"/>
    <w:rsid w:val="00605F4D"/>
    <w:rsid w:val="00605FA1"/>
    <w:rsid w:val="00606247"/>
    <w:rsid w:val="006067EE"/>
    <w:rsid w:val="00606A51"/>
    <w:rsid w:val="00606A54"/>
    <w:rsid w:val="00606DC4"/>
    <w:rsid w:val="0060757F"/>
    <w:rsid w:val="00607787"/>
    <w:rsid w:val="00607BC2"/>
    <w:rsid w:val="00607CE4"/>
    <w:rsid w:val="00607DBB"/>
    <w:rsid w:val="00607FA4"/>
    <w:rsid w:val="00607FF3"/>
    <w:rsid w:val="006102AE"/>
    <w:rsid w:val="00610508"/>
    <w:rsid w:val="00610A3E"/>
    <w:rsid w:val="00610B24"/>
    <w:rsid w:val="00610B2A"/>
    <w:rsid w:val="00610BCB"/>
    <w:rsid w:val="006119AE"/>
    <w:rsid w:val="00611F14"/>
    <w:rsid w:val="00611FD5"/>
    <w:rsid w:val="0061221E"/>
    <w:rsid w:val="0061230C"/>
    <w:rsid w:val="006126D0"/>
    <w:rsid w:val="0061279B"/>
    <w:rsid w:val="00612818"/>
    <w:rsid w:val="00612932"/>
    <w:rsid w:val="0061298F"/>
    <w:rsid w:val="00612E88"/>
    <w:rsid w:val="006132D1"/>
    <w:rsid w:val="006141B1"/>
    <w:rsid w:val="006142E0"/>
    <w:rsid w:val="00614700"/>
    <w:rsid w:val="006154C4"/>
    <w:rsid w:val="00615C41"/>
    <w:rsid w:val="0061619B"/>
    <w:rsid w:val="006162CA"/>
    <w:rsid w:val="00616347"/>
    <w:rsid w:val="0061643C"/>
    <w:rsid w:val="006165F8"/>
    <w:rsid w:val="006167B2"/>
    <w:rsid w:val="0061689E"/>
    <w:rsid w:val="00616EC2"/>
    <w:rsid w:val="006172B4"/>
    <w:rsid w:val="00617908"/>
    <w:rsid w:val="00617C26"/>
    <w:rsid w:val="00617EF6"/>
    <w:rsid w:val="00620EDD"/>
    <w:rsid w:val="00621027"/>
    <w:rsid w:val="006211C8"/>
    <w:rsid w:val="006212C5"/>
    <w:rsid w:val="0062133A"/>
    <w:rsid w:val="0062136D"/>
    <w:rsid w:val="00621805"/>
    <w:rsid w:val="00621DBB"/>
    <w:rsid w:val="006222A4"/>
    <w:rsid w:val="00622CBF"/>
    <w:rsid w:val="00622F24"/>
    <w:rsid w:val="00623497"/>
    <w:rsid w:val="0062354F"/>
    <w:rsid w:val="00623F17"/>
    <w:rsid w:val="00623F40"/>
    <w:rsid w:val="00624168"/>
    <w:rsid w:val="0062427E"/>
    <w:rsid w:val="00624527"/>
    <w:rsid w:val="0062495F"/>
    <w:rsid w:val="006252A3"/>
    <w:rsid w:val="0062547D"/>
    <w:rsid w:val="0062579A"/>
    <w:rsid w:val="00625AC1"/>
    <w:rsid w:val="00625C9A"/>
    <w:rsid w:val="00625E80"/>
    <w:rsid w:val="0062602E"/>
    <w:rsid w:val="00626460"/>
    <w:rsid w:val="006269DC"/>
    <w:rsid w:val="00626A29"/>
    <w:rsid w:val="00626B90"/>
    <w:rsid w:val="00626EF1"/>
    <w:rsid w:val="00626FE5"/>
    <w:rsid w:val="00627669"/>
    <w:rsid w:val="00627ACC"/>
    <w:rsid w:val="00627F49"/>
    <w:rsid w:val="00630000"/>
    <w:rsid w:val="00630108"/>
    <w:rsid w:val="0063036C"/>
    <w:rsid w:val="006303B9"/>
    <w:rsid w:val="006306D4"/>
    <w:rsid w:val="006307CB"/>
    <w:rsid w:val="00630802"/>
    <w:rsid w:val="00630AB8"/>
    <w:rsid w:val="00630ED5"/>
    <w:rsid w:val="006318D1"/>
    <w:rsid w:val="00631A8A"/>
    <w:rsid w:val="00631AE5"/>
    <w:rsid w:val="0063294E"/>
    <w:rsid w:val="00632AF2"/>
    <w:rsid w:val="00632ECE"/>
    <w:rsid w:val="0063304C"/>
    <w:rsid w:val="006331A6"/>
    <w:rsid w:val="00633F02"/>
    <w:rsid w:val="0063427B"/>
    <w:rsid w:val="00634896"/>
    <w:rsid w:val="006351DA"/>
    <w:rsid w:val="006351F7"/>
    <w:rsid w:val="0063541C"/>
    <w:rsid w:val="00635423"/>
    <w:rsid w:val="006355CF"/>
    <w:rsid w:val="0063568D"/>
    <w:rsid w:val="00635D5F"/>
    <w:rsid w:val="006361D2"/>
    <w:rsid w:val="0063624D"/>
    <w:rsid w:val="00636784"/>
    <w:rsid w:val="00637391"/>
    <w:rsid w:val="006374CE"/>
    <w:rsid w:val="0063786D"/>
    <w:rsid w:val="00637877"/>
    <w:rsid w:val="006378CC"/>
    <w:rsid w:val="00637936"/>
    <w:rsid w:val="00637C4A"/>
    <w:rsid w:val="0064003E"/>
    <w:rsid w:val="006401D0"/>
    <w:rsid w:val="00640364"/>
    <w:rsid w:val="0064077C"/>
    <w:rsid w:val="00640CE0"/>
    <w:rsid w:val="00640F93"/>
    <w:rsid w:val="0064110A"/>
    <w:rsid w:val="00641525"/>
    <w:rsid w:val="00641566"/>
    <w:rsid w:val="00641C48"/>
    <w:rsid w:val="00641EA4"/>
    <w:rsid w:val="0064259A"/>
    <w:rsid w:val="0064281C"/>
    <w:rsid w:val="006429DC"/>
    <w:rsid w:val="00642C4C"/>
    <w:rsid w:val="00642DB9"/>
    <w:rsid w:val="0064319B"/>
    <w:rsid w:val="0064373F"/>
    <w:rsid w:val="006440A0"/>
    <w:rsid w:val="006440C2"/>
    <w:rsid w:val="00644129"/>
    <w:rsid w:val="0064432C"/>
    <w:rsid w:val="0064434B"/>
    <w:rsid w:val="00644582"/>
    <w:rsid w:val="006450FE"/>
    <w:rsid w:val="0064523B"/>
    <w:rsid w:val="006456D7"/>
    <w:rsid w:val="006456DE"/>
    <w:rsid w:val="00645BFF"/>
    <w:rsid w:val="00646375"/>
    <w:rsid w:val="006469C0"/>
    <w:rsid w:val="00646A29"/>
    <w:rsid w:val="00646DEE"/>
    <w:rsid w:val="00647103"/>
    <w:rsid w:val="0064719F"/>
    <w:rsid w:val="006479B4"/>
    <w:rsid w:val="00647BBF"/>
    <w:rsid w:val="006504C2"/>
    <w:rsid w:val="00650678"/>
    <w:rsid w:val="00650D3A"/>
    <w:rsid w:val="0065100F"/>
    <w:rsid w:val="00652210"/>
    <w:rsid w:val="006528E8"/>
    <w:rsid w:val="00652AB6"/>
    <w:rsid w:val="00652E72"/>
    <w:rsid w:val="00653B22"/>
    <w:rsid w:val="00653B5D"/>
    <w:rsid w:val="00653D3E"/>
    <w:rsid w:val="0065411E"/>
    <w:rsid w:val="00654DD3"/>
    <w:rsid w:val="00654E59"/>
    <w:rsid w:val="0065564B"/>
    <w:rsid w:val="00655A52"/>
    <w:rsid w:val="006562EB"/>
    <w:rsid w:val="0065647C"/>
    <w:rsid w:val="00656721"/>
    <w:rsid w:val="006567FB"/>
    <w:rsid w:val="006569CC"/>
    <w:rsid w:val="00656B9C"/>
    <w:rsid w:val="00656E58"/>
    <w:rsid w:val="00657591"/>
    <w:rsid w:val="00657674"/>
    <w:rsid w:val="0065779F"/>
    <w:rsid w:val="00657B19"/>
    <w:rsid w:val="00660587"/>
    <w:rsid w:val="006605F0"/>
    <w:rsid w:val="00660989"/>
    <w:rsid w:val="00660C86"/>
    <w:rsid w:val="00660DA5"/>
    <w:rsid w:val="0066146E"/>
    <w:rsid w:val="006614EB"/>
    <w:rsid w:val="00661685"/>
    <w:rsid w:val="00661F34"/>
    <w:rsid w:val="00662272"/>
    <w:rsid w:val="0066279A"/>
    <w:rsid w:val="00662918"/>
    <w:rsid w:val="00662990"/>
    <w:rsid w:val="00662FCC"/>
    <w:rsid w:val="006635EF"/>
    <w:rsid w:val="00663A6A"/>
    <w:rsid w:val="00663FD4"/>
    <w:rsid w:val="00663FE7"/>
    <w:rsid w:val="00664146"/>
    <w:rsid w:val="006647AF"/>
    <w:rsid w:val="00664BDD"/>
    <w:rsid w:val="0066537D"/>
    <w:rsid w:val="006653BE"/>
    <w:rsid w:val="006658BA"/>
    <w:rsid w:val="00665A04"/>
    <w:rsid w:val="00665A70"/>
    <w:rsid w:val="006661C0"/>
    <w:rsid w:val="006662A9"/>
    <w:rsid w:val="006664A8"/>
    <w:rsid w:val="00666A42"/>
    <w:rsid w:val="00666D70"/>
    <w:rsid w:val="00666FCC"/>
    <w:rsid w:val="006670ED"/>
    <w:rsid w:val="006677F5"/>
    <w:rsid w:val="00667D64"/>
    <w:rsid w:val="00670007"/>
    <w:rsid w:val="0067000D"/>
    <w:rsid w:val="006702B7"/>
    <w:rsid w:val="00670620"/>
    <w:rsid w:val="00671022"/>
    <w:rsid w:val="0067125A"/>
    <w:rsid w:val="00671466"/>
    <w:rsid w:val="006717F2"/>
    <w:rsid w:val="00671A49"/>
    <w:rsid w:val="00671AF0"/>
    <w:rsid w:val="00671D9F"/>
    <w:rsid w:val="006724AF"/>
    <w:rsid w:val="006727C4"/>
    <w:rsid w:val="0067291E"/>
    <w:rsid w:val="00672BF0"/>
    <w:rsid w:val="00672E79"/>
    <w:rsid w:val="00673B3F"/>
    <w:rsid w:val="0067405F"/>
    <w:rsid w:val="00674A0E"/>
    <w:rsid w:val="00674A7B"/>
    <w:rsid w:val="00674A90"/>
    <w:rsid w:val="00675001"/>
    <w:rsid w:val="006753F6"/>
    <w:rsid w:val="00675A0C"/>
    <w:rsid w:val="00675AEC"/>
    <w:rsid w:val="00676090"/>
    <w:rsid w:val="006762B9"/>
    <w:rsid w:val="006768A1"/>
    <w:rsid w:val="00676C38"/>
    <w:rsid w:val="00676D74"/>
    <w:rsid w:val="006774A1"/>
    <w:rsid w:val="006774B2"/>
    <w:rsid w:val="00677745"/>
    <w:rsid w:val="006779C9"/>
    <w:rsid w:val="00677DD4"/>
    <w:rsid w:val="00680049"/>
    <w:rsid w:val="006801C2"/>
    <w:rsid w:val="006802A1"/>
    <w:rsid w:val="006803EE"/>
    <w:rsid w:val="00680A4F"/>
    <w:rsid w:val="00681142"/>
    <w:rsid w:val="00681FA9"/>
    <w:rsid w:val="0068215D"/>
    <w:rsid w:val="006821B2"/>
    <w:rsid w:val="0068275D"/>
    <w:rsid w:val="0068280C"/>
    <w:rsid w:val="00682A06"/>
    <w:rsid w:val="0068322E"/>
    <w:rsid w:val="00683626"/>
    <w:rsid w:val="00683AC9"/>
    <w:rsid w:val="00683B26"/>
    <w:rsid w:val="00683CD1"/>
    <w:rsid w:val="00683E5E"/>
    <w:rsid w:val="00684826"/>
    <w:rsid w:val="00684927"/>
    <w:rsid w:val="00684991"/>
    <w:rsid w:val="00684ADC"/>
    <w:rsid w:val="00684CDB"/>
    <w:rsid w:val="00684F8D"/>
    <w:rsid w:val="00684FF0"/>
    <w:rsid w:val="0068572A"/>
    <w:rsid w:val="00685877"/>
    <w:rsid w:val="00685CD4"/>
    <w:rsid w:val="00685FBE"/>
    <w:rsid w:val="006864EB"/>
    <w:rsid w:val="0068739B"/>
    <w:rsid w:val="006873A0"/>
    <w:rsid w:val="00687559"/>
    <w:rsid w:val="00687A5E"/>
    <w:rsid w:val="00687AD4"/>
    <w:rsid w:val="00687B85"/>
    <w:rsid w:val="00687DED"/>
    <w:rsid w:val="00687F60"/>
    <w:rsid w:val="00690387"/>
    <w:rsid w:val="00690639"/>
    <w:rsid w:val="00690AF8"/>
    <w:rsid w:val="00690CC2"/>
    <w:rsid w:val="00690E3C"/>
    <w:rsid w:val="00690E9D"/>
    <w:rsid w:val="00691038"/>
    <w:rsid w:val="0069143A"/>
    <w:rsid w:val="00691581"/>
    <w:rsid w:val="00691905"/>
    <w:rsid w:val="0069193E"/>
    <w:rsid w:val="00691EC8"/>
    <w:rsid w:val="006922A0"/>
    <w:rsid w:val="006929CE"/>
    <w:rsid w:val="00692E90"/>
    <w:rsid w:val="006936D5"/>
    <w:rsid w:val="00693AC8"/>
    <w:rsid w:val="006941E8"/>
    <w:rsid w:val="00694B2E"/>
    <w:rsid w:val="006950ED"/>
    <w:rsid w:val="006957F4"/>
    <w:rsid w:val="00695E83"/>
    <w:rsid w:val="00695FB2"/>
    <w:rsid w:val="00696054"/>
    <w:rsid w:val="0069623F"/>
    <w:rsid w:val="0069625A"/>
    <w:rsid w:val="0069680E"/>
    <w:rsid w:val="00696E77"/>
    <w:rsid w:val="00696F3F"/>
    <w:rsid w:val="006970C6"/>
    <w:rsid w:val="00697235"/>
    <w:rsid w:val="00697836"/>
    <w:rsid w:val="006979D9"/>
    <w:rsid w:val="006A0084"/>
    <w:rsid w:val="006A03B9"/>
    <w:rsid w:val="006A0780"/>
    <w:rsid w:val="006A0B57"/>
    <w:rsid w:val="006A0FAB"/>
    <w:rsid w:val="006A12A4"/>
    <w:rsid w:val="006A194A"/>
    <w:rsid w:val="006A197A"/>
    <w:rsid w:val="006A2505"/>
    <w:rsid w:val="006A273D"/>
    <w:rsid w:val="006A274D"/>
    <w:rsid w:val="006A28D4"/>
    <w:rsid w:val="006A296E"/>
    <w:rsid w:val="006A32D2"/>
    <w:rsid w:val="006A3339"/>
    <w:rsid w:val="006A339F"/>
    <w:rsid w:val="006A348B"/>
    <w:rsid w:val="006A379F"/>
    <w:rsid w:val="006A3C32"/>
    <w:rsid w:val="006A40CA"/>
    <w:rsid w:val="006A4213"/>
    <w:rsid w:val="006A4344"/>
    <w:rsid w:val="006A4426"/>
    <w:rsid w:val="006A4469"/>
    <w:rsid w:val="006A4533"/>
    <w:rsid w:val="006A49E1"/>
    <w:rsid w:val="006A4A8F"/>
    <w:rsid w:val="006A5031"/>
    <w:rsid w:val="006A53A4"/>
    <w:rsid w:val="006A5433"/>
    <w:rsid w:val="006A56D1"/>
    <w:rsid w:val="006A5A9B"/>
    <w:rsid w:val="006A63B2"/>
    <w:rsid w:val="006A63ED"/>
    <w:rsid w:val="006A6445"/>
    <w:rsid w:val="006A6F2D"/>
    <w:rsid w:val="006A7867"/>
    <w:rsid w:val="006A7A8C"/>
    <w:rsid w:val="006AD27E"/>
    <w:rsid w:val="006B0026"/>
    <w:rsid w:val="006B0084"/>
    <w:rsid w:val="006B06AC"/>
    <w:rsid w:val="006B0DDB"/>
    <w:rsid w:val="006B1374"/>
    <w:rsid w:val="006B137D"/>
    <w:rsid w:val="006B1A31"/>
    <w:rsid w:val="006B1BE5"/>
    <w:rsid w:val="006B1D70"/>
    <w:rsid w:val="006B208B"/>
    <w:rsid w:val="006B20A6"/>
    <w:rsid w:val="006B2895"/>
    <w:rsid w:val="006B2947"/>
    <w:rsid w:val="006B32EA"/>
    <w:rsid w:val="006B3801"/>
    <w:rsid w:val="006B3DF9"/>
    <w:rsid w:val="006B3F14"/>
    <w:rsid w:val="006B44DF"/>
    <w:rsid w:val="006B4D1E"/>
    <w:rsid w:val="006B51CD"/>
    <w:rsid w:val="006B53CA"/>
    <w:rsid w:val="006B5AEA"/>
    <w:rsid w:val="006B5E69"/>
    <w:rsid w:val="006B5EDC"/>
    <w:rsid w:val="006B61DB"/>
    <w:rsid w:val="006B63AA"/>
    <w:rsid w:val="006B6506"/>
    <w:rsid w:val="006B65DB"/>
    <w:rsid w:val="006B6BCE"/>
    <w:rsid w:val="006B6CA7"/>
    <w:rsid w:val="006B7181"/>
    <w:rsid w:val="006B74EE"/>
    <w:rsid w:val="006B79D7"/>
    <w:rsid w:val="006B7B66"/>
    <w:rsid w:val="006B7F2F"/>
    <w:rsid w:val="006B7F68"/>
    <w:rsid w:val="006C02E1"/>
    <w:rsid w:val="006C035E"/>
    <w:rsid w:val="006C0493"/>
    <w:rsid w:val="006C07DA"/>
    <w:rsid w:val="006C0E66"/>
    <w:rsid w:val="006C11C7"/>
    <w:rsid w:val="006C12A0"/>
    <w:rsid w:val="006C1B32"/>
    <w:rsid w:val="006C1D43"/>
    <w:rsid w:val="006C1DB7"/>
    <w:rsid w:val="006C2118"/>
    <w:rsid w:val="006C213F"/>
    <w:rsid w:val="006C228D"/>
    <w:rsid w:val="006C2658"/>
    <w:rsid w:val="006C2A72"/>
    <w:rsid w:val="006C2E2E"/>
    <w:rsid w:val="006C4135"/>
    <w:rsid w:val="006C42E3"/>
    <w:rsid w:val="006C43EB"/>
    <w:rsid w:val="006C481C"/>
    <w:rsid w:val="006C4DC6"/>
    <w:rsid w:val="006C514D"/>
    <w:rsid w:val="006C52F1"/>
    <w:rsid w:val="006C55A7"/>
    <w:rsid w:val="006C5AC0"/>
    <w:rsid w:val="006C5D91"/>
    <w:rsid w:val="006C5DA0"/>
    <w:rsid w:val="006C5EAA"/>
    <w:rsid w:val="006C5FB3"/>
    <w:rsid w:val="006C60BE"/>
    <w:rsid w:val="006C6714"/>
    <w:rsid w:val="006C67D0"/>
    <w:rsid w:val="006C69AB"/>
    <w:rsid w:val="006C6C55"/>
    <w:rsid w:val="006C6D2D"/>
    <w:rsid w:val="006C7C12"/>
    <w:rsid w:val="006D0BFA"/>
    <w:rsid w:val="006D0D3B"/>
    <w:rsid w:val="006D0FF4"/>
    <w:rsid w:val="006D15A2"/>
    <w:rsid w:val="006D175E"/>
    <w:rsid w:val="006D1DB8"/>
    <w:rsid w:val="006D1DDB"/>
    <w:rsid w:val="006D278E"/>
    <w:rsid w:val="006D32D1"/>
    <w:rsid w:val="006D3691"/>
    <w:rsid w:val="006D3B48"/>
    <w:rsid w:val="006D43AE"/>
    <w:rsid w:val="006D4798"/>
    <w:rsid w:val="006D49C6"/>
    <w:rsid w:val="006D4D8B"/>
    <w:rsid w:val="006D4DB2"/>
    <w:rsid w:val="006D4F16"/>
    <w:rsid w:val="006D5078"/>
    <w:rsid w:val="006D50E9"/>
    <w:rsid w:val="006D51F3"/>
    <w:rsid w:val="006D5287"/>
    <w:rsid w:val="006D52E1"/>
    <w:rsid w:val="006D568B"/>
    <w:rsid w:val="006D5714"/>
    <w:rsid w:val="006D5878"/>
    <w:rsid w:val="006D5A03"/>
    <w:rsid w:val="006D5D5F"/>
    <w:rsid w:val="006D5F4A"/>
    <w:rsid w:val="006D61BF"/>
    <w:rsid w:val="006D6491"/>
    <w:rsid w:val="006D675C"/>
    <w:rsid w:val="006D79D9"/>
    <w:rsid w:val="006D7A73"/>
    <w:rsid w:val="006D7B44"/>
    <w:rsid w:val="006D7B7C"/>
    <w:rsid w:val="006D7C52"/>
    <w:rsid w:val="006D7EF3"/>
    <w:rsid w:val="006E006C"/>
    <w:rsid w:val="006E0BFA"/>
    <w:rsid w:val="006E1F40"/>
    <w:rsid w:val="006E2177"/>
    <w:rsid w:val="006E22A5"/>
    <w:rsid w:val="006E25B9"/>
    <w:rsid w:val="006E27F5"/>
    <w:rsid w:val="006E36F0"/>
    <w:rsid w:val="006E38D1"/>
    <w:rsid w:val="006E3FA6"/>
    <w:rsid w:val="006E4838"/>
    <w:rsid w:val="006E484C"/>
    <w:rsid w:val="006E55F9"/>
    <w:rsid w:val="006E5825"/>
    <w:rsid w:val="006E5C0A"/>
    <w:rsid w:val="006E5D1F"/>
    <w:rsid w:val="006E622F"/>
    <w:rsid w:val="006E6981"/>
    <w:rsid w:val="006E69AE"/>
    <w:rsid w:val="006E7106"/>
    <w:rsid w:val="006E750E"/>
    <w:rsid w:val="006E7808"/>
    <w:rsid w:val="006E7976"/>
    <w:rsid w:val="006F0272"/>
    <w:rsid w:val="006F085C"/>
    <w:rsid w:val="006F08C4"/>
    <w:rsid w:val="006F12CD"/>
    <w:rsid w:val="006F13B5"/>
    <w:rsid w:val="006F150B"/>
    <w:rsid w:val="006F1BDB"/>
    <w:rsid w:val="006F1F42"/>
    <w:rsid w:val="006F39FE"/>
    <w:rsid w:val="006F3A8D"/>
    <w:rsid w:val="006F3F4A"/>
    <w:rsid w:val="006F4131"/>
    <w:rsid w:val="006F4358"/>
    <w:rsid w:val="006F4887"/>
    <w:rsid w:val="006F4BA9"/>
    <w:rsid w:val="006F51D5"/>
    <w:rsid w:val="006F5255"/>
    <w:rsid w:val="006F53A9"/>
    <w:rsid w:val="006F5CA8"/>
    <w:rsid w:val="006F6174"/>
    <w:rsid w:val="006F654A"/>
    <w:rsid w:val="006F65CD"/>
    <w:rsid w:val="006F66CA"/>
    <w:rsid w:val="006F75C8"/>
    <w:rsid w:val="0070040F"/>
    <w:rsid w:val="00700A3F"/>
    <w:rsid w:val="00700AEC"/>
    <w:rsid w:val="00700BF6"/>
    <w:rsid w:val="00700C38"/>
    <w:rsid w:val="00700EB1"/>
    <w:rsid w:val="00701183"/>
    <w:rsid w:val="00701465"/>
    <w:rsid w:val="00701755"/>
    <w:rsid w:val="0070195B"/>
    <w:rsid w:val="00701B56"/>
    <w:rsid w:val="00701C34"/>
    <w:rsid w:val="00701F3C"/>
    <w:rsid w:val="00701F6D"/>
    <w:rsid w:val="007021A6"/>
    <w:rsid w:val="007023E8"/>
    <w:rsid w:val="00702562"/>
    <w:rsid w:val="00702840"/>
    <w:rsid w:val="00702AAE"/>
    <w:rsid w:val="00702AEB"/>
    <w:rsid w:val="00703460"/>
    <w:rsid w:val="007038E3"/>
    <w:rsid w:val="00703C56"/>
    <w:rsid w:val="007041CC"/>
    <w:rsid w:val="0070423C"/>
    <w:rsid w:val="00704331"/>
    <w:rsid w:val="0070452C"/>
    <w:rsid w:val="00704692"/>
    <w:rsid w:val="007049BA"/>
    <w:rsid w:val="00705586"/>
    <w:rsid w:val="007056A5"/>
    <w:rsid w:val="007057E0"/>
    <w:rsid w:val="007058B0"/>
    <w:rsid w:val="00705BD9"/>
    <w:rsid w:val="00706335"/>
    <w:rsid w:val="00706410"/>
    <w:rsid w:val="0070674B"/>
    <w:rsid w:val="00706DF1"/>
    <w:rsid w:val="00707699"/>
    <w:rsid w:val="00707931"/>
    <w:rsid w:val="00707A41"/>
    <w:rsid w:val="00707C37"/>
    <w:rsid w:val="0071001A"/>
    <w:rsid w:val="007102DE"/>
    <w:rsid w:val="0071049A"/>
    <w:rsid w:val="007105ED"/>
    <w:rsid w:val="00710D34"/>
    <w:rsid w:val="00711203"/>
    <w:rsid w:val="00711411"/>
    <w:rsid w:val="00712601"/>
    <w:rsid w:val="00712861"/>
    <w:rsid w:val="00712CA2"/>
    <w:rsid w:val="007130CA"/>
    <w:rsid w:val="00713595"/>
    <w:rsid w:val="0071372D"/>
    <w:rsid w:val="00714530"/>
    <w:rsid w:val="0071463C"/>
    <w:rsid w:val="007146A4"/>
    <w:rsid w:val="00715303"/>
    <w:rsid w:val="0071556D"/>
    <w:rsid w:val="007157F0"/>
    <w:rsid w:val="00715C50"/>
    <w:rsid w:val="00715E28"/>
    <w:rsid w:val="00715FAB"/>
    <w:rsid w:val="00716155"/>
    <w:rsid w:val="00716416"/>
    <w:rsid w:val="00716635"/>
    <w:rsid w:val="00716A4D"/>
    <w:rsid w:val="00717060"/>
    <w:rsid w:val="00717996"/>
    <w:rsid w:val="00717F05"/>
    <w:rsid w:val="007205E9"/>
    <w:rsid w:val="0072112C"/>
    <w:rsid w:val="007212BD"/>
    <w:rsid w:val="00721399"/>
    <w:rsid w:val="00721806"/>
    <w:rsid w:val="00721D5B"/>
    <w:rsid w:val="00722031"/>
    <w:rsid w:val="00722C6F"/>
    <w:rsid w:val="00722D7C"/>
    <w:rsid w:val="00722D8B"/>
    <w:rsid w:val="0072324E"/>
    <w:rsid w:val="0072383E"/>
    <w:rsid w:val="00723895"/>
    <w:rsid w:val="007238F6"/>
    <w:rsid w:val="00723C13"/>
    <w:rsid w:val="00723D07"/>
    <w:rsid w:val="00723E87"/>
    <w:rsid w:val="007240DD"/>
    <w:rsid w:val="007242B4"/>
    <w:rsid w:val="00724664"/>
    <w:rsid w:val="00724702"/>
    <w:rsid w:val="00724927"/>
    <w:rsid w:val="00724B7A"/>
    <w:rsid w:val="00724D96"/>
    <w:rsid w:val="00724FD1"/>
    <w:rsid w:val="00725A6A"/>
    <w:rsid w:val="00725B18"/>
    <w:rsid w:val="00725C73"/>
    <w:rsid w:val="007260AD"/>
    <w:rsid w:val="00726354"/>
    <w:rsid w:val="00726470"/>
    <w:rsid w:val="0072762B"/>
    <w:rsid w:val="00727B59"/>
    <w:rsid w:val="00727CB7"/>
    <w:rsid w:val="00727CCA"/>
    <w:rsid w:val="00727F1F"/>
    <w:rsid w:val="00730148"/>
    <w:rsid w:val="007302C4"/>
    <w:rsid w:val="0073098F"/>
    <w:rsid w:val="00730DCF"/>
    <w:rsid w:val="00730DFB"/>
    <w:rsid w:val="00730E92"/>
    <w:rsid w:val="0073106B"/>
    <w:rsid w:val="00731BDA"/>
    <w:rsid w:val="0073275D"/>
    <w:rsid w:val="00732CB5"/>
    <w:rsid w:val="00732E1D"/>
    <w:rsid w:val="00733656"/>
    <w:rsid w:val="00734888"/>
    <w:rsid w:val="00734918"/>
    <w:rsid w:val="00734E65"/>
    <w:rsid w:val="00734EDB"/>
    <w:rsid w:val="00735D01"/>
    <w:rsid w:val="0073603D"/>
    <w:rsid w:val="007360C1"/>
    <w:rsid w:val="007362CE"/>
    <w:rsid w:val="00736775"/>
    <w:rsid w:val="0073693C"/>
    <w:rsid w:val="00736DD8"/>
    <w:rsid w:val="00736E52"/>
    <w:rsid w:val="007378DA"/>
    <w:rsid w:val="007408B9"/>
    <w:rsid w:val="00740DFB"/>
    <w:rsid w:val="007412D8"/>
    <w:rsid w:val="00741BDE"/>
    <w:rsid w:val="00741C2D"/>
    <w:rsid w:val="00742190"/>
    <w:rsid w:val="007422FD"/>
    <w:rsid w:val="00742952"/>
    <w:rsid w:val="00742C5C"/>
    <w:rsid w:val="00742F7B"/>
    <w:rsid w:val="0074302C"/>
    <w:rsid w:val="00743554"/>
    <w:rsid w:val="00743684"/>
    <w:rsid w:val="00743E71"/>
    <w:rsid w:val="00744B3B"/>
    <w:rsid w:val="00744C97"/>
    <w:rsid w:val="007453EF"/>
    <w:rsid w:val="00745A06"/>
    <w:rsid w:val="00745EC3"/>
    <w:rsid w:val="00745EFC"/>
    <w:rsid w:val="007464A5"/>
    <w:rsid w:val="00746AAD"/>
    <w:rsid w:val="00746F95"/>
    <w:rsid w:val="007471BA"/>
    <w:rsid w:val="00747575"/>
    <w:rsid w:val="00747A5A"/>
    <w:rsid w:val="00747E8D"/>
    <w:rsid w:val="00750319"/>
    <w:rsid w:val="007506B8"/>
    <w:rsid w:val="0075089D"/>
    <w:rsid w:val="007508A4"/>
    <w:rsid w:val="007508B3"/>
    <w:rsid w:val="007509A4"/>
    <w:rsid w:val="00750ADD"/>
    <w:rsid w:val="00750DA9"/>
    <w:rsid w:val="00750F1D"/>
    <w:rsid w:val="007510F0"/>
    <w:rsid w:val="0075128C"/>
    <w:rsid w:val="0075144B"/>
    <w:rsid w:val="00751A95"/>
    <w:rsid w:val="00752543"/>
    <w:rsid w:val="007527DB"/>
    <w:rsid w:val="0075288A"/>
    <w:rsid w:val="00752999"/>
    <w:rsid w:val="00752DDA"/>
    <w:rsid w:val="00752F10"/>
    <w:rsid w:val="007533AB"/>
    <w:rsid w:val="007538C4"/>
    <w:rsid w:val="00753BBE"/>
    <w:rsid w:val="00754509"/>
    <w:rsid w:val="007548E4"/>
    <w:rsid w:val="00754A68"/>
    <w:rsid w:val="00754C78"/>
    <w:rsid w:val="00754DD9"/>
    <w:rsid w:val="00754E8B"/>
    <w:rsid w:val="00754F91"/>
    <w:rsid w:val="00755673"/>
    <w:rsid w:val="00755BF4"/>
    <w:rsid w:val="00755CBB"/>
    <w:rsid w:val="0075602D"/>
    <w:rsid w:val="007567D8"/>
    <w:rsid w:val="00756EEA"/>
    <w:rsid w:val="007607CE"/>
    <w:rsid w:val="00760F45"/>
    <w:rsid w:val="00761E70"/>
    <w:rsid w:val="00762673"/>
    <w:rsid w:val="0076277C"/>
    <w:rsid w:val="00762804"/>
    <w:rsid w:val="00762D49"/>
    <w:rsid w:val="007636E4"/>
    <w:rsid w:val="00763B12"/>
    <w:rsid w:val="00763D14"/>
    <w:rsid w:val="00763F98"/>
    <w:rsid w:val="0076431E"/>
    <w:rsid w:val="0076454A"/>
    <w:rsid w:val="00764638"/>
    <w:rsid w:val="007648BF"/>
    <w:rsid w:val="00764A92"/>
    <w:rsid w:val="00764C5F"/>
    <w:rsid w:val="007659C5"/>
    <w:rsid w:val="00765B00"/>
    <w:rsid w:val="00765BEB"/>
    <w:rsid w:val="007661DB"/>
    <w:rsid w:val="00766719"/>
    <w:rsid w:val="00766AC7"/>
    <w:rsid w:val="00767802"/>
    <w:rsid w:val="0076794E"/>
    <w:rsid w:val="00767964"/>
    <w:rsid w:val="00767C3D"/>
    <w:rsid w:val="00767E48"/>
    <w:rsid w:val="00770338"/>
    <w:rsid w:val="00770A50"/>
    <w:rsid w:val="00770AD7"/>
    <w:rsid w:val="007717E3"/>
    <w:rsid w:val="00771D96"/>
    <w:rsid w:val="00771F49"/>
    <w:rsid w:val="00771F5A"/>
    <w:rsid w:val="0077217B"/>
    <w:rsid w:val="00772381"/>
    <w:rsid w:val="00772511"/>
    <w:rsid w:val="007727D0"/>
    <w:rsid w:val="007728DC"/>
    <w:rsid w:val="00772B09"/>
    <w:rsid w:val="00772EB0"/>
    <w:rsid w:val="00772EB6"/>
    <w:rsid w:val="007732DA"/>
    <w:rsid w:val="00773380"/>
    <w:rsid w:val="007734F9"/>
    <w:rsid w:val="007735DF"/>
    <w:rsid w:val="0077376D"/>
    <w:rsid w:val="00773C2A"/>
    <w:rsid w:val="0077458A"/>
    <w:rsid w:val="00775709"/>
    <w:rsid w:val="00775C7F"/>
    <w:rsid w:val="00775C95"/>
    <w:rsid w:val="00775D55"/>
    <w:rsid w:val="00775F2F"/>
    <w:rsid w:val="00776320"/>
    <w:rsid w:val="00776398"/>
    <w:rsid w:val="007764FA"/>
    <w:rsid w:val="00776CE3"/>
    <w:rsid w:val="00776DEF"/>
    <w:rsid w:val="00776FFA"/>
    <w:rsid w:val="0077760E"/>
    <w:rsid w:val="0078073D"/>
    <w:rsid w:val="00780BDE"/>
    <w:rsid w:val="00780D99"/>
    <w:rsid w:val="00781038"/>
    <w:rsid w:val="007815D6"/>
    <w:rsid w:val="0078194D"/>
    <w:rsid w:val="0078198E"/>
    <w:rsid w:val="00781E70"/>
    <w:rsid w:val="00782192"/>
    <w:rsid w:val="00782378"/>
    <w:rsid w:val="007824C0"/>
    <w:rsid w:val="00783366"/>
    <w:rsid w:val="00783B71"/>
    <w:rsid w:val="00783B9D"/>
    <w:rsid w:val="00783E65"/>
    <w:rsid w:val="00783EA3"/>
    <w:rsid w:val="0078429F"/>
    <w:rsid w:val="007845B5"/>
    <w:rsid w:val="00784798"/>
    <w:rsid w:val="00784854"/>
    <w:rsid w:val="00784952"/>
    <w:rsid w:val="00785881"/>
    <w:rsid w:val="0078615C"/>
    <w:rsid w:val="00786204"/>
    <w:rsid w:val="0078762E"/>
    <w:rsid w:val="0078783C"/>
    <w:rsid w:val="007878D7"/>
    <w:rsid w:val="00787B9D"/>
    <w:rsid w:val="00787D8A"/>
    <w:rsid w:val="00787FB6"/>
    <w:rsid w:val="0079059F"/>
    <w:rsid w:val="00790876"/>
    <w:rsid w:val="00790A2B"/>
    <w:rsid w:val="00791000"/>
    <w:rsid w:val="007910FD"/>
    <w:rsid w:val="007911BC"/>
    <w:rsid w:val="007914B0"/>
    <w:rsid w:val="007914E8"/>
    <w:rsid w:val="00791A80"/>
    <w:rsid w:val="007920A9"/>
    <w:rsid w:val="007923DC"/>
    <w:rsid w:val="00792417"/>
    <w:rsid w:val="00793168"/>
    <w:rsid w:val="00793481"/>
    <w:rsid w:val="00793515"/>
    <w:rsid w:val="007936FB"/>
    <w:rsid w:val="00793F08"/>
    <w:rsid w:val="0079402A"/>
    <w:rsid w:val="007943A3"/>
    <w:rsid w:val="007946B4"/>
    <w:rsid w:val="00794B63"/>
    <w:rsid w:val="00794F2F"/>
    <w:rsid w:val="0079502E"/>
    <w:rsid w:val="007951D2"/>
    <w:rsid w:val="00795995"/>
    <w:rsid w:val="00795A99"/>
    <w:rsid w:val="00795EB5"/>
    <w:rsid w:val="00796700"/>
    <w:rsid w:val="00796B9E"/>
    <w:rsid w:val="00797053"/>
    <w:rsid w:val="007970C1"/>
    <w:rsid w:val="00797994"/>
    <w:rsid w:val="00797B25"/>
    <w:rsid w:val="00797C47"/>
    <w:rsid w:val="00797DDF"/>
    <w:rsid w:val="007A0076"/>
    <w:rsid w:val="007A018A"/>
    <w:rsid w:val="007A0C75"/>
    <w:rsid w:val="007A0CE6"/>
    <w:rsid w:val="007A0E83"/>
    <w:rsid w:val="007A0F34"/>
    <w:rsid w:val="007A1110"/>
    <w:rsid w:val="007A1589"/>
    <w:rsid w:val="007A1666"/>
    <w:rsid w:val="007A18B7"/>
    <w:rsid w:val="007A238B"/>
    <w:rsid w:val="007A23B9"/>
    <w:rsid w:val="007A23D9"/>
    <w:rsid w:val="007A2A0C"/>
    <w:rsid w:val="007A2AD2"/>
    <w:rsid w:val="007A2C60"/>
    <w:rsid w:val="007A2EE8"/>
    <w:rsid w:val="007A3124"/>
    <w:rsid w:val="007A3E0B"/>
    <w:rsid w:val="007A428F"/>
    <w:rsid w:val="007A42D8"/>
    <w:rsid w:val="007A44FD"/>
    <w:rsid w:val="007A554A"/>
    <w:rsid w:val="007A5C74"/>
    <w:rsid w:val="007A5CB0"/>
    <w:rsid w:val="007A63A9"/>
    <w:rsid w:val="007A63CA"/>
    <w:rsid w:val="007A71CE"/>
    <w:rsid w:val="007A73C9"/>
    <w:rsid w:val="007A7697"/>
    <w:rsid w:val="007A76AD"/>
    <w:rsid w:val="007A78AF"/>
    <w:rsid w:val="007A7C4C"/>
    <w:rsid w:val="007A7D26"/>
    <w:rsid w:val="007A7F46"/>
    <w:rsid w:val="007B074B"/>
    <w:rsid w:val="007B0979"/>
    <w:rsid w:val="007B0E02"/>
    <w:rsid w:val="007B0F3C"/>
    <w:rsid w:val="007B0F85"/>
    <w:rsid w:val="007B1519"/>
    <w:rsid w:val="007B18DE"/>
    <w:rsid w:val="007B218E"/>
    <w:rsid w:val="007B21AE"/>
    <w:rsid w:val="007B2F72"/>
    <w:rsid w:val="007B2FB4"/>
    <w:rsid w:val="007B3C33"/>
    <w:rsid w:val="007B3DE4"/>
    <w:rsid w:val="007B3EC5"/>
    <w:rsid w:val="007B4531"/>
    <w:rsid w:val="007B48A1"/>
    <w:rsid w:val="007B4DAA"/>
    <w:rsid w:val="007B4F44"/>
    <w:rsid w:val="007B5E44"/>
    <w:rsid w:val="007B5E96"/>
    <w:rsid w:val="007B5F31"/>
    <w:rsid w:val="007B62F1"/>
    <w:rsid w:val="007B6617"/>
    <w:rsid w:val="007B6996"/>
    <w:rsid w:val="007B6B5E"/>
    <w:rsid w:val="007B7122"/>
    <w:rsid w:val="007B7871"/>
    <w:rsid w:val="007B79E9"/>
    <w:rsid w:val="007B7D05"/>
    <w:rsid w:val="007B7E9E"/>
    <w:rsid w:val="007B7F79"/>
    <w:rsid w:val="007BE86C"/>
    <w:rsid w:val="007C02F4"/>
    <w:rsid w:val="007C0EFB"/>
    <w:rsid w:val="007C1032"/>
    <w:rsid w:val="007C1AFD"/>
    <w:rsid w:val="007C1D22"/>
    <w:rsid w:val="007C24D4"/>
    <w:rsid w:val="007C2A8B"/>
    <w:rsid w:val="007C2AFF"/>
    <w:rsid w:val="007C2B2D"/>
    <w:rsid w:val="007C393C"/>
    <w:rsid w:val="007C3B08"/>
    <w:rsid w:val="007C3E86"/>
    <w:rsid w:val="007C494C"/>
    <w:rsid w:val="007C4D0E"/>
    <w:rsid w:val="007C51FC"/>
    <w:rsid w:val="007C530A"/>
    <w:rsid w:val="007C5BA3"/>
    <w:rsid w:val="007C5BCD"/>
    <w:rsid w:val="007C5D1D"/>
    <w:rsid w:val="007C5D4E"/>
    <w:rsid w:val="007C608B"/>
    <w:rsid w:val="007C6284"/>
    <w:rsid w:val="007C682A"/>
    <w:rsid w:val="007C684C"/>
    <w:rsid w:val="007C6902"/>
    <w:rsid w:val="007C6DED"/>
    <w:rsid w:val="007C7172"/>
    <w:rsid w:val="007C72A7"/>
    <w:rsid w:val="007C7676"/>
    <w:rsid w:val="007C79F6"/>
    <w:rsid w:val="007C7A8B"/>
    <w:rsid w:val="007D0659"/>
    <w:rsid w:val="007D06F7"/>
    <w:rsid w:val="007D115B"/>
    <w:rsid w:val="007D1555"/>
    <w:rsid w:val="007D1885"/>
    <w:rsid w:val="007D1BB5"/>
    <w:rsid w:val="007D1C40"/>
    <w:rsid w:val="007D20E2"/>
    <w:rsid w:val="007D21DB"/>
    <w:rsid w:val="007D294D"/>
    <w:rsid w:val="007D297C"/>
    <w:rsid w:val="007D2A49"/>
    <w:rsid w:val="007D2F2F"/>
    <w:rsid w:val="007D3024"/>
    <w:rsid w:val="007D349B"/>
    <w:rsid w:val="007D42E6"/>
    <w:rsid w:val="007D4876"/>
    <w:rsid w:val="007D487B"/>
    <w:rsid w:val="007D4CCC"/>
    <w:rsid w:val="007D4EEB"/>
    <w:rsid w:val="007D50EC"/>
    <w:rsid w:val="007D592A"/>
    <w:rsid w:val="007D5C48"/>
    <w:rsid w:val="007D5D09"/>
    <w:rsid w:val="007D5E5D"/>
    <w:rsid w:val="007D624A"/>
    <w:rsid w:val="007D66F1"/>
    <w:rsid w:val="007D708F"/>
    <w:rsid w:val="007D7135"/>
    <w:rsid w:val="007D74C7"/>
    <w:rsid w:val="007D7657"/>
    <w:rsid w:val="007D7F4F"/>
    <w:rsid w:val="007E000A"/>
    <w:rsid w:val="007E00C8"/>
    <w:rsid w:val="007E0260"/>
    <w:rsid w:val="007E050B"/>
    <w:rsid w:val="007E05F6"/>
    <w:rsid w:val="007E0D47"/>
    <w:rsid w:val="007E0E43"/>
    <w:rsid w:val="007E0E57"/>
    <w:rsid w:val="007E0F4B"/>
    <w:rsid w:val="007E10E2"/>
    <w:rsid w:val="007E15CE"/>
    <w:rsid w:val="007E1620"/>
    <w:rsid w:val="007E19A2"/>
    <w:rsid w:val="007E1A27"/>
    <w:rsid w:val="007E1D81"/>
    <w:rsid w:val="007E1FD2"/>
    <w:rsid w:val="007E20F8"/>
    <w:rsid w:val="007E2405"/>
    <w:rsid w:val="007E25DF"/>
    <w:rsid w:val="007E2FCA"/>
    <w:rsid w:val="007E35C6"/>
    <w:rsid w:val="007E391E"/>
    <w:rsid w:val="007E3B72"/>
    <w:rsid w:val="007E3BC9"/>
    <w:rsid w:val="007E3ECF"/>
    <w:rsid w:val="007E42D6"/>
    <w:rsid w:val="007E45D7"/>
    <w:rsid w:val="007E48DF"/>
    <w:rsid w:val="007E4C81"/>
    <w:rsid w:val="007E4D5D"/>
    <w:rsid w:val="007E4D71"/>
    <w:rsid w:val="007E4FBA"/>
    <w:rsid w:val="007E53AA"/>
    <w:rsid w:val="007E5454"/>
    <w:rsid w:val="007E65C8"/>
    <w:rsid w:val="007E67CD"/>
    <w:rsid w:val="007E709B"/>
    <w:rsid w:val="007E7862"/>
    <w:rsid w:val="007E7A77"/>
    <w:rsid w:val="007E7FA8"/>
    <w:rsid w:val="007F0043"/>
    <w:rsid w:val="007F0322"/>
    <w:rsid w:val="007F0B5E"/>
    <w:rsid w:val="007F15BA"/>
    <w:rsid w:val="007F1689"/>
    <w:rsid w:val="007F18D2"/>
    <w:rsid w:val="007F205B"/>
    <w:rsid w:val="007F21B4"/>
    <w:rsid w:val="007F2903"/>
    <w:rsid w:val="007F29C2"/>
    <w:rsid w:val="007F2D68"/>
    <w:rsid w:val="007F2F0A"/>
    <w:rsid w:val="007F32DB"/>
    <w:rsid w:val="007F3979"/>
    <w:rsid w:val="007F475F"/>
    <w:rsid w:val="007F4A88"/>
    <w:rsid w:val="007F4D3A"/>
    <w:rsid w:val="007F5307"/>
    <w:rsid w:val="007F564F"/>
    <w:rsid w:val="007F567D"/>
    <w:rsid w:val="007F5A4F"/>
    <w:rsid w:val="007F5D5F"/>
    <w:rsid w:val="007F6035"/>
    <w:rsid w:val="007F618B"/>
    <w:rsid w:val="007F6235"/>
    <w:rsid w:val="007F639C"/>
    <w:rsid w:val="007F677E"/>
    <w:rsid w:val="007F69D8"/>
    <w:rsid w:val="007F6A2E"/>
    <w:rsid w:val="007F6DB0"/>
    <w:rsid w:val="007F6E45"/>
    <w:rsid w:val="007F722A"/>
    <w:rsid w:val="007F7277"/>
    <w:rsid w:val="007F7652"/>
    <w:rsid w:val="007F771A"/>
    <w:rsid w:val="007F7833"/>
    <w:rsid w:val="007F78C6"/>
    <w:rsid w:val="007F7E1B"/>
    <w:rsid w:val="0080012D"/>
    <w:rsid w:val="00800669"/>
    <w:rsid w:val="00800DA6"/>
    <w:rsid w:val="00800F39"/>
    <w:rsid w:val="0080203F"/>
    <w:rsid w:val="00802505"/>
    <w:rsid w:val="008028C7"/>
    <w:rsid w:val="00802DD1"/>
    <w:rsid w:val="0080363B"/>
    <w:rsid w:val="00803A60"/>
    <w:rsid w:val="00803ACD"/>
    <w:rsid w:val="008040FB"/>
    <w:rsid w:val="008042AC"/>
    <w:rsid w:val="0080434B"/>
    <w:rsid w:val="00804DE1"/>
    <w:rsid w:val="00804E74"/>
    <w:rsid w:val="0080504D"/>
    <w:rsid w:val="008050D2"/>
    <w:rsid w:val="008059CA"/>
    <w:rsid w:val="00805C93"/>
    <w:rsid w:val="00805D92"/>
    <w:rsid w:val="00805E32"/>
    <w:rsid w:val="00806943"/>
    <w:rsid w:val="00806C7C"/>
    <w:rsid w:val="00806F67"/>
    <w:rsid w:val="00806F9E"/>
    <w:rsid w:val="00807302"/>
    <w:rsid w:val="00807327"/>
    <w:rsid w:val="00807B6A"/>
    <w:rsid w:val="00807B7D"/>
    <w:rsid w:val="00807DF6"/>
    <w:rsid w:val="00810431"/>
    <w:rsid w:val="00810FCF"/>
    <w:rsid w:val="00811355"/>
    <w:rsid w:val="00811A7B"/>
    <w:rsid w:val="00812ABC"/>
    <w:rsid w:val="00812D27"/>
    <w:rsid w:val="008135E1"/>
    <w:rsid w:val="008137D7"/>
    <w:rsid w:val="00814653"/>
    <w:rsid w:val="00814ED4"/>
    <w:rsid w:val="008150F3"/>
    <w:rsid w:val="00815404"/>
    <w:rsid w:val="0081558C"/>
    <w:rsid w:val="008164F1"/>
    <w:rsid w:val="00816615"/>
    <w:rsid w:val="00816AC0"/>
    <w:rsid w:val="00816BDF"/>
    <w:rsid w:val="00817390"/>
    <w:rsid w:val="00817761"/>
    <w:rsid w:val="00820104"/>
    <w:rsid w:val="00820192"/>
    <w:rsid w:val="00820432"/>
    <w:rsid w:val="00820D39"/>
    <w:rsid w:val="008210F3"/>
    <w:rsid w:val="0082130F"/>
    <w:rsid w:val="008214E7"/>
    <w:rsid w:val="00822ABB"/>
    <w:rsid w:val="00822F1D"/>
    <w:rsid w:val="00823015"/>
    <w:rsid w:val="00823CC6"/>
    <w:rsid w:val="00823F9C"/>
    <w:rsid w:val="008243BC"/>
    <w:rsid w:val="008245F2"/>
    <w:rsid w:val="00824845"/>
    <w:rsid w:val="00824BBE"/>
    <w:rsid w:val="00824CA1"/>
    <w:rsid w:val="00824F43"/>
    <w:rsid w:val="0082524E"/>
    <w:rsid w:val="0082558C"/>
    <w:rsid w:val="0082563B"/>
    <w:rsid w:val="00825C44"/>
    <w:rsid w:val="00826081"/>
    <w:rsid w:val="008262CA"/>
    <w:rsid w:val="008263CE"/>
    <w:rsid w:val="00826435"/>
    <w:rsid w:val="00826640"/>
    <w:rsid w:val="00826CF3"/>
    <w:rsid w:val="00826D9C"/>
    <w:rsid w:val="00826DFD"/>
    <w:rsid w:val="00826EA6"/>
    <w:rsid w:val="008272C3"/>
    <w:rsid w:val="00827AD4"/>
    <w:rsid w:val="008300EB"/>
    <w:rsid w:val="00830135"/>
    <w:rsid w:val="00830930"/>
    <w:rsid w:val="00830A70"/>
    <w:rsid w:val="00830E74"/>
    <w:rsid w:val="0083163C"/>
    <w:rsid w:val="0083285B"/>
    <w:rsid w:val="00832AA4"/>
    <w:rsid w:val="00833352"/>
    <w:rsid w:val="00833481"/>
    <w:rsid w:val="0083358F"/>
    <w:rsid w:val="00833A36"/>
    <w:rsid w:val="00833F97"/>
    <w:rsid w:val="00834258"/>
    <w:rsid w:val="0083495F"/>
    <w:rsid w:val="00834BD1"/>
    <w:rsid w:val="00834CB8"/>
    <w:rsid w:val="00834EF7"/>
    <w:rsid w:val="00834FAD"/>
    <w:rsid w:val="0083517D"/>
    <w:rsid w:val="00835FB2"/>
    <w:rsid w:val="00836745"/>
    <w:rsid w:val="00836A29"/>
    <w:rsid w:val="00836F21"/>
    <w:rsid w:val="00836F42"/>
    <w:rsid w:val="008375E5"/>
    <w:rsid w:val="00837649"/>
    <w:rsid w:val="0083785D"/>
    <w:rsid w:val="00837B90"/>
    <w:rsid w:val="00837EB3"/>
    <w:rsid w:val="00840530"/>
    <w:rsid w:val="00840E09"/>
    <w:rsid w:val="00841162"/>
    <w:rsid w:val="00841673"/>
    <w:rsid w:val="00841813"/>
    <w:rsid w:val="008418F8"/>
    <w:rsid w:val="00842305"/>
    <w:rsid w:val="008425C9"/>
    <w:rsid w:val="00842A04"/>
    <w:rsid w:val="00842CA8"/>
    <w:rsid w:val="00843206"/>
    <w:rsid w:val="00843240"/>
    <w:rsid w:val="0084333E"/>
    <w:rsid w:val="0084360D"/>
    <w:rsid w:val="00843691"/>
    <w:rsid w:val="00844350"/>
    <w:rsid w:val="0084454C"/>
    <w:rsid w:val="00844771"/>
    <w:rsid w:val="008454C1"/>
    <w:rsid w:val="00845538"/>
    <w:rsid w:val="00845A9D"/>
    <w:rsid w:val="00845D92"/>
    <w:rsid w:val="00845F89"/>
    <w:rsid w:val="00845FF9"/>
    <w:rsid w:val="00847038"/>
    <w:rsid w:val="00847216"/>
    <w:rsid w:val="00847616"/>
    <w:rsid w:val="00847CE4"/>
    <w:rsid w:val="00847E00"/>
    <w:rsid w:val="00847FAB"/>
    <w:rsid w:val="00850075"/>
    <w:rsid w:val="00850B11"/>
    <w:rsid w:val="0085100A"/>
    <w:rsid w:val="0085134A"/>
    <w:rsid w:val="00851624"/>
    <w:rsid w:val="00851659"/>
    <w:rsid w:val="008516F8"/>
    <w:rsid w:val="00851D2D"/>
    <w:rsid w:val="00852563"/>
    <w:rsid w:val="00852593"/>
    <w:rsid w:val="0085266B"/>
    <w:rsid w:val="00852A72"/>
    <w:rsid w:val="00852F28"/>
    <w:rsid w:val="00852FDF"/>
    <w:rsid w:val="0085302F"/>
    <w:rsid w:val="00853107"/>
    <w:rsid w:val="00853573"/>
    <w:rsid w:val="00853944"/>
    <w:rsid w:val="00853C56"/>
    <w:rsid w:val="00854EB9"/>
    <w:rsid w:val="008550A3"/>
    <w:rsid w:val="008550D0"/>
    <w:rsid w:val="00855121"/>
    <w:rsid w:val="00855B2B"/>
    <w:rsid w:val="00855E4C"/>
    <w:rsid w:val="0085603E"/>
    <w:rsid w:val="008562FE"/>
    <w:rsid w:val="008569F7"/>
    <w:rsid w:val="00856AFF"/>
    <w:rsid w:val="00856C97"/>
    <w:rsid w:val="00856CE3"/>
    <w:rsid w:val="00856D37"/>
    <w:rsid w:val="00856DDB"/>
    <w:rsid w:val="00856EAF"/>
    <w:rsid w:val="00856FE0"/>
    <w:rsid w:val="00857E8C"/>
    <w:rsid w:val="00857EC4"/>
    <w:rsid w:val="0086054A"/>
    <w:rsid w:val="0086054E"/>
    <w:rsid w:val="00860C83"/>
    <w:rsid w:val="00860F8F"/>
    <w:rsid w:val="0086200F"/>
    <w:rsid w:val="008638C0"/>
    <w:rsid w:val="00864A33"/>
    <w:rsid w:val="00864C9D"/>
    <w:rsid w:val="00865EBC"/>
    <w:rsid w:val="008664BC"/>
    <w:rsid w:val="00866509"/>
    <w:rsid w:val="00866615"/>
    <w:rsid w:val="00866F7A"/>
    <w:rsid w:val="008673E3"/>
    <w:rsid w:val="00867584"/>
    <w:rsid w:val="00867A61"/>
    <w:rsid w:val="00867B80"/>
    <w:rsid w:val="008701FC"/>
    <w:rsid w:val="008702C3"/>
    <w:rsid w:val="008703DE"/>
    <w:rsid w:val="00870466"/>
    <w:rsid w:val="0087098F"/>
    <w:rsid w:val="00870A91"/>
    <w:rsid w:val="00870BC1"/>
    <w:rsid w:val="00870D3F"/>
    <w:rsid w:val="0087115C"/>
    <w:rsid w:val="0087137F"/>
    <w:rsid w:val="0087150A"/>
    <w:rsid w:val="00871854"/>
    <w:rsid w:val="0087194B"/>
    <w:rsid w:val="00871B7C"/>
    <w:rsid w:val="008722DC"/>
    <w:rsid w:val="008722F7"/>
    <w:rsid w:val="00872A2E"/>
    <w:rsid w:val="008735B9"/>
    <w:rsid w:val="00873D68"/>
    <w:rsid w:val="00873F44"/>
    <w:rsid w:val="00874165"/>
    <w:rsid w:val="008742B3"/>
    <w:rsid w:val="00874851"/>
    <w:rsid w:val="00874F07"/>
    <w:rsid w:val="008750BF"/>
    <w:rsid w:val="00875667"/>
    <w:rsid w:val="00875879"/>
    <w:rsid w:val="0087599A"/>
    <w:rsid w:val="00876698"/>
    <w:rsid w:val="00876809"/>
    <w:rsid w:val="00876B87"/>
    <w:rsid w:val="00876DA9"/>
    <w:rsid w:val="0087748C"/>
    <w:rsid w:val="00877648"/>
    <w:rsid w:val="00880BDF"/>
    <w:rsid w:val="00880C92"/>
    <w:rsid w:val="00880EB7"/>
    <w:rsid w:val="00880F00"/>
    <w:rsid w:val="00881042"/>
    <w:rsid w:val="008813E6"/>
    <w:rsid w:val="00881406"/>
    <w:rsid w:val="00881BFC"/>
    <w:rsid w:val="00882086"/>
    <w:rsid w:val="0088274F"/>
    <w:rsid w:val="0088326A"/>
    <w:rsid w:val="008832F4"/>
    <w:rsid w:val="00883F48"/>
    <w:rsid w:val="00884073"/>
    <w:rsid w:val="00884A12"/>
    <w:rsid w:val="00884DDD"/>
    <w:rsid w:val="00885130"/>
    <w:rsid w:val="00885504"/>
    <w:rsid w:val="00885C20"/>
    <w:rsid w:val="00885E0F"/>
    <w:rsid w:val="008864D2"/>
    <w:rsid w:val="008865DD"/>
    <w:rsid w:val="008866C7"/>
    <w:rsid w:val="00886E7A"/>
    <w:rsid w:val="00886E7F"/>
    <w:rsid w:val="008870BF"/>
    <w:rsid w:val="008872B2"/>
    <w:rsid w:val="008874B5"/>
    <w:rsid w:val="0088776C"/>
    <w:rsid w:val="00887F11"/>
    <w:rsid w:val="008901A3"/>
    <w:rsid w:val="00890246"/>
    <w:rsid w:val="00890443"/>
    <w:rsid w:val="008906D3"/>
    <w:rsid w:val="00890B5C"/>
    <w:rsid w:val="0089126E"/>
    <w:rsid w:val="00891697"/>
    <w:rsid w:val="00892902"/>
    <w:rsid w:val="00892E2C"/>
    <w:rsid w:val="00892E94"/>
    <w:rsid w:val="008937F9"/>
    <w:rsid w:val="00893CD9"/>
    <w:rsid w:val="00893F52"/>
    <w:rsid w:val="0089491D"/>
    <w:rsid w:val="00894C14"/>
    <w:rsid w:val="00894D48"/>
    <w:rsid w:val="008950EC"/>
    <w:rsid w:val="008956C2"/>
    <w:rsid w:val="00895B4C"/>
    <w:rsid w:val="00895E1E"/>
    <w:rsid w:val="008963DA"/>
    <w:rsid w:val="0089761C"/>
    <w:rsid w:val="0089771E"/>
    <w:rsid w:val="00897CB7"/>
    <w:rsid w:val="00897D94"/>
    <w:rsid w:val="008A0602"/>
    <w:rsid w:val="008A1236"/>
    <w:rsid w:val="008A18E6"/>
    <w:rsid w:val="008A1B13"/>
    <w:rsid w:val="008A1DAC"/>
    <w:rsid w:val="008A2180"/>
    <w:rsid w:val="008A2246"/>
    <w:rsid w:val="008A23B9"/>
    <w:rsid w:val="008A2D56"/>
    <w:rsid w:val="008A2FFA"/>
    <w:rsid w:val="008A3150"/>
    <w:rsid w:val="008A3714"/>
    <w:rsid w:val="008A3830"/>
    <w:rsid w:val="008A38B7"/>
    <w:rsid w:val="008A3992"/>
    <w:rsid w:val="008A3CDB"/>
    <w:rsid w:val="008A43AB"/>
    <w:rsid w:val="008A4A11"/>
    <w:rsid w:val="008A4FD3"/>
    <w:rsid w:val="008A50C7"/>
    <w:rsid w:val="008A514B"/>
    <w:rsid w:val="008A51A6"/>
    <w:rsid w:val="008A526B"/>
    <w:rsid w:val="008A53B5"/>
    <w:rsid w:val="008A53F1"/>
    <w:rsid w:val="008A54D0"/>
    <w:rsid w:val="008A54FF"/>
    <w:rsid w:val="008A5775"/>
    <w:rsid w:val="008A57C1"/>
    <w:rsid w:val="008A5853"/>
    <w:rsid w:val="008A5A9F"/>
    <w:rsid w:val="008A5CC3"/>
    <w:rsid w:val="008A5DDE"/>
    <w:rsid w:val="008A60AA"/>
    <w:rsid w:val="008A6706"/>
    <w:rsid w:val="008A699D"/>
    <w:rsid w:val="008A6ADE"/>
    <w:rsid w:val="008A6CF7"/>
    <w:rsid w:val="008A722A"/>
    <w:rsid w:val="008A7D75"/>
    <w:rsid w:val="008B0183"/>
    <w:rsid w:val="008B032D"/>
    <w:rsid w:val="008B07D2"/>
    <w:rsid w:val="008B0822"/>
    <w:rsid w:val="008B09DB"/>
    <w:rsid w:val="008B1536"/>
    <w:rsid w:val="008B156B"/>
    <w:rsid w:val="008B18FB"/>
    <w:rsid w:val="008B1BE5"/>
    <w:rsid w:val="008B267E"/>
    <w:rsid w:val="008B2D22"/>
    <w:rsid w:val="008B315B"/>
    <w:rsid w:val="008B3467"/>
    <w:rsid w:val="008B3EB2"/>
    <w:rsid w:val="008B4193"/>
    <w:rsid w:val="008B4410"/>
    <w:rsid w:val="008B4A0E"/>
    <w:rsid w:val="008B4A36"/>
    <w:rsid w:val="008B4FE6"/>
    <w:rsid w:val="008B524B"/>
    <w:rsid w:val="008B52E6"/>
    <w:rsid w:val="008B5AFE"/>
    <w:rsid w:val="008B6A18"/>
    <w:rsid w:val="008B6E44"/>
    <w:rsid w:val="008B77CA"/>
    <w:rsid w:val="008B78E8"/>
    <w:rsid w:val="008B7955"/>
    <w:rsid w:val="008B7BB3"/>
    <w:rsid w:val="008C0735"/>
    <w:rsid w:val="008C0757"/>
    <w:rsid w:val="008C0CE0"/>
    <w:rsid w:val="008C0E5C"/>
    <w:rsid w:val="008C0E9B"/>
    <w:rsid w:val="008C154A"/>
    <w:rsid w:val="008C1941"/>
    <w:rsid w:val="008C2A05"/>
    <w:rsid w:val="008C35D9"/>
    <w:rsid w:val="008C3627"/>
    <w:rsid w:val="008C3B1F"/>
    <w:rsid w:val="008C3D75"/>
    <w:rsid w:val="008C4059"/>
    <w:rsid w:val="008C43F4"/>
    <w:rsid w:val="008C4460"/>
    <w:rsid w:val="008C48CD"/>
    <w:rsid w:val="008C48D9"/>
    <w:rsid w:val="008C4F94"/>
    <w:rsid w:val="008C52DC"/>
    <w:rsid w:val="008C53C5"/>
    <w:rsid w:val="008C55D1"/>
    <w:rsid w:val="008C56C5"/>
    <w:rsid w:val="008C5E65"/>
    <w:rsid w:val="008C5EF6"/>
    <w:rsid w:val="008C6CED"/>
    <w:rsid w:val="008C6E61"/>
    <w:rsid w:val="008C7506"/>
    <w:rsid w:val="008C7A62"/>
    <w:rsid w:val="008C7B02"/>
    <w:rsid w:val="008D058A"/>
    <w:rsid w:val="008D06D7"/>
    <w:rsid w:val="008D07D6"/>
    <w:rsid w:val="008D0B53"/>
    <w:rsid w:val="008D0D95"/>
    <w:rsid w:val="008D1031"/>
    <w:rsid w:val="008D11F0"/>
    <w:rsid w:val="008D1545"/>
    <w:rsid w:val="008D1BA4"/>
    <w:rsid w:val="008D1BE0"/>
    <w:rsid w:val="008D23EF"/>
    <w:rsid w:val="008D25AF"/>
    <w:rsid w:val="008D2927"/>
    <w:rsid w:val="008D2F6B"/>
    <w:rsid w:val="008D3311"/>
    <w:rsid w:val="008D337F"/>
    <w:rsid w:val="008D354E"/>
    <w:rsid w:val="008D407B"/>
    <w:rsid w:val="008D4115"/>
    <w:rsid w:val="008D42C5"/>
    <w:rsid w:val="008D4311"/>
    <w:rsid w:val="008D4D06"/>
    <w:rsid w:val="008D4D6F"/>
    <w:rsid w:val="008D4F08"/>
    <w:rsid w:val="008D4F69"/>
    <w:rsid w:val="008D4F6F"/>
    <w:rsid w:val="008D5065"/>
    <w:rsid w:val="008D5581"/>
    <w:rsid w:val="008D5621"/>
    <w:rsid w:val="008D576B"/>
    <w:rsid w:val="008D5ADE"/>
    <w:rsid w:val="008D6D51"/>
    <w:rsid w:val="008D705D"/>
    <w:rsid w:val="008D752D"/>
    <w:rsid w:val="008D7535"/>
    <w:rsid w:val="008D7A79"/>
    <w:rsid w:val="008D7F10"/>
    <w:rsid w:val="008E0909"/>
    <w:rsid w:val="008E0917"/>
    <w:rsid w:val="008E0950"/>
    <w:rsid w:val="008E0A6F"/>
    <w:rsid w:val="008E0B65"/>
    <w:rsid w:val="008E0DA8"/>
    <w:rsid w:val="008E1592"/>
    <w:rsid w:val="008E15DA"/>
    <w:rsid w:val="008E1A5F"/>
    <w:rsid w:val="008E1C9B"/>
    <w:rsid w:val="008E21C4"/>
    <w:rsid w:val="008E241D"/>
    <w:rsid w:val="008E24E5"/>
    <w:rsid w:val="008E2811"/>
    <w:rsid w:val="008E3398"/>
    <w:rsid w:val="008E340E"/>
    <w:rsid w:val="008E354A"/>
    <w:rsid w:val="008E3B49"/>
    <w:rsid w:val="008E42EA"/>
    <w:rsid w:val="008E46A0"/>
    <w:rsid w:val="008E46B5"/>
    <w:rsid w:val="008E47BC"/>
    <w:rsid w:val="008E47FC"/>
    <w:rsid w:val="008E5107"/>
    <w:rsid w:val="008E5614"/>
    <w:rsid w:val="008E5885"/>
    <w:rsid w:val="008E5E0B"/>
    <w:rsid w:val="008F0002"/>
    <w:rsid w:val="008F08C2"/>
    <w:rsid w:val="008F0A24"/>
    <w:rsid w:val="008F1100"/>
    <w:rsid w:val="008F1805"/>
    <w:rsid w:val="008F1855"/>
    <w:rsid w:val="008F19A7"/>
    <w:rsid w:val="008F1A87"/>
    <w:rsid w:val="008F206C"/>
    <w:rsid w:val="008F21C2"/>
    <w:rsid w:val="008F2280"/>
    <w:rsid w:val="008F279E"/>
    <w:rsid w:val="008F35B5"/>
    <w:rsid w:val="008F3D7E"/>
    <w:rsid w:val="008F4365"/>
    <w:rsid w:val="008F47A7"/>
    <w:rsid w:val="008F4B3F"/>
    <w:rsid w:val="008F4B86"/>
    <w:rsid w:val="008F4DAE"/>
    <w:rsid w:val="008F5104"/>
    <w:rsid w:val="008F57DF"/>
    <w:rsid w:val="008F57EE"/>
    <w:rsid w:val="008F58CA"/>
    <w:rsid w:val="008F5D34"/>
    <w:rsid w:val="008F6038"/>
    <w:rsid w:val="008F62B2"/>
    <w:rsid w:val="008F692E"/>
    <w:rsid w:val="008F6C42"/>
    <w:rsid w:val="008F72AF"/>
    <w:rsid w:val="008F72FA"/>
    <w:rsid w:val="008F7462"/>
    <w:rsid w:val="008F7552"/>
    <w:rsid w:val="008F77ED"/>
    <w:rsid w:val="008F7F10"/>
    <w:rsid w:val="008F7F76"/>
    <w:rsid w:val="009002F5"/>
    <w:rsid w:val="00900DC5"/>
    <w:rsid w:val="00900F0F"/>
    <w:rsid w:val="00901047"/>
    <w:rsid w:val="009013AA"/>
    <w:rsid w:val="00901954"/>
    <w:rsid w:val="00901E31"/>
    <w:rsid w:val="009021F5"/>
    <w:rsid w:val="009026E7"/>
    <w:rsid w:val="00902C09"/>
    <w:rsid w:val="009030E0"/>
    <w:rsid w:val="009034A2"/>
    <w:rsid w:val="0090357D"/>
    <w:rsid w:val="00903C8E"/>
    <w:rsid w:val="00904625"/>
    <w:rsid w:val="009046DE"/>
    <w:rsid w:val="00904C92"/>
    <w:rsid w:val="00904FE7"/>
    <w:rsid w:val="00904FFB"/>
    <w:rsid w:val="00905361"/>
    <w:rsid w:val="009053EA"/>
    <w:rsid w:val="0090600C"/>
    <w:rsid w:val="00906558"/>
    <w:rsid w:val="00906767"/>
    <w:rsid w:val="0090692F"/>
    <w:rsid w:val="00906C3E"/>
    <w:rsid w:val="009075BE"/>
    <w:rsid w:val="009075BF"/>
    <w:rsid w:val="00907E6D"/>
    <w:rsid w:val="00910805"/>
    <w:rsid w:val="00910CFB"/>
    <w:rsid w:val="00910E1D"/>
    <w:rsid w:val="00911020"/>
    <w:rsid w:val="0091145A"/>
    <w:rsid w:val="00911C85"/>
    <w:rsid w:val="009121DF"/>
    <w:rsid w:val="009124C5"/>
    <w:rsid w:val="00912639"/>
    <w:rsid w:val="00912B16"/>
    <w:rsid w:val="00912B46"/>
    <w:rsid w:val="00912BD0"/>
    <w:rsid w:val="00912E1C"/>
    <w:rsid w:val="00913834"/>
    <w:rsid w:val="00913977"/>
    <w:rsid w:val="00913B6C"/>
    <w:rsid w:val="0091417C"/>
    <w:rsid w:val="009141CB"/>
    <w:rsid w:val="00914E19"/>
    <w:rsid w:val="00914E91"/>
    <w:rsid w:val="00915115"/>
    <w:rsid w:val="009154BD"/>
    <w:rsid w:val="00915B81"/>
    <w:rsid w:val="00915C19"/>
    <w:rsid w:val="00915D9E"/>
    <w:rsid w:val="00916C4E"/>
    <w:rsid w:val="00916D96"/>
    <w:rsid w:val="0091757C"/>
    <w:rsid w:val="00920278"/>
    <w:rsid w:val="00920878"/>
    <w:rsid w:val="00920DD7"/>
    <w:rsid w:val="00920E8E"/>
    <w:rsid w:val="0092107C"/>
    <w:rsid w:val="00921613"/>
    <w:rsid w:val="00921808"/>
    <w:rsid w:val="00921C1A"/>
    <w:rsid w:val="00921EB1"/>
    <w:rsid w:val="009226AE"/>
    <w:rsid w:val="00922BBE"/>
    <w:rsid w:val="00922F2B"/>
    <w:rsid w:val="00922FC7"/>
    <w:rsid w:val="009232A1"/>
    <w:rsid w:val="00923E7B"/>
    <w:rsid w:val="00924765"/>
    <w:rsid w:val="0092476E"/>
    <w:rsid w:val="00924D27"/>
    <w:rsid w:val="00924D6B"/>
    <w:rsid w:val="00925100"/>
    <w:rsid w:val="0092521A"/>
    <w:rsid w:val="009255CD"/>
    <w:rsid w:val="0092590B"/>
    <w:rsid w:val="00925BA2"/>
    <w:rsid w:val="00925C0D"/>
    <w:rsid w:val="00925CC1"/>
    <w:rsid w:val="009260D7"/>
    <w:rsid w:val="009261F7"/>
    <w:rsid w:val="009266D4"/>
    <w:rsid w:val="009268CC"/>
    <w:rsid w:val="0092695B"/>
    <w:rsid w:val="00926B54"/>
    <w:rsid w:val="00926BCF"/>
    <w:rsid w:val="00926C3D"/>
    <w:rsid w:val="00926F37"/>
    <w:rsid w:val="009270C2"/>
    <w:rsid w:val="009270C5"/>
    <w:rsid w:val="009273E0"/>
    <w:rsid w:val="009277A5"/>
    <w:rsid w:val="00927876"/>
    <w:rsid w:val="00927938"/>
    <w:rsid w:val="00927A3A"/>
    <w:rsid w:val="00930169"/>
    <w:rsid w:val="00930733"/>
    <w:rsid w:val="009307BF"/>
    <w:rsid w:val="00930FE9"/>
    <w:rsid w:val="00931162"/>
    <w:rsid w:val="0093151F"/>
    <w:rsid w:val="009315CA"/>
    <w:rsid w:val="0093192F"/>
    <w:rsid w:val="00931E06"/>
    <w:rsid w:val="00932375"/>
    <w:rsid w:val="0093255A"/>
    <w:rsid w:val="00933022"/>
    <w:rsid w:val="00933096"/>
    <w:rsid w:val="009331C9"/>
    <w:rsid w:val="009337BC"/>
    <w:rsid w:val="00934F1C"/>
    <w:rsid w:val="00935D0C"/>
    <w:rsid w:val="00935E4D"/>
    <w:rsid w:val="009364A3"/>
    <w:rsid w:val="009364B3"/>
    <w:rsid w:val="00936559"/>
    <w:rsid w:val="009365CB"/>
    <w:rsid w:val="009366E4"/>
    <w:rsid w:val="00936C73"/>
    <w:rsid w:val="00937418"/>
    <w:rsid w:val="00937C34"/>
    <w:rsid w:val="00937CC7"/>
    <w:rsid w:val="00937D1F"/>
    <w:rsid w:val="00937FBF"/>
    <w:rsid w:val="009403D8"/>
    <w:rsid w:val="009410B1"/>
    <w:rsid w:val="00941106"/>
    <w:rsid w:val="0094159C"/>
    <w:rsid w:val="00941E4C"/>
    <w:rsid w:val="00941E65"/>
    <w:rsid w:val="009424DC"/>
    <w:rsid w:val="009424E7"/>
    <w:rsid w:val="00943343"/>
    <w:rsid w:val="0094335F"/>
    <w:rsid w:val="00943436"/>
    <w:rsid w:val="009435F2"/>
    <w:rsid w:val="00943E84"/>
    <w:rsid w:val="00944C47"/>
    <w:rsid w:val="00945067"/>
    <w:rsid w:val="00945564"/>
    <w:rsid w:val="00945D6E"/>
    <w:rsid w:val="00946022"/>
    <w:rsid w:val="0094642B"/>
    <w:rsid w:val="009464B2"/>
    <w:rsid w:val="009466FA"/>
    <w:rsid w:val="00946A50"/>
    <w:rsid w:val="00947079"/>
    <w:rsid w:val="00947D2B"/>
    <w:rsid w:val="00947F6B"/>
    <w:rsid w:val="00950703"/>
    <w:rsid w:val="00950727"/>
    <w:rsid w:val="009507B0"/>
    <w:rsid w:val="00950A28"/>
    <w:rsid w:val="00950B4A"/>
    <w:rsid w:val="00951467"/>
    <w:rsid w:val="009517C8"/>
    <w:rsid w:val="009518F1"/>
    <w:rsid w:val="00951E84"/>
    <w:rsid w:val="00951EA2"/>
    <w:rsid w:val="00952108"/>
    <w:rsid w:val="009521B8"/>
    <w:rsid w:val="009521D0"/>
    <w:rsid w:val="0095234E"/>
    <w:rsid w:val="009523CC"/>
    <w:rsid w:val="00952E46"/>
    <w:rsid w:val="0095301B"/>
    <w:rsid w:val="00953349"/>
    <w:rsid w:val="0095358E"/>
    <w:rsid w:val="00953675"/>
    <w:rsid w:val="009538EE"/>
    <w:rsid w:val="00954072"/>
    <w:rsid w:val="0095426A"/>
    <w:rsid w:val="009550FC"/>
    <w:rsid w:val="0095573F"/>
    <w:rsid w:val="00955856"/>
    <w:rsid w:val="00955B59"/>
    <w:rsid w:val="00955C6D"/>
    <w:rsid w:val="009560DD"/>
    <w:rsid w:val="00956B95"/>
    <w:rsid w:val="00956BF8"/>
    <w:rsid w:val="0095711F"/>
    <w:rsid w:val="00957383"/>
    <w:rsid w:val="009575AC"/>
    <w:rsid w:val="00957723"/>
    <w:rsid w:val="00957AEB"/>
    <w:rsid w:val="00957DFE"/>
    <w:rsid w:val="009600ED"/>
    <w:rsid w:val="00960CD1"/>
    <w:rsid w:val="0096106A"/>
    <w:rsid w:val="00961076"/>
    <w:rsid w:val="00961152"/>
    <w:rsid w:val="00961660"/>
    <w:rsid w:val="00961734"/>
    <w:rsid w:val="009619A1"/>
    <w:rsid w:val="009626C5"/>
    <w:rsid w:val="00962F6E"/>
    <w:rsid w:val="009630FD"/>
    <w:rsid w:val="009635D6"/>
    <w:rsid w:val="009636BA"/>
    <w:rsid w:val="009638D1"/>
    <w:rsid w:val="00963E45"/>
    <w:rsid w:val="00964057"/>
    <w:rsid w:val="00964104"/>
    <w:rsid w:val="009643A5"/>
    <w:rsid w:val="00964775"/>
    <w:rsid w:val="00964A8A"/>
    <w:rsid w:val="00964B4D"/>
    <w:rsid w:val="00964BE7"/>
    <w:rsid w:val="0096510E"/>
    <w:rsid w:val="009653C9"/>
    <w:rsid w:val="00965454"/>
    <w:rsid w:val="0096579A"/>
    <w:rsid w:val="00965833"/>
    <w:rsid w:val="00966B02"/>
    <w:rsid w:val="00966F18"/>
    <w:rsid w:val="0096779E"/>
    <w:rsid w:val="00967D79"/>
    <w:rsid w:val="00967DD4"/>
    <w:rsid w:val="009701DA"/>
    <w:rsid w:val="0097022D"/>
    <w:rsid w:val="00970A5C"/>
    <w:rsid w:val="00970A73"/>
    <w:rsid w:val="00971BFA"/>
    <w:rsid w:val="00972555"/>
    <w:rsid w:val="009728A4"/>
    <w:rsid w:val="00972AC1"/>
    <w:rsid w:val="00972D2E"/>
    <w:rsid w:val="00972E9B"/>
    <w:rsid w:val="0097324D"/>
    <w:rsid w:val="0097384D"/>
    <w:rsid w:val="00973E18"/>
    <w:rsid w:val="009740C7"/>
    <w:rsid w:val="009746EA"/>
    <w:rsid w:val="00974D0E"/>
    <w:rsid w:val="00974D69"/>
    <w:rsid w:val="00974E2F"/>
    <w:rsid w:val="00974F45"/>
    <w:rsid w:val="0097549E"/>
    <w:rsid w:val="009755D9"/>
    <w:rsid w:val="009756AC"/>
    <w:rsid w:val="00975C73"/>
    <w:rsid w:val="00975E86"/>
    <w:rsid w:val="00976908"/>
    <w:rsid w:val="00976994"/>
    <w:rsid w:val="00976E64"/>
    <w:rsid w:val="00977281"/>
    <w:rsid w:val="00977F96"/>
    <w:rsid w:val="00980831"/>
    <w:rsid w:val="00980833"/>
    <w:rsid w:val="00981024"/>
    <w:rsid w:val="009810C1"/>
    <w:rsid w:val="00981397"/>
    <w:rsid w:val="009813B8"/>
    <w:rsid w:val="00981433"/>
    <w:rsid w:val="009819D4"/>
    <w:rsid w:val="00981A43"/>
    <w:rsid w:val="009827DD"/>
    <w:rsid w:val="009828AD"/>
    <w:rsid w:val="0098309C"/>
    <w:rsid w:val="009831A8"/>
    <w:rsid w:val="009839D4"/>
    <w:rsid w:val="00983A0F"/>
    <w:rsid w:val="00983AE2"/>
    <w:rsid w:val="00983EE8"/>
    <w:rsid w:val="009844AB"/>
    <w:rsid w:val="0098454A"/>
    <w:rsid w:val="0098456C"/>
    <w:rsid w:val="009849C8"/>
    <w:rsid w:val="00984C0D"/>
    <w:rsid w:val="00984F0F"/>
    <w:rsid w:val="009853C2"/>
    <w:rsid w:val="00985463"/>
    <w:rsid w:val="00985487"/>
    <w:rsid w:val="00985662"/>
    <w:rsid w:val="00985917"/>
    <w:rsid w:val="0098696E"/>
    <w:rsid w:val="009869F8"/>
    <w:rsid w:val="0098720F"/>
    <w:rsid w:val="0098771A"/>
    <w:rsid w:val="00987743"/>
    <w:rsid w:val="00987B91"/>
    <w:rsid w:val="00990184"/>
    <w:rsid w:val="00990302"/>
    <w:rsid w:val="00990B3C"/>
    <w:rsid w:val="00990C2E"/>
    <w:rsid w:val="0099132E"/>
    <w:rsid w:val="00991F05"/>
    <w:rsid w:val="009927E7"/>
    <w:rsid w:val="00992ECB"/>
    <w:rsid w:val="00993506"/>
    <w:rsid w:val="009935E6"/>
    <w:rsid w:val="0099373B"/>
    <w:rsid w:val="009937C3"/>
    <w:rsid w:val="009938C3"/>
    <w:rsid w:val="00993ACD"/>
    <w:rsid w:val="00993CFF"/>
    <w:rsid w:val="0099425B"/>
    <w:rsid w:val="009942E7"/>
    <w:rsid w:val="009943F4"/>
    <w:rsid w:val="00994905"/>
    <w:rsid w:val="00994FA3"/>
    <w:rsid w:val="00995193"/>
    <w:rsid w:val="00995F11"/>
    <w:rsid w:val="00996453"/>
    <w:rsid w:val="0099670F"/>
    <w:rsid w:val="0099683E"/>
    <w:rsid w:val="0099685F"/>
    <w:rsid w:val="009970F8"/>
    <w:rsid w:val="009974B2"/>
    <w:rsid w:val="009974B3"/>
    <w:rsid w:val="00997DB6"/>
    <w:rsid w:val="009A01AC"/>
    <w:rsid w:val="009A02A8"/>
    <w:rsid w:val="009A0614"/>
    <w:rsid w:val="009A0A38"/>
    <w:rsid w:val="009A0D48"/>
    <w:rsid w:val="009A0E6E"/>
    <w:rsid w:val="009A0EF4"/>
    <w:rsid w:val="009A0F58"/>
    <w:rsid w:val="009A10F9"/>
    <w:rsid w:val="009A15AA"/>
    <w:rsid w:val="009A1847"/>
    <w:rsid w:val="009A27CE"/>
    <w:rsid w:val="009A2B20"/>
    <w:rsid w:val="009A2D76"/>
    <w:rsid w:val="009A2EF5"/>
    <w:rsid w:val="009A3943"/>
    <w:rsid w:val="009A3BFD"/>
    <w:rsid w:val="009A4B8E"/>
    <w:rsid w:val="009A52E7"/>
    <w:rsid w:val="009A57CB"/>
    <w:rsid w:val="009A58C3"/>
    <w:rsid w:val="009A5F7D"/>
    <w:rsid w:val="009A6754"/>
    <w:rsid w:val="009A70ED"/>
    <w:rsid w:val="009A7245"/>
    <w:rsid w:val="009A72C8"/>
    <w:rsid w:val="009A74C8"/>
    <w:rsid w:val="009A77F1"/>
    <w:rsid w:val="009A7965"/>
    <w:rsid w:val="009A7D2B"/>
    <w:rsid w:val="009A7E88"/>
    <w:rsid w:val="009B010D"/>
    <w:rsid w:val="009B0173"/>
    <w:rsid w:val="009B038D"/>
    <w:rsid w:val="009B07E8"/>
    <w:rsid w:val="009B0E95"/>
    <w:rsid w:val="009B0FD6"/>
    <w:rsid w:val="009B0FD8"/>
    <w:rsid w:val="009B1321"/>
    <w:rsid w:val="009B1D04"/>
    <w:rsid w:val="009B1EA8"/>
    <w:rsid w:val="009B2057"/>
    <w:rsid w:val="009B223A"/>
    <w:rsid w:val="009B25C1"/>
    <w:rsid w:val="009B2CC7"/>
    <w:rsid w:val="009B33FD"/>
    <w:rsid w:val="009B3629"/>
    <w:rsid w:val="009B3C6A"/>
    <w:rsid w:val="009B4124"/>
    <w:rsid w:val="009B53E9"/>
    <w:rsid w:val="009B56C0"/>
    <w:rsid w:val="009B625E"/>
    <w:rsid w:val="009B6439"/>
    <w:rsid w:val="009B69EE"/>
    <w:rsid w:val="009B7045"/>
    <w:rsid w:val="009B70DE"/>
    <w:rsid w:val="009B7F1A"/>
    <w:rsid w:val="009C0191"/>
    <w:rsid w:val="009C01B9"/>
    <w:rsid w:val="009C0528"/>
    <w:rsid w:val="009C0D76"/>
    <w:rsid w:val="009C0ED5"/>
    <w:rsid w:val="009C0F7A"/>
    <w:rsid w:val="009C162B"/>
    <w:rsid w:val="009C183A"/>
    <w:rsid w:val="009C2100"/>
    <w:rsid w:val="009C21A7"/>
    <w:rsid w:val="009C23F2"/>
    <w:rsid w:val="009C2561"/>
    <w:rsid w:val="009C2909"/>
    <w:rsid w:val="009C2DFE"/>
    <w:rsid w:val="009C2FFD"/>
    <w:rsid w:val="009C328B"/>
    <w:rsid w:val="009C3995"/>
    <w:rsid w:val="009C3DF9"/>
    <w:rsid w:val="009C4613"/>
    <w:rsid w:val="009C4994"/>
    <w:rsid w:val="009C4EC4"/>
    <w:rsid w:val="009C55F0"/>
    <w:rsid w:val="009C5735"/>
    <w:rsid w:val="009C58B1"/>
    <w:rsid w:val="009C5A17"/>
    <w:rsid w:val="009C5EDD"/>
    <w:rsid w:val="009C5F35"/>
    <w:rsid w:val="009C6630"/>
    <w:rsid w:val="009C6A10"/>
    <w:rsid w:val="009C6E93"/>
    <w:rsid w:val="009C7143"/>
    <w:rsid w:val="009C717E"/>
    <w:rsid w:val="009C71BA"/>
    <w:rsid w:val="009C7EC8"/>
    <w:rsid w:val="009D04B7"/>
    <w:rsid w:val="009D07A1"/>
    <w:rsid w:val="009D0E66"/>
    <w:rsid w:val="009D0EFA"/>
    <w:rsid w:val="009D103C"/>
    <w:rsid w:val="009D11E5"/>
    <w:rsid w:val="009D13FC"/>
    <w:rsid w:val="009D182C"/>
    <w:rsid w:val="009D1CE3"/>
    <w:rsid w:val="009D20BA"/>
    <w:rsid w:val="009D224E"/>
    <w:rsid w:val="009D2283"/>
    <w:rsid w:val="009D24C6"/>
    <w:rsid w:val="009D2571"/>
    <w:rsid w:val="009D293E"/>
    <w:rsid w:val="009D2CCC"/>
    <w:rsid w:val="009D2F7D"/>
    <w:rsid w:val="009D32BB"/>
    <w:rsid w:val="009D332E"/>
    <w:rsid w:val="009D38B4"/>
    <w:rsid w:val="009D3ACA"/>
    <w:rsid w:val="009D433B"/>
    <w:rsid w:val="009D47A7"/>
    <w:rsid w:val="009D4820"/>
    <w:rsid w:val="009D489C"/>
    <w:rsid w:val="009D50FE"/>
    <w:rsid w:val="009D5140"/>
    <w:rsid w:val="009D5354"/>
    <w:rsid w:val="009D5481"/>
    <w:rsid w:val="009D5496"/>
    <w:rsid w:val="009D590B"/>
    <w:rsid w:val="009D594D"/>
    <w:rsid w:val="009D5B0F"/>
    <w:rsid w:val="009D5B3E"/>
    <w:rsid w:val="009D5D66"/>
    <w:rsid w:val="009D5D9F"/>
    <w:rsid w:val="009D6263"/>
    <w:rsid w:val="009D62A0"/>
    <w:rsid w:val="009D6352"/>
    <w:rsid w:val="009D6493"/>
    <w:rsid w:val="009D6606"/>
    <w:rsid w:val="009D6650"/>
    <w:rsid w:val="009D7916"/>
    <w:rsid w:val="009D7D72"/>
    <w:rsid w:val="009E0211"/>
    <w:rsid w:val="009E0309"/>
    <w:rsid w:val="009E059C"/>
    <w:rsid w:val="009E07B2"/>
    <w:rsid w:val="009E0A4F"/>
    <w:rsid w:val="009E0BEC"/>
    <w:rsid w:val="009E0CA6"/>
    <w:rsid w:val="009E0DC3"/>
    <w:rsid w:val="009E25B0"/>
    <w:rsid w:val="009E2B5E"/>
    <w:rsid w:val="009E2F48"/>
    <w:rsid w:val="009E2FCB"/>
    <w:rsid w:val="009E3617"/>
    <w:rsid w:val="009E36D2"/>
    <w:rsid w:val="009E3B60"/>
    <w:rsid w:val="009E432E"/>
    <w:rsid w:val="009E493F"/>
    <w:rsid w:val="009E4EC8"/>
    <w:rsid w:val="009E4FA9"/>
    <w:rsid w:val="009E4FDB"/>
    <w:rsid w:val="009E5008"/>
    <w:rsid w:val="009E58F7"/>
    <w:rsid w:val="009E5C03"/>
    <w:rsid w:val="009E5E24"/>
    <w:rsid w:val="009E5E34"/>
    <w:rsid w:val="009E5F79"/>
    <w:rsid w:val="009E6D5A"/>
    <w:rsid w:val="009E71FF"/>
    <w:rsid w:val="009E72CB"/>
    <w:rsid w:val="009E7553"/>
    <w:rsid w:val="009E757B"/>
    <w:rsid w:val="009E7823"/>
    <w:rsid w:val="009E7E3C"/>
    <w:rsid w:val="009F0288"/>
    <w:rsid w:val="009F05BE"/>
    <w:rsid w:val="009F0790"/>
    <w:rsid w:val="009F0875"/>
    <w:rsid w:val="009F0CE6"/>
    <w:rsid w:val="009F0D30"/>
    <w:rsid w:val="009F0EB8"/>
    <w:rsid w:val="009F1294"/>
    <w:rsid w:val="009F15B1"/>
    <w:rsid w:val="009F1F5D"/>
    <w:rsid w:val="009F20E2"/>
    <w:rsid w:val="009F239A"/>
    <w:rsid w:val="009F2794"/>
    <w:rsid w:val="009F2C3B"/>
    <w:rsid w:val="009F2E54"/>
    <w:rsid w:val="009F3116"/>
    <w:rsid w:val="009F3213"/>
    <w:rsid w:val="009F4AE5"/>
    <w:rsid w:val="009F5261"/>
    <w:rsid w:val="009F58B8"/>
    <w:rsid w:val="009F5F09"/>
    <w:rsid w:val="009F60F3"/>
    <w:rsid w:val="009F623B"/>
    <w:rsid w:val="009F6520"/>
    <w:rsid w:val="009F65CF"/>
    <w:rsid w:val="009F66AE"/>
    <w:rsid w:val="009F6E66"/>
    <w:rsid w:val="009F7A73"/>
    <w:rsid w:val="009F7F17"/>
    <w:rsid w:val="00A00345"/>
    <w:rsid w:val="00A0066E"/>
    <w:rsid w:val="00A00700"/>
    <w:rsid w:val="00A00847"/>
    <w:rsid w:val="00A00A4A"/>
    <w:rsid w:val="00A00D2B"/>
    <w:rsid w:val="00A00D4D"/>
    <w:rsid w:val="00A01878"/>
    <w:rsid w:val="00A018B5"/>
    <w:rsid w:val="00A01D09"/>
    <w:rsid w:val="00A01F6D"/>
    <w:rsid w:val="00A01FA6"/>
    <w:rsid w:val="00A01FC6"/>
    <w:rsid w:val="00A02124"/>
    <w:rsid w:val="00A022F6"/>
    <w:rsid w:val="00A02448"/>
    <w:rsid w:val="00A029E9"/>
    <w:rsid w:val="00A034D5"/>
    <w:rsid w:val="00A036E6"/>
    <w:rsid w:val="00A03839"/>
    <w:rsid w:val="00A038BA"/>
    <w:rsid w:val="00A038D4"/>
    <w:rsid w:val="00A03AFF"/>
    <w:rsid w:val="00A03EB8"/>
    <w:rsid w:val="00A0449F"/>
    <w:rsid w:val="00A045C8"/>
    <w:rsid w:val="00A04F07"/>
    <w:rsid w:val="00A05B1A"/>
    <w:rsid w:val="00A05B2D"/>
    <w:rsid w:val="00A05B37"/>
    <w:rsid w:val="00A06452"/>
    <w:rsid w:val="00A067C9"/>
    <w:rsid w:val="00A069E1"/>
    <w:rsid w:val="00A06B56"/>
    <w:rsid w:val="00A06C98"/>
    <w:rsid w:val="00A06CC7"/>
    <w:rsid w:val="00A075DE"/>
    <w:rsid w:val="00A07C08"/>
    <w:rsid w:val="00A07CDB"/>
    <w:rsid w:val="00A106B9"/>
    <w:rsid w:val="00A1086E"/>
    <w:rsid w:val="00A10AFE"/>
    <w:rsid w:val="00A10B7E"/>
    <w:rsid w:val="00A10D5F"/>
    <w:rsid w:val="00A10E4E"/>
    <w:rsid w:val="00A10F17"/>
    <w:rsid w:val="00A11377"/>
    <w:rsid w:val="00A11AA9"/>
    <w:rsid w:val="00A11B77"/>
    <w:rsid w:val="00A11F5D"/>
    <w:rsid w:val="00A120B5"/>
    <w:rsid w:val="00A12347"/>
    <w:rsid w:val="00A123A5"/>
    <w:rsid w:val="00A1281D"/>
    <w:rsid w:val="00A12930"/>
    <w:rsid w:val="00A13526"/>
    <w:rsid w:val="00A13625"/>
    <w:rsid w:val="00A13871"/>
    <w:rsid w:val="00A13998"/>
    <w:rsid w:val="00A13AD1"/>
    <w:rsid w:val="00A13AEF"/>
    <w:rsid w:val="00A13D28"/>
    <w:rsid w:val="00A140B2"/>
    <w:rsid w:val="00A1439C"/>
    <w:rsid w:val="00A1458C"/>
    <w:rsid w:val="00A145F4"/>
    <w:rsid w:val="00A14879"/>
    <w:rsid w:val="00A150D8"/>
    <w:rsid w:val="00A1566E"/>
    <w:rsid w:val="00A1578C"/>
    <w:rsid w:val="00A161AF"/>
    <w:rsid w:val="00A1677F"/>
    <w:rsid w:val="00A16EB2"/>
    <w:rsid w:val="00A16F23"/>
    <w:rsid w:val="00A175F9"/>
    <w:rsid w:val="00A20AA8"/>
    <w:rsid w:val="00A20EDD"/>
    <w:rsid w:val="00A21221"/>
    <w:rsid w:val="00A21732"/>
    <w:rsid w:val="00A2188A"/>
    <w:rsid w:val="00A222E1"/>
    <w:rsid w:val="00A22BB1"/>
    <w:rsid w:val="00A22D4D"/>
    <w:rsid w:val="00A230B1"/>
    <w:rsid w:val="00A2315B"/>
    <w:rsid w:val="00A237DD"/>
    <w:rsid w:val="00A241C9"/>
    <w:rsid w:val="00A241CC"/>
    <w:rsid w:val="00A24C8C"/>
    <w:rsid w:val="00A24E2B"/>
    <w:rsid w:val="00A25037"/>
    <w:rsid w:val="00A254B5"/>
    <w:rsid w:val="00A255D8"/>
    <w:rsid w:val="00A25D2A"/>
    <w:rsid w:val="00A26E70"/>
    <w:rsid w:val="00A27140"/>
    <w:rsid w:val="00A27203"/>
    <w:rsid w:val="00A27477"/>
    <w:rsid w:val="00A27617"/>
    <w:rsid w:val="00A278B3"/>
    <w:rsid w:val="00A278E0"/>
    <w:rsid w:val="00A27FD2"/>
    <w:rsid w:val="00A30013"/>
    <w:rsid w:val="00A300B0"/>
    <w:rsid w:val="00A3058B"/>
    <w:rsid w:val="00A305A3"/>
    <w:rsid w:val="00A30686"/>
    <w:rsid w:val="00A3092F"/>
    <w:rsid w:val="00A30986"/>
    <w:rsid w:val="00A30E98"/>
    <w:rsid w:val="00A31FD1"/>
    <w:rsid w:val="00A324E9"/>
    <w:rsid w:val="00A32998"/>
    <w:rsid w:val="00A33FFD"/>
    <w:rsid w:val="00A343B2"/>
    <w:rsid w:val="00A344F2"/>
    <w:rsid w:val="00A34BFC"/>
    <w:rsid w:val="00A34D23"/>
    <w:rsid w:val="00A3504E"/>
    <w:rsid w:val="00A35551"/>
    <w:rsid w:val="00A35BAC"/>
    <w:rsid w:val="00A35E18"/>
    <w:rsid w:val="00A35ED8"/>
    <w:rsid w:val="00A362C3"/>
    <w:rsid w:val="00A3674F"/>
    <w:rsid w:val="00A36959"/>
    <w:rsid w:val="00A3732D"/>
    <w:rsid w:val="00A37A81"/>
    <w:rsid w:val="00A37DFB"/>
    <w:rsid w:val="00A37F52"/>
    <w:rsid w:val="00A4001B"/>
    <w:rsid w:val="00A40316"/>
    <w:rsid w:val="00A406AA"/>
    <w:rsid w:val="00A406D2"/>
    <w:rsid w:val="00A40774"/>
    <w:rsid w:val="00A408DC"/>
    <w:rsid w:val="00A40A06"/>
    <w:rsid w:val="00A40BCF"/>
    <w:rsid w:val="00A40E66"/>
    <w:rsid w:val="00A413F4"/>
    <w:rsid w:val="00A418B2"/>
    <w:rsid w:val="00A419E8"/>
    <w:rsid w:val="00A41E2E"/>
    <w:rsid w:val="00A41EB5"/>
    <w:rsid w:val="00A42638"/>
    <w:rsid w:val="00A4273A"/>
    <w:rsid w:val="00A42AF5"/>
    <w:rsid w:val="00A42CD2"/>
    <w:rsid w:val="00A42EC5"/>
    <w:rsid w:val="00A42F01"/>
    <w:rsid w:val="00A430E0"/>
    <w:rsid w:val="00A43A8C"/>
    <w:rsid w:val="00A43B36"/>
    <w:rsid w:val="00A43C58"/>
    <w:rsid w:val="00A4421E"/>
    <w:rsid w:val="00A44559"/>
    <w:rsid w:val="00A4464B"/>
    <w:rsid w:val="00A44890"/>
    <w:rsid w:val="00A44AA6"/>
    <w:rsid w:val="00A44FF1"/>
    <w:rsid w:val="00A4520E"/>
    <w:rsid w:val="00A45479"/>
    <w:rsid w:val="00A4559E"/>
    <w:rsid w:val="00A46041"/>
    <w:rsid w:val="00A46A77"/>
    <w:rsid w:val="00A4710A"/>
    <w:rsid w:val="00A4737C"/>
    <w:rsid w:val="00A47CF6"/>
    <w:rsid w:val="00A47FC1"/>
    <w:rsid w:val="00A50667"/>
    <w:rsid w:val="00A5078A"/>
    <w:rsid w:val="00A50DEE"/>
    <w:rsid w:val="00A50E1C"/>
    <w:rsid w:val="00A515D1"/>
    <w:rsid w:val="00A51612"/>
    <w:rsid w:val="00A516B1"/>
    <w:rsid w:val="00A5206B"/>
    <w:rsid w:val="00A5219E"/>
    <w:rsid w:val="00A533AD"/>
    <w:rsid w:val="00A53808"/>
    <w:rsid w:val="00A53C09"/>
    <w:rsid w:val="00A54230"/>
    <w:rsid w:val="00A5491C"/>
    <w:rsid w:val="00A555F5"/>
    <w:rsid w:val="00A55AC8"/>
    <w:rsid w:val="00A55ED3"/>
    <w:rsid w:val="00A56712"/>
    <w:rsid w:val="00A56B18"/>
    <w:rsid w:val="00A56B6F"/>
    <w:rsid w:val="00A57620"/>
    <w:rsid w:val="00A57719"/>
    <w:rsid w:val="00A577A1"/>
    <w:rsid w:val="00A57856"/>
    <w:rsid w:val="00A57BBD"/>
    <w:rsid w:val="00A60A7F"/>
    <w:rsid w:val="00A60E8E"/>
    <w:rsid w:val="00A613D8"/>
    <w:rsid w:val="00A61A40"/>
    <w:rsid w:val="00A61CE9"/>
    <w:rsid w:val="00A61FAB"/>
    <w:rsid w:val="00A62070"/>
    <w:rsid w:val="00A62A86"/>
    <w:rsid w:val="00A62DF0"/>
    <w:rsid w:val="00A62EB4"/>
    <w:rsid w:val="00A633B8"/>
    <w:rsid w:val="00A63569"/>
    <w:rsid w:val="00A63AD7"/>
    <w:rsid w:val="00A63ED9"/>
    <w:rsid w:val="00A64913"/>
    <w:rsid w:val="00A65078"/>
    <w:rsid w:val="00A6544E"/>
    <w:rsid w:val="00A6590C"/>
    <w:rsid w:val="00A65A19"/>
    <w:rsid w:val="00A65E0A"/>
    <w:rsid w:val="00A66055"/>
    <w:rsid w:val="00A662B6"/>
    <w:rsid w:val="00A662EA"/>
    <w:rsid w:val="00A67062"/>
    <w:rsid w:val="00A67F31"/>
    <w:rsid w:val="00A70343"/>
    <w:rsid w:val="00A70408"/>
    <w:rsid w:val="00A70710"/>
    <w:rsid w:val="00A7096A"/>
    <w:rsid w:val="00A70E02"/>
    <w:rsid w:val="00A70E14"/>
    <w:rsid w:val="00A70F35"/>
    <w:rsid w:val="00A70F99"/>
    <w:rsid w:val="00A710EB"/>
    <w:rsid w:val="00A7138B"/>
    <w:rsid w:val="00A71859"/>
    <w:rsid w:val="00A71B2B"/>
    <w:rsid w:val="00A71DA6"/>
    <w:rsid w:val="00A7222D"/>
    <w:rsid w:val="00A72874"/>
    <w:rsid w:val="00A72A65"/>
    <w:rsid w:val="00A72A69"/>
    <w:rsid w:val="00A72B3B"/>
    <w:rsid w:val="00A73143"/>
    <w:rsid w:val="00A73196"/>
    <w:rsid w:val="00A73D4A"/>
    <w:rsid w:val="00A73F84"/>
    <w:rsid w:val="00A74BC3"/>
    <w:rsid w:val="00A750AE"/>
    <w:rsid w:val="00A7643A"/>
    <w:rsid w:val="00A76542"/>
    <w:rsid w:val="00A767AD"/>
    <w:rsid w:val="00A77155"/>
    <w:rsid w:val="00A77309"/>
    <w:rsid w:val="00A77D7C"/>
    <w:rsid w:val="00A80309"/>
    <w:rsid w:val="00A80A07"/>
    <w:rsid w:val="00A80F87"/>
    <w:rsid w:val="00A815BF"/>
    <w:rsid w:val="00A815FF"/>
    <w:rsid w:val="00A8192C"/>
    <w:rsid w:val="00A81BEC"/>
    <w:rsid w:val="00A81FED"/>
    <w:rsid w:val="00A821D7"/>
    <w:rsid w:val="00A82FB2"/>
    <w:rsid w:val="00A8365F"/>
    <w:rsid w:val="00A83947"/>
    <w:rsid w:val="00A83B3E"/>
    <w:rsid w:val="00A842DE"/>
    <w:rsid w:val="00A848A3"/>
    <w:rsid w:val="00A84AF0"/>
    <w:rsid w:val="00A84D56"/>
    <w:rsid w:val="00A84D76"/>
    <w:rsid w:val="00A84F53"/>
    <w:rsid w:val="00A84F57"/>
    <w:rsid w:val="00A8512D"/>
    <w:rsid w:val="00A85627"/>
    <w:rsid w:val="00A86461"/>
    <w:rsid w:val="00A864DC"/>
    <w:rsid w:val="00A865D1"/>
    <w:rsid w:val="00A867E3"/>
    <w:rsid w:val="00A87134"/>
    <w:rsid w:val="00A87289"/>
    <w:rsid w:val="00A8794F"/>
    <w:rsid w:val="00A87ECE"/>
    <w:rsid w:val="00A90170"/>
    <w:rsid w:val="00A90316"/>
    <w:rsid w:val="00A9056D"/>
    <w:rsid w:val="00A90774"/>
    <w:rsid w:val="00A9126C"/>
    <w:rsid w:val="00A91298"/>
    <w:rsid w:val="00A9188B"/>
    <w:rsid w:val="00A92087"/>
    <w:rsid w:val="00A922AA"/>
    <w:rsid w:val="00A926ED"/>
    <w:rsid w:val="00A9298B"/>
    <w:rsid w:val="00A929F6"/>
    <w:rsid w:val="00A93D23"/>
    <w:rsid w:val="00A93F41"/>
    <w:rsid w:val="00A93F78"/>
    <w:rsid w:val="00A940E1"/>
    <w:rsid w:val="00A9436F"/>
    <w:rsid w:val="00A94556"/>
    <w:rsid w:val="00A945F9"/>
    <w:rsid w:val="00A94AC3"/>
    <w:rsid w:val="00A94C82"/>
    <w:rsid w:val="00A94E57"/>
    <w:rsid w:val="00A94F6A"/>
    <w:rsid w:val="00A95361"/>
    <w:rsid w:val="00A95507"/>
    <w:rsid w:val="00A95696"/>
    <w:rsid w:val="00A9583B"/>
    <w:rsid w:val="00A95B65"/>
    <w:rsid w:val="00A962A5"/>
    <w:rsid w:val="00A96CD5"/>
    <w:rsid w:val="00A97454"/>
    <w:rsid w:val="00A9756B"/>
    <w:rsid w:val="00A975F6"/>
    <w:rsid w:val="00A9764B"/>
    <w:rsid w:val="00A978A1"/>
    <w:rsid w:val="00A97A49"/>
    <w:rsid w:val="00A97EE6"/>
    <w:rsid w:val="00AA0978"/>
    <w:rsid w:val="00AA0A3E"/>
    <w:rsid w:val="00AA0CD3"/>
    <w:rsid w:val="00AA0E4E"/>
    <w:rsid w:val="00AA0EC1"/>
    <w:rsid w:val="00AA0FED"/>
    <w:rsid w:val="00AA27F0"/>
    <w:rsid w:val="00AA28D1"/>
    <w:rsid w:val="00AA2B7A"/>
    <w:rsid w:val="00AA2B88"/>
    <w:rsid w:val="00AA2C2E"/>
    <w:rsid w:val="00AA2F03"/>
    <w:rsid w:val="00AA374B"/>
    <w:rsid w:val="00AA3F1D"/>
    <w:rsid w:val="00AA43B3"/>
    <w:rsid w:val="00AA4492"/>
    <w:rsid w:val="00AA49F6"/>
    <w:rsid w:val="00AA54D7"/>
    <w:rsid w:val="00AA56A7"/>
    <w:rsid w:val="00AA57EC"/>
    <w:rsid w:val="00AA5B62"/>
    <w:rsid w:val="00AA5BA9"/>
    <w:rsid w:val="00AA6196"/>
    <w:rsid w:val="00AA67F5"/>
    <w:rsid w:val="00AA6D63"/>
    <w:rsid w:val="00AA6FAC"/>
    <w:rsid w:val="00AA7146"/>
    <w:rsid w:val="00AA72D6"/>
    <w:rsid w:val="00AA7836"/>
    <w:rsid w:val="00AA7977"/>
    <w:rsid w:val="00AA7D4E"/>
    <w:rsid w:val="00AB0952"/>
    <w:rsid w:val="00AB0ECD"/>
    <w:rsid w:val="00AB0F38"/>
    <w:rsid w:val="00AB12D1"/>
    <w:rsid w:val="00AB1B4A"/>
    <w:rsid w:val="00AB1BD5"/>
    <w:rsid w:val="00AB1F21"/>
    <w:rsid w:val="00AB21B2"/>
    <w:rsid w:val="00AB25DD"/>
    <w:rsid w:val="00AB2621"/>
    <w:rsid w:val="00AB2A70"/>
    <w:rsid w:val="00AB33EF"/>
    <w:rsid w:val="00AB34D0"/>
    <w:rsid w:val="00AB3D58"/>
    <w:rsid w:val="00AB4057"/>
    <w:rsid w:val="00AB40F0"/>
    <w:rsid w:val="00AB44F6"/>
    <w:rsid w:val="00AB5805"/>
    <w:rsid w:val="00AB5B12"/>
    <w:rsid w:val="00AB5B42"/>
    <w:rsid w:val="00AB5E03"/>
    <w:rsid w:val="00AB6489"/>
    <w:rsid w:val="00AB6835"/>
    <w:rsid w:val="00AB691C"/>
    <w:rsid w:val="00AB698D"/>
    <w:rsid w:val="00AB6A83"/>
    <w:rsid w:val="00AB6EB5"/>
    <w:rsid w:val="00AB7407"/>
    <w:rsid w:val="00AB7CC9"/>
    <w:rsid w:val="00AB7E92"/>
    <w:rsid w:val="00AB7FF7"/>
    <w:rsid w:val="00AC0311"/>
    <w:rsid w:val="00AC036C"/>
    <w:rsid w:val="00AC1998"/>
    <w:rsid w:val="00AC1C08"/>
    <w:rsid w:val="00AC1DBB"/>
    <w:rsid w:val="00AC1E71"/>
    <w:rsid w:val="00AC25A4"/>
    <w:rsid w:val="00AC331E"/>
    <w:rsid w:val="00AC3610"/>
    <w:rsid w:val="00AC3CDF"/>
    <w:rsid w:val="00AC3E50"/>
    <w:rsid w:val="00AC3F66"/>
    <w:rsid w:val="00AC4173"/>
    <w:rsid w:val="00AC45BA"/>
    <w:rsid w:val="00AC5138"/>
    <w:rsid w:val="00AC5424"/>
    <w:rsid w:val="00AC5615"/>
    <w:rsid w:val="00AC59BC"/>
    <w:rsid w:val="00AC5A7F"/>
    <w:rsid w:val="00AC5C6E"/>
    <w:rsid w:val="00AC5F61"/>
    <w:rsid w:val="00AC63D9"/>
    <w:rsid w:val="00AC6B27"/>
    <w:rsid w:val="00AC7501"/>
    <w:rsid w:val="00AC766E"/>
    <w:rsid w:val="00AC78B6"/>
    <w:rsid w:val="00AC79E4"/>
    <w:rsid w:val="00AC7B20"/>
    <w:rsid w:val="00AD01FB"/>
    <w:rsid w:val="00AD0478"/>
    <w:rsid w:val="00AD04C9"/>
    <w:rsid w:val="00AD08B3"/>
    <w:rsid w:val="00AD0B4A"/>
    <w:rsid w:val="00AD1072"/>
    <w:rsid w:val="00AD1265"/>
    <w:rsid w:val="00AD1470"/>
    <w:rsid w:val="00AD14E4"/>
    <w:rsid w:val="00AD17E6"/>
    <w:rsid w:val="00AD18A3"/>
    <w:rsid w:val="00AD1CDA"/>
    <w:rsid w:val="00AD1E89"/>
    <w:rsid w:val="00AD1FCF"/>
    <w:rsid w:val="00AD230B"/>
    <w:rsid w:val="00AD25FA"/>
    <w:rsid w:val="00AD26B9"/>
    <w:rsid w:val="00AD2808"/>
    <w:rsid w:val="00AD320F"/>
    <w:rsid w:val="00AD323D"/>
    <w:rsid w:val="00AD34C5"/>
    <w:rsid w:val="00AD3513"/>
    <w:rsid w:val="00AD398A"/>
    <w:rsid w:val="00AD3D6A"/>
    <w:rsid w:val="00AD41E5"/>
    <w:rsid w:val="00AD5381"/>
    <w:rsid w:val="00AD590A"/>
    <w:rsid w:val="00AD595B"/>
    <w:rsid w:val="00AD5EB5"/>
    <w:rsid w:val="00AD5FF2"/>
    <w:rsid w:val="00AD6562"/>
    <w:rsid w:val="00AD6A16"/>
    <w:rsid w:val="00AD6C0F"/>
    <w:rsid w:val="00AD6D72"/>
    <w:rsid w:val="00AD7862"/>
    <w:rsid w:val="00AD7E3B"/>
    <w:rsid w:val="00AE02ED"/>
    <w:rsid w:val="00AE0C35"/>
    <w:rsid w:val="00AE0C43"/>
    <w:rsid w:val="00AE11A7"/>
    <w:rsid w:val="00AE11FB"/>
    <w:rsid w:val="00AE131E"/>
    <w:rsid w:val="00AE1E0E"/>
    <w:rsid w:val="00AE22A3"/>
    <w:rsid w:val="00AE24C9"/>
    <w:rsid w:val="00AE3682"/>
    <w:rsid w:val="00AE4560"/>
    <w:rsid w:val="00AE5289"/>
    <w:rsid w:val="00AE5347"/>
    <w:rsid w:val="00AE553E"/>
    <w:rsid w:val="00AE5CDC"/>
    <w:rsid w:val="00AE66AA"/>
    <w:rsid w:val="00AE67DA"/>
    <w:rsid w:val="00AE6B4A"/>
    <w:rsid w:val="00AE6C63"/>
    <w:rsid w:val="00AE6C71"/>
    <w:rsid w:val="00AE6D74"/>
    <w:rsid w:val="00AE70DA"/>
    <w:rsid w:val="00AE76B6"/>
    <w:rsid w:val="00AE76C6"/>
    <w:rsid w:val="00AE78C2"/>
    <w:rsid w:val="00AF143B"/>
    <w:rsid w:val="00AF17C8"/>
    <w:rsid w:val="00AF1971"/>
    <w:rsid w:val="00AF1B29"/>
    <w:rsid w:val="00AF1E4D"/>
    <w:rsid w:val="00AF262A"/>
    <w:rsid w:val="00AF29A2"/>
    <w:rsid w:val="00AF2ACC"/>
    <w:rsid w:val="00AF2AFD"/>
    <w:rsid w:val="00AF2B12"/>
    <w:rsid w:val="00AF2E33"/>
    <w:rsid w:val="00AF3480"/>
    <w:rsid w:val="00AF3774"/>
    <w:rsid w:val="00AF41F0"/>
    <w:rsid w:val="00AF445A"/>
    <w:rsid w:val="00AF49BA"/>
    <w:rsid w:val="00AF4A74"/>
    <w:rsid w:val="00AF4F62"/>
    <w:rsid w:val="00AF5A7A"/>
    <w:rsid w:val="00AF5D4E"/>
    <w:rsid w:val="00AF6307"/>
    <w:rsid w:val="00AF6994"/>
    <w:rsid w:val="00AF6A5E"/>
    <w:rsid w:val="00AF6AF8"/>
    <w:rsid w:val="00AF6B2C"/>
    <w:rsid w:val="00AF6C5E"/>
    <w:rsid w:val="00AF7048"/>
    <w:rsid w:val="00AF75B9"/>
    <w:rsid w:val="00B00D5C"/>
    <w:rsid w:val="00B00EC3"/>
    <w:rsid w:val="00B00F36"/>
    <w:rsid w:val="00B00FED"/>
    <w:rsid w:val="00B011D7"/>
    <w:rsid w:val="00B017B4"/>
    <w:rsid w:val="00B01B8F"/>
    <w:rsid w:val="00B01EBD"/>
    <w:rsid w:val="00B02074"/>
    <w:rsid w:val="00B024E6"/>
    <w:rsid w:val="00B0322C"/>
    <w:rsid w:val="00B0346A"/>
    <w:rsid w:val="00B0347F"/>
    <w:rsid w:val="00B0382B"/>
    <w:rsid w:val="00B0385E"/>
    <w:rsid w:val="00B0399D"/>
    <w:rsid w:val="00B03D9C"/>
    <w:rsid w:val="00B0446D"/>
    <w:rsid w:val="00B0451A"/>
    <w:rsid w:val="00B0475A"/>
    <w:rsid w:val="00B04B54"/>
    <w:rsid w:val="00B052C4"/>
    <w:rsid w:val="00B054E7"/>
    <w:rsid w:val="00B05952"/>
    <w:rsid w:val="00B05BD8"/>
    <w:rsid w:val="00B06051"/>
    <w:rsid w:val="00B06119"/>
    <w:rsid w:val="00B061AA"/>
    <w:rsid w:val="00B0627A"/>
    <w:rsid w:val="00B065B0"/>
    <w:rsid w:val="00B065FA"/>
    <w:rsid w:val="00B06869"/>
    <w:rsid w:val="00B06BA4"/>
    <w:rsid w:val="00B075F2"/>
    <w:rsid w:val="00B0768D"/>
    <w:rsid w:val="00B0775B"/>
    <w:rsid w:val="00B07B13"/>
    <w:rsid w:val="00B1030A"/>
    <w:rsid w:val="00B10542"/>
    <w:rsid w:val="00B10681"/>
    <w:rsid w:val="00B115D4"/>
    <w:rsid w:val="00B11E76"/>
    <w:rsid w:val="00B11FEE"/>
    <w:rsid w:val="00B121D2"/>
    <w:rsid w:val="00B129B9"/>
    <w:rsid w:val="00B12AC4"/>
    <w:rsid w:val="00B1313C"/>
    <w:rsid w:val="00B13277"/>
    <w:rsid w:val="00B132E8"/>
    <w:rsid w:val="00B134A3"/>
    <w:rsid w:val="00B13D17"/>
    <w:rsid w:val="00B14070"/>
    <w:rsid w:val="00B14245"/>
    <w:rsid w:val="00B142A4"/>
    <w:rsid w:val="00B14B44"/>
    <w:rsid w:val="00B14BE3"/>
    <w:rsid w:val="00B14CA0"/>
    <w:rsid w:val="00B15433"/>
    <w:rsid w:val="00B162E3"/>
    <w:rsid w:val="00B1659A"/>
    <w:rsid w:val="00B16765"/>
    <w:rsid w:val="00B16D46"/>
    <w:rsid w:val="00B177E2"/>
    <w:rsid w:val="00B17D0C"/>
    <w:rsid w:val="00B200AD"/>
    <w:rsid w:val="00B20176"/>
    <w:rsid w:val="00B20842"/>
    <w:rsid w:val="00B2095C"/>
    <w:rsid w:val="00B20F25"/>
    <w:rsid w:val="00B212A8"/>
    <w:rsid w:val="00B21315"/>
    <w:rsid w:val="00B21552"/>
    <w:rsid w:val="00B21E56"/>
    <w:rsid w:val="00B22636"/>
    <w:rsid w:val="00B22ECE"/>
    <w:rsid w:val="00B23A1F"/>
    <w:rsid w:val="00B23A77"/>
    <w:rsid w:val="00B242FA"/>
    <w:rsid w:val="00B243A1"/>
    <w:rsid w:val="00B244E8"/>
    <w:rsid w:val="00B2450D"/>
    <w:rsid w:val="00B24726"/>
    <w:rsid w:val="00B24A43"/>
    <w:rsid w:val="00B24E4B"/>
    <w:rsid w:val="00B2516C"/>
    <w:rsid w:val="00B25228"/>
    <w:rsid w:val="00B25273"/>
    <w:rsid w:val="00B25737"/>
    <w:rsid w:val="00B26175"/>
    <w:rsid w:val="00B26C29"/>
    <w:rsid w:val="00B26D62"/>
    <w:rsid w:val="00B26FF2"/>
    <w:rsid w:val="00B274D5"/>
    <w:rsid w:val="00B27750"/>
    <w:rsid w:val="00B27897"/>
    <w:rsid w:val="00B27960"/>
    <w:rsid w:val="00B27CC8"/>
    <w:rsid w:val="00B27D64"/>
    <w:rsid w:val="00B300F9"/>
    <w:rsid w:val="00B306D3"/>
    <w:rsid w:val="00B308D8"/>
    <w:rsid w:val="00B3093C"/>
    <w:rsid w:val="00B30A01"/>
    <w:rsid w:val="00B31137"/>
    <w:rsid w:val="00B312B4"/>
    <w:rsid w:val="00B3164B"/>
    <w:rsid w:val="00B3253A"/>
    <w:rsid w:val="00B325A3"/>
    <w:rsid w:val="00B329F2"/>
    <w:rsid w:val="00B331E1"/>
    <w:rsid w:val="00B3383B"/>
    <w:rsid w:val="00B3399F"/>
    <w:rsid w:val="00B3407D"/>
    <w:rsid w:val="00B34505"/>
    <w:rsid w:val="00B355C2"/>
    <w:rsid w:val="00B3566B"/>
    <w:rsid w:val="00B357A9"/>
    <w:rsid w:val="00B35992"/>
    <w:rsid w:val="00B35C67"/>
    <w:rsid w:val="00B3637E"/>
    <w:rsid w:val="00B3668C"/>
    <w:rsid w:val="00B368C8"/>
    <w:rsid w:val="00B36916"/>
    <w:rsid w:val="00B36936"/>
    <w:rsid w:val="00B369C4"/>
    <w:rsid w:val="00B36DF8"/>
    <w:rsid w:val="00B370E3"/>
    <w:rsid w:val="00B3728C"/>
    <w:rsid w:val="00B372D5"/>
    <w:rsid w:val="00B378A9"/>
    <w:rsid w:val="00B37983"/>
    <w:rsid w:val="00B37A4F"/>
    <w:rsid w:val="00B400D9"/>
    <w:rsid w:val="00B40F8D"/>
    <w:rsid w:val="00B411F8"/>
    <w:rsid w:val="00B41667"/>
    <w:rsid w:val="00B41A91"/>
    <w:rsid w:val="00B41D17"/>
    <w:rsid w:val="00B424CD"/>
    <w:rsid w:val="00B42CC0"/>
    <w:rsid w:val="00B43290"/>
    <w:rsid w:val="00B43C76"/>
    <w:rsid w:val="00B43E0E"/>
    <w:rsid w:val="00B444A6"/>
    <w:rsid w:val="00B44719"/>
    <w:rsid w:val="00B4491B"/>
    <w:rsid w:val="00B44A4F"/>
    <w:rsid w:val="00B450BC"/>
    <w:rsid w:val="00B453DD"/>
    <w:rsid w:val="00B45508"/>
    <w:rsid w:val="00B4568D"/>
    <w:rsid w:val="00B45F36"/>
    <w:rsid w:val="00B46113"/>
    <w:rsid w:val="00B4620C"/>
    <w:rsid w:val="00B467AC"/>
    <w:rsid w:val="00B469AC"/>
    <w:rsid w:val="00B46A1B"/>
    <w:rsid w:val="00B46DE2"/>
    <w:rsid w:val="00B47292"/>
    <w:rsid w:val="00B47E7A"/>
    <w:rsid w:val="00B50601"/>
    <w:rsid w:val="00B50656"/>
    <w:rsid w:val="00B506B4"/>
    <w:rsid w:val="00B50701"/>
    <w:rsid w:val="00B50964"/>
    <w:rsid w:val="00B50A08"/>
    <w:rsid w:val="00B50B53"/>
    <w:rsid w:val="00B5130C"/>
    <w:rsid w:val="00B51952"/>
    <w:rsid w:val="00B519A8"/>
    <w:rsid w:val="00B52549"/>
    <w:rsid w:val="00B52B6F"/>
    <w:rsid w:val="00B53364"/>
    <w:rsid w:val="00B53375"/>
    <w:rsid w:val="00B53CC0"/>
    <w:rsid w:val="00B53E68"/>
    <w:rsid w:val="00B549F7"/>
    <w:rsid w:val="00B54E49"/>
    <w:rsid w:val="00B54E58"/>
    <w:rsid w:val="00B5594B"/>
    <w:rsid w:val="00B55B45"/>
    <w:rsid w:val="00B55D31"/>
    <w:rsid w:val="00B56369"/>
    <w:rsid w:val="00B56A0A"/>
    <w:rsid w:val="00B56FB0"/>
    <w:rsid w:val="00B56FFC"/>
    <w:rsid w:val="00B57080"/>
    <w:rsid w:val="00B578D1"/>
    <w:rsid w:val="00B57B5F"/>
    <w:rsid w:val="00B57EC8"/>
    <w:rsid w:val="00B602D8"/>
    <w:rsid w:val="00B60385"/>
    <w:rsid w:val="00B60388"/>
    <w:rsid w:val="00B606C1"/>
    <w:rsid w:val="00B60827"/>
    <w:rsid w:val="00B60839"/>
    <w:rsid w:val="00B60A71"/>
    <w:rsid w:val="00B60D3B"/>
    <w:rsid w:val="00B60EB6"/>
    <w:rsid w:val="00B61006"/>
    <w:rsid w:val="00B6108F"/>
    <w:rsid w:val="00B61778"/>
    <w:rsid w:val="00B62106"/>
    <w:rsid w:val="00B634D4"/>
    <w:rsid w:val="00B637F5"/>
    <w:rsid w:val="00B63A46"/>
    <w:rsid w:val="00B63C4F"/>
    <w:rsid w:val="00B64148"/>
    <w:rsid w:val="00B647EA"/>
    <w:rsid w:val="00B649F4"/>
    <w:rsid w:val="00B653C1"/>
    <w:rsid w:val="00B6589E"/>
    <w:rsid w:val="00B65C10"/>
    <w:rsid w:val="00B6627F"/>
    <w:rsid w:val="00B662B6"/>
    <w:rsid w:val="00B6635B"/>
    <w:rsid w:val="00B664DC"/>
    <w:rsid w:val="00B666CC"/>
    <w:rsid w:val="00B66A2D"/>
    <w:rsid w:val="00B66D86"/>
    <w:rsid w:val="00B67254"/>
    <w:rsid w:val="00B702E4"/>
    <w:rsid w:val="00B704FB"/>
    <w:rsid w:val="00B7072F"/>
    <w:rsid w:val="00B70F0B"/>
    <w:rsid w:val="00B712C8"/>
    <w:rsid w:val="00B71571"/>
    <w:rsid w:val="00B71EBF"/>
    <w:rsid w:val="00B720F6"/>
    <w:rsid w:val="00B7234C"/>
    <w:rsid w:val="00B723DC"/>
    <w:rsid w:val="00B7271D"/>
    <w:rsid w:val="00B72843"/>
    <w:rsid w:val="00B72C86"/>
    <w:rsid w:val="00B730D3"/>
    <w:rsid w:val="00B7339B"/>
    <w:rsid w:val="00B734A5"/>
    <w:rsid w:val="00B7351A"/>
    <w:rsid w:val="00B73A5F"/>
    <w:rsid w:val="00B73B63"/>
    <w:rsid w:val="00B73BAD"/>
    <w:rsid w:val="00B73D20"/>
    <w:rsid w:val="00B7424C"/>
    <w:rsid w:val="00B7449A"/>
    <w:rsid w:val="00B74D51"/>
    <w:rsid w:val="00B74D81"/>
    <w:rsid w:val="00B75346"/>
    <w:rsid w:val="00B754ED"/>
    <w:rsid w:val="00B7601C"/>
    <w:rsid w:val="00B766FF"/>
    <w:rsid w:val="00B768CF"/>
    <w:rsid w:val="00B76C10"/>
    <w:rsid w:val="00B76CD9"/>
    <w:rsid w:val="00B76FCB"/>
    <w:rsid w:val="00B7746E"/>
    <w:rsid w:val="00B775EA"/>
    <w:rsid w:val="00B7795B"/>
    <w:rsid w:val="00B77BA4"/>
    <w:rsid w:val="00B77CBC"/>
    <w:rsid w:val="00B77D66"/>
    <w:rsid w:val="00B80565"/>
    <w:rsid w:val="00B808D3"/>
    <w:rsid w:val="00B80B39"/>
    <w:rsid w:val="00B80FCC"/>
    <w:rsid w:val="00B81286"/>
    <w:rsid w:val="00B8154C"/>
    <w:rsid w:val="00B81A0E"/>
    <w:rsid w:val="00B81A36"/>
    <w:rsid w:val="00B81A77"/>
    <w:rsid w:val="00B81BA1"/>
    <w:rsid w:val="00B81CBB"/>
    <w:rsid w:val="00B81CE4"/>
    <w:rsid w:val="00B81E2C"/>
    <w:rsid w:val="00B81F0E"/>
    <w:rsid w:val="00B82A79"/>
    <w:rsid w:val="00B83C9F"/>
    <w:rsid w:val="00B83EF5"/>
    <w:rsid w:val="00B83FFB"/>
    <w:rsid w:val="00B8409E"/>
    <w:rsid w:val="00B843FD"/>
    <w:rsid w:val="00B8476B"/>
    <w:rsid w:val="00B84932"/>
    <w:rsid w:val="00B84A3F"/>
    <w:rsid w:val="00B84C39"/>
    <w:rsid w:val="00B8540C"/>
    <w:rsid w:val="00B856D7"/>
    <w:rsid w:val="00B85BDC"/>
    <w:rsid w:val="00B85CB7"/>
    <w:rsid w:val="00B85CCE"/>
    <w:rsid w:val="00B86180"/>
    <w:rsid w:val="00B86371"/>
    <w:rsid w:val="00B868DC"/>
    <w:rsid w:val="00B86BA7"/>
    <w:rsid w:val="00B86CF3"/>
    <w:rsid w:val="00B8792A"/>
    <w:rsid w:val="00B87F0C"/>
    <w:rsid w:val="00B90875"/>
    <w:rsid w:val="00B912E9"/>
    <w:rsid w:val="00B91992"/>
    <w:rsid w:val="00B91B40"/>
    <w:rsid w:val="00B91C3D"/>
    <w:rsid w:val="00B91CC9"/>
    <w:rsid w:val="00B91F44"/>
    <w:rsid w:val="00B92195"/>
    <w:rsid w:val="00B92A81"/>
    <w:rsid w:val="00B92AF3"/>
    <w:rsid w:val="00B92B00"/>
    <w:rsid w:val="00B938CD"/>
    <w:rsid w:val="00B939C9"/>
    <w:rsid w:val="00B939EA"/>
    <w:rsid w:val="00B93E0F"/>
    <w:rsid w:val="00B942C4"/>
    <w:rsid w:val="00B94394"/>
    <w:rsid w:val="00B94875"/>
    <w:rsid w:val="00B949AB"/>
    <w:rsid w:val="00B949DC"/>
    <w:rsid w:val="00B94A30"/>
    <w:rsid w:val="00B94B08"/>
    <w:rsid w:val="00B94C37"/>
    <w:rsid w:val="00B9550C"/>
    <w:rsid w:val="00B95595"/>
    <w:rsid w:val="00B96674"/>
    <w:rsid w:val="00B975C1"/>
    <w:rsid w:val="00B97C0C"/>
    <w:rsid w:val="00BA002E"/>
    <w:rsid w:val="00BA064F"/>
    <w:rsid w:val="00BA09C0"/>
    <w:rsid w:val="00BA11E3"/>
    <w:rsid w:val="00BA156D"/>
    <w:rsid w:val="00BA1A71"/>
    <w:rsid w:val="00BA1EDF"/>
    <w:rsid w:val="00BA2099"/>
    <w:rsid w:val="00BA2312"/>
    <w:rsid w:val="00BA2830"/>
    <w:rsid w:val="00BA2B5E"/>
    <w:rsid w:val="00BA37CD"/>
    <w:rsid w:val="00BA3FFC"/>
    <w:rsid w:val="00BA40FF"/>
    <w:rsid w:val="00BA491C"/>
    <w:rsid w:val="00BA4E1E"/>
    <w:rsid w:val="00BA51CE"/>
    <w:rsid w:val="00BA5721"/>
    <w:rsid w:val="00BA57DD"/>
    <w:rsid w:val="00BA57F3"/>
    <w:rsid w:val="00BA5994"/>
    <w:rsid w:val="00BA5F56"/>
    <w:rsid w:val="00BA61B8"/>
    <w:rsid w:val="00BA6292"/>
    <w:rsid w:val="00BA6534"/>
    <w:rsid w:val="00BA6560"/>
    <w:rsid w:val="00BA6C64"/>
    <w:rsid w:val="00BA763C"/>
    <w:rsid w:val="00BA7A00"/>
    <w:rsid w:val="00BA7CE7"/>
    <w:rsid w:val="00BB00EA"/>
    <w:rsid w:val="00BB03D9"/>
    <w:rsid w:val="00BB04C6"/>
    <w:rsid w:val="00BB0977"/>
    <w:rsid w:val="00BB10C3"/>
    <w:rsid w:val="00BB17C3"/>
    <w:rsid w:val="00BB17E8"/>
    <w:rsid w:val="00BB182A"/>
    <w:rsid w:val="00BB1C0B"/>
    <w:rsid w:val="00BB1F15"/>
    <w:rsid w:val="00BB2A73"/>
    <w:rsid w:val="00BB2B0D"/>
    <w:rsid w:val="00BB2BF6"/>
    <w:rsid w:val="00BB2C45"/>
    <w:rsid w:val="00BB3504"/>
    <w:rsid w:val="00BB3538"/>
    <w:rsid w:val="00BB3C80"/>
    <w:rsid w:val="00BB3EF0"/>
    <w:rsid w:val="00BB3F11"/>
    <w:rsid w:val="00BB4935"/>
    <w:rsid w:val="00BB4A8F"/>
    <w:rsid w:val="00BB4B4F"/>
    <w:rsid w:val="00BB4BC0"/>
    <w:rsid w:val="00BB4BED"/>
    <w:rsid w:val="00BB4CCF"/>
    <w:rsid w:val="00BB4EFA"/>
    <w:rsid w:val="00BB521E"/>
    <w:rsid w:val="00BB54FD"/>
    <w:rsid w:val="00BB5BB2"/>
    <w:rsid w:val="00BB5C60"/>
    <w:rsid w:val="00BB6589"/>
    <w:rsid w:val="00BB65E2"/>
    <w:rsid w:val="00BB662D"/>
    <w:rsid w:val="00BB66B0"/>
    <w:rsid w:val="00BB6FBE"/>
    <w:rsid w:val="00BB739F"/>
    <w:rsid w:val="00BB761A"/>
    <w:rsid w:val="00BB7CDC"/>
    <w:rsid w:val="00BC0405"/>
    <w:rsid w:val="00BC0FD8"/>
    <w:rsid w:val="00BC1F01"/>
    <w:rsid w:val="00BC23B6"/>
    <w:rsid w:val="00BC27C8"/>
    <w:rsid w:val="00BC3510"/>
    <w:rsid w:val="00BC3769"/>
    <w:rsid w:val="00BC3CAF"/>
    <w:rsid w:val="00BC4268"/>
    <w:rsid w:val="00BC4370"/>
    <w:rsid w:val="00BC4A2D"/>
    <w:rsid w:val="00BC4B91"/>
    <w:rsid w:val="00BC4CFA"/>
    <w:rsid w:val="00BC5299"/>
    <w:rsid w:val="00BC57E5"/>
    <w:rsid w:val="00BC5967"/>
    <w:rsid w:val="00BC5B0A"/>
    <w:rsid w:val="00BC5CD7"/>
    <w:rsid w:val="00BC5D58"/>
    <w:rsid w:val="00BC61CC"/>
    <w:rsid w:val="00BC656C"/>
    <w:rsid w:val="00BC665E"/>
    <w:rsid w:val="00BC676B"/>
    <w:rsid w:val="00BC6C2E"/>
    <w:rsid w:val="00BC6EB8"/>
    <w:rsid w:val="00BC6FA6"/>
    <w:rsid w:val="00BC79CE"/>
    <w:rsid w:val="00BC7D24"/>
    <w:rsid w:val="00BC7FC8"/>
    <w:rsid w:val="00BD024D"/>
    <w:rsid w:val="00BD0344"/>
    <w:rsid w:val="00BD06E2"/>
    <w:rsid w:val="00BD0760"/>
    <w:rsid w:val="00BD0763"/>
    <w:rsid w:val="00BD14F9"/>
    <w:rsid w:val="00BD1809"/>
    <w:rsid w:val="00BD18E1"/>
    <w:rsid w:val="00BD198B"/>
    <w:rsid w:val="00BD2009"/>
    <w:rsid w:val="00BD2539"/>
    <w:rsid w:val="00BD2866"/>
    <w:rsid w:val="00BD28EF"/>
    <w:rsid w:val="00BD32B6"/>
    <w:rsid w:val="00BD360E"/>
    <w:rsid w:val="00BD3614"/>
    <w:rsid w:val="00BD3721"/>
    <w:rsid w:val="00BD3728"/>
    <w:rsid w:val="00BD3ACF"/>
    <w:rsid w:val="00BD3CDF"/>
    <w:rsid w:val="00BD4062"/>
    <w:rsid w:val="00BD481B"/>
    <w:rsid w:val="00BD49B9"/>
    <w:rsid w:val="00BD4FDE"/>
    <w:rsid w:val="00BD539E"/>
    <w:rsid w:val="00BD57C6"/>
    <w:rsid w:val="00BD5A5A"/>
    <w:rsid w:val="00BD5AC1"/>
    <w:rsid w:val="00BD5FF3"/>
    <w:rsid w:val="00BD60FE"/>
    <w:rsid w:val="00BD6B6B"/>
    <w:rsid w:val="00BD6E1E"/>
    <w:rsid w:val="00BD72DB"/>
    <w:rsid w:val="00BD7406"/>
    <w:rsid w:val="00BD7413"/>
    <w:rsid w:val="00BD78B6"/>
    <w:rsid w:val="00BD7D1E"/>
    <w:rsid w:val="00BE04A1"/>
    <w:rsid w:val="00BE05B3"/>
    <w:rsid w:val="00BE0F5E"/>
    <w:rsid w:val="00BE0FFD"/>
    <w:rsid w:val="00BE143E"/>
    <w:rsid w:val="00BE1EA9"/>
    <w:rsid w:val="00BE2533"/>
    <w:rsid w:val="00BE2640"/>
    <w:rsid w:val="00BE2768"/>
    <w:rsid w:val="00BE295F"/>
    <w:rsid w:val="00BE2A24"/>
    <w:rsid w:val="00BE3030"/>
    <w:rsid w:val="00BE33D4"/>
    <w:rsid w:val="00BE38BC"/>
    <w:rsid w:val="00BE3AAE"/>
    <w:rsid w:val="00BE4097"/>
    <w:rsid w:val="00BE4504"/>
    <w:rsid w:val="00BE4A16"/>
    <w:rsid w:val="00BE53B6"/>
    <w:rsid w:val="00BE5970"/>
    <w:rsid w:val="00BE5BC6"/>
    <w:rsid w:val="00BE60F1"/>
    <w:rsid w:val="00BE69A9"/>
    <w:rsid w:val="00BE69AD"/>
    <w:rsid w:val="00BF0347"/>
    <w:rsid w:val="00BF0BC9"/>
    <w:rsid w:val="00BF0C57"/>
    <w:rsid w:val="00BF0FC1"/>
    <w:rsid w:val="00BF101D"/>
    <w:rsid w:val="00BF1386"/>
    <w:rsid w:val="00BF1590"/>
    <w:rsid w:val="00BF16CB"/>
    <w:rsid w:val="00BF18FA"/>
    <w:rsid w:val="00BF1BBF"/>
    <w:rsid w:val="00BF1DE8"/>
    <w:rsid w:val="00BF1E85"/>
    <w:rsid w:val="00BF1F5A"/>
    <w:rsid w:val="00BF22E1"/>
    <w:rsid w:val="00BF25AD"/>
    <w:rsid w:val="00BF2609"/>
    <w:rsid w:val="00BF2822"/>
    <w:rsid w:val="00BF29FF"/>
    <w:rsid w:val="00BF2CAE"/>
    <w:rsid w:val="00BF2E60"/>
    <w:rsid w:val="00BF2FD9"/>
    <w:rsid w:val="00BF323D"/>
    <w:rsid w:val="00BF33B0"/>
    <w:rsid w:val="00BF34A4"/>
    <w:rsid w:val="00BF3EEE"/>
    <w:rsid w:val="00BF4565"/>
    <w:rsid w:val="00BF51BC"/>
    <w:rsid w:val="00BF51D2"/>
    <w:rsid w:val="00BF5372"/>
    <w:rsid w:val="00BF586C"/>
    <w:rsid w:val="00BF5962"/>
    <w:rsid w:val="00BF61BE"/>
    <w:rsid w:val="00BF61C3"/>
    <w:rsid w:val="00BF6240"/>
    <w:rsid w:val="00BF6D4B"/>
    <w:rsid w:val="00BF6E57"/>
    <w:rsid w:val="00BF6FE3"/>
    <w:rsid w:val="00BF7191"/>
    <w:rsid w:val="00BF77B9"/>
    <w:rsid w:val="00BF79C2"/>
    <w:rsid w:val="00BF7D65"/>
    <w:rsid w:val="00BF7FBB"/>
    <w:rsid w:val="00BFAFA7"/>
    <w:rsid w:val="00C001FB"/>
    <w:rsid w:val="00C002FE"/>
    <w:rsid w:val="00C00D81"/>
    <w:rsid w:val="00C014AC"/>
    <w:rsid w:val="00C01617"/>
    <w:rsid w:val="00C018BF"/>
    <w:rsid w:val="00C01D17"/>
    <w:rsid w:val="00C027B6"/>
    <w:rsid w:val="00C02CE5"/>
    <w:rsid w:val="00C03021"/>
    <w:rsid w:val="00C030C5"/>
    <w:rsid w:val="00C03EB1"/>
    <w:rsid w:val="00C040B7"/>
    <w:rsid w:val="00C04653"/>
    <w:rsid w:val="00C04829"/>
    <w:rsid w:val="00C04FA3"/>
    <w:rsid w:val="00C052B9"/>
    <w:rsid w:val="00C055EC"/>
    <w:rsid w:val="00C056FD"/>
    <w:rsid w:val="00C05A78"/>
    <w:rsid w:val="00C05D51"/>
    <w:rsid w:val="00C05D78"/>
    <w:rsid w:val="00C06EED"/>
    <w:rsid w:val="00C0716B"/>
    <w:rsid w:val="00C1007A"/>
    <w:rsid w:val="00C1041A"/>
    <w:rsid w:val="00C10921"/>
    <w:rsid w:val="00C10D1C"/>
    <w:rsid w:val="00C11051"/>
    <w:rsid w:val="00C11597"/>
    <w:rsid w:val="00C115E2"/>
    <w:rsid w:val="00C118A1"/>
    <w:rsid w:val="00C11FBB"/>
    <w:rsid w:val="00C12A85"/>
    <w:rsid w:val="00C12AEB"/>
    <w:rsid w:val="00C12D61"/>
    <w:rsid w:val="00C12FB6"/>
    <w:rsid w:val="00C139D9"/>
    <w:rsid w:val="00C144D7"/>
    <w:rsid w:val="00C147BA"/>
    <w:rsid w:val="00C15B1D"/>
    <w:rsid w:val="00C15B92"/>
    <w:rsid w:val="00C15CDB"/>
    <w:rsid w:val="00C15D08"/>
    <w:rsid w:val="00C15E2C"/>
    <w:rsid w:val="00C167EE"/>
    <w:rsid w:val="00C1698D"/>
    <w:rsid w:val="00C16B18"/>
    <w:rsid w:val="00C1742B"/>
    <w:rsid w:val="00C17495"/>
    <w:rsid w:val="00C17861"/>
    <w:rsid w:val="00C20092"/>
    <w:rsid w:val="00C20520"/>
    <w:rsid w:val="00C20551"/>
    <w:rsid w:val="00C206B7"/>
    <w:rsid w:val="00C20B26"/>
    <w:rsid w:val="00C20ED8"/>
    <w:rsid w:val="00C213AE"/>
    <w:rsid w:val="00C2174F"/>
    <w:rsid w:val="00C21A2C"/>
    <w:rsid w:val="00C21D23"/>
    <w:rsid w:val="00C22169"/>
    <w:rsid w:val="00C221F1"/>
    <w:rsid w:val="00C22337"/>
    <w:rsid w:val="00C2263B"/>
    <w:rsid w:val="00C226B0"/>
    <w:rsid w:val="00C227E3"/>
    <w:rsid w:val="00C22A7C"/>
    <w:rsid w:val="00C23004"/>
    <w:rsid w:val="00C235B4"/>
    <w:rsid w:val="00C236F3"/>
    <w:rsid w:val="00C236F8"/>
    <w:rsid w:val="00C23845"/>
    <w:rsid w:val="00C23993"/>
    <w:rsid w:val="00C23DF7"/>
    <w:rsid w:val="00C23E0C"/>
    <w:rsid w:val="00C240FB"/>
    <w:rsid w:val="00C2428D"/>
    <w:rsid w:val="00C2438C"/>
    <w:rsid w:val="00C2457D"/>
    <w:rsid w:val="00C24D52"/>
    <w:rsid w:val="00C24FEB"/>
    <w:rsid w:val="00C251DB"/>
    <w:rsid w:val="00C256A8"/>
    <w:rsid w:val="00C25B9E"/>
    <w:rsid w:val="00C26AF4"/>
    <w:rsid w:val="00C26CB9"/>
    <w:rsid w:val="00C26D97"/>
    <w:rsid w:val="00C27219"/>
    <w:rsid w:val="00C27749"/>
    <w:rsid w:val="00C2783F"/>
    <w:rsid w:val="00C2790E"/>
    <w:rsid w:val="00C279CB"/>
    <w:rsid w:val="00C27BC5"/>
    <w:rsid w:val="00C27E1C"/>
    <w:rsid w:val="00C30408"/>
    <w:rsid w:val="00C30445"/>
    <w:rsid w:val="00C30B39"/>
    <w:rsid w:val="00C30DFC"/>
    <w:rsid w:val="00C30FCA"/>
    <w:rsid w:val="00C3104B"/>
    <w:rsid w:val="00C31CAD"/>
    <w:rsid w:val="00C322D5"/>
    <w:rsid w:val="00C322F5"/>
    <w:rsid w:val="00C32436"/>
    <w:rsid w:val="00C32593"/>
    <w:rsid w:val="00C32645"/>
    <w:rsid w:val="00C32A0E"/>
    <w:rsid w:val="00C330A4"/>
    <w:rsid w:val="00C331D1"/>
    <w:rsid w:val="00C333D9"/>
    <w:rsid w:val="00C33723"/>
    <w:rsid w:val="00C3386C"/>
    <w:rsid w:val="00C338AF"/>
    <w:rsid w:val="00C33D61"/>
    <w:rsid w:val="00C344B7"/>
    <w:rsid w:val="00C344C5"/>
    <w:rsid w:val="00C34DDE"/>
    <w:rsid w:val="00C34E88"/>
    <w:rsid w:val="00C3560B"/>
    <w:rsid w:val="00C35677"/>
    <w:rsid w:val="00C35D18"/>
    <w:rsid w:val="00C36206"/>
    <w:rsid w:val="00C36378"/>
    <w:rsid w:val="00C363B2"/>
    <w:rsid w:val="00C36945"/>
    <w:rsid w:val="00C36A07"/>
    <w:rsid w:val="00C36DA0"/>
    <w:rsid w:val="00C36E6C"/>
    <w:rsid w:val="00C372FD"/>
    <w:rsid w:val="00C37E3A"/>
    <w:rsid w:val="00C40000"/>
    <w:rsid w:val="00C405AA"/>
    <w:rsid w:val="00C40D90"/>
    <w:rsid w:val="00C41090"/>
    <w:rsid w:val="00C41429"/>
    <w:rsid w:val="00C415B9"/>
    <w:rsid w:val="00C417EB"/>
    <w:rsid w:val="00C41AC7"/>
    <w:rsid w:val="00C41D6E"/>
    <w:rsid w:val="00C41F5D"/>
    <w:rsid w:val="00C422C0"/>
    <w:rsid w:val="00C424ED"/>
    <w:rsid w:val="00C42550"/>
    <w:rsid w:val="00C435E8"/>
    <w:rsid w:val="00C437E8"/>
    <w:rsid w:val="00C43834"/>
    <w:rsid w:val="00C43C5F"/>
    <w:rsid w:val="00C43F40"/>
    <w:rsid w:val="00C44292"/>
    <w:rsid w:val="00C4436C"/>
    <w:rsid w:val="00C44D64"/>
    <w:rsid w:val="00C450BB"/>
    <w:rsid w:val="00C45CAC"/>
    <w:rsid w:val="00C45DE4"/>
    <w:rsid w:val="00C45EB1"/>
    <w:rsid w:val="00C45F97"/>
    <w:rsid w:val="00C4646B"/>
    <w:rsid w:val="00C472F4"/>
    <w:rsid w:val="00C4735D"/>
    <w:rsid w:val="00C47A18"/>
    <w:rsid w:val="00C47D8A"/>
    <w:rsid w:val="00C5035F"/>
    <w:rsid w:val="00C50364"/>
    <w:rsid w:val="00C50572"/>
    <w:rsid w:val="00C50A95"/>
    <w:rsid w:val="00C51001"/>
    <w:rsid w:val="00C51069"/>
    <w:rsid w:val="00C515BA"/>
    <w:rsid w:val="00C518D3"/>
    <w:rsid w:val="00C51943"/>
    <w:rsid w:val="00C51999"/>
    <w:rsid w:val="00C51B0D"/>
    <w:rsid w:val="00C52A08"/>
    <w:rsid w:val="00C52B33"/>
    <w:rsid w:val="00C53320"/>
    <w:rsid w:val="00C53644"/>
    <w:rsid w:val="00C537E7"/>
    <w:rsid w:val="00C537FC"/>
    <w:rsid w:val="00C539B7"/>
    <w:rsid w:val="00C53D1E"/>
    <w:rsid w:val="00C53DB9"/>
    <w:rsid w:val="00C54079"/>
    <w:rsid w:val="00C54352"/>
    <w:rsid w:val="00C54415"/>
    <w:rsid w:val="00C54651"/>
    <w:rsid w:val="00C54D77"/>
    <w:rsid w:val="00C54FDC"/>
    <w:rsid w:val="00C5500B"/>
    <w:rsid w:val="00C5548F"/>
    <w:rsid w:val="00C55C74"/>
    <w:rsid w:val="00C567B9"/>
    <w:rsid w:val="00C56A71"/>
    <w:rsid w:val="00C56B6A"/>
    <w:rsid w:val="00C574DF"/>
    <w:rsid w:val="00C5775F"/>
    <w:rsid w:val="00C57A01"/>
    <w:rsid w:val="00C57B77"/>
    <w:rsid w:val="00C57C28"/>
    <w:rsid w:val="00C57C37"/>
    <w:rsid w:val="00C57D49"/>
    <w:rsid w:val="00C605AF"/>
    <w:rsid w:val="00C608AD"/>
    <w:rsid w:val="00C60B81"/>
    <w:rsid w:val="00C60CF7"/>
    <w:rsid w:val="00C60FD8"/>
    <w:rsid w:val="00C613CB"/>
    <w:rsid w:val="00C6178D"/>
    <w:rsid w:val="00C61BCA"/>
    <w:rsid w:val="00C622AC"/>
    <w:rsid w:val="00C62C45"/>
    <w:rsid w:val="00C62DF9"/>
    <w:rsid w:val="00C6328E"/>
    <w:rsid w:val="00C632A6"/>
    <w:rsid w:val="00C63534"/>
    <w:rsid w:val="00C6356C"/>
    <w:rsid w:val="00C63755"/>
    <w:rsid w:val="00C63DE5"/>
    <w:rsid w:val="00C6493D"/>
    <w:rsid w:val="00C64B09"/>
    <w:rsid w:val="00C64C37"/>
    <w:rsid w:val="00C64C86"/>
    <w:rsid w:val="00C65445"/>
    <w:rsid w:val="00C65AF6"/>
    <w:rsid w:val="00C65F32"/>
    <w:rsid w:val="00C663F7"/>
    <w:rsid w:val="00C66732"/>
    <w:rsid w:val="00C667F6"/>
    <w:rsid w:val="00C668D9"/>
    <w:rsid w:val="00C66B84"/>
    <w:rsid w:val="00C66BF0"/>
    <w:rsid w:val="00C6747D"/>
    <w:rsid w:val="00C674B4"/>
    <w:rsid w:val="00C67526"/>
    <w:rsid w:val="00C6771E"/>
    <w:rsid w:val="00C679DD"/>
    <w:rsid w:val="00C67AB1"/>
    <w:rsid w:val="00C70361"/>
    <w:rsid w:val="00C70842"/>
    <w:rsid w:val="00C70BB3"/>
    <w:rsid w:val="00C716DE"/>
    <w:rsid w:val="00C7174F"/>
    <w:rsid w:val="00C71A41"/>
    <w:rsid w:val="00C71DC5"/>
    <w:rsid w:val="00C72711"/>
    <w:rsid w:val="00C72794"/>
    <w:rsid w:val="00C72FE8"/>
    <w:rsid w:val="00C73E85"/>
    <w:rsid w:val="00C74C27"/>
    <w:rsid w:val="00C7502A"/>
    <w:rsid w:val="00C7516F"/>
    <w:rsid w:val="00C75280"/>
    <w:rsid w:val="00C755D9"/>
    <w:rsid w:val="00C755EA"/>
    <w:rsid w:val="00C757C1"/>
    <w:rsid w:val="00C757CF"/>
    <w:rsid w:val="00C75879"/>
    <w:rsid w:val="00C75914"/>
    <w:rsid w:val="00C759F5"/>
    <w:rsid w:val="00C75A3D"/>
    <w:rsid w:val="00C75ABF"/>
    <w:rsid w:val="00C75B6F"/>
    <w:rsid w:val="00C765F2"/>
    <w:rsid w:val="00C76AE4"/>
    <w:rsid w:val="00C76B7E"/>
    <w:rsid w:val="00C76DA2"/>
    <w:rsid w:val="00C77015"/>
    <w:rsid w:val="00C772C7"/>
    <w:rsid w:val="00C77384"/>
    <w:rsid w:val="00C77797"/>
    <w:rsid w:val="00C77879"/>
    <w:rsid w:val="00C77D42"/>
    <w:rsid w:val="00C77D91"/>
    <w:rsid w:val="00C802B1"/>
    <w:rsid w:val="00C8048C"/>
    <w:rsid w:val="00C81479"/>
    <w:rsid w:val="00C81BBC"/>
    <w:rsid w:val="00C820A9"/>
    <w:rsid w:val="00C8239A"/>
    <w:rsid w:val="00C82AE5"/>
    <w:rsid w:val="00C82DAB"/>
    <w:rsid w:val="00C831A8"/>
    <w:rsid w:val="00C832FF"/>
    <w:rsid w:val="00C833B5"/>
    <w:rsid w:val="00C834A7"/>
    <w:rsid w:val="00C83626"/>
    <w:rsid w:val="00C83D92"/>
    <w:rsid w:val="00C8413C"/>
    <w:rsid w:val="00C84593"/>
    <w:rsid w:val="00C848C2"/>
    <w:rsid w:val="00C854F5"/>
    <w:rsid w:val="00C8584A"/>
    <w:rsid w:val="00C85F89"/>
    <w:rsid w:val="00C86081"/>
    <w:rsid w:val="00C8649D"/>
    <w:rsid w:val="00C86715"/>
    <w:rsid w:val="00C86853"/>
    <w:rsid w:val="00C86A0C"/>
    <w:rsid w:val="00C86C83"/>
    <w:rsid w:val="00C87539"/>
    <w:rsid w:val="00C87A59"/>
    <w:rsid w:val="00C87C62"/>
    <w:rsid w:val="00C9029E"/>
    <w:rsid w:val="00C90B2D"/>
    <w:rsid w:val="00C90C07"/>
    <w:rsid w:val="00C90C6B"/>
    <w:rsid w:val="00C90FB1"/>
    <w:rsid w:val="00C91249"/>
    <w:rsid w:val="00C9155C"/>
    <w:rsid w:val="00C9160C"/>
    <w:rsid w:val="00C91804"/>
    <w:rsid w:val="00C9198A"/>
    <w:rsid w:val="00C91A55"/>
    <w:rsid w:val="00C93222"/>
    <w:rsid w:val="00C9322F"/>
    <w:rsid w:val="00C9350F"/>
    <w:rsid w:val="00C93843"/>
    <w:rsid w:val="00C93E82"/>
    <w:rsid w:val="00C93EF5"/>
    <w:rsid w:val="00C94051"/>
    <w:rsid w:val="00C9412E"/>
    <w:rsid w:val="00C942C2"/>
    <w:rsid w:val="00C94324"/>
    <w:rsid w:val="00C9450C"/>
    <w:rsid w:val="00C94528"/>
    <w:rsid w:val="00C949A5"/>
    <w:rsid w:val="00C94A0E"/>
    <w:rsid w:val="00C94D13"/>
    <w:rsid w:val="00C94EDA"/>
    <w:rsid w:val="00C94F52"/>
    <w:rsid w:val="00C95101"/>
    <w:rsid w:val="00C95113"/>
    <w:rsid w:val="00C95117"/>
    <w:rsid w:val="00C9535E"/>
    <w:rsid w:val="00C953E2"/>
    <w:rsid w:val="00C958BE"/>
    <w:rsid w:val="00C95B68"/>
    <w:rsid w:val="00C95E6C"/>
    <w:rsid w:val="00C96BB6"/>
    <w:rsid w:val="00C97444"/>
    <w:rsid w:val="00C9755D"/>
    <w:rsid w:val="00C97CF3"/>
    <w:rsid w:val="00CA04C5"/>
    <w:rsid w:val="00CA07A6"/>
    <w:rsid w:val="00CA19B1"/>
    <w:rsid w:val="00CA2069"/>
    <w:rsid w:val="00CA2071"/>
    <w:rsid w:val="00CA2968"/>
    <w:rsid w:val="00CA2DC3"/>
    <w:rsid w:val="00CA2DD7"/>
    <w:rsid w:val="00CA3003"/>
    <w:rsid w:val="00CA39B5"/>
    <w:rsid w:val="00CA3CEB"/>
    <w:rsid w:val="00CA405F"/>
    <w:rsid w:val="00CA43CF"/>
    <w:rsid w:val="00CA47C7"/>
    <w:rsid w:val="00CA4EAB"/>
    <w:rsid w:val="00CA4F2F"/>
    <w:rsid w:val="00CA4FE2"/>
    <w:rsid w:val="00CA5318"/>
    <w:rsid w:val="00CA6212"/>
    <w:rsid w:val="00CA62EE"/>
    <w:rsid w:val="00CA64D6"/>
    <w:rsid w:val="00CA657F"/>
    <w:rsid w:val="00CA6586"/>
    <w:rsid w:val="00CA68D9"/>
    <w:rsid w:val="00CA7A16"/>
    <w:rsid w:val="00CA7A44"/>
    <w:rsid w:val="00CA7A85"/>
    <w:rsid w:val="00CA7C20"/>
    <w:rsid w:val="00CB01CC"/>
    <w:rsid w:val="00CB03FE"/>
    <w:rsid w:val="00CB0E3C"/>
    <w:rsid w:val="00CB0E42"/>
    <w:rsid w:val="00CB11E1"/>
    <w:rsid w:val="00CB174F"/>
    <w:rsid w:val="00CB1838"/>
    <w:rsid w:val="00CB1C0F"/>
    <w:rsid w:val="00CB1F04"/>
    <w:rsid w:val="00CB209A"/>
    <w:rsid w:val="00CB21AD"/>
    <w:rsid w:val="00CB283D"/>
    <w:rsid w:val="00CB2D0F"/>
    <w:rsid w:val="00CB2D7D"/>
    <w:rsid w:val="00CB2FAD"/>
    <w:rsid w:val="00CB3170"/>
    <w:rsid w:val="00CB32BE"/>
    <w:rsid w:val="00CB385E"/>
    <w:rsid w:val="00CB3DC4"/>
    <w:rsid w:val="00CB43CB"/>
    <w:rsid w:val="00CB493C"/>
    <w:rsid w:val="00CB4B73"/>
    <w:rsid w:val="00CB4C46"/>
    <w:rsid w:val="00CB4F3D"/>
    <w:rsid w:val="00CB527C"/>
    <w:rsid w:val="00CB5570"/>
    <w:rsid w:val="00CB596A"/>
    <w:rsid w:val="00CB5994"/>
    <w:rsid w:val="00CB5C06"/>
    <w:rsid w:val="00CB5F39"/>
    <w:rsid w:val="00CB6009"/>
    <w:rsid w:val="00CB7157"/>
    <w:rsid w:val="00CB732E"/>
    <w:rsid w:val="00CB73A1"/>
    <w:rsid w:val="00CB73C2"/>
    <w:rsid w:val="00CB7E35"/>
    <w:rsid w:val="00CC02DE"/>
    <w:rsid w:val="00CC02F4"/>
    <w:rsid w:val="00CC04DE"/>
    <w:rsid w:val="00CC0625"/>
    <w:rsid w:val="00CC108C"/>
    <w:rsid w:val="00CC12F2"/>
    <w:rsid w:val="00CC1503"/>
    <w:rsid w:val="00CC16D4"/>
    <w:rsid w:val="00CC17A2"/>
    <w:rsid w:val="00CC17BD"/>
    <w:rsid w:val="00CC18A2"/>
    <w:rsid w:val="00CC25DF"/>
    <w:rsid w:val="00CC2683"/>
    <w:rsid w:val="00CC2B17"/>
    <w:rsid w:val="00CC2B40"/>
    <w:rsid w:val="00CC37B7"/>
    <w:rsid w:val="00CC3940"/>
    <w:rsid w:val="00CC407E"/>
    <w:rsid w:val="00CC4806"/>
    <w:rsid w:val="00CC4FFA"/>
    <w:rsid w:val="00CC5099"/>
    <w:rsid w:val="00CC50DB"/>
    <w:rsid w:val="00CC56AF"/>
    <w:rsid w:val="00CC570A"/>
    <w:rsid w:val="00CC573F"/>
    <w:rsid w:val="00CC57BB"/>
    <w:rsid w:val="00CC5CF8"/>
    <w:rsid w:val="00CC5E64"/>
    <w:rsid w:val="00CC63F6"/>
    <w:rsid w:val="00CC6908"/>
    <w:rsid w:val="00CC6B9B"/>
    <w:rsid w:val="00CC77DB"/>
    <w:rsid w:val="00CC77F0"/>
    <w:rsid w:val="00CC7881"/>
    <w:rsid w:val="00CC79E3"/>
    <w:rsid w:val="00CC7E43"/>
    <w:rsid w:val="00CD00EE"/>
    <w:rsid w:val="00CD060F"/>
    <w:rsid w:val="00CD06C2"/>
    <w:rsid w:val="00CD0838"/>
    <w:rsid w:val="00CD099F"/>
    <w:rsid w:val="00CD0A35"/>
    <w:rsid w:val="00CD0CFD"/>
    <w:rsid w:val="00CD0E53"/>
    <w:rsid w:val="00CD1799"/>
    <w:rsid w:val="00CD1BFD"/>
    <w:rsid w:val="00CD1CDA"/>
    <w:rsid w:val="00CD1EAA"/>
    <w:rsid w:val="00CD1F72"/>
    <w:rsid w:val="00CD1F7A"/>
    <w:rsid w:val="00CD1FC9"/>
    <w:rsid w:val="00CD203E"/>
    <w:rsid w:val="00CD207A"/>
    <w:rsid w:val="00CD20E9"/>
    <w:rsid w:val="00CD224E"/>
    <w:rsid w:val="00CD276A"/>
    <w:rsid w:val="00CD2776"/>
    <w:rsid w:val="00CD290B"/>
    <w:rsid w:val="00CD2C62"/>
    <w:rsid w:val="00CD2C8D"/>
    <w:rsid w:val="00CD2C90"/>
    <w:rsid w:val="00CD2D64"/>
    <w:rsid w:val="00CD2EF2"/>
    <w:rsid w:val="00CD3106"/>
    <w:rsid w:val="00CD3BC9"/>
    <w:rsid w:val="00CD4003"/>
    <w:rsid w:val="00CD414C"/>
    <w:rsid w:val="00CD4222"/>
    <w:rsid w:val="00CD48D3"/>
    <w:rsid w:val="00CD4FD1"/>
    <w:rsid w:val="00CD50FD"/>
    <w:rsid w:val="00CD5221"/>
    <w:rsid w:val="00CD545D"/>
    <w:rsid w:val="00CD5462"/>
    <w:rsid w:val="00CD584F"/>
    <w:rsid w:val="00CD5C0E"/>
    <w:rsid w:val="00CD5C35"/>
    <w:rsid w:val="00CD6155"/>
    <w:rsid w:val="00CD6AE4"/>
    <w:rsid w:val="00CD6B1C"/>
    <w:rsid w:val="00CD703B"/>
    <w:rsid w:val="00CD70BC"/>
    <w:rsid w:val="00CD71F9"/>
    <w:rsid w:val="00CD7A2D"/>
    <w:rsid w:val="00CD7EE6"/>
    <w:rsid w:val="00CD7F9B"/>
    <w:rsid w:val="00CE03AE"/>
    <w:rsid w:val="00CE03D9"/>
    <w:rsid w:val="00CE057F"/>
    <w:rsid w:val="00CE0708"/>
    <w:rsid w:val="00CE0867"/>
    <w:rsid w:val="00CE0A1A"/>
    <w:rsid w:val="00CE0A9C"/>
    <w:rsid w:val="00CE114E"/>
    <w:rsid w:val="00CE13CA"/>
    <w:rsid w:val="00CE13F6"/>
    <w:rsid w:val="00CE1811"/>
    <w:rsid w:val="00CE2887"/>
    <w:rsid w:val="00CE2951"/>
    <w:rsid w:val="00CE2D6C"/>
    <w:rsid w:val="00CE2DBB"/>
    <w:rsid w:val="00CE2E3F"/>
    <w:rsid w:val="00CE3115"/>
    <w:rsid w:val="00CE32F7"/>
    <w:rsid w:val="00CE3BC9"/>
    <w:rsid w:val="00CE4C2F"/>
    <w:rsid w:val="00CE4DCB"/>
    <w:rsid w:val="00CE4F65"/>
    <w:rsid w:val="00CE4F76"/>
    <w:rsid w:val="00CE5271"/>
    <w:rsid w:val="00CE5446"/>
    <w:rsid w:val="00CE5A9A"/>
    <w:rsid w:val="00CE5C1B"/>
    <w:rsid w:val="00CE612C"/>
    <w:rsid w:val="00CE618B"/>
    <w:rsid w:val="00CE63F4"/>
    <w:rsid w:val="00CE643E"/>
    <w:rsid w:val="00CE6588"/>
    <w:rsid w:val="00CE7804"/>
    <w:rsid w:val="00CE7874"/>
    <w:rsid w:val="00CF0377"/>
    <w:rsid w:val="00CF0406"/>
    <w:rsid w:val="00CF06E3"/>
    <w:rsid w:val="00CF0AB4"/>
    <w:rsid w:val="00CF20A8"/>
    <w:rsid w:val="00CF2352"/>
    <w:rsid w:val="00CF2A68"/>
    <w:rsid w:val="00CF3125"/>
    <w:rsid w:val="00CF32F0"/>
    <w:rsid w:val="00CF36A4"/>
    <w:rsid w:val="00CF3731"/>
    <w:rsid w:val="00CF3884"/>
    <w:rsid w:val="00CF3977"/>
    <w:rsid w:val="00CF3A49"/>
    <w:rsid w:val="00CF3C3E"/>
    <w:rsid w:val="00CF3D68"/>
    <w:rsid w:val="00CF40C0"/>
    <w:rsid w:val="00CF4657"/>
    <w:rsid w:val="00CF4807"/>
    <w:rsid w:val="00CF4CB0"/>
    <w:rsid w:val="00CF4DA5"/>
    <w:rsid w:val="00CF5080"/>
    <w:rsid w:val="00CF52E2"/>
    <w:rsid w:val="00CF5FED"/>
    <w:rsid w:val="00CF6420"/>
    <w:rsid w:val="00CF6764"/>
    <w:rsid w:val="00CF68C1"/>
    <w:rsid w:val="00CF69CD"/>
    <w:rsid w:val="00CF6ADB"/>
    <w:rsid w:val="00CF7069"/>
    <w:rsid w:val="00CF7484"/>
    <w:rsid w:val="00CF7763"/>
    <w:rsid w:val="00CF77E6"/>
    <w:rsid w:val="00CF79AF"/>
    <w:rsid w:val="00CF7B92"/>
    <w:rsid w:val="00D000C5"/>
    <w:rsid w:val="00D00116"/>
    <w:rsid w:val="00D0032F"/>
    <w:rsid w:val="00D00386"/>
    <w:rsid w:val="00D00392"/>
    <w:rsid w:val="00D0041E"/>
    <w:rsid w:val="00D005B9"/>
    <w:rsid w:val="00D0069F"/>
    <w:rsid w:val="00D00AD8"/>
    <w:rsid w:val="00D00C01"/>
    <w:rsid w:val="00D00FCB"/>
    <w:rsid w:val="00D01562"/>
    <w:rsid w:val="00D02CBB"/>
    <w:rsid w:val="00D02D58"/>
    <w:rsid w:val="00D02DF8"/>
    <w:rsid w:val="00D02F81"/>
    <w:rsid w:val="00D03161"/>
    <w:rsid w:val="00D0319F"/>
    <w:rsid w:val="00D032FF"/>
    <w:rsid w:val="00D0387A"/>
    <w:rsid w:val="00D03D72"/>
    <w:rsid w:val="00D04024"/>
    <w:rsid w:val="00D040A8"/>
    <w:rsid w:val="00D047F9"/>
    <w:rsid w:val="00D04901"/>
    <w:rsid w:val="00D04A6D"/>
    <w:rsid w:val="00D05070"/>
    <w:rsid w:val="00D054F6"/>
    <w:rsid w:val="00D0628B"/>
    <w:rsid w:val="00D063D5"/>
    <w:rsid w:val="00D068DD"/>
    <w:rsid w:val="00D06D5B"/>
    <w:rsid w:val="00D06E43"/>
    <w:rsid w:val="00D070A5"/>
    <w:rsid w:val="00D0718F"/>
    <w:rsid w:val="00D071A7"/>
    <w:rsid w:val="00D07530"/>
    <w:rsid w:val="00D076D9"/>
    <w:rsid w:val="00D07E96"/>
    <w:rsid w:val="00D100B6"/>
    <w:rsid w:val="00D10238"/>
    <w:rsid w:val="00D10638"/>
    <w:rsid w:val="00D10BE8"/>
    <w:rsid w:val="00D111AF"/>
    <w:rsid w:val="00D116AD"/>
    <w:rsid w:val="00D11A84"/>
    <w:rsid w:val="00D11ABE"/>
    <w:rsid w:val="00D11B91"/>
    <w:rsid w:val="00D12126"/>
    <w:rsid w:val="00D121BD"/>
    <w:rsid w:val="00D1223C"/>
    <w:rsid w:val="00D12742"/>
    <w:rsid w:val="00D12B07"/>
    <w:rsid w:val="00D12CD0"/>
    <w:rsid w:val="00D133DC"/>
    <w:rsid w:val="00D1340D"/>
    <w:rsid w:val="00D136C5"/>
    <w:rsid w:val="00D13AEB"/>
    <w:rsid w:val="00D14107"/>
    <w:rsid w:val="00D14A11"/>
    <w:rsid w:val="00D14A62"/>
    <w:rsid w:val="00D14AB8"/>
    <w:rsid w:val="00D14E4E"/>
    <w:rsid w:val="00D14FA3"/>
    <w:rsid w:val="00D150F0"/>
    <w:rsid w:val="00D15452"/>
    <w:rsid w:val="00D156DA"/>
    <w:rsid w:val="00D15A09"/>
    <w:rsid w:val="00D15A74"/>
    <w:rsid w:val="00D15C71"/>
    <w:rsid w:val="00D160FB"/>
    <w:rsid w:val="00D16390"/>
    <w:rsid w:val="00D16549"/>
    <w:rsid w:val="00D16705"/>
    <w:rsid w:val="00D167DC"/>
    <w:rsid w:val="00D17535"/>
    <w:rsid w:val="00D17538"/>
    <w:rsid w:val="00D17996"/>
    <w:rsid w:val="00D200C0"/>
    <w:rsid w:val="00D21306"/>
    <w:rsid w:val="00D213BC"/>
    <w:rsid w:val="00D2140E"/>
    <w:rsid w:val="00D21602"/>
    <w:rsid w:val="00D218AF"/>
    <w:rsid w:val="00D218DE"/>
    <w:rsid w:val="00D21BF6"/>
    <w:rsid w:val="00D22335"/>
    <w:rsid w:val="00D2244A"/>
    <w:rsid w:val="00D228DC"/>
    <w:rsid w:val="00D22D13"/>
    <w:rsid w:val="00D22EDE"/>
    <w:rsid w:val="00D2339F"/>
    <w:rsid w:val="00D2359E"/>
    <w:rsid w:val="00D23684"/>
    <w:rsid w:val="00D23817"/>
    <w:rsid w:val="00D23FD9"/>
    <w:rsid w:val="00D2404A"/>
    <w:rsid w:val="00D243F6"/>
    <w:rsid w:val="00D24580"/>
    <w:rsid w:val="00D245A7"/>
    <w:rsid w:val="00D246E4"/>
    <w:rsid w:val="00D2476F"/>
    <w:rsid w:val="00D2489E"/>
    <w:rsid w:val="00D248C6"/>
    <w:rsid w:val="00D25269"/>
    <w:rsid w:val="00D254A0"/>
    <w:rsid w:val="00D254F4"/>
    <w:rsid w:val="00D2553F"/>
    <w:rsid w:val="00D25CCC"/>
    <w:rsid w:val="00D261CA"/>
    <w:rsid w:val="00D262CC"/>
    <w:rsid w:val="00D26961"/>
    <w:rsid w:val="00D26A64"/>
    <w:rsid w:val="00D26AED"/>
    <w:rsid w:val="00D26F15"/>
    <w:rsid w:val="00D273BD"/>
    <w:rsid w:val="00D274C1"/>
    <w:rsid w:val="00D275B0"/>
    <w:rsid w:val="00D276D4"/>
    <w:rsid w:val="00D27B6A"/>
    <w:rsid w:val="00D27F55"/>
    <w:rsid w:val="00D30031"/>
    <w:rsid w:val="00D31122"/>
    <w:rsid w:val="00D31D35"/>
    <w:rsid w:val="00D31FC8"/>
    <w:rsid w:val="00D320CB"/>
    <w:rsid w:val="00D32245"/>
    <w:rsid w:val="00D32AE2"/>
    <w:rsid w:val="00D32B51"/>
    <w:rsid w:val="00D33272"/>
    <w:rsid w:val="00D333E4"/>
    <w:rsid w:val="00D338B5"/>
    <w:rsid w:val="00D343D9"/>
    <w:rsid w:val="00D347C4"/>
    <w:rsid w:val="00D349AB"/>
    <w:rsid w:val="00D3509A"/>
    <w:rsid w:val="00D351CD"/>
    <w:rsid w:val="00D35547"/>
    <w:rsid w:val="00D356D8"/>
    <w:rsid w:val="00D35CE8"/>
    <w:rsid w:val="00D35D37"/>
    <w:rsid w:val="00D35FFB"/>
    <w:rsid w:val="00D365DF"/>
    <w:rsid w:val="00D365EE"/>
    <w:rsid w:val="00D36BB8"/>
    <w:rsid w:val="00D36F31"/>
    <w:rsid w:val="00D37272"/>
    <w:rsid w:val="00D374DD"/>
    <w:rsid w:val="00D37F70"/>
    <w:rsid w:val="00D40465"/>
    <w:rsid w:val="00D40B47"/>
    <w:rsid w:val="00D40C5D"/>
    <w:rsid w:val="00D40E43"/>
    <w:rsid w:val="00D40F60"/>
    <w:rsid w:val="00D41030"/>
    <w:rsid w:val="00D41141"/>
    <w:rsid w:val="00D41842"/>
    <w:rsid w:val="00D41B7E"/>
    <w:rsid w:val="00D41E90"/>
    <w:rsid w:val="00D42097"/>
    <w:rsid w:val="00D42397"/>
    <w:rsid w:val="00D424B2"/>
    <w:rsid w:val="00D426E5"/>
    <w:rsid w:val="00D42C39"/>
    <w:rsid w:val="00D42FC6"/>
    <w:rsid w:val="00D4308F"/>
    <w:rsid w:val="00D43530"/>
    <w:rsid w:val="00D43914"/>
    <w:rsid w:val="00D43FCE"/>
    <w:rsid w:val="00D44153"/>
    <w:rsid w:val="00D44198"/>
    <w:rsid w:val="00D444AF"/>
    <w:rsid w:val="00D44525"/>
    <w:rsid w:val="00D44D17"/>
    <w:rsid w:val="00D45C77"/>
    <w:rsid w:val="00D45E66"/>
    <w:rsid w:val="00D45F24"/>
    <w:rsid w:val="00D4622D"/>
    <w:rsid w:val="00D467F6"/>
    <w:rsid w:val="00D468EF"/>
    <w:rsid w:val="00D46C17"/>
    <w:rsid w:val="00D50391"/>
    <w:rsid w:val="00D511E3"/>
    <w:rsid w:val="00D516AA"/>
    <w:rsid w:val="00D5170A"/>
    <w:rsid w:val="00D519C7"/>
    <w:rsid w:val="00D51B02"/>
    <w:rsid w:val="00D51D9F"/>
    <w:rsid w:val="00D51DD6"/>
    <w:rsid w:val="00D5260D"/>
    <w:rsid w:val="00D52623"/>
    <w:rsid w:val="00D52938"/>
    <w:rsid w:val="00D52E95"/>
    <w:rsid w:val="00D53A6F"/>
    <w:rsid w:val="00D53ADC"/>
    <w:rsid w:val="00D53D14"/>
    <w:rsid w:val="00D53F66"/>
    <w:rsid w:val="00D542E6"/>
    <w:rsid w:val="00D5437C"/>
    <w:rsid w:val="00D5453C"/>
    <w:rsid w:val="00D54901"/>
    <w:rsid w:val="00D54FB0"/>
    <w:rsid w:val="00D55293"/>
    <w:rsid w:val="00D5552C"/>
    <w:rsid w:val="00D5604C"/>
    <w:rsid w:val="00D560CC"/>
    <w:rsid w:val="00D5674F"/>
    <w:rsid w:val="00D569F9"/>
    <w:rsid w:val="00D56E43"/>
    <w:rsid w:val="00D56F14"/>
    <w:rsid w:val="00D572A2"/>
    <w:rsid w:val="00D57493"/>
    <w:rsid w:val="00D57867"/>
    <w:rsid w:val="00D606A7"/>
    <w:rsid w:val="00D609C5"/>
    <w:rsid w:val="00D60C5C"/>
    <w:rsid w:val="00D60C6B"/>
    <w:rsid w:val="00D60F09"/>
    <w:rsid w:val="00D61315"/>
    <w:rsid w:val="00D619B5"/>
    <w:rsid w:val="00D619CC"/>
    <w:rsid w:val="00D61D1A"/>
    <w:rsid w:val="00D62F41"/>
    <w:rsid w:val="00D62F86"/>
    <w:rsid w:val="00D637E2"/>
    <w:rsid w:val="00D63898"/>
    <w:rsid w:val="00D64214"/>
    <w:rsid w:val="00D6463D"/>
    <w:rsid w:val="00D64B9E"/>
    <w:rsid w:val="00D64E12"/>
    <w:rsid w:val="00D64F10"/>
    <w:rsid w:val="00D65655"/>
    <w:rsid w:val="00D6593A"/>
    <w:rsid w:val="00D667CB"/>
    <w:rsid w:val="00D669A2"/>
    <w:rsid w:val="00D66DDB"/>
    <w:rsid w:val="00D67068"/>
    <w:rsid w:val="00D671B9"/>
    <w:rsid w:val="00D672AA"/>
    <w:rsid w:val="00D672B5"/>
    <w:rsid w:val="00D6744A"/>
    <w:rsid w:val="00D6775E"/>
    <w:rsid w:val="00D67C7C"/>
    <w:rsid w:val="00D70FB5"/>
    <w:rsid w:val="00D710C3"/>
    <w:rsid w:val="00D710CB"/>
    <w:rsid w:val="00D7117B"/>
    <w:rsid w:val="00D71255"/>
    <w:rsid w:val="00D7191D"/>
    <w:rsid w:val="00D71BFA"/>
    <w:rsid w:val="00D71EB9"/>
    <w:rsid w:val="00D71FAD"/>
    <w:rsid w:val="00D72624"/>
    <w:rsid w:val="00D72749"/>
    <w:rsid w:val="00D72CFC"/>
    <w:rsid w:val="00D73EE3"/>
    <w:rsid w:val="00D741B8"/>
    <w:rsid w:val="00D742AD"/>
    <w:rsid w:val="00D74788"/>
    <w:rsid w:val="00D7482C"/>
    <w:rsid w:val="00D74BC4"/>
    <w:rsid w:val="00D74DB8"/>
    <w:rsid w:val="00D751F1"/>
    <w:rsid w:val="00D752FF"/>
    <w:rsid w:val="00D75C90"/>
    <w:rsid w:val="00D761F2"/>
    <w:rsid w:val="00D766AB"/>
    <w:rsid w:val="00D7700D"/>
    <w:rsid w:val="00D77C0D"/>
    <w:rsid w:val="00D80136"/>
    <w:rsid w:val="00D81BB2"/>
    <w:rsid w:val="00D81DC4"/>
    <w:rsid w:val="00D822AA"/>
    <w:rsid w:val="00D8242A"/>
    <w:rsid w:val="00D82470"/>
    <w:rsid w:val="00D82559"/>
    <w:rsid w:val="00D83180"/>
    <w:rsid w:val="00D83217"/>
    <w:rsid w:val="00D836B1"/>
    <w:rsid w:val="00D83BD7"/>
    <w:rsid w:val="00D842CA"/>
    <w:rsid w:val="00D84718"/>
    <w:rsid w:val="00D84B31"/>
    <w:rsid w:val="00D84CF6"/>
    <w:rsid w:val="00D85054"/>
    <w:rsid w:val="00D853EF"/>
    <w:rsid w:val="00D8566F"/>
    <w:rsid w:val="00D85821"/>
    <w:rsid w:val="00D85D71"/>
    <w:rsid w:val="00D85D8D"/>
    <w:rsid w:val="00D8755D"/>
    <w:rsid w:val="00D879E6"/>
    <w:rsid w:val="00D87A93"/>
    <w:rsid w:val="00D87AEC"/>
    <w:rsid w:val="00D87D40"/>
    <w:rsid w:val="00D90541"/>
    <w:rsid w:val="00D907D6"/>
    <w:rsid w:val="00D91069"/>
    <w:rsid w:val="00D9140E"/>
    <w:rsid w:val="00D91816"/>
    <w:rsid w:val="00D91A50"/>
    <w:rsid w:val="00D91EDE"/>
    <w:rsid w:val="00D91FB2"/>
    <w:rsid w:val="00D9290F"/>
    <w:rsid w:val="00D9334E"/>
    <w:rsid w:val="00D93609"/>
    <w:rsid w:val="00D93B2F"/>
    <w:rsid w:val="00D94A2B"/>
    <w:rsid w:val="00D94B9D"/>
    <w:rsid w:val="00D9539E"/>
    <w:rsid w:val="00D953D2"/>
    <w:rsid w:val="00D95D92"/>
    <w:rsid w:val="00D964A6"/>
    <w:rsid w:val="00D96553"/>
    <w:rsid w:val="00D9688D"/>
    <w:rsid w:val="00D9690B"/>
    <w:rsid w:val="00D96D76"/>
    <w:rsid w:val="00D96E73"/>
    <w:rsid w:val="00D97087"/>
    <w:rsid w:val="00D971BC"/>
    <w:rsid w:val="00D973B5"/>
    <w:rsid w:val="00D973F2"/>
    <w:rsid w:val="00D9758B"/>
    <w:rsid w:val="00D977A3"/>
    <w:rsid w:val="00D978D1"/>
    <w:rsid w:val="00D97E3B"/>
    <w:rsid w:val="00DA0068"/>
    <w:rsid w:val="00DA016B"/>
    <w:rsid w:val="00DA0596"/>
    <w:rsid w:val="00DA06DD"/>
    <w:rsid w:val="00DA0BDD"/>
    <w:rsid w:val="00DA0E16"/>
    <w:rsid w:val="00DA0F8A"/>
    <w:rsid w:val="00DA15A0"/>
    <w:rsid w:val="00DA180F"/>
    <w:rsid w:val="00DA195A"/>
    <w:rsid w:val="00DA2092"/>
    <w:rsid w:val="00DA24E4"/>
    <w:rsid w:val="00DA2895"/>
    <w:rsid w:val="00DA2AC9"/>
    <w:rsid w:val="00DA2FC9"/>
    <w:rsid w:val="00DA2FF6"/>
    <w:rsid w:val="00DA307D"/>
    <w:rsid w:val="00DA313B"/>
    <w:rsid w:val="00DA31DC"/>
    <w:rsid w:val="00DA3AF4"/>
    <w:rsid w:val="00DA3AFE"/>
    <w:rsid w:val="00DA3BC1"/>
    <w:rsid w:val="00DA3C95"/>
    <w:rsid w:val="00DA3E66"/>
    <w:rsid w:val="00DA4A68"/>
    <w:rsid w:val="00DA5034"/>
    <w:rsid w:val="00DA5042"/>
    <w:rsid w:val="00DA5AEE"/>
    <w:rsid w:val="00DA5BD1"/>
    <w:rsid w:val="00DA5F34"/>
    <w:rsid w:val="00DA5F44"/>
    <w:rsid w:val="00DA6263"/>
    <w:rsid w:val="00DA66E5"/>
    <w:rsid w:val="00DA69E1"/>
    <w:rsid w:val="00DA6E51"/>
    <w:rsid w:val="00DA7358"/>
    <w:rsid w:val="00DB00E0"/>
    <w:rsid w:val="00DB0267"/>
    <w:rsid w:val="00DB0587"/>
    <w:rsid w:val="00DB1024"/>
    <w:rsid w:val="00DB135C"/>
    <w:rsid w:val="00DB19E7"/>
    <w:rsid w:val="00DB1C04"/>
    <w:rsid w:val="00DB1D81"/>
    <w:rsid w:val="00DB1F66"/>
    <w:rsid w:val="00DB218E"/>
    <w:rsid w:val="00DB2314"/>
    <w:rsid w:val="00DB23B5"/>
    <w:rsid w:val="00DB25CD"/>
    <w:rsid w:val="00DB340A"/>
    <w:rsid w:val="00DB35F7"/>
    <w:rsid w:val="00DB37F4"/>
    <w:rsid w:val="00DB3C5E"/>
    <w:rsid w:val="00DB40BC"/>
    <w:rsid w:val="00DB4666"/>
    <w:rsid w:val="00DB5996"/>
    <w:rsid w:val="00DB6313"/>
    <w:rsid w:val="00DB64C2"/>
    <w:rsid w:val="00DB6F74"/>
    <w:rsid w:val="00DB73A7"/>
    <w:rsid w:val="00DB7C29"/>
    <w:rsid w:val="00DC0473"/>
    <w:rsid w:val="00DC0917"/>
    <w:rsid w:val="00DC0CBE"/>
    <w:rsid w:val="00DC1756"/>
    <w:rsid w:val="00DC1817"/>
    <w:rsid w:val="00DC1DC1"/>
    <w:rsid w:val="00DC24F3"/>
    <w:rsid w:val="00DC2B3B"/>
    <w:rsid w:val="00DC2D7B"/>
    <w:rsid w:val="00DC3103"/>
    <w:rsid w:val="00DC3348"/>
    <w:rsid w:val="00DC340C"/>
    <w:rsid w:val="00DC3B1C"/>
    <w:rsid w:val="00DC3CEE"/>
    <w:rsid w:val="00DC3D37"/>
    <w:rsid w:val="00DC4646"/>
    <w:rsid w:val="00DC479F"/>
    <w:rsid w:val="00DC4BF1"/>
    <w:rsid w:val="00DC4FBB"/>
    <w:rsid w:val="00DC543C"/>
    <w:rsid w:val="00DC55A2"/>
    <w:rsid w:val="00DC5626"/>
    <w:rsid w:val="00DC6342"/>
    <w:rsid w:val="00DC6348"/>
    <w:rsid w:val="00DC63D0"/>
    <w:rsid w:val="00DC6514"/>
    <w:rsid w:val="00DC656B"/>
    <w:rsid w:val="00DC6890"/>
    <w:rsid w:val="00DC6B93"/>
    <w:rsid w:val="00DC7424"/>
    <w:rsid w:val="00DC77EE"/>
    <w:rsid w:val="00DC789B"/>
    <w:rsid w:val="00DD00B3"/>
    <w:rsid w:val="00DD0224"/>
    <w:rsid w:val="00DD044B"/>
    <w:rsid w:val="00DD0837"/>
    <w:rsid w:val="00DD099C"/>
    <w:rsid w:val="00DD0D0F"/>
    <w:rsid w:val="00DD12B7"/>
    <w:rsid w:val="00DD1412"/>
    <w:rsid w:val="00DD16DA"/>
    <w:rsid w:val="00DD16F0"/>
    <w:rsid w:val="00DD1950"/>
    <w:rsid w:val="00DD3447"/>
    <w:rsid w:val="00DD3C9D"/>
    <w:rsid w:val="00DD41C3"/>
    <w:rsid w:val="00DD4676"/>
    <w:rsid w:val="00DD4BD8"/>
    <w:rsid w:val="00DD4D4E"/>
    <w:rsid w:val="00DD4D92"/>
    <w:rsid w:val="00DD50A6"/>
    <w:rsid w:val="00DD52AA"/>
    <w:rsid w:val="00DD54D9"/>
    <w:rsid w:val="00DD5599"/>
    <w:rsid w:val="00DD59BF"/>
    <w:rsid w:val="00DD6336"/>
    <w:rsid w:val="00DD647D"/>
    <w:rsid w:val="00DD64B3"/>
    <w:rsid w:val="00DD6B5E"/>
    <w:rsid w:val="00DD6FEF"/>
    <w:rsid w:val="00DD7649"/>
    <w:rsid w:val="00DD78B8"/>
    <w:rsid w:val="00DD7B01"/>
    <w:rsid w:val="00DD7C1D"/>
    <w:rsid w:val="00DD7DB7"/>
    <w:rsid w:val="00DD7FE5"/>
    <w:rsid w:val="00DE1183"/>
    <w:rsid w:val="00DE17AB"/>
    <w:rsid w:val="00DE1CFE"/>
    <w:rsid w:val="00DE21D0"/>
    <w:rsid w:val="00DE2360"/>
    <w:rsid w:val="00DE2989"/>
    <w:rsid w:val="00DE3D00"/>
    <w:rsid w:val="00DE3D1B"/>
    <w:rsid w:val="00DE4155"/>
    <w:rsid w:val="00DE4703"/>
    <w:rsid w:val="00DE4940"/>
    <w:rsid w:val="00DE52D2"/>
    <w:rsid w:val="00DE5589"/>
    <w:rsid w:val="00DE55B4"/>
    <w:rsid w:val="00DE5B8F"/>
    <w:rsid w:val="00DE5EAB"/>
    <w:rsid w:val="00DE64C3"/>
    <w:rsid w:val="00DE6639"/>
    <w:rsid w:val="00DE67E5"/>
    <w:rsid w:val="00DE6B54"/>
    <w:rsid w:val="00DE6D99"/>
    <w:rsid w:val="00DE6DD3"/>
    <w:rsid w:val="00DE6E03"/>
    <w:rsid w:val="00DE6ED0"/>
    <w:rsid w:val="00DE735E"/>
    <w:rsid w:val="00DE7393"/>
    <w:rsid w:val="00DE7474"/>
    <w:rsid w:val="00DE75D8"/>
    <w:rsid w:val="00DE7991"/>
    <w:rsid w:val="00DE7DEA"/>
    <w:rsid w:val="00DF052F"/>
    <w:rsid w:val="00DF05CF"/>
    <w:rsid w:val="00DF0A27"/>
    <w:rsid w:val="00DF0D28"/>
    <w:rsid w:val="00DF0DBB"/>
    <w:rsid w:val="00DF1117"/>
    <w:rsid w:val="00DF1604"/>
    <w:rsid w:val="00DF1DFA"/>
    <w:rsid w:val="00DF1FF2"/>
    <w:rsid w:val="00DF22FC"/>
    <w:rsid w:val="00DF403E"/>
    <w:rsid w:val="00DF40BC"/>
    <w:rsid w:val="00DF4350"/>
    <w:rsid w:val="00DF4581"/>
    <w:rsid w:val="00DF4F3C"/>
    <w:rsid w:val="00DF53A5"/>
    <w:rsid w:val="00DF5446"/>
    <w:rsid w:val="00DF5467"/>
    <w:rsid w:val="00DF5986"/>
    <w:rsid w:val="00DF6241"/>
    <w:rsid w:val="00DF6323"/>
    <w:rsid w:val="00DF68D7"/>
    <w:rsid w:val="00DF69F7"/>
    <w:rsid w:val="00DF75E0"/>
    <w:rsid w:val="00DF7C01"/>
    <w:rsid w:val="00DF7C51"/>
    <w:rsid w:val="00DF7F58"/>
    <w:rsid w:val="00E00248"/>
    <w:rsid w:val="00E007AA"/>
    <w:rsid w:val="00E0093D"/>
    <w:rsid w:val="00E00A36"/>
    <w:rsid w:val="00E00C06"/>
    <w:rsid w:val="00E0127C"/>
    <w:rsid w:val="00E012CD"/>
    <w:rsid w:val="00E01C9F"/>
    <w:rsid w:val="00E01F00"/>
    <w:rsid w:val="00E01F3D"/>
    <w:rsid w:val="00E025BD"/>
    <w:rsid w:val="00E026A3"/>
    <w:rsid w:val="00E0291C"/>
    <w:rsid w:val="00E02C33"/>
    <w:rsid w:val="00E034FE"/>
    <w:rsid w:val="00E03AE6"/>
    <w:rsid w:val="00E03DB6"/>
    <w:rsid w:val="00E0409D"/>
    <w:rsid w:val="00E04320"/>
    <w:rsid w:val="00E043CC"/>
    <w:rsid w:val="00E049F1"/>
    <w:rsid w:val="00E04A5C"/>
    <w:rsid w:val="00E04B67"/>
    <w:rsid w:val="00E05486"/>
    <w:rsid w:val="00E06482"/>
    <w:rsid w:val="00E06C14"/>
    <w:rsid w:val="00E06F8A"/>
    <w:rsid w:val="00E0700B"/>
    <w:rsid w:val="00E0756F"/>
    <w:rsid w:val="00E07A89"/>
    <w:rsid w:val="00E105F8"/>
    <w:rsid w:val="00E106E0"/>
    <w:rsid w:val="00E107B6"/>
    <w:rsid w:val="00E109F6"/>
    <w:rsid w:val="00E110B7"/>
    <w:rsid w:val="00E11707"/>
    <w:rsid w:val="00E12088"/>
    <w:rsid w:val="00E1245F"/>
    <w:rsid w:val="00E128BB"/>
    <w:rsid w:val="00E12F58"/>
    <w:rsid w:val="00E1323E"/>
    <w:rsid w:val="00E133EC"/>
    <w:rsid w:val="00E1345E"/>
    <w:rsid w:val="00E1382D"/>
    <w:rsid w:val="00E1391A"/>
    <w:rsid w:val="00E14054"/>
    <w:rsid w:val="00E14087"/>
    <w:rsid w:val="00E14185"/>
    <w:rsid w:val="00E144F2"/>
    <w:rsid w:val="00E14D28"/>
    <w:rsid w:val="00E14F20"/>
    <w:rsid w:val="00E150B4"/>
    <w:rsid w:val="00E150BD"/>
    <w:rsid w:val="00E16505"/>
    <w:rsid w:val="00E173DB"/>
    <w:rsid w:val="00E1761B"/>
    <w:rsid w:val="00E177CB"/>
    <w:rsid w:val="00E1787D"/>
    <w:rsid w:val="00E179D0"/>
    <w:rsid w:val="00E17E56"/>
    <w:rsid w:val="00E20C10"/>
    <w:rsid w:val="00E20E32"/>
    <w:rsid w:val="00E20EE0"/>
    <w:rsid w:val="00E210D2"/>
    <w:rsid w:val="00E2127C"/>
    <w:rsid w:val="00E215E3"/>
    <w:rsid w:val="00E21788"/>
    <w:rsid w:val="00E21D16"/>
    <w:rsid w:val="00E2213F"/>
    <w:rsid w:val="00E233CB"/>
    <w:rsid w:val="00E238C2"/>
    <w:rsid w:val="00E23942"/>
    <w:rsid w:val="00E23D59"/>
    <w:rsid w:val="00E23DA1"/>
    <w:rsid w:val="00E244E9"/>
    <w:rsid w:val="00E2495B"/>
    <w:rsid w:val="00E24A91"/>
    <w:rsid w:val="00E24D4E"/>
    <w:rsid w:val="00E250D0"/>
    <w:rsid w:val="00E25240"/>
    <w:rsid w:val="00E2590F"/>
    <w:rsid w:val="00E25BDD"/>
    <w:rsid w:val="00E25FB3"/>
    <w:rsid w:val="00E2618A"/>
    <w:rsid w:val="00E26513"/>
    <w:rsid w:val="00E26946"/>
    <w:rsid w:val="00E26BBE"/>
    <w:rsid w:val="00E26F29"/>
    <w:rsid w:val="00E27447"/>
    <w:rsid w:val="00E27467"/>
    <w:rsid w:val="00E277EF"/>
    <w:rsid w:val="00E27852"/>
    <w:rsid w:val="00E27986"/>
    <w:rsid w:val="00E3091E"/>
    <w:rsid w:val="00E30A01"/>
    <w:rsid w:val="00E30B66"/>
    <w:rsid w:val="00E30CDD"/>
    <w:rsid w:val="00E30D96"/>
    <w:rsid w:val="00E31B27"/>
    <w:rsid w:val="00E32358"/>
    <w:rsid w:val="00E32BCC"/>
    <w:rsid w:val="00E330F3"/>
    <w:rsid w:val="00E33220"/>
    <w:rsid w:val="00E34473"/>
    <w:rsid w:val="00E34585"/>
    <w:rsid w:val="00E34BB2"/>
    <w:rsid w:val="00E34BE1"/>
    <w:rsid w:val="00E35B59"/>
    <w:rsid w:val="00E36045"/>
    <w:rsid w:val="00E3637C"/>
    <w:rsid w:val="00E36A55"/>
    <w:rsid w:val="00E371F5"/>
    <w:rsid w:val="00E37327"/>
    <w:rsid w:val="00E374EF"/>
    <w:rsid w:val="00E40A0E"/>
    <w:rsid w:val="00E40D1F"/>
    <w:rsid w:val="00E40F36"/>
    <w:rsid w:val="00E41801"/>
    <w:rsid w:val="00E418E3"/>
    <w:rsid w:val="00E41B1B"/>
    <w:rsid w:val="00E41BAB"/>
    <w:rsid w:val="00E4230F"/>
    <w:rsid w:val="00E42402"/>
    <w:rsid w:val="00E4287C"/>
    <w:rsid w:val="00E42A36"/>
    <w:rsid w:val="00E42C03"/>
    <w:rsid w:val="00E42D3F"/>
    <w:rsid w:val="00E42F71"/>
    <w:rsid w:val="00E43DF2"/>
    <w:rsid w:val="00E43F41"/>
    <w:rsid w:val="00E44121"/>
    <w:rsid w:val="00E4452B"/>
    <w:rsid w:val="00E445A8"/>
    <w:rsid w:val="00E44E28"/>
    <w:rsid w:val="00E44F97"/>
    <w:rsid w:val="00E454DC"/>
    <w:rsid w:val="00E45A06"/>
    <w:rsid w:val="00E45B0C"/>
    <w:rsid w:val="00E45C2B"/>
    <w:rsid w:val="00E45F28"/>
    <w:rsid w:val="00E4607D"/>
    <w:rsid w:val="00E4626F"/>
    <w:rsid w:val="00E46686"/>
    <w:rsid w:val="00E46890"/>
    <w:rsid w:val="00E46AA3"/>
    <w:rsid w:val="00E474F3"/>
    <w:rsid w:val="00E47D68"/>
    <w:rsid w:val="00E47D82"/>
    <w:rsid w:val="00E5028F"/>
    <w:rsid w:val="00E50FD1"/>
    <w:rsid w:val="00E51783"/>
    <w:rsid w:val="00E52658"/>
    <w:rsid w:val="00E527FC"/>
    <w:rsid w:val="00E5294D"/>
    <w:rsid w:val="00E52C5F"/>
    <w:rsid w:val="00E53071"/>
    <w:rsid w:val="00E53573"/>
    <w:rsid w:val="00E53669"/>
    <w:rsid w:val="00E544D7"/>
    <w:rsid w:val="00E54512"/>
    <w:rsid w:val="00E545B1"/>
    <w:rsid w:val="00E548DE"/>
    <w:rsid w:val="00E54B62"/>
    <w:rsid w:val="00E556B8"/>
    <w:rsid w:val="00E557EE"/>
    <w:rsid w:val="00E56173"/>
    <w:rsid w:val="00E564A9"/>
    <w:rsid w:val="00E56754"/>
    <w:rsid w:val="00E5726A"/>
    <w:rsid w:val="00E57677"/>
    <w:rsid w:val="00E6001C"/>
    <w:rsid w:val="00E60455"/>
    <w:rsid w:val="00E6057C"/>
    <w:rsid w:val="00E6072C"/>
    <w:rsid w:val="00E60AE0"/>
    <w:rsid w:val="00E60CCA"/>
    <w:rsid w:val="00E60E36"/>
    <w:rsid w:val="00E61124"/>
    <w:rsid w:val="00E61628"/>
    <w:rsid w:val="00E61ADD"/>
    <w:rsid w:val="00E61B47"/>
    <w:rsid w:val="00E61CFE"/>
    <w:rsid w:val="00E61E51"/>
    <w:rsid w:val="00E62011"/>
    <w:rsid w:val="00E6228D"/>
    <w:rsid w:val="00E62591"/>
    <w:rsid w:val="00E62707"/>
    <w:rsid w:val="00E62B10"/>
    <w:rsid w:val="00E62B47"/>
    <w:rsid w:val="00E630C6"/>
    <w:rsid w:val="00E6320F"/>
    <w:rsid w:val="00E63558"/>
    <w:rsid w:val="00E639E4"/>
    <w:rsid w:val="00E63ADC"/>
    <w:rsid w:val="00E63E85"/>
    <w:rsid w:val="00E6406B"/>
    <w:rsid w:val="00E647A8"/>
    <w:rsid w:val="00E64E2E"/>
    <w:rsid w:val="00E64F69"/>
    <w:rsid w:val="00E65272"/>
    <w:rsid w:val="00E661C5"/>
    <w:rsid w:val="00E6621E"/>
    <w:rsid w:val="00E66CBE"/>
    <w:rsid w:val="00E66CC3"/>
    <w:rsid w:val="00E66EB1"/>
    <w:rsid w:val="00E66F59"/>
    <w:rsid w:val="00E6722F"/>
    <w:rsid w:val="00E67563"/>
    <w:rsid w:val="00E67887"/>
    <w:rsid w:val="00E679D2"/>
    <w:rsid w:val="00E70126"/>
    <w:rsid w:val="00E70459"/>
    <w:rsid w:val="00E7054A"/>
    <w:rsid w:val="00E705DC"/>
    <w:rsid w:val="00E70F20"/>
    <w:rsid w:val="00E7120B"/>
    <w:rsid w:val="00E714E9"/>
    <w:rsid w:val="00E720E8"/>
    <w:rsid w:val="00E7224B"/>
    <w:rsid w:val="00E724D4"/>
    <w:rsid w:val="00E72A6C"/>
    <w:rsid w:val="00E72FAC"/>
    <w:rsid w:val="00E732D9"/>
    <w:rsid w:val="00E73820"/>
    <w:rsid w:val="00E73DF3"/>
    <w:rsid w:val="00E743B7"/>
    <w:rsid w:val="00E7447A"/>
    <w:rsid w:val="00E7481F"/>
    <w:rsid w:val="00E748FD"/>
    <w:rsid w:val="00E75039"/>
    <w:rsid w:val="00E750FA"/>
    <w:rsid w:val="00E75133"/>
    <w:rsid w:val="00E75C24"/>
    <w:rsid w:val="00E765B6"/>
    <w:rsid w:val="00E76637"/>
    <w:rsid w:val="00E76F1E"/>
    <w:rsid w:val="00E76F85"/>
    <w:rsid w:val="00E7709F"/>
    <w:rsid w:val="00E778EE"/>
    <w:rsid w:val="00E77F12"/>
    <w:rsid w:val="00E8015A"/>
    <w:rsid w:val="00E804C5"/>
    <w:rsid w:val="00E8050C"/>
    <w:rsid w:val="00E80AEB"/>
    <w:rsid w:val="00E80CCD"/>
    <w:rsid w:val="00E80EFA"/>
    <w:rsid w:val="00E8108B"/>
    <w:rsid w:val="00E81C64"/>
    <w:rsid w:val="00E81E7D"/>
    <w:rsid w:val="00E82648"/>
    <w:rsid w:val="00E826FC"/>
    <w:rsid w:val="00E82A86"/>
    <w:rsid w:val="00E82AE0"/>
    <w:rsid w:val="00E82EE9"/>
    <w:rsid w:val="00E831BC"/>
    <w:rsid w:val="00E8339B"/>
    <w:rsid w:val="00E83643"/>
    <w:rsid w:val="00E83B9E"/>
    <w:rsid w:val="00E8446F"/>
    <w:rsid w:val="00E846AD"/>
    <w:rsid w:val="00E848F0"/>
    <w:rsid w:val="00E858E3"/>
    <w:rsid w:val="00E87AED"/>
    <w:rsid w:val="00E87C2B"/>
    <w:rsid w:val="00E87ED6"/>
    <w:rsid w:val="00E87FA1"/>
    <w:rsid w:val="00E905C2"/>
    <w:rsid w:val="00E9067B"/>
    <w:rsid w:val="00E90AA5"/>
    <w:rsid w:val="00E90FC1"/>
    <w:rsid w:val="00E91F91"/>
    <w:rsid w:val="00E92FC6"/>
    <w:rsid w:val="00E9325C"/>
    <w:rsid w:val="00E934F1"/>
    <w:rsid w:val="00E937E2"/>
    <w:rsid w:val="00E93A92"/>
    <w:rsid w:val="00E93BCE"/>
    <w:rsid w:val="00E93F3B"/>
    <w:rsid w:val="00E9446D"/>
    <w:rsid w:val="00E9453E"/>
    <w:rsid w:val="00E94667"/>
    <w:rsid w:val="00E9573F"/>
    <w:rsid w:val="00E95976"/>
    <w:rsid w:val="00E95AD9"/>
    <w:rsid w:val="00E95E24"/>
    <w:rsid w:val="00E96102"/>
    <w:rsid w:val="00E96D72"/>
    <w:rsid w:val="00E96E82"/>
    <w:rsid w:val="00E96E86"/>
    <w:rsid w:val="00E97015"/>
    <w:rsid w:val="00E973F7"/>
    <w:rsid w:val="00E97664"/>
    <w:rsid w:val="00E97A77"/>
    <w:rsid w:val="00EA017B"/>
    <w:rsid w:val="00EA05DD"/>
    <w:rsid w:val="00EA082F"/>
    <w:rsid w:val="00EA096D"/>
    <w:rsid w:val="00EA0B6A"/>
    <w:rsid w:val="00EA0C8E"/>
    <w:rsid w:val="00EA1350"/>
    <w:rsid w:val="00EA15DE"/>
    <w:rsid w:val="00EA169B"/>
    <w:rsid w:val="00EA1BE9"/>
    <w:rsid w:val="00EA2A10"/>
    <w:rsid w:val="00EA2FB2"/>
    <w:rsid w:val="00EA2FDD"/>
    <w:rsid w:val="00EA3072"/>
    <w:rsid w:val="00EA336E"/>
    <w:rsid w:val="00EA3DA7"/>
    <w:rsid w:val="00EA46CD"/>
    <w:rsid w:val="00EA50CB"/>
    <w:rsid w:val="00EA6355"/>
    <w:rsid w:val="00EA6416"/>
    <w:rsid w:val="00EA6C74"/>
    <w:rsid w:val="00EA6D7F"/>
    <w:rsid w:val="00EA70B9"/>
    <w:rsid w:val="00EA7508"/>
    <w:rsid w:val="00EA7513"/>
    <w:rsid w:val="00EA752F"/>
    <w:rsid w:val="00EA77C9"/>
    <w:rsid w:val="00EA7ABA"/>
    <w:rsid w:val="00EB0169"/>
    <w:rsid w:val="00EB01DC"/>
    <w:rsid w:val="00EB0680"/>
    <w:rsid w:val="00EB0769"/>
    <w:rsid w:val="00EB082A"/>
    <w:rsid w:val="00EB0BDB"/>
    <w:rsid w:val="00EB0CEF"/>
    <w:rsid w:val="00EB120B"/>
    <w:rsid w:val="00EB1392"/>
    <w:rsid w:val="00EB1595"/>
    <w:rsid w:val="00EB15A9"/>
    <w:rsid w:val="00EB15ED"/>
    <w:rsid w:val="00EB17E7"/>
    <w:rsid w:val="00EB1E78"/>
    <w:rsid w:val="00EB1EC1"/>
    <w:rsid w:val="00EB280F"/>
    <w:rsid w:val="00EB28B3"/>
    <w:rsid w:val="00EB2934"/>
    <w:rsid w:val="00EB2940"/>
    <w:rsid w:val="00EB2B76"/>
    <w:rsid w:val="00EB311E"/>
    <w:rsid w:val="00EB3AFE"/>
    <w:rsid w:val="00EB3FBC"/>
    <w:rsid w:val="00EB41E6"/>
    <w:rsid w:val="00EB5186"/>
    <w:rsid w:val="00EB53EA"/>
    <w:rsid w:val="00EB599B"/>
    <w:rsid w:val="00EB5A46"/>
    <w:rsid w:val="00EB5CB4"/>
    <w:rsid w:val="00EB5CC1"/>
    <w:rsid w:val="00EB5CEA"/>
    <w:rsid w:val="00EB5E68"/>
    <w:rsid w:val="00EB6276"/>
    <w:rsid w:val="00EB7176"/>
    <w:rsid w:val="00EB76C9"/>
    <w:rsid w:val="00EB7A35"/>
    <w:rsid w:val="00EB7B9B"/>
    <w:rsid w:val="00EC049C"/>
    <w:rsid w:val="00EC0D00"/>
    <w:rsid w:val="00EC0D18"/>
    <w:rsid w:val="00EC1C24"/>
    <w:rsid w:val="00EC1D29"/>
    <w:rsid w:val="00EC2121"/>
    <w:rsid w:val="00EC2380"/>
    <w:rsid w:val="00EC2459"/>
    <w:rsid w:val="00EC2954"/>
    <w:rsid w:val="00EC2A23"/>
    <w:rsid w:val="00EC2F9C"/>
    <w:rsid w:val="00EC3A35"/>
    <w:rsid w:val="00EC3EBB"/>
    <w:rsid w:val="00EC46C2"/>
    <w:rsid w:val="00EC471B"/>
    <w:rsid w:val="00EC474B"/>
    <w:rsid w:val="00EC55DD"/>
    <w:rsid w:val="00EC573F"/>
    <w:rsid w:val="00EC58AB"/>
    <w:rsid w:val="00EC699B"/>
    <w:rsid w:val="00EC6E4D"/>
    <w:rsid w:val="00EC737A"/>
    <w:rsid w:val="00EC7A4C"/>
    <w:rsid w:val="00EC7E92"/>
    <w:rsid w:val="00EC7F22"/>
    <w:rsid w:val="00ED0196"/>
    <w:rsid w:val="00ED0458"/>
    <w:rsid w:val="00ED0CBE"/>
    <w:rsid w:val="00ED13C1"/>
    <w:rsid w:val="00ED13FF"/>
    <w:rsid w:val="00ED178E"/>
    <w:rsid w:val="00ED17BE"/>
    <w:rsid w:val="00ED17EA"/>
    <w:rsid w:val="00ED19F7"/>
    <w:rsid w:val="00ED21AC"/>
    <w:rsid w:val="00ED2F23"/>
    <w:rsid w:val="00ED317D"/>
    <w:rsid w:val="00ED3992"/>
    <w:rsid w:val="00ED39A1"/>
    <w:rsid w:val="00ED3E3C"/>
    <w:rsid w:val="00ED3F08"/>
    <w:rsid w:val="00ED3F25"/>
    <w:rsid w:val="00ED3FB8"/>
    <w:rsid w:val="00ED46FA"/>
    <w:rsid w:val="00ED47EB"/>
    <w:rsid w:val="00ED49BE"/>
    <w:rsid w:val="00ED4E39"/>
    <w:rsid w:val="00ED5034"/>
    <w:rsid w:val="00ED5082"/>
    <w:rsid w:val="00ED540E"/>
    <w:rsid w:val="00ED550E"/>
    <w:rsid w:val="00ED57F8"/>
    <w:rsid w:val="00ED619B"/>
    <w:rsid w:val="00ED6F58"/>
    <w:rsid w:val="00ED755C"/>
    <w:rsid w:val="00ED77C8"/>
    <w:rsid w:val="00ED77EA"/>
    <w:rsid w:val="00ED7858"/>
    <w:rsid w:val="00EE0139"/>
    <w:rsid w:val="00EE0358"/>
    <w:rsid w:val="00EE1007"/>
    <w:rsid w:val="00EE19EB"/>
    <w:rsid w:val="00EE1C48"/>
    <w:rsid w:val="00EE1DCF"/>
    <w:rsid w:val="00EE21B5"/>
    <w:rsid w:val="00EE225A"/>
    <w:rsid w:val="00EE24B8"/>
    <w:rsid w:val="00EE25B1"/>
    <w:rsid w:val="00EE26F7"/>
    <w:rsid w:val="00EE2766"/>
    <w:rsid w:val="00EE2BA3"/>
    <w:rsid w:val="00EE30ED"/>
    <w:rsid w:val="00EE325A"/>
    <w:rsid w:val="00EE3891"/>
    <w:rsid w:val="00EE3CCA"/>
    <w:rsid w:val="00EE3CF0"/>
    <w:rsid w:val="00EE3E6F"/>
    <w:rsid w:val="00EE3F85"/>
    <w:rsid w:val="00EE40DA"/>
    <w:rsid w:val="00EE439D"/>
    <w:rsid w:val="00EE465F"/>
    <w:rsid w:val="00EE4832"/>
    <w:rsid w:val="00EE56B8"/>
    <w:rsid w:val="00EE5D5D"/>
    <w:rsid w:val="00EE6006"/>
    <w:rsid w:val="00EE66B2"/>
    <w:rsid w:val="00EE6D12"/>
    <w:rsid w:val="00EE7166"/>
    <w:rsid w:val="00EE76A6"/>
    <w:rsid w:val="00EE7BCC"/>
    <w:rsid w:val="00EF0052"/>
    <w:rsid w:val="00EF014F"/>
    <w:rsid w:val="00EF0CA3"/>
    <w:rsid w:val="00EF1748"/>
    <w:rsid w:val="00EF2721"/>
    <w:rsid w:val="00EF2A83"/>
    <w:rsid w:val="00EF2C33"/>
    <w:rsid w:val="00EF3626"/>
    <w:rsid w:val="00EF3DE9"/>
    <w:rsid w:val="00EF44DB"/>
    <w:rsid w:val="00EF4761"/>
    <w:rsid w:val="00EF481B"/>
    <w:rsid w:val="00EF4DA9"/>
    <w:rsid w:val="00EF4F18"/>
    <w:rsid w:val="00EF5149"/>
    <w:rsid w:val="00EF53EE"/>
    <w:rsid w:val="00EF55C9"/>
    <w:rsid w:val="00EF55D0"/>
    <w:rsid w:val="00EF5C06"/>
    <w:rsid w:val="00EF634B"/>
    <w:rsid w:val="00EF65B9"/>
    <w:rsid w:val="00EF6960"/>
    <w:rsid w:val="00EF6C7F"/>
    <w:rsid w:val="00EF703E"/>
    <w:rsid w:val="00EF70FB"/>
    <w:rsid w:val="00EF78B1"/>
    <w:rsid w:val="00EF7D4C"/>
    <w:rsid w:val="00F00007"/>
    <w:rsid w:val="00F000D6"/>
    <w:rsid w:val="00F004C0"/>
    <w:rsid w:val="00F007E7"/>
    <w:rsid w:val="00F00D78"/>
    <w:rsid w:val="00F00DBF"/>
    <w:rsid w:val="00F010A8"/>
    <w:rsid w:val="00F013DC"/>
    <w:rsid w:val="00F01A73"/>
    <w:rsid w:val="00F02692"/>
    <w:rsid w:val="00F028F0"/>
    <w:rsid w:val="00F0311F"/>
    <w:rsid w:val="00F032DF"/>
    <w:rsid w:val="00F038F2"/>
    <w:rsid w:val="00F03ECF"/>
    <w:rsid w:val="00F03F98"/>
    <w:rsid w:val="00F03FFA"/>
    <w:rsid w:val="00F04113"/>
    <w:rsid w:val="00F0421F"/>
    <w:rsid w:val="00F04272"/>
    <w:rsid w:val="00F04819"/>
    <w:rsid w:val="00F04E07"/>
    <w:rsid w:val="00F0572C"/>
    <w:rsid w:val="00F05944"/>
    <w:rsid w:val="00F05A8B"/>
    <w:rsid w:val="00F05BE1"/>
    <w:rsid w:val="00F06580"/>
    <w:rsid w:val="00F06730"/>
    <w:rsid w:val="00F06A5A"/>
    <w:rsid w:val="00F06CF0"/>
    <w:rsid w:val="00F06D68"/>
    <w:rsid w:val="00F07185"/>
    <w:rsid w:val="00F078C2"/>
    <w:rsid w:val="00F078CC"/>
    <w:rsid w:val="00F07B85"/>
    <w:rsid w:val="00F07D8B"/>
    <w:rsid w:val="00F07E49"/>
    <w:rsid w:val="00F07F87"/>
    <w:rsid w:val="00F07F92"/>
    <w:rsid w:val="00F10384"/>
    <w:rsid w:val="00F1046D"/>
    <w:rsid w:val="00F105E3"/>
    <w:rsid w:val="00F1097E"/>
    <w:rsid w:val="00F10CFD"/>
    <w:rsid w:val="00F10D5F"/>
    <w:rsid w:val="00F11730"/>
    <w:rsid w:val="00F11CDA"/>
    <w:rsid w:val="00F11EFF"/>
    <w:rsid w:val="00F11F9A"/>
    <w:rsid w:val="00F1208E"/>
    <w:rsid w:val="00F1318C"/>
    <w:rsid w:val="00F13483"/>
    <w:rsid w:val="00F137AE"/>
    <w:rsid w:val="00F138AB"/>
    <w:rsid w:val="00F13C71"/>
    <w:rsid w:val="00F13D41"/>
    <w:rsid w:val="00F14037"/>
    <w:rsid w:val="00F14C0D"/>
    <w:rsid w:val="00F158C8"/>
    <w:rsid w:val="00F15AE0"/>
    <w:rsid w:val="00F15C9F"/>
    <w:rsid w:val="00F16021"/>
    <w:rsid w:val="00F1603D"/>
    <w:rsid w:val="00F165D6"/>
    <w:rsid w:val="00F17140"/>
    <w:rsid w:val="00F17248"/>
    <w:rsid w:val="00F17265"/>
    <w:rsid w:val="00F17B6E"/>
    <w:rsid w:val="00F17BC6"/>
    <w:rsid w:val="00F20A40"/>
    <w:rsid w:val="00F214BC"/>
    <w:rsid w:val="00F218A1"/>
    <w:rsid w:val="00F2192A"/>
    <w:rsid w:val="00F21BE5"/>
    <w:rsid w:val="00F21E62"/>
    <w:rsid w:val="00F21F29"/>
    <w:rsid w:val="00F2201C"/>
    <w:rsid w:val="00F22607"/>
    <w:rsid w:val="00F2274C"/>
    <w:rsid w:val="00F22773"/>
    <w:rsid w:val="00F228CB"/>
    <w:rsid w:val="00F22925"/>
    <w:rsid w:val="00F230B7"/>
    <w:rsid w:val="00F231D2"/>
    <w:rsid w:val="00F245BD"/>
    <w:rsid w:val="00F24A04"/>
    <w:rsid w:val="00F24D16"/>
    <w:rsid w:val="00F25034"/>
    <w:rsid w:val="00F25C4F"/>
    <w:rsid w:val="00F265D6"/>
    <w:rsid w:val="00F26A75"/>
    <w:rsid w:val="00F2750A"/>
    <w:rsid w:val="00F27A62"/>
    <w:rsid w:val="00F27CB0"/>
    <w:rsid w:val="00F27D07"/>
    <w:rsid w:val="00F30530"/>
    <w:rsid w:val="00F30BAA"/>
    <w:rsid w:val="00F311F4"/>
    <w:rsid w:val="00F313B6"/>
    <w:rsid w:val="00F317DE"/>
    <w:rsid w:val="00F31C62"/>
    <w:rsid w:val="00F322C2"/>
    <w:rsid w:val="00F32485"/>
    <w:rsid w:val="00F326D1"/>
    <w:rsid w:val="00F3279D"/>
    <w:rsid w:val="00F32856"/>
    <w:rsid w:val="00F328AF"/>
    <w:rsid w:val="00F3297D"/>
    <w:rsid w:val="00F330AD"/>
    <w:rsid w:val="00F33194"/>
    <w:rsid w:val="00F33974"/>
    <w:rsid w:val="00F33F8C"/>
    <w:rsid w:val="00F34828"/>
    <w:rsid w:val="00F349EE"/>
    <w:rsid w:val="00F354AB"/>
    <w:rsid w:val="00F357BA"/>
    <w:rsid w:val="00F35B19"/>
    <w:rsid w:val="00F36214"/>
    <w:rsid w:val="00F363D7"/>
    <w:rsid w:val="00F372D2"/>
    <w:rsid w:val="00F37689"/>
    <w:rsid w:val="00F37994"/>
    <w:rsid w:val="00F406CC"/>
    <w:rsid w:val="00F40766"/>
    <w:rsid w:val="00F4093F"/>
    <w:rsid w:val="00F40965"/>
    <w:rsid w:val="00F40B2D"/>
    <w:rsid w:val="00F40B32"/>
    <w:rsid w:val="00F40B85"/>
    <w:rsid w:val="00F412C7"/>
    <w:rsid w:val="00F41C5A"/>
    <w:rsid w:val="00F41CA4"/>
    <w:rsid w:val="00F41DCE"/>
    <w:rsid w:val="00F420DB"/>
    <w:rsid w:val="00F4267A"/>
    <w:rsid w:val="00F42C47"/>
    <w:rsid w:val="00F43816"/>
    <w:rsid w:val="00F441B2"/>
    <w:rsid w:val="00F44E5A"/>
    <w:rsid w:val="00F450C7"/>
    <w:rsid w:val="00F45124"/>
    <w:rsid w:val="00F45316"/>
    <w:rsid w:val="00F45553"/>
    <w:rsid w:val="00F457CB"/>
    <w:rsid w:val="00F45F8D"/>
    <w:rsid w:val="00F46428"/>
    <w:rsid w:val="00F4645A"/>
    <w:rsid w:val="00F465F7"/>
    <w:rsid w:val="00F46A62"/>
    <w:rsid w:val="00F46AB3"/>
    <w:rsid w:val="00F46F2D"/>
    <w:rsid w:val="00F47621"/>
    <w:rsid w:val="00F478A2"/>
    <w:rsid w:val="00F47D57"/>
    <w:rsid w:val="00F500A8"/>
    <w:rsid w:val="00F500D8"/>
    <w:rsid w:val="00F501F3"/>
    <w:rsid w:val="00F5168F"/>
    <w:rsid w:val="00F51E67"/>
    <w:rsid w:val="00F51E71"/>
    <w:rsid w:val="00F51F4D"/>
    <w:rsid w:val="00F51F9B"/>
    <w:rsid w:val="00F520D0"/>
    <w:rsid w:val="00F52775"/>
    <w:rsid w:val="00F5282D"/>
    <w:rsid w:val="00F52B12"/>
    <w:rsid w:val="00F52B24"/>
    <w:rsid w:val="00F52BEE"/>
    <w:rsid w:val="00F52C42"/>
    <w:rsid w:val="00F52CEC"/>
    <w:rsid w:val="00F52D0F"/>
    <w:rsid w:val="00F53653"/>
    <w:rsid w:val="00F53AAA"/>
    <w:rsid w:val="00F545E9"/>
    <w:rsid w:val="00F54802"/>
    <w:rsid w:val="00F55481"/>
    <w:rsid w:val="00F5578F"/>
    <w:rsid w:val="00F55CC1"/>
    <w:rsid w:val="00F56409"/>
    <w:rsid w:val="00F566F7"/>
    <w:rsid w:val="00F57741"/>
    <w:rsid w:val="00F5791E"/>
    <w:rsid w:val="00F57B3A"/>
    <w:rsid w:val="00F57B5D"/>
    <w:rsid w:val="00F57DE3"/>
    <w:rsid w:val="00F6005F"/>
    <w:rsid w:val="00F60707"/>
    <w:rsid w:val="00F6072A"/>
    <w:rsid w:val="00F60E2F"/>
    <w:rsid w:val="00F6174C"/>
    <w:rsid w:val="00F61B47"/>
    <w:rsid w:val="00F6214F"/>
    <w:rsid w:val="00F62A6F"/>
    <w:rsid w:val="00F62A98"/>
    <w:rsid w:val="00F62ACA"/>
    <w:rsid w:val="00F62D97"/>
    <w:rsid w:val="00F634DE"/>
    <w:rsid w:val="00F63851"/>
    <w:rsid w:val="00F63DE1"/>
    <w:rsid w:val="00F63F10"/>
    <w:rsid w:val="00F64039"/>
    <w:rsid w:val="00F64644"/>
    <w:rsid w:val="00F64D00"/>
    <w:rsid w:val="00F653CC"/>
    <w:rsid w:val="00F65513"/>
    <w:rsid w:val="00F65F7C"/>
    <w:rsid w:val="00F6621B"/>
    <w:rsid w:val="00F66290"/>
    <w:rsid w:val="00F66FB0"/>
    <w:rsid w:val="00F67282"/>
    <w:rsid w:val="00F674D2"/>
    <w:rsid w:val="00F675AA"/>
    <w:rsid w:val="00F67BB9"/>
    <w:rsid w:val="00F67E82"/>
    <w:rsid w:val="00F67F7B"/>
    <w:rsid w:val="00F70188"/>
    <w:rsid w:val="00F70427"/>
    <w:rsid w:val="00F7051A"/>
    <w:rsid w:val="00F705A6"/>
    <w:rsid w:val="00F7086A"/>
    <w:rsid w:val="00F70914"/>
    <w:rsid w:val="00F709AC"/>
    <w:rsid w:val="00F70A19"/>
    <w:rsid w:val="00F710B5"/>
    <w:rsid w:val="00F7182C"/>
    <w:rsid w:val="00F71C6E"/>
    <w:rsid w:val="00F728D6"/>
    <w:rsid w:val="00F72C2F"/>
    <w:rsid w:val="00F7321B"/>
    <w:rsid w:val="00F74775"/>
    <w:rsid w:val="00F747F8"/>
    <w:rsid w:val="00F7490A"/>
    <w:rsid w:val="00F74BA4"/>
    <w:rsid w:val="00F74EB6"/>
    <w:rsid w:val="00F74F87"/>
    <w:rsid w:val="00F757C8"/>
    <w:rsid w:val="00F75991"/>
    <w:rsid w:val="00F75D0E"/>
    <w:rsid w:val="00F763D7"/>
    <w:rsid w:val="00F7642C"/>
    <w:rsid w:val="00F7670B"/>
    <w:rsid w:val="00F77497"/>
    <w:rsid w:val="00F77E49"/>
    <w:rsid w:val="00F8007B"/>
    <w:rsid w:val="00F8071F"/>
    <w:rsid w:val="00F809D7"/>
    <w:rsid w:val="00F80BA6"/>
    <w:rsid w:val="00F80FEF"/>
    <w:rsid w:val="00F81079"/>
    <w:rsid w:val="00F81165"/>
    <w:rsid w:val="00F81196"/>
    <w:rsid w:val="00F8159F"/>
    <w:rsid w:val="00F816E1"/>
    <w:rsid w:val="00F81D16"/>
    <w:rsid w:val="00F82147"/>
    <w:rsid w:val="00F8223D"/>
    <w:rsid w:val="00F82C1F"/>
    <w:rsid w:val="00F832E1"/>
    <w:rsid w:val="00F83874"/>
    <w:rsid w:val="00F83A17"/>
    <w:rsid w:val="00F83B90"/>
    <w:rsid w:val="00F83BB1"/>
    <w:rsid w:val="00F83E9F"/>
    <w:rsid w:val="00F84464"/>
    <w:rsid w:val="00F8449D"/>
    <w:rsid w:val="00F85A02"/>
    <w:rsid w:val="00F85A98"/>
    <w:rsid w:val="00F86034"/>
    <w:rsid w:val="00F863D2"/>
    <w:rsid w:val="00F864CE"/>
    <w:rsid w:val="00F8698C"/>
    <w:rsid w:val="00F86AAE"/>
    <w:rsid w:val="00F86AB0"/>
    <w:rsid w:val="00F86CF8"/>
    <w:rsid w:val="00F86DF7"/>
    <w:rsid w:val="00F8740C"/>
    <w:rsid w:val="00F875AA"/>
    <w:rsid w:val="00F87792"/>
    <w:rsid w:val="00F87C54"/>
    <w:rsid w:val="00F90434"/>
    <w:rsid w:val="00F905A1"/>
    <w:rsid w:val="00F90C06"/>
    <w:rsid w:val="00F90C32"/>
    <w:rsid w:val="00F91246"/>
    <w:rsid w:val="00F91347"/>
    <w:rsid w:val="00F9138B"/>
    <w:rsid w:val="00F918AF"/>
    <w:rsid w:val="00F91A23"/>
    <w:rsid w:val="00F92859"/>
    <w:rsid w:val="00F928F5"/>
    <w:rsid w:val="00F92C52"/>
    <w:rsid w:val="00F93D01"/>
    <w:rsid w:val="00F93FA7"/>
    <w:rsid w:val="00F94871"/>
    <w:rsid w:val="00F94E7B"/>
    <w:rsid w:val="00F95D37"/>
    <w:rsid w:val="00F95F28"/>
    <w:rsid w:val="00F96199"/>
    <w:rsid w:val="00F96392"/>
    <w:rsid w:val="00F970C6"/>
    <w:rsid w:val="00F9766B"/>
    <w:rsid w:val="00F976E4"/>
    <w:rsid w:val="00FA0136"/>
    <w:rsid w:val="00FA0475"/>
    <w:rsid w:val="00FA0AEF"/>
    <w:rsid w:val="00FA1032"/>
    <w:rsid w:val="00FA1073"/>
    <w:rsid w:val="00FA1C05"/>
    <w:rsid w:val="00FA1DEE"/>
    <w:rsid w:val="00FA22BD"/>
    <w:rsid w:val="00FA24CD"/>
    <w:rsid w:val="00FA2766"/>
    <w:rsid w:val="00FA2BC7"/>
    <w:rsid w:val="00FA302B"/>
    <w:rsid w:val="00FA34BE"/>
    <w:rsid w:val="00FA3B1B"/>
    <w:rsid w:val="00FA3CFE"/>
    <w:rsid w:val="00FA403C"/>
    <w:rsid w:val="00FA40A0"/>
    <w:rsid w:val="00FA437E"/>
    <w:rsid w:val="00FA43E6"/>
    <w:rsid w:val="00FA4506"/>
    <w:rsid w:val="00FA461A"/>
    <w:rsid w:val="00FA49E5"/>
    <w:rsid w:val="00FA502C"/>
    <w:rsid w:val="00FA563D"/>
    <w:rsid w:val="00FA574A"/>
    <w:rsid w:val="00FA5983"/>
    <w:rsid w:val="00FA5D14"/>
    <w:rsid w:val="00FA5E85"/>
    <w:rsid w:val="00FA611F"/>
    <w:rsid w:val="00FA62F3"/>
    <w:rsid w:val="00FA6B7B"/>
    <w:rsid w:val="00FA7019"/>
    <w:rsid w:val="00FA7469"/>
    <w:rsid w:val="00FA78FD"/>
    <w:rsid w:val="00FA79B1"/>
    <w:rsid w:val="00FB0C90"/>
    <w:rsid w:val="00FB1151"/>
    <w:rsid w:val="00FB13B0"/>
    <w:rsid w:val="00FB14C2"/>
    <w:rsid w:val="00FB166C"/>
    <w:rsid w:val="00FB171D"/>
    <w:rsid w:val="00FB1B85"/>
    <w:rsid w:val="00FB1C28"/>
    <w:rsid w:val="00FB1E6C"/>
    <w:rsid w:val="00FB1FDC"/>
    <w:rsid w:val="00FB218B"/>
    <w:rsid w:val="00FB22BE"/>
    <w:rsid w:val="00FB2580"/>
    <w:rsid w:val="00FB262E"/>
    <w:rsid w:val="00FB2823"/>
    <w:rsid w:val="00FB2A67"/>
    <w:rsid w:val="00FB2F42"/>
    <w:rsid w:val="00FB30DB"/>
    <w:rsid w:val="00FB33E7"/>
    <w:rsid w:val="00FB4A4B"/>
    <w:rsid w:val="00FB4E6D"/>
    <w:rsid w:val="00FB5768"/>
    <w:rsid w:val="00FB59DA"/>
    <w:rsid w:val="00FB5B79"/>
    <w:rsid w:val="00FB5C83"/>
    <w:rsid w:val="00FB6667"/>
    <w:rsid w:val="00FB73FF"/>
    <w:rsid w:val="00FB74D4"/>
    <w:rsid w:val="00FB772A"/>
    <w:rsid w:val="00FB7841"/>
    <w:rsid w:val="00FB7977"/>
    <w:rsid w:val="00FB7B35"/>
    <w:rsid w:val="00FC0262"/>
    <w:rsid w:val="00FC0545"/>
    <w:rsid w:val="00FC059C"/>
    <w:rsid w:val="00FC0689"/>
    <w:rsid w:val="00FC0EC8"/>
    <w:rsid w:val="00FC0F3B"/>
    <w:rsid w:val="00FC0F42"/>
    <w:rsid w:val="00FC133F"/>
    <w:rsid w:val="00FC139C"/>
    <w:rsid w:val="00FC14A2"/>
    <w:rsid w:val="00FC19F6"/>
    <w:rsid w:val="00FC20A2"/>
    <w:rsid w:val="00FC2B35"/>
    <w:rsid w:val="00FC2F89"/>
    <w:rsid w:val="00FC3402"/>
    <w:rsid w:val="00FC3834"/>
    <w:rsid w:val="00FC3C2B"/>
    <w:rsid w:val="00FC401C"/>
    <w:rsid w:val="00FC40A1"/>
    <w:rsid w:val="00FC4955"/>
    <w:rsid w:val="00FC50B5"/>
    <w:rsid w:val="00FC548A"/>
    <w:rsid w:val="00FC5648"/>
    <w:rsid w:val="00FC5B28"/>
    <w:rsid w:val="00FC5C5B"/>
    <w:rsid w:val="00FC5CA4"/>
    <w:rsid w:val="00FC5D96"/>
    <w:rsid w:val="00FC5F18"/>
    <w:rsid w:val="00FC6211"/>
    <w:rsid w:val="00FC702A"/>
    <w:rsid w:val="00FC7416"/>
    <w:rsid w:val="00FC76EE"/>
    <w:rsid w:val="00FC777F"/>
    <w:rsid w:val="00FC7919"/>
    <w:rsid w:val="00FC7985"/>
    <w:rsid w:val="00FC7BB4"/>
    <w:rsid w:val="00FC7EA9"/>
    <w:rsid w:val="00FD00B6"/>
    <w:rsid w:val="00FD00E8"/>
    <w:rsid w:val="00FD063A"/>
    <w:rsid w:val="00FD06A8"/>
    <w:rsid w:val="00FD0748"/>
    <w:rsid w:val="00FD0870"/>
    <w:rsid w:val="00FD0AB9"/>
    <w:rsid w:val="00FD12AD"/>
    <w:rsid w:val="00FD132E"/>
    <w:rsid w:val="00FD18FA"/>
    <w:rsid w:val="00FD19F7"/>
    <w:rsid w:val="00FD2183"/>
    <w:rsid w:val="00FD32CD"/>
    <w:rsid w:val="00FD37A0"/>
    <w:rsid w:val="00FD3C0B"/>
    <w:rsid w:val="00FD3D2D"/>
    <w:rsid w:val="00FD5159"/>
    <w:rsid w:val="00FD5165"/>
    <w:rsid w:val="00FD5E42"/>
    <w:rsid w:val="00FD643E"/>
    <w:rsid w:val="00FD6960"/>
    <w:rsid w:val="00FD6F38"/>
    <w:rsid w:val="00FD7475"/>
    <w:rsid w:val="00FD7E3A"/>
    <w:rsid w:val="00FE0093"/>
    <w:rsid w:val="00FE0315"/>
    <w:rsid w:val="00FE2193"/>
    <w:rsid w:val="00FE3454"/>
    <w:rsid w:val="00FE3A8C"/>
    <w:rsid w:val="00FE3E81"/>
    <w:rsid w:val="00FE4216"/>
    <w:rsid w:val="00FE430C"/>
    <w:rsid w:val="00FE5D68"/>
    <w:rsid w:val="00FE60BF"/>
    <w:rsid w:val="00FE63B4"/>
    <w:rsid w:val="00FE657B"/>
    <w:rsid w:val="00FE6666"/>
    <w:rsid w:val="00FE66AA"/>
    <w:rsid w:val="00FE68BB"/>
    <w:rsid w:val="00FE6C2E"/>
    <w:rsid w:val="00FE7692"/>
    <w:rsid w:val="00FE7E9D"/>
    <w:rsid w:val="00FE7EE7"/>
    <w:rsid w:val="00FF0E69"/>
    <w:rsid w:val="00FF142E"/>
    <w:rsid w:val="00FF1AE0"/>
    <w:rsid w:val="00FF21C6"/>
    <w:rsid w:val="00FF22BC"/>
    <w:rsid w:val="00FF245E"/>
    <w:rsid w:val="00FF254C"/>
    <w:rsid w:val="00FF2888"/>
    <w:rsid w:val="00FF2BA1"/>
    <w:rsid w:val="00FF2D53"/>
    <w:rsid w:val="00FF2E3F"/>
    <w:rsid w:val="00FF306D"/>
    <w:rsid w:val="00FF31A5"/>
    <w:rsid w:val="00FF3458"/>
    <w:rsid w:val="00FF3E3F"/>
    <w:rsid w:val="00FF3F19"/>
    <w:rsid w:val="00FF4137"/>
    <w:rsid w:val="00FF422B"/>
    <w:rsid w:val="00FF4366"/>
    <w:rsid w:val="00FF452F"/>
    <w:rsid w:val="00FF4564"/>
    <w:rsid w:val="00FF473C"/>
    <w:rsid w:val="00FF5126"/>
    <w:rsid w:val="00FF60F8"/>
    <w:rsid w:val="00FF6275"/>
    <w:rsid w:val="00FF65D3"/>
    <w:rsid w:val="00FF66EF"/>
    <w:rsid w:val="00FF6B31"/>
    <w:rsid w:val="00FF6ECA"/>
    <w:rsid w:val="00FF7B2C"/>
    <w:rsid w:val="01056F08"/>
    <w:rsid w:val="011E9848"/>
    <w:rsid w:val="01213F97"/>
    <w:rsid w:val="012FE1DD"/>
    <w:rsid w:val="016B66E0"/>
    <w:rsid w:val="0174BBEB"/>
    <w:rsid w:val="018452A3"/>
    <w:rsid w:val="019A6B01"/>
    <w:rsid w:val="01AFCEEF"/>
    <w:rsid w:val="02003D06"/>
    <w:rsid w:val="0248544D"/>
    <w:rsid w:val="025A5212"/>
    <w:rsid w:val="026A2AF6"/>
    <w:rsid w:val="0288AEA3"/>
    <w:rsid w:val="029180A7"/>
    <w:rsid w:val="02A22118"/>
    <w:rsid w:val="02A3E9D7"/>
    <w:rsid w:val="02D670A4"/>
    <w:rsid w:val="03332F31"/>
    <w:rsid w:val="0345656A"/>
    <w:rsid w:val="036F41A6"/>
    <w:rsid w:val="03BD829D"/>
    <w:rsid w:val="041AF80C"/>
    <w:rsid w:val="0424B1B4"/>
    <w:rsid w:val="04464C39"/>
    <w:rsid w:val="044C7F9B"/>
    <w:rsid w:val="0454188B"/>
    <w:rsid w:val="0456C362"/>
    <w:rsid w:val="046F8CE8"/>
    <w:rsid w:val="047E33C0"/>
    <w:rsid w:val="048BA216"/>
    <w:rsid w:val="04F225E2"/>
    <w:rsid w:val="04F6231A"/>
    <w:rsid w:val="0503DC6C"/>
    <w:rsid w:val="05281810"/>
    <w:rsid w:val="0528BA3C"/>
    <w:rsid w:val="0541950D"/>
    <w:rsid w:val="05604E39"/>
    <w:rsid w:val="0570D269"/>
    <w:rsid w:val="0575B9A8"/>
    <w:rsid w:val="0579AA5E"/>
    <w:rsid w:val="057BF342"/>
    <w:rsid w:val="0591D755"/>
    <w:rsid w:val="05BBB025"/>
    <w:rsid w:val="05DB42CF"/>
    <w:rsid w:val="05EBCCF8"/>
    <w:rsid w:val="05F77EF2"/>
    <w:rsid w:val="06196ACA"/>
    <w:rsid w:val="0637094D"/>
    <w:rsid w:val="065A543C"/>
    <w:rsid w:val="067F28FB"/>
    <w:rsid w:val="069F0FCB"/>
    <w:rsid w:val="06AF85A2"/>
    <w:rsid w:val="0715EF56"/>
    <w:rsid w:val="071DC9B0"/>
    <w:rsid w:val="074F4285"/>
    <w:rsid w:val="07757C39"/>
    <w:rsid w:val="079AF81D"/>
    <w:rsid w:val="07B81769"/>
    <w:rsid w:val="07BD1712"/>
    <w:rsid w:val="07C5D648"/>
    <w:rsid w:val="0817B073"/>
    <w:rsid w:val="08454A8F"/>
    <w:rsid w:val="087F19C5"/>
    <w:rsid w:val="089A7E20"/>
    <w:rsid w:val="08B72942"/>
    <w:rsid w:val="08C056E1"/>
    <w:rsid w:val="08E2D06E"/>
    <w:rsid w:val="097F9FD8"/>
    <w:rsid w:val="09EA4344"/>
    <w:rsid w:val="09F12A17"/>
    <w:rsid w:val="09FC3E14"/>
    <w:rsid w:val="0A057CCE"/>
    <w:rsid w:val="0A0FEE05"/>
    <w:rsid w:val="0A165263"/>
    <w:rsid w:val="0A170149"/>
    <w:rsid w:val="0A262A6A"/>
    <w:rsid w:val="0A549599"/>
    <w:rsid w:val="0A5D3525"/>
    <w:rsid w:val="0A5EBC36"/>
    <w:rsid w:val="0A9296A1"/>
    <w:rsid w:val="0B0C7349"/>
    <w:rsid w:val="0B18B7BE"/>
    <w:rsid w:val="0B4738AF"/>
    <w:rsid w:val="0B4FCCC0"/>
    <w:rsid w:val="0B78F3E4"/>
    <w:rsid w:val="0B8B8CD5"/>
    <w:rsid w:val="0B958191"/>
    <w:rsid w:val="0BCFD835"/>
    <w:rsid w:val="0BD95B8C"/>
    <w:rsid w:val="0BDFB0F7"/>
    <w:rsid w:val="0BEF6553"/>
    <w:rsid w:val="0C03054B"/>
    <w:rsid w:val="0C30492F"/>
    <w:rsid w:val="0C77E446"/>
    <w:rsid w:val="0C8074FD"/>
    <w:rsid w:val="0CB35A47"/>
    <w:rsid w:val="0CC45714"/>
    <w:rsid w:val="0CE4F189"/>
    <w:rsid w:val="0CEC233C"/>
    <w:rsid w:val="0CF0F571"/>
    <w:rsid w:val="0D32EFF2"/>
    <w:rsid w:val="0D3779C6"/>
    <w:rsid w:val="0D424BAC"/>
    <w:rsid w:val="0D43AF23"/>
    <w:rsid w:val="0D4604E7"/>
    <w:rsid w:val="0D5E699A"/>
    <w:rsid w:val="0D683DF5"/>
    <w:rsid w:val="0D7A9416"/>
    <w:rsid w:val="0D7F97CB"/>
    <w:rsid w:val="0D87F3D8"/>
    <w:rsid w:val="0D990252"/>
    <w:rsid w:val="0DAAB483"/>
    <w:rsid w:val="0DCE7236"/>
    <w:rsid w:val="0DD1DF75"/>
    <w:rsid w:val="0DD4C172"/>
    <w:rsid w:val="0E32DF1A"/>
    <w:rsid w:val="0E411046"/>
    <w:rsid w:val="0E738D46"/>
    <w:rsid w:val="0E96E6DA"/>
    <w:rsid w:val="0EC58F5E"/>
    <w:rsid w:val="0EE365F7"/>
    <w:rsid w:val="0F05B982"/>
    <w:rsid w:val="0F1B7B35"/>
    <w:rsid w:val="0F2AC445"/>
    <w:rsid w:val="0F303ECE"/>
    <w:rsid w:val="0F36ADFA"/>
    <w:rsid w:val="0F598369"/>
    <w:rsid w:val="0F70C14A"/>
    <w:rsid w:val="0F8D8164"/>
    <w:rsid w:val="0FB12778"/>
    <w:rsid w:val="0FC81774"/>
    <w:rsid w:val="0FEDCA29"/>
    <w:rsid w:val="0FFB89DB"/>
    <w:rsid w:val="1015F7FA"/>
    <w:rsid w:val="1036F95B"/>
    <w:rsid w:val="10440501"/>
    <w:rsid w:val="1048BE7C"/>
    <w:rsid w:val="104CF61F"/>
    <w:rsid w:val="1097D7DE"/>
    <w:rsid w:val="10A11118"/>
    <w:rsid w:val="10B1F9A1"/>
    <w:rsid w:val="10C50F9D"/>
    <w:rsid w:val="10D07308"/>
    <w:rsid w:val="10E40DAC"/>
    <w:rsid w:val="10F36632"/>
    <w:rsid w:val="11318039"/>
    <w:rsid w:val="114A6D07"/>
    <w:rsid w:val="119B20E8"/>
    <w:rsid w:val="11A5B519"/>
    <w:rsid w:val="11C12ECE"/>
    <w:rsid w:val="11E69D8B"/>
    <w:rsid w:val="11EDC8BE"/>
    <w:rsid w:val="11F78255"/>
    <w:rsid w:val="1228E1E7"/>
    <w:rsid w:val="1234167B"/>
    <w:rsid w:val="123F94F5"/>
    <w:rsid w:val="12492CE0"/>
    <w:rsid w:val="12611618"/>
    <w:rsid w:val="12D01EC6"/>
    <w:rsid w:val="12D25137"/>
    <w:rsid w:val="12DB5184"/>
    <w:rsid w:val="12F0C9DC"/>
    <w:rsid w:val="12F8E1D2"/>
    <w:rsid w:val="130B5E0A"/>
    <w:rsid w:val="130CD3BE"/>
    <w:rsid w:val="132B171B"/>
    <w:rsid w:val="134F60B0"/>
    <w:rsid w:val="1356FA2D"/>
    <w:rsid w:val="137A675B"/>
    <w:rsid w:val="13840183"/>
    <w:rsid w:val="13A3A8C7"/>
    <w:rsid w:val="13B2E468"/>
    <w:rsid w:val="13C6CFB6"/>
    <w:rsid w:val="13D86F4F"/>
    <w:rsid w:val="1401BA8F"/>
    <w:rsid w:val="1406AD66"/>
    <w:rsid w:val="1409E8CB"/>
    <w:rsid w:val="142CA6E2"/>
    <w:rsid w:val="143200F3"/>
    <w:rsid w:val="145A3A90"/>
    <w:rsid w:val="145B33BA"/>
    <w:rsid w:val="146F9DB6"/>
    <w:rsid w:val="14A6D284"/>
    <w:rsid w:val="14A934A3"/>
    <w:rsid w:val="14AADF2C"/>
    <w:rsid w:val="14B089FC"/>
    <w:rsid w:val="14B91B59"/>
    <w:rsid w:val="14C19ED3"/>
    <w:rsid w:val="14CA21A1"/>
    <w:rsid w:val="14D7B415"/>
    <w:rsid w:val="14E04DCC"/>
    <w:rsid w:val="14E98663"/>
    <w:rsid w:val="14F36F5D"/>
    <w:rsid w:val="15094950"/>
    <w:rsid w:val="15357D63"/>
    <w:rsid w:val="1553D469"/>
    <w:rsid w:val="156AFF9E"/>
    <w:rsid w:val="156DFBE6"/>
    <w:rsid w:val="156EA213"/>
    <w:rsid w:val="1597F3E0"/>
    <w:rsid w:val="15A016FB"/>
    <w:rsid w:val="15B8A871"/>
    <w:rsid w:val="15C75D88"/>
    <w:rsid w:val="15C80F44"/>
    <w:rsid w:val="15DE1CAA"/>
    <w:rsid w:val="15EE30F6"/>
    <w:rsid w:val="15F39D65"/>
    <w:rsid w:val="15F441F5"/>
    <w:rsid w:val="160D88C1"/>
    <w:rsid w:val="16110D09"/>
    <w:rsid w:val="16127E1B"/>
    <w:rsid w:val="164127EC"/>
    <w:rsid w:val="164900D6"/>
    <w:rsid w:val="166B88BA"/>
    <w:rsid w:val="167B415B"/>
    <w:rsid w:val="16975D9E"/>
    <w:rsid w:val="16994EA4"/>
    <w:rsid w:val="16A3FDC2"/>
    <w:rsid w:val="16B99E1E"/>
    <w:rsid w:val="16CE474B"/>
    <w:rsid w:val="16D5F23F"/>
    <w:rsid w:val="16E46DC5"/>
    <w:rsid w:val="16FE9A91"/>
    <w:rsid w:val="1707CF96"/>
    <w:rsid w:val="1719C0E4"/>
    <w:rsid w:val="174BD946"/>
    <w:rsid w:val="174D0C13"/>
    <w:rsid w:val="17738681"/>
    <w:rsid w:val="17772052"/>
    <w:rsid w:val="17894B40"/>
    <w:rsid w:val="1789E9CC"/>
    <w:rsid w:val="17A46A13"/>
    <w:rsid w:val="18248CC7"/>
    <w:rsid w:val="18287EC3"/>
    <w:rsid w:val="18295256"/>
    <w:rsid w:val="183F83A1"/>
    <w:rsid w:val="186D7FB8"/>
    <w:rsid w:val="18714D1E"/>
    <w:rsid w:val="188F9FED"/>
    <w:rsid w:val="18B0DC5C"/>
    <w:rsid w:val="18B0E63B"/>
    <w:rsid w:val="18C544A2"/>
    <w:rsid w:val="18CCCCFA"/>
    <w:rsid w:val="18D265FC"/>
    <w:rsid w:val="18DEE3CE"/>
    <w:rsid w:val="18EDB607"/>
    <w:rsid w:val="19132230"/>
    <w:rsid w:val="19364C3C"/>
    <w:rsid w:val="1943E5C6"/>
    <w:rsid w:val="19472C75"/>
    <w:rsid w:val="195803C7"/>
    <w:rsid w:val="19695319"/>
    <w:rsid w:val="196FB171"/>
    <w:rsid w:val="1984308B"/>
    <w:rsid w:val="1997EF31"/>
    <w:rsid w:val="19B9EA24"/>
    <w:rsid w:val="19BF6205"/>
    <w:rsid w:val="1A0B1237"/>
    <w:rsid w:val="1A6F960A"/>
    <w:rsid w:val="1A6FDBC1"/>
    <w:rsid w:val="1A7BC298"/>
    <w:rsid w:val="1A9E8705"/>
    <w:rsid w:val="1AC62913"/>
    <w:rsid w:val="1AFE15E0"/>
    <w:rsid w:val="1B059007"/>
    <w:rsid w:val="1B16F64F"/>
    <w:rsid w:val="1B179222"/>
    <w:rsid w:val="1B6F9934"/>
    <w:rsid w:val="1B762312"/>
    <w:rsid w:val="1B7704D4"/>
    <w:rsid w:val="1B7B68E5"/>
    <w:rsid w:val="1B7B74CA"/>
    <w:rsid w:val="1BB8778F"/>
    <w:rsid w:val="1BF1B825"/>
    <w:rsid w:val="1BFD9C60"/>
    <w:rsid w:val="1C2B1C14"/>
    <w:rsid w:val="1C2FA683"/>
    <w:rsid w:val="1C404A54"/>
    <w:rsid w:val="1C53392C"/>
    <w:rsid w:val="1C541019"/>
    <w:rsid w:val="1C885D14"/>
    <w:rsid w:val="1C993A4B"/>
    <w:rsid w:val="1CD7A4D8"/>
    <w:rsid w:val="1CF4B6F4"/>
    <w:rsid w:val="1D0C2A93"/>
    <w:rsid w:val="1D17B831"/>
    <w:rsid w:val="1D1C3BE6"/>
    <w:rsid w:val="1D317958"/>
    <w:rsid w:val="1D6F3368"/>
    <w:rsid w:val="1D86B054"/>
    <w:rsid w:val="1DA6658E"/>
    <w:rsid w:val="1DC81F86"/>
    <w:rsid w:val="1DD33D9D"/>
    <w:rsid w:val="1E02CBDD"/>
    <w:rsid w:val="1E05D176"/>
    <w:rsid w:val="1E0715C6"/>
    <w:rsid w:val="1E0A35E7"/>
    <w:rsid w:val="1E1F6B32"/>
    <w:rsid w:val="1E366296"/>
    <w:rsid w:val="1E49E29C"/>
    <w:rsid w:val="1E66F467"/>
    <w:rsid w:val="1E6C2794"/>
    <w:rsid w:val="1E817B46"/>
    <w:rsid w:val="1E9B01DF"/>
    <w:rsid w:val="1ECA60D9"/>
    <w:rsid w:val="1ED2FB7F"/>
    <w:rsid w:val="1EDB9DC2"/>
    <w:rsid w:val="1EDFABE5"/>
    <w:rsid w:val="1EEF1C62"/>
    <w:rsid w:val="1EFF423B"/>
    <w:rsid w:val="1F0DC8A9"/>
    <w:rsid w:val="1F4A2E4C"/>
    <w:rsid w:val="1F4D019C"/>
    <w:rsid w:val="1F4D585E"/>
    <w:rsid w:val="1F5BE21A"/>
    <w:rsid w:val="1F5DD922"/>
    <w:rsid w:val="1F71ACF9"/>
    <w:rsid w:val="1F7997E8"/>
    <w:rsid w:val="1F86D265"/>
    <w:rsid w:val="1FA455FF"/>
    <w:rsid w:val="1FAC1189"/>
    <w:rsid w:val="1FAFF184"/>
    <w:rsid w:val="1FB972AC"/>
    <w:rsid w:val="1FC1C5C7"/>
    <w:rsid w:val="1FCE0646"/>
    <w:rsid w:val="20353251"/>
    <w:rsid w:val="20662387"/>
    <w:rsid w:val="207EDACB"/>
    <w:rsid w:val="20A16BEF"/>
    <w:rsid w:val="20A21C07"/>
    <w:rsid w:val="20E24600"/>
    <w:rsid w:val="20E989C4"/>
    <w:rsid w:val="20FEC445"/>
    <w:rsid w:val="2110FF77"/>
    <w:rsid w:val="212506DD"/>
    <w:rsid w:val="2138FAEB"/>
    <w:rsid w:val="214CF1F9"/>
    <w:rsid w:val="215BAA31"/>
    <w:rsid w:val="2172897B"/>
    <w:rsid w:val="219C850A"/>
    <w:rsid w:val="21A3414C"/>
    <w:rsid w:val="21B362FC"/>
    <w:rsid w:val="21D08264"/>
    <w:rsid w:val="21F4D698"/>
    <w:rsid w:val="2215C0BE"/>
    <w:rsid w:val="223787F8"/>
    <w:rsid w:val="225EEFA2"/>
    <w:rsid w:val="2272198E"/>
    <w:rsid w:val="227FBC64"/>
    <w:rsid w:val="227FD0F4"/>
    <w:rsid w:val="228B5EB1"/>
    <w:rsid w:val="229BDA9C"/>
    <w:rsid w:val="22A9AFBB"/>
    <w:rsid w:val="22AEDAAF"/>
    <w:rsid w:val="22C42623"/>
    <w:rsid w:val="22CCF1C3"/>
    <w:rsid w:val="22E9CEF1"/>
    <w:rsid w:val="22F15829"/>
    <w:rsid w:val="22F82DE5"/>
    <w:rsid w:val="2308AE55"/>
    <w:rsid w:val="2354AED4"/>
    <w:rsid w:val="237E9897"/>
    <w:rsid w:val="23F5E725"/>
    <w:rsid w:val="2418FC15"/>
    <w:rsid w:val="2432BB38"/>
    <w:rsid w:val="245FFD59"/>
    <w:rsid w:val="24616943"/>
    <w:rsid w:val="2471EB0D"/>
    <w:rsid w:val="248D0CA7"/>
    <w:rsid w:val="2497211B"/>
    <w:rsid w:val="249F679F"/>
    <w:rsid w:val="24CEC3E1"/>
    <w:rsid w:val="24DBC017"/>
    <w:rsid w:val="24DDEC99"/>
    <w:rsid w:val="24F04A3E"/>
    <w:rsid w:val="24F2F35F"/>
    <w:rsid w:val="251A1496"/>
    <w:rsid w:val="251DBBAA"/>
    <w:rsid w:val="252F52BC"/>
    <w:rsid w:val="258FD0FA"/>
    <w:rsid w:val="25A0D696"/>
    <w:rsid w:val="25A86FA1"/>
    <w:rsid w:val="261CE7B5"/>
    <w:rsid w:val="2623BE38"/>
    <w:rsid w:val="26356A7B"/>
    <w:rsid w:val="26705E35"/>
    <w:rsid w:val="26724A6C"/>
    <w:rsid w:val="26827792"/>
    <w:rsid w:val="26831752"/>
    <w:rsid w:val="26B04CD8"/>
    <w:rsid w:val="26B32C21"/>
    <w:rsid w:val="26B81EFB"/>
    <w:rsid w:val="26BCE147"/>
    <w:rsid w:val="26C353D2"/>
    <w:rsid w:val="26ED6AE9"/>
    <w:rsid w:val="26F1D4D0"/>
    <w:rsid w:val="2702A6BD"/>
    <w:rsid w:val="27039159"/>
    <w:rsid w:val="2707EA49"/>
    <w:rsid w:val="27340B55"/>
    <w:rsid w:val="273F9E8A"/>
    <w:rsid w:val="27714B61"/>
    <w:rsid w:val="2771D308"/>
    <w:rsid w:val="2788BAAA"/>
    <w:rsid w:val="27C8A24A"/>
    <w:rsid w:val="27D086C4"/>
    <w:rsid w:val="28323404"/>
    <w:rsid w:val="2837D189"/>
    <w:rsid w:val="28B9E320"/>
    <w:rsid w:val="2924A32B"/>
    <w:rsid w:val="29364CBD"/>
    <w:rsid w:val="2941D454"/>
    <w:rsid w:val="294C79AA"/>
    <w:rsid w:val="294E38FB"/>
    <w:rsid w:val="29754A6C"/>
    <w:rsid w:val="298C19F1"/>
    <w:rsid w:val="29AA894B"/>
    <w:rsid w:val="29B01102"/>
    <w:rsid w:val="29C716DF"/>
    <w:rsid w:val="29CD5E05"/>
    <w:rsid w:val="29DD306F"/>
    <w:rsid w:val="2A0D92AA"/>
    <w:rsid w:val="2A115D4D"/>
    <w:rsid w:val="2A24B10D"/>
    <w:rsid w:val="2A25970A"/>
    <w:rsid w:val="2A2B2EB8"/>
    <w:rsid w:val="2A39D434"/>
    <w:rsid w:val="2A484B40"/>
    <w:rsid w:val="2A4CB5E9"/>
    <w:rsid w:val="2A50F1A7"/>
    <w:rsid w:val="2AA6E574"/>
    <w:rsid w:val="2ABC499A"/>
    <w:rsid w:val="2AD9B901"/>
    <w:rsid w:val="2AE311DA"/>
    <w:rsid w:val="2B18077A"/>
    <w:rsid w:val="2B1FB040"/>
    <w:rsid w:val="2B3B3F93"/>
    <w:rsid w:val="2B55E883"/>
    <w:rsid w:val="2B5A2AA4"/>
    <w:rsid w:val="2B850246"/>
    <w:rsid w:val="2B98D9FF"/>
    <w:rsid w:val="2BA6895E"/>
    <w:rsid w:val="2BAA77D8"/>
    <w:rsid w:val="2BF1D9BE"/>
    <w:rsid w:val="2C0EC1CF"/>
    <w:rsid w:val="2C11C7E9"/>
    <w:rsid w:val="2C134C30"/>
    <w:rsid w:val="2C17513F"/>
    <w:rsid w:val="2C3724FE"/>
    <w:rsid w:val="2C379BC7"/>
    <w:rsid w:val="2C4938F0"/>
    <w:rsid w:val="2C96D5F2"/>
    <w:rsid w:val="2CA54715"/>
    <w:rsid w:val="2CB632F0"/>
    <w:rsid w:val="2CBA031B"/>
    <w:rsid w:val="2CF81E60"/>
    <w:rsid w:val="2CF8779A"/>
    <w:rsid w:val="2CFAA1D0"/>
    <w:rsid w:val="2CFC9506"/>
    <w:rsid w:val="2D02460C"/>
    <w:rsid w:val="2D13FD7D"/>
    <w:rsid w:val="2D1DF777"/>
    <w:rsid w:val="2D2AD2C5"/>
    <w:rsid w:val="2D612BEE"/>
    <w:rsid w:val="2D8EE937"/>
    <w:rsid w:val="2DA7A043"/>
    <w:rsid w:val="2DB0E6B9"/>
    <w:rsid w:val="2DB13109"/>
    <w:rsid w:val="2DFE8363"/>
    <w:rsid w:val="2E58D27D"/>
    <w:rsid w:val="2E63B94C"/>
    <w:rsid w:val="2E78D7A1"/>
    <w:rsid w:val="2E7A8C56"/>
    <w:rsid w:val="2E82FA41"/>
    <w:rsid w:val="2E86D841"/>
    <w:rsid w:val="2E9C9036"/>
    <w:rsid w:val="2E9F194D"/>
    <w:rsid w:val="2EBA92A1"/>
    <w:rsid w:val="2EBFD840"/>
    <w:rsid w:val="2ED74F7A"/>
    <w:rsid w:val="2EE17238"/>
    <w:rsid w:val="2F1B8DB0"/>
    <w:rsid w:val="2F3A27F5"/>
    <w:rsid w:val="2F43EC85"/>
    <w:rsid w:val="2F45DB23"/>
    <w:rsid w:val="2F80EB46"/>
    <w:rsid w:val="2FE4F703"/>
    <w:rsid w:val="2FF77B10"/>
    <w:rsid w:val="30183E02"/>
    <w:rsid w:val="30832F6E"/>
    <w:rsid w:val="30C953B0"/>
    <w:rsid w:val="30D8B98C"/>
    <w:rsid w:val="310D8237"/>
    <w:rsid w:val="310EE7E0"/>
    <w:rsid w:val="3110302A"/>
    <w:rsid w:val="313E54CB"/>
    <w:rsid w:val="31465E2A"/>
    <w:rsid w:val="3177EF99"/>
    <w:rsid w:val="318ECBB7"/>
    <w:rsid w:val="319889AE"/>
    <w:rsid w:val="31B4EC85"/>
    <w:rsid w:val="31B7A79E"/>
    <w:rsid w:val="31C10F57"/>
    <w:rsid w:val="31D97F0C"/>
    <w:rsid w:val="31E2374D"/>
    <w:rsid w:val="31E420C2"/>
    <w:rsid w:val="31F1E990"/>
    <w:rsid w:val="31FD0897"/>
    <w:rsid w:val="3221551B"/>
    <w:rsid w:val="3222B03C"/>
    <w:rsid w:val="3250587D"/>
    <w:rsid w:val="3263FB3F"/>
    <w:rsid w:val="329018DC"/>
    <w:rsid w:val="329ED9E5"/>
    <w:rsid w:val="32A06897"/>
    <w:rsid w:val="32B261D0"/>
    <w:rsid w:val="32B6C70D"/>
    <w:rsid w:val="32E1745A"/>
    <w:rsid w:val="33173118"/>
    <w:rsid w:val="331F14CA"/>
    <w:rsid w:val="3330DF67"/>
    <w:rsid w:val="335E49A2"/>
    <w:rsid w:val="3363C1C9"/>
    <w:rsid w:val="33756070"/>
    <w:rsid w:val="337A223B"/>
    <w:rsid w:val="339755F3"/>
    <w:rsid w:val="33AB739A"/>
    <w:rsid w:val="33B5D89B"/>
    <w:rsid w:val="33B5EB18"/>
    <w:rsid w:val="33D1E6C4"/>
    <w:rsid w:val="33E562EC"/>
    <w:rsid w:val="33F265DB"/>
    <w:rsid w:val="33FA58D3"/>
    <w:rsid w:val="33FF74A6"/>
    <w:rsid w:val="3413FB61"/>
    <w:rsid w:val="345B15D7"/>
    <w:rsid w:val="3471C349"/>
    <w:rsid w:val="3482FE6A"/>
    <w:rsid w:val="349280C2"/>
    <w:rsid w:val="34AFA18B"/>
    <w:rsid w:val="34B08465"/>
    <w:rsid w:val="34DCE7CF"/>
    <w:rsid w:val="34E1BFEA"/>
    <w:rsid w:val="351C9E31"/>
    <w:rsid w:val="3531B5FD"/>
    <w:rsid w:val="35322665"/>
    <w:rsid w:val="354E9F94"/>
    <w:rsid w:val="355033E6"/>
    <w:rsid w:val="35643CD3"/>
    <w:rsid w:val="3565B193"/>
    <w:rsid w:val="35CFC180"/>
    <w:rsid w:val="35E28750"/>
    <w:rsid w:val="35F4E6C0"/>
    <w:rsid w:val="36006776"/>
    <w:rsid w:val="363E8FAF"/>
    <w:rsid w:val="3643F396"/>
    <w:rsid w:val="3661E928"/>
    <w:rsid w:val="36C4E3DD"/>
    <w:rsid w:val="36EF2121"/>
    <w:rsid w:val="3705BC0F"/>
    <w:rsid w:val="3711F7C9"/>
    <w:rsid w:val="3728C385"/>
    <w:rsid w:val="373757BD"/>
    <w:rsid w:val="376CFE57"/>
    <w:rsid w:val="3777AACA"/>
    <w:rsid w:val="379A3B4D"/>
    <w:rsid w:val="37B3E966"/>
    <w:rsid w:val="37F60DDF"/>
    <w:rsid w:val="38059BAC"/>
    <w:rsid w:val="38269C01"/>
    <w:rsid w:val="3830792D"/>
    <w:rsid w:val="383AC1EC"/>
    <w:rsid w:val="38757B21"/>
    <w:rsid w:val="3891241D"/>
    <w:rsid w:val="389F5A37"/>
    <w:rsid w:val="38BBF580"/>
    <w:rsid w:val="38BD5CD5"/>
    <w:rsid w:val="38E526AC"/>
    <w:rsid w:val="38F2092F"/>
    <w:rsid w:val="38F28D22"/>
    <w:rsid w:val="3975130D"/>
    <w:rsid w:val="39AC2D34"/>
    <w:rsid w:val="39BA0768"/>
    <w:rsid w:val="39D6E68D"/>
    <w:rsid w:val="39E77E9C"/>
    <w:rsid w:val="39F29019"/>
    <w:rsid w:val="3A00D6B8"/>
    <w:rsid w:val="3A0525EF"/>
    <w:rsid w:val="3A1A499C"/>
    <w:rsid w:val="3A4CF384"/>
    <w:rsid w:val="3A50340C"/>
    <w:rsid w:val="3A669200"/>
    <w:rsid w:val="3A6A7AA2"/>
    <w:rsid w:val="3A904540"/>
    <w:rsid w:val="3AC5C514"/>
    <w:rsid w:val="3B2D0E60"/>
    <w:rsid w:val="3B31D85E"/>
    <w:rsid w:val="3B3ED964"/>
    <w:rsid w:val="3B5D41E5"/>
    <w:rsid w:val="3B99B9BD"/>
    <w:rsid w:val="3BB6D7BF"/>
    <w:rsid w:val="3BC3CED2"/>
    <w:rsid w:val="3BD89EB3"/>
    <w:rsid w:val="3BDB7D0F"/>
    <w:rsid w:val="3BFCFECF"/>
    <w:rsid w:val="3C4FDE7A"/>
    <w:rsid w:val="3C53FC1E"/>
    <w:rsid w:val="3C570A04"/>
    <w:rsid w:val="3C6BDF64"/>
    <w:rsid w:val="3C7B95A4"/>
    <w:rsid w:val="3CB2D5EC"/>
    <w:rsid w:val="3CB7470A"/>
    <w:rsid w:val="3CB8393A"/>
    <w:rsid w:val="3CD5C2DA"/>
    <w:rsid w:val="3CFEF4B7"/>
    <w:rsid w:val="3D0633A7"/>
    <w:rsid w:val="3D0BB6AD"/>
    <w:rsid w:val="3D198AB1"/>
    <w:rsid w:val="3D374423"/>
    <w:rsid w:val="3D766BB0"/>
    <w:rsid w:val="3DB2131A"/>
    <w:rsid w:val="3DB3B460"/>
    <w:rsid w:val="3DF3F2CB"/>
    <w:rsid w:val="3E058B73"/>
    <w:rsid w:val="3E0D7CBF"/>
    <w:rsid w:val="3E395770"/>
    <w:rsid w:val="3E46F21F"/>
    <w:rsid w:val="3E5CCC7B"/>
    <w:rsid w:val="3E79B427"/>
    <w:rsid w:val="3E911425"/>
    <w:rsid w:val="3E923AA6"/>
    <w:rsid w:val="3EA9372A"/>
    <w:rsid w:val="3EB484F2"/>
    <w:rsid w:val="3EE114D3"/>
    <w:rsid w:val="3F1DCEE7"/>
    <w:rsid w:val="3F1F4FA5"/>
    <w:rsid w:val="3F3AD8F7"/>
    <w:rsid w:val="3F4833CB"/>
    <w:rsid w:val="3F5CC180"/>
    <w:rsid w:val="3F60CA50"/>
    <w:rsid w:val="3FB03E92"/>
    <w:rsid w:val="3FBBE8A1"/>
    <w:rsid w:val="3FD016F7"/>
    <w:rsid w:val="3FD0F257"/>
    <w:rsid w:val="3FED3ACB"/>
    <w:rsid w:val="3FEEC60C"/>
    <w:rsid w:val="400068F9"/>
    <w:rsid w:val="402518D1"/>
    <w:rsid w:val="40B91974"/>
    <w:rsid w:val="40BE9093"/>
    <w:rsid w:val="40D985EE"/>
    <w:rsid w:val="40EBBE97"/>
    <w:rsid w:val="4119D37B"/>
    <w:rsid w:val="4146AC3C"/>
    <w:rsid w:val="414A4890"/>
    <w:rsid w:val="416513E5"/>
    <w:rsid w:val="417C7E58"/>
    <w:rsid w:val="417D6EE2"/>
    <w:rsid w:val="41A198B5"/>
    <w:rsid w:val="41AFE334"/>
    <w:rsid w:val="41CD8754"/>
    <w:rsid w:val="420F59A5"/>
    <w:rsid w:val="42262116"/>
    <w:rsid w:val="426147FA"/>
    <w:rsid w:val="426650DF"/>
    <w:rsid w:val="4279FDEB"/>
    <w:rsid w:val="4281C58C"/>
    <w:rsid w:val="42893B0B"/>
    <w:rsid w:val="42DC97B4"/>
    <w:rsid w:val="42F4048E"/>
    <w:rsid w:val="4316F392"/>
    <w:rsid w:val="431D97A2"/>
    <w:rsid w:val="432147FC"/>
    <w:rsid w:val="433ECD58"/>
    <w:rsid w:val="435C7BAF"/>
    <w:rsid w:val="436F7925"/>
    <w:rsid w:val="43B486F0"/>
    <w:rsid w:val="43DBCB0F"/>
    <w:rsid w:val="43F8D3FC"/>
    <w:rsid w:val="440E9BD8"/>
    <w:rsid w:val="4416915E"/>
    <w:rsid w:val="4424D673"/>
    <w:rsid w:val="442BBEE8"/>
    <w:rsid w:val="4448A027"/>
    <w:rsid w:val="444FD4C4"/>
    <w:rsid w:val="4473C5C3"/>
    <w:rsid w:val="44845C39"/>
    <w:rsid w:val="44A01B48"/>
    <w:rsid w:val="44C1747A"/>
    <w:rsid w:val="44FA9F76"/>
    <w:rsid w:val="450160BB"/>
    <w:rsid w:val="45090C61"/>
    <w:rsid w:val="4523E94B"/>
    <w:rsid w:val="453C7AB2"/>
    <w:rsid w:val="45506F58"/>
    <w:rsid w:val="4557B287"/>
    <w:rsid w:val="45BF6A54"/>
    <w:rsid w:val="45C14EC0"/>
    <w:rsid w:val="45CE4600"/>
    <w:rsid w:val="45D90EA9"/>
    <w:rsid w:val="45DDD3DE"/>
    <w:rsid w:val="45E0B99D"/>
    <w:rsid w:val="46279C0F"/>
    <w:rsid w:val="4640F673"/>
    <w:rsid w:val="4665BB2D"/>
    <w:rsid w:val="46AE06B1"/>
    <w:rsid w:val="46BF4A56"/>
    <w:rsid w:val="46CAE50B"/>
    <w:rsid w:val="46D40254"/>
    <w:rsid w:val="46D61C8F"/>
    <w:rsid w:val="46F7EEA5"/>
    <w:rsid w:val="470BE6DB"/>
    <w:rsid w:val="471BAF62"/>
    <w:rsid w:val="473E65FE"/>
    <w:rsid w:val="474E85F6"/>
    <w:rsid w:val="474FF196"/>
    <w:rsid w:val="4761EC0D"/>
    <w:rsid w:val="4767BEEB"/>
    <w:rsid w:val="47682E09"/>
    <w:rsid w:val="47851E35"/>
    <w:rsid w:val="4791DE5D"/>
    <w:rsid w:val="47C85ED6"/>
    <w:rsid w:val="47E1136A"/>
    <w:rsid w:val="47F3708D"/>
    <w:rsid w:val="47F8993D"/>
    <w:rsid w:val="4807D39D"/>
    <w:rsid w:val="481C4FB5"/>
    <w:rsid w:val="4845C83A"/>
    <w:rsid w:val="4851599E"/>
    <w:rsid w:val="48661877"/>
    <w:rsid w:val="486E4B57"/>
    <w:rsid w:val="48BEC109"/>
    <w:rsid w:val="48EA8DA7"/>
    <w:rsid w:val="48F75F9E"/>
    <w:rsid w:val="49674F93"/>
    <w:rsid w:val="497A4396"/>
    <w:rsid w:val="4980FCC8"/>
    <w:rsid w:val="49CAC98F"/>
    <w:rsid w:val="49D15B7E"/>
    <w:rsid w:val="4A0CAA99"/>
    <w:rsid w:val="4A19B7CE"/>
    <w:rsid w:val="4A2040C8"/>
    <w:rsid w:val="4A20D8B9"/>
    <w:rsid w:val="4A46A335"/>
    <w:rsid w:val="4A52FF6E"/>
    <w:rsid w:val="4A7BBDA1"/>
    <w:rsid w:val="4AA6C5EC"/>
    <w:rsid w:val="4AD547C9"/>
    <w:rsid w:val="4B019637"/>
    <w:rsid w:val="4B2783F2"/>
    <w:rsid w:val="4B29490B"/>
    <w:rsid w:val="4B2A9064"/>
    <w:rsid w:val="4B5B226E"/>
    <w:rsid w:val="4B803897"/>
    <w:rsid w:val="4B87FA69"/>
    <w:rsid w:val="4B8C0242"/>
    <w:rsid w:val="4BB2E7C5"/>
    <w:rsid w:val="4BC4DA52"/>
    <w:rsid w:val="4BCBDD7A"/>
    <w:rsid w:val="4C2527CE"/>
    <w:rsid w:val="4C535F15"/>
    <w:rsid w:val="4C6089A0"/>
    <w:rsid w:val="4C6FAE7E"/>
    <w:rsid w:val="4C6FD4E8"/>
    <w:rsid w:val="4C726A8F"/>
    <w:rsid w:val="4C7470BC"/>
    <w:rsid w:val="4C866BC9"/>
    <w:rsid w:val="4C99102C"/>
    <w:rsid w:val="4CA5ED4F"/>
    <w:rsid w:val="4CACF991"/>
    <w:rsid w:val="4CE838DD"/>
    <w:rsid w:val="4CF13263"/>
    <w:rsid w:val="4CF5EDA8"/>
    <w:rsid w:val="4CFD2154"/>
    <w:rsid w:val="4D1ACF81"/>
    <w:rsid w:val="4D2E3E74"/>
    <w:rsid w:val="4D4772CA"/>
    <w:rsid w:val="4D6D8744"/>
    <w:rsid w:val="4D70A354"/>
    <w:rsid w:val="4D9647F6"/>
    <w:rsid w:val="4D97D7D3"/>
    <w:rsid w:val="4DA3D3C3"/>
    <w:rsid w:val="4DAD8B95"/>
    <w:rsid w:val="4DBBAFEA"/>
    <w:rsid w:val="4DD21A85"/>
    <w:rsid w:val="4DEA0CFE"/>
    <w:rsid w:val="4DF0B84F"/>
    <w:rsid w:val="4DFF8223"/>
    <w:rsid w:val="4E15B0D0"/>
    <w:rsid w:val="4E557EF6"/>
    <w:rsid w:val="4E829F17"/>
    <w:rsid w:val="4E82A7C1"/>
    <w:rsid w:val="4E85A12E"/>
    <w:rsid w:val="4E97F5B8"/>
    <w:rsid w:val="4EA91062"/>
    <w:rsid w:val="4EDBEA66"/>
    <w:rsid w:val="4EE4AA07"/>
    <w:rsid w:val="4F14387A"/>
    <w:rsid w:val="4F3951B0"/>
    <w:rsid w:val="4F5E789D"/>
    <w:rsid w:val="4FECDCBA"/>
    <w:rsid w:val="4FF4AC90"/>
    <w:rsid w:val="4FF7B2C4"/>
    <w:rsid w:val="50060A10"/>
    <w:rsid w:val="501F0899"/>
    <w:rsid w:val="50435BBB"/>
    <w:rsid w:val="5050B1CA"/>
    <w:rsid w:val="50A4E96C"/>
    <w:rsid w:val="50CAFD71"/>
    <w:rsid w:val="511E40D7"/>
    <w:rsid w:val="515A95F1"/>
    <w:rsid w:val="51BC87BD"/>
    <w:rsid w:val="51C15C91"/>
    <w:rsid w:val="51F8BBA7"/>
    <w:rsid w:val="520B299E"/>
    <w:rsid w:val="5218C09F"/>
    <w:rsid w:val="5243E48B"/>
    <w:rsid w:val="52740186"/>
    <w:rsid w:val="527A018D"/>
    <w:rsid w:val="52CA2711"/>
    <w:rsid w:val="52D9295A"/>
    <w:rsid w:val="52E17178"/>
    <w:rsid w:val="530734CA"/>
    <w:rsid w:val="5318C528"/>
    <w:rsid w:val="531C5F0E"/>
    <w:rsid w:val="533FB0DD"/>
    <w:rsid w:val="5348B1A6"/>
    <w:rsid w:val="534DA7EE"/>
    <w:rsid w:val="5380AC26"/>
    <w:rsid w:val="5385CC1A"/>
    <w:rsid w:val="53992690"/>
    <w:rsid w:val="53BB2B6A"/>
    <w:rsid w:val="53CA8F7E"/>
    <w:rsid w:val="53D2F99B"/>
    <w:rsid w:val="53EADAF5"/>
    <w:rsid w:val="53FE92F6"/>
    <w:rsid w:val="5411B4F8"/>
    <w:rsid w:val="54157F87"/>
    <w:rsid w:val="5434571D"/>
    <w:rsid w:val="544600E2"/>
    <w:rsid w:val="544A4A36"/>
    <w:rsid w:val="54691820"/>
    <w:rsid w:val="546C5457"/>
    <w:rsid w:val="54A52B5C"/>
    <w:rsid w:val="54D45922"/>
    <w:rsid w:val="54DCAEC2"/>
    <w:rsid w:val="54DF6A55"/>
    <w:rsid w:val="54E09286"/>
    <w:rsid w:val="54F9B028"/>
    <w:rsid w:val="55021EA6"/>
    <w:rsid w:val="55036FDD"/>
    <w:rsid w:val="5509AF16"/>
    <w:rsid w:val="5527F2B7"/>
    <w:rsid w:val="552AB1BA"/>
    <w:rsid w:val="553FA237"/>
    <w:rsid w:val="557D6E7F"/>
    <w:rsid w:val="55A1AAA8"/>
    <w:rsid w:val="55ABE606"/>
    <w:rsid w:val="55C0C3F7"/>
    <w:rsid w:val="55C76DEE"/>
    <w:rsid w:val="55EBBEDC"/>
    <w:rsid w:val="5625E1F7"/>
    <w:rsid w:val="565F8672"/>
    <w:rsid w:val="56687206"/>
    <w:rsid w:val="5678FC24"/>
    <w:rsid w:val="568D716A"/>
    <w:rsid w:val="569F8A09"/>
    <w:rsid w:val="56B3D0D8"/>
    <w:rsid w:val="56BA3A87"/>
    <w:rsid w:val="56BE200B"/>
    <w:rsid w:val="56C07667"/>
    <w:rsid w:val="56CDF0CF"/>
    <w:rsid w:val="56F87903"/>
    <w:rsid w:val="577A1C24"/>
    <w:rsid w:val="579416E5"/>
    <w:rsid w:val="57A0B494"/>
    <w:rsid w:val="57A7FA75"/>
    <w:rsid w:val="57B88D7E"/>
    <w:rsid w:val="57C0E249"/>
    <w:rsid w:val="57D2E530"/>
    <w:rsid w:val="57E9A705"/>
    <w:rsid w:val="57F7411D"/>
    <w:rsid w:val="58095D59"/>
    <w:rsid w:val="5828B2D9"/>
    <w:rsid w:val="5835F55E"/>
    <w:rsid w:val="5837D45A"/>
    <w:rsid w:val="588262FF"/>
    <w:rsid w:val="58847F6B"/>
    <w:rsid w:val="58A34B34"/>
    <w:rsid w:val="58B90F34"/>
    <w:rsid w:val="58C3D87A"/>
    <w:rsid w:val="58D590C4"/>
    <w:rsid w:val="58EEC094"/>
    <w:rsid w:val="58F35847"/>
    <w:rsid w:val="58F74A95"/>
    <w:rsid w:val="59288CCA"/>
    <w:rsid w:val="59446B92"/>
    <w:rsid w:val="59479863"/>
    <w:rsid w:val="5968349A"/>
    <w:rsid w:val="5970B38A"/>
    <w:rsid w:val="59780265"/>
    <w:rsid w:val="59878D7E"/>
    <w:rsid w:val="599A5BA5"/>
    <w:rsid w:val="59AF33EE"/>
    <w:rsid w:val="59B2E21D"/>
    <w:rsid w:val="59CA8908"/>
    <w:rsid w:val="59D3B544"/>
    <w:rsid w:val="59F30222"/>
    <w:rsid w:val="59FB5503"/>
    <w:rsid w:val="59FF511B"/>
    <w:rsid w:val="5A170A51"/>
    <w:rsid w:val="5A5A9830"/>
    <w:rsid w:val="5A61D078"/>
    <w:rsid w:val="5A72CCD7"/>
    <w:rsid w:val="5A9CEEB2"/>
    <w:rsid w:val="5AAB6C1C"/>
    <w:rsid w:val="5ACAAE6E"/>
    <w:rsid w:val="5AF7D089"/>
    <w:rsid w:val="5B006C44"/>
    <w:rsid w:val="5B4F5EC0"/>
    <w:rsid w:val="5B9235AE"/>
    <w:rsid w:val="5BCC278B"/>
    <w:rsid w:val="5BE46D0D"/>
    <w:rsid w:val="5BE8B3A4"/>
    <w:rsid w:val="5BEE02E5"/>
    <w:rsid w:val="5C0C26A8"/>
    <w:rsid w:val="5C147F31"/>
    <w:rsid w:val="5C3DFF1E"/>
    <w:rsid w:val="5C6B91A3"/>
    <w:rsid w:val="5C96514D"/>
    <w:rsid w:val="5CB5FBFA"/>
    <w:rsid w:val="5CC4E938"/>
    <w:rsid w:val="5CCC0243"/>
    <w:rsid w:val="5CDB638D"/>
    <w:rsid w:val="5CE69B68"/>
    <w:rsid w:val="5CF31ED9"/>
    <w:rsid w:val="5CF4B5D6"/>
    <w:rsid w:val="5CFD715A"/>
    <w:rsid w:val="5D23DB14"/>
    <w:rsid w:val="5D5EDC35"/>
    <w:rsid w:val="5D8D35B2"/>
    <w:rsid w:val="5DA0D817"/>
    <w:rsid w:val="5DA2D4E6"/>
    <w:rsid w:val="5DB09C3B"/>
    <w:rsid w:val="5DF9610B"/>
    <w:rsid w:val="5E0A2351"/>
    <w:rsid w:val="5E25B440"/>
    <w:rsid w:val="5E2E05E0"/>
    <w:rsid w:val="5E3AB588"/>
    <w:rsid w:val="5E93F594"/>
    <w:rsid w:val="5F40C502"/>
    <w:rsid w:val="5F55168D"/>
    <w:rsid w:val="5F5C68CB"/>
    <w:rsid w:val="5F5CE8B3"/>
    <w:rsid w:val="5F5E6AFA"/>
    <w:rsid w:val="5F751E20"/>
    <w:rsid w:val="5F75E39A"/>
    <w:rsid w:val="5F9F3ACC"/>
    <w:rsid w:val="5FB68540"/>
    <w:rsid w:val="5FEAEEF3"/>
    <w:rsid w:val="5FED0AD0"/>
    <w:rsid w:val="5FF305F6"/>
    <w:rsid w:val="60198211"/>
    <w:rsid w:val="602FA084"/>
    <w:rsid w:val="60304C71"/>
    <w:rsid w:val="606B40A7"/>
    <w:rsid w:val="6079665D"/>
    <w:rsid w:val="6091DFE0"/>
    <w:rsid w:val="6094E20B"/>
    <w:rsid w:val="60E76BDB"/>
    <w:rsid w:val="60FF01FD"/>
    <w:rsid w:val="61038EE4"/>
    <w:rsid w:val="611F051B"/>
    <w:rsid w:val="61220D84"/>
    <w:rsid w:val="61349524"/>
    <w:rsid w:val="617C76A2"/>
    <w:rsid w:val="6187AE54"/>
    <w:rsid w:val="61994792"/>
    <w:rsid w:val="61A61BD9"/>
    <w:rsid w:val="61C39B39"/>
    <w:rsid w:val="61C8B5A6"/>
    <w:rsid w:val="61D0A9BA"/>
    <w:rsid w:val="61E3F1EF"/>
    <w:rsid w:val="62161093"/>
    <w:rsid w:val="6218F254"/>
    <w:rsid w:val="6236AF56"/>
    <w:rsid w:val="625DB88E"/>
    <w:rsid w:val="62AA43AA"/>
    <w:rsid w:val="62C79833"/>
    <w:rsid w:val="62EDCA46"/>
    <w:rsid w:val="6302894B"/>
    <w:rsid w:val="6337E526"/>
    <w:rsid w:val="63408403"/>
    <w:rsid w:val="634DF7BC"/>
    <w:rsid w:val="6373C7F9"/>
    <w:rsid w:val="638ADD6D"/>
    <w:rsid w:val="639D289E"/>
    <w:rsid w:val="63C92627"/>
    <w:rsid w:val="63DD1018"/>
    <w:rsid w:val="640E0B27"/>
    <w:rsid w:val="640E4D15"/>
    <w:rsid w:val="642317FA"/>
    <w:rsid w:val="64610B53"/>
    <w:rsid w:val="646C743B"/>
    <w:rsid w:val="647241D7"/>
    <w:rsid w:val="64A42F18"/>
    <w:rsid w:val="64C0055F"/>
    <w:rsid w:val="64CE54FA"/>
    <w:rsid w:val="64E46763"/>
    <w:rsid w:val="64E83700"/>
    <w:rsid w:val="6535B8F9"/>
    <w:rsid w:val="65392C3A"/>
    <w:rsid w:val="6561AD91"/>
    <w:rsid w:val="6573314B"/>
    <w:rsid w:val="6578066F"/>
    <w:rsid w:val="65902E46"/>
    <w:rsid w:val="65B2A0B5"/>
    <w:rsid w:val="65EC74B9"/>
    <w:rsid w:val="65F5FEFF"/>
    <w:rsid w:val="6617F7D3"/>
    <w:rsid w:val="6637B07A"/>
    <w:rsid w:val="664DF01D"/>
    <w:rsid w:val="664F4EE4"/>
    <w:rsid w:val="665276E7"/>
    <w:rsid w:val="6655F967"/>
    <w:rsid w:val="665A627E"/>
    <w:rsid w:val="66CD7EFA"/>
    <w:rsid w:val="66F3F69B"/>
    <w:rsid w:val="67098A8D"/>
    <w:rsid w:val="672002E1"/>
    <w:rsid w:val="676692AA"/>
    <w:rsid w:val="67811D00"/>
    <w:rsid w:val="67B09D5E"/>
    <w:rsid w:val="67C128DF"/>
    <w:rsid w:val="67D4AC50"/>
    <w:rsid w:val="67FECA92"/>
    <w:rsid w:val="681E23E7"/>
    <w:rsid w:val="68260EC7"/>
    <w:rsid w:val="68280BAC"/>
    <w:rsid w:val="6842A970"/>
    <w:rsid w:val="68537E50"/>
    <w:rsid w:val="686775C1"/>
    <w:rsid w:val="687F13E7"/>
    <w:rsid w:val="688C38E2"/>
    <w:rsid w:val="68B51175"/>
    <w:rsid w:val="68C68E14"/>
    <w:rsid w:val="68E3DD1D"/>
    <w:rsid w:val="68FFF5E9"/>
    <w:rsid w:val="69169208"/>
    <w:rsid w:val="6925AE7C"/>
    <w:rsid w:val="692C40BE"/>
    <w:rsid w:val="69496398"/>
    <w:rsid w:val="6967E897"/>
    <w:rsid w:val="6978289E"/>
    <w:rsid w:val="698153BE"/>
    <w:rsid w:val="699BE219"/>
    <w:rsid w:val="699D987B"/>
    <w:rsid w:val="69C75329"/>
    <w:rsid w:val="69D1ABC5"/>
    <w:rsid w:val="6A089D4F"/>
    <w:rsid w:val="6A2080F2"/>
    <w:rsid w:val="6A499010"/>
    <w:rsid w:val="6A4B52E6"/>
    <w:rsid w:val="6A6DBF67"/>
    <w:rsid w:val="6A9B61B6"/>
    <w:rsid w:val="6AA635A9"/>
    <w:rsid w:val="6AB6D7E1"/>
    <w:rsid w:val="6AD5FCFE"/>
    <w:rsid w:val="6AD6C4B2"/>
    <w:rsid w:val="6B0FD297"/>
    <w:rsid w:val="6B5CDCC1"/>
    <w:rsid w:val="6B606A78"/>
    <w:rsid w:val="6B7F90DE"/>
    <w:rsid w:val="6BC31AD1"/>
    <w:rsid w:val="6C08D096"/>
    <w:rsid w:val="6C0BEE86"/>
    <w:rsid w:val="6C102D4A"/>
    <w:rsid w:val="6C2BE314"/>
    <w:rsid w:val="6C55F7AC"/>
    <w:rsid w:val="6C5A7629"/>
    <w:rsid w:val="6C80CA9B"/>
    <w:rsid w:val="6C901DE0"/>
    <w:rsid w:val="6CA802A6"/>
    <w:rsid w:val="6CB9B565"/>
    <w:rsid w:val="6CC254ED"/>
    <w:rsid w:val="6CCB06A7"/>
    <w:rsid w:val="6CF733F0"/>
    <w:rsid w:val="6CF7F1AA"/>
    <w:rsid w:val="6DB3E033"/>
    <w:rsid w:val="6DB8A750"/>
    <w:rsid w:val="6DDE379D"/>
    <w:rsid w:val="6DF249F7"/>
    <w:rsid w:val="6E045C54"/>
    <w:rsid w:val="6E1132DB"/>
    <w:rsid w:val="6E299BCB"/>
    <w:rsid w:val="6E5F40E1"/>
    <w:rsid w:val="6E662D35"/>
    <w:rsid w:val="6E9EB38E"/>
    <w:rsid w:val="6EA3C6A6"/>
    <w:rsid w:val="6EAEDF6B"/>
    <w:rsid w:val="6ECDD05C"/>
    <w:rsid w:val="6ED189D9"/>
    <w:rsid w:val="6ED73106"/>
    <w:rsid w:val="6EE34850"/>
    <w:rsid w:val="6EF80575"/>
    <w:rsid w:val="6F03A7C6"/>
    <w:rsid w:val="6F1056E6"/>
    <w:rsid w:val="6F7010F6"/>
    <w:rsid w:val="6F80F90D"/>
    <w:rsid w:val="6F895CD2"/>
    <w:rsid w:val="6FA35E7F"/>
    <w:rsid w:val="6FA7951C"/>
    <w:rsid w:val="6FBA059C"/>
    <w:rsid w:val="6FD741E0"/>
    <w:rsid w:val="6FF48BA6"/>
    <w:rsid w:val="6FF66D47"/>
    <w:rsid w:val="70007743"/>
    <w:rsid w:val="70042607"/>
    <w:rsid w:val="700FB40D"/>
    <w:rsid w:val="703B2BAF"/>
    <w:rsid w:val="703F9B22"/>
    <w:rsid w:val="7063A67A"/>
    <w:rsid w:val="706BD7EC"/>
    <w:rsid w:val="708E34D1"/>
    <w:rsid w:val="709610E9"/>
    <w:rsid w:val="70AAF0D2"/>
    <w:rsid w:val="70BDABFE"/>
    <w:rsid w:val="70D0A269"/>
    <w:rsid w:val="70E00749"/>
    <w:rsid w:val="70E2AC94"/>
    <w:rsid w:val="70E87F74"/>
    <w:rsid w:val="711285AE"/>
    <w:rsid w:val="713FECAA"/>
    <w:rsid w:val="71D9A5B6"/>
    <w:rsid w:val="71F48477"/>
    <w:rsid w:val="721849C7"/>
    <w:rsid w:val="72200AB1"/>
    <w:rsid w:val="72237275"/>
    <w:rsid w:val="723CFEC0"/>
    <w:rsid w:val="726A81E7"/>
    <w:rsid w:val="72A98114"/>
    <w:rsid w:val="72AABF6E"/>
    <w:rsid w:val="72B66936"/>
    <w:rsid w:val="72DC87F5"/>
    <w:rsid w:val="72EB5C1B"/>
    <w:rsid w:val="7347C568"/>
    <w:rsid w:val="7349ADF3"/>
    <w:rsid w:val="738C7125"/>
    <w:rsid w:val="73C6F227"/>
    <w:rsid w:val="73DD2D80"/>
    <w:rsid w:val="73E7CE79"/>
    <w:rsid w:val="7403E4B4"/>
    <w:rsid w:val="7412FF95"/>
    <w:rsid w:val="74457D68"/>
    <w:rsid w:val="744CA155"/>
    <w:rsid w:val="745051D0"/>
    <w:rsid w:val="745108E3"/>
    <w:rsid w:val="746833E2"/>
    <w:rsid w:val="746846F4"/>
    <w:rsid w:val="746D08E7"/>
    <w:rsid w:val="74AC4211"/>
    <w:rsid w:val="74BA627C"/>
    <w:rsid w:val="74BED78F"/>
    <w:rsid w:val="751391A1"/>
    <w:rsid w:val="7552A697"/>
    <w:rsid w:val="75651F56"/>
    <w:rsid w:val="756AAA2B"/>
    <w:rsid w:val="756E4D74"/>
    <w:rsid w:val="75897EE6"/>
    <w:rsid w:val="75A09C17"/>
    <w:rsid w:val="75A0B6F7"/>
    <w:rsid w:val="75A4A924"/>
    <w:rsid w:val="75ABD6E0"/>
    <w:rsid w:val="75AC8B7D"/>
    <w:rsid w:val="75D411E8"/>
    <w:rsid w:val="75F8B33B"/>
    <w:rsid w:val="7605F01F"/>
    <w:rsid w:val="7606EF39"/>
    <w:rsid w:val="760F462F"/>
    <w:rsid w:val="762AFC46"/>
    <w:rsid w:val="7635252B"/>
    <w:rsid w:val="763F2F9C"/>
    <w:rsid w:val="76581FBA"/>
    <w:rsid w:val="76A07CE2"/>
    <w:rsid w:val="76B2FCBB"/>
    <w:rsid w:val="76B33E12"/>
    <w:rsid w:val="76B38033"/>
    <w:rsid w:val="76CEDA86"/>
    <w:rsid w:val="7710B1FB"/>
    <w:rsid w:val="771461E6"/>
    <w:rsid w:val="772BBC1F"/>
    <w:rsid w:val="774AB57D"/>
    <w:rsid w:val="7791BE9B"/>
    <w:rsid w:val="77AD393A"/>
    <w:rsid w:val="77C1ACE0"/>
    <w:rsid w:val="77FACC35"/>
    <w:rsid w:val="780A5CE2"/>
    <w:rsid w:val="780A84ED"/>
    <w:rsid w:val="780FAD19"/>
    <w:rsid w:val="78110B8B"/>
    <w:rsid w:val="7821FF25"/>
    <w:rsid w:val="783E8526"/>
    <w:rsid w:val="78448A39"/>
    <w:rsid w:val="7856A1A9"/>
    <w:rsid w:val="786E9453"/>
    <w:rsid w:val="78C20C39"/>
    <w:rsid w:val="78DA34CE"/>
    <w:rsid w:val="7919ACA8"/>
    <w:rsid w:val="791B5EB5"/>
    <w:rsid w:val="7924B5E4"/>
    <w:rsid w:val="794F81EA"/>
    <w:rsid w:val="795D152F"/>
    <w:rsid w:val="79839ACF"/>
    <w:rsid w:val="798FC990"/>
    <w:rsid w:val="7993BD7E"/>
    <w:rsid w:val="79B73749"/>
    <w:rsid w:val="79D4D34E"/>
    <w:rsid w:val="7A0E9992"/>
    <w:rsid w:val="7A24EBD5"/>
    <w:rsid w:val="7A374801"/>
    <w:rsid w:val="7A545B10"/>
    <w:rsid w:val="7A612622"/>
    <w:rsid w:val="7A814366"/>
    <w:rsid w:val="7A890935"/>
    <w:rsid w:val="7AAE4C0F"/>
    <w:rsid w:val="7AB24D62"/>
    <w:rsid w:val="7AF08794"/>
    <w:rsid w:val="7B2C4D21"/>
    <w:rsid w:val="7B38FBB8"/>
    <w:rsid w:val="7B511756"/>
    <w:rsid w:val="7B784C6C"/>
    <w:rsid w:val="7B8030FB"/>
    <w:rsid w:val="7B8194BC"/>
    <w:rsid w:val="7B8C791B"/>
    <w:rsid w:val="7BB5F0E6"/>
    <w:rsid w:val="7BC15E4F"/>
    <w:rsid w:val="7BDA2C47"/>
    <w:rsid w:val="7C0A6125"/>
    <w:rsid w:val="7C1B4C64"/>
    <w:rsid w:val="7C38FEEF"/>
    <w:rsid w:val="7C5711A8"/>
    <w:rsid w:val="7C643725"/>
    <w:rsid w:val="7C7C21E6"/>
    <w:rsid w:val="7C900FC9"/>
    <w:rsid w:val="7CC82EB3"/>
    <w:rsid w:val="7CCE81C2"/>
    <w:rsid w:val="7D0E2F5B"/>
    <w:rsid w:val="7D1953E6"/>
    <w:rsid w:val="7D1A9C91"/>
    <w:rsid w:val="7D84D826"/>
    <w:rsid w:val="7D8CA7AC"/>
    <w:rsid w:val="7D96AB09"/>
    <w:rsid w:val="7DADE2FB"/>
    <w:rsid w:val="7DB2AE88"/>
    <w:rsid w:val="7DB4E53C"/>
    <w:rsid w:val="7DB61328"/>
    <w:rsid w:val="7DBDA666"/>
    <w:rsid w:val="7DE2D2E9"/>
    <w:rsid w:val="7DE96E0D"/>
    <w:rsid w:val="7DFC75FB"/>
    <w:rsid w:val="7E260D84"/>
    <w:rsid w:val="7E690FCD"/>
    <w:rsid w:val="7E71A2D7"/>
    <w:rsid w:val="7E86E870"/>
    <w:rsid w:val="7E968B44"/>
    <w:rsid w:val="7EC986D5"/>
    <w:rsid w:val="7EF692A8"/>
    <w:rsid w:val="7F126876"/>
    <w:rsid w:val="7F2543F3"/>
    <w:rsid w:val="7F43DC3F"/>
    <w:rsid w:val="7F65FD0D"/>
    <w:rsid w:val="7F8BF1AC"/>
    <w:rsid w:val="7FA9405E"/>
    <w:rsid w:val="7FC36ECC"/>
    <w:rsid w:val="7FCD0FB6"/>
    <w:rsid w:val="7FE265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2CA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30"/>
    <w:pPr>
      <w:suppressAutoHyphens/>
      <w:spacing w:after="160"/>
    </w:pPr>
  </w:style>
  <w:style w:type="paragraph" w:styleId="Heading1">
    <w:name w:val="heading 1"/>
    <w:basedOn w:val="Normal"/>
    <w:next w:val="Normal"/>
    <w:link w:val="Heading1Char"/>
    <w:uiPriority w:val="9"/>
    <w:qFormat/>
    <w:rsid w:val="001772CD"/>
    <w:pPr>
      <w:keepNext/>
      <w:keepLines/>
      <w:numPr>
        <w:numId w:val="6"/>
      </w:numPr>
      <w:spacing w:before="240" w:line="216" w:lineRule="auto"/>
      <w:outlineLvl w:val="0"/>
    </w:pPr>
    <w:rPr>
      <w:rFonts w:asciiTheme="majorHAnsi" w:eastAsiaTheme="majorEastAsia" w:hAnsiTheme="majorHAnsi" w:cstheme="majorBidi"/>
      <w:color w:val="6DB33F" w:themeColor="accent1"/>
      <w:sz w:val="44"/>
      <w:szCs w:val="40"/>
    </w:rPr>
  </w:style>
  <w:style w:type="paragraph" w:styleId="Heading2">
    <w:name w:val="heading 2"/>
    <w:basedOn w:val="Normal"/>
    <w:next w:val="Normal"/>
    <w:link w:val="Heading2Char"/>
    <w:uiPriority w:val="4"/>
    <w:qFormat/>
    <w:rsid w:val="001772CD"/>
    <w:pPr>
      <w:keepNext/>
      <w:keepLines/>
      <w:numPr>
        <w:ilvl w:val="1"/>
        <w:numId w:val="6"/>
      </w:numPr>
      <w:spacing w:before="240" w:after="80"/>
      <w:outlineLvl w:val="1"/>
    </w:pPr>
    <w:rPr>
      <w:rFonts w:asciiTheme="majorHAnsi" w:eastAsiaTheme="majorEastAsia" w:hAnsiTheme="majorHAnsi" w:cstheme="majorBidi"/>
      <w:color w:val="6DB33F"/>
      <w:sz w:val="36"/>
      <w:szCs w:val="32"/>
    </w:rPr>
  </w:style>
  <w:style w:type="paragraph" w:styleId="Heading3">
    <w:name w:val="heading 3"/>
    <w:basedOn w:val="Normal"/>
    <w:next w:val="Normal"/>
    <w:link w:val="Heading3Char"/>
    <w:uiPriority w:val="9"/>
    <w:qFormat/>
    <w:rsid w:val="002C40E6"/>
    <w:pPr>
      <w:keepNext/>
      <w:keepLines/>
      <w:numPr>
        <w:ilvl w:val="2"/>
        <w:numId w:val="6"/>
      </w:numPr>
      <w:spacing w:before="240" w:after="80"/>
      <w:outlineLvl w:val="2"/>
    </w:pPr>
    <w:rPr>
      <w:rFonts w:asciiTheme="majorHAnsi" w:eastAsiaTheme="majorEastAsia" w:hAnsiTheme="majorHAnsi" w:cstheme="majorBidi"/>
      <w:color w:val="36591F" w:themeColor="accent1" w:themeShade="80"/>
      <w:sz w:val="28"/>
      <w:szCs w:val="28"/>
    </w:rPr>
  </w:style>
  <w:style w:type="paragraph" w:styleId="Heading4">
    <w:name w:val="heading 4"/>
    <w:basedOn w:val="Normal"/>
    <w:next w:val="Normal"/>
    <w:link w:val="Heading4Char"/>
    <w:uiPriority w:val="9"/>
    <w:qFormat/>
    <w:rsid w:val="006440C2"/>
    <w:pPr>
      <w:keepNext/>
      <w:keepLines/>
      <w:numPr>
        <w:ilvl w:val="3"/>
        <w:numId w:val="6"/>
      </w:numPr>
      <w:spacing w:before="160" w:after="60"/>
      <w:outlineLvl w:val="3"/>
    </w:pPr>
    <w:rPr>
      <w:rFonts w:asciiTheme="majorHAnsi" w:eastAsiaTheme="majorEastAsia" w:hAnsiTheme="majorHAnsi" w:cstheme="majorBidi"/>
      <w:iCs/>
      <w:color w:val="51852F" w:themeColor="accent1" w:themeShade="BF"/>
      <w:sz w:val="26"/>
      <w:szCs w:val="26"/>
      <w:u w:val="single"/>
    </w:rPr>
  </w:style>
  <w:style w:type="paragraph" w:styleId="Heading5">
    <w:name w:val="heading 5"/>
    <w:basedOn w:val="Normal"/>
    <w:next w:val="Normal"/>
    <w:link w:val="Heading5Char"/>
    <w:uiPriority w:val="9"/>
    <w:unhideWhenUsed/>
    <w:qFormat/>
    <w:rsid w:val="002C40E6"/>
    <w:pPr>
      <w:keepNext/>
      <w:keepLines/>
      <w:numPr>
        <w:ilvl w:val="4"/>
        <w:numId w:val="6"/>
      </w:numPr>
      <w:spacing w:before="120" w:after="0"/>
      <w:outlineLvl w:val="4"/>
    </w:pPr>
    <w:rPr>
      <w:rFonts w:asciiTheme="majorHAnsi" w:eastAsiaTheme="majorEastAsia" w:hAnsiTheme="majorHAnsi" w:cstheme="majorBidi"/>
      <w:b/>
      <w:color w:val="51852F" w:themeColor="accent1" w:themeShade="BF"/>
    </w:rPr>
  </w:style>
  <w:style w:type="paragraph" w:styleId="Heading6">
    <w:name w:val="heading 6"/>
    <w:basedOn w:val="Normal"/>
    <w:next w:val="Normal"/>
    <w:link w:val="Heading6Char"/>
    <w:uiPriority w:val="9"/>
    <w:unhideWhenUsed/>
    <w:qFormat/>
    <w:rsid w:val="002C40E6"/>
    <w:pPr>
      <w:keepNext/>
      <w:keepLines/>
      <w:numPr>
        <w:ilvl w:val="5"/>
        <w:numId w:val="6"/>
      </w:numPr>
      <w:spacing w:before="120" w:after="0"/>
      <w:outlineLvl w:val="5"/>
    </w:pPr>
    <w:rPr>
      <w:rFonts w:asciiTheme="majorHAnsi" w:eastAsiaTheme="majorEastAsia" w:hAnsiTheme="majorHAnsi" w:cstheme="majorBidi"/>
      <w:b/>
      <w:iCs/>
      <w:color w:val="36591F" w:themeColor="accent1" w:themeShade="80"/>
    </w:rPr>
  </w:style>
  <w:style w:type="paragraph" w:styleId="Heading7">
    <w:name w:val="heading 7"/>
    <w:basedOn w:val="Normal"/>
    <w:next w:val="Normal"/>
    <w:link w:val="Heading7Char"/>
    <w:uiPriority w:val="9"/>
    <w:unhideWhenUsed/>
    <w:qFormat/>
    <w:rsid w:val="002C40E6"/>
    <w:pPr>
      <w:keepNext/>
      <w:keepLines/>
      <w:numPr>
        <w:ilvl w:val="6"/>
        <w:numId w:val="6"/>
      </w:numPr>
      <w:spacing w:before="120" w:after="0"/>
      <w:outlineLvl w:val="6"/>
    </w:pPr>
    <w:rPr>
      <w:rFonts w:asciiTheme="majorHAnsi" w:eastAsiaTheme="majorEastAsia" w:hAnsiTheme="majorHAnsi" w:cstheme="majorBidi"/>
      <w:b/>
      <w:i/>
      <w:color w:val="36591F" w:themeColor="accent1" w:themeShade="80"/>
    </w:rPr>
  </w:style>
  <w:style w:type="paragraph" w:styleId="Heading8">
    <w:name w:val="heading 8"/>
    <w:basedOn w:val="Normal"/>
    <w:next w:val="Normal"/>
    <w:link w:val="Heading8Char"/>
    <w:uiPriority w:val="9"/>
    <w:unhideWhenUsed/>
    <w:qFormat/>
    <w:rsid w:val="002C40E6"/>
    <w:pPr>
      <w:keepNext/>
      <w:keepLines/>
      <w:numPr>
        <w:ilvl w:val="7"/>
        <w:numId w:val="6"/>
      </w:numPr>
      <w:spacing w:before="120" w:after="0"/>
      <w:outlineLvl w:val="7"/>
    </w:pPr>
    <w:rPr>
      <w:rFonts w:asciiTheme="majorHAnsi" w:eastAsiaTheme="majorEastAsia" w:hAnsiTheme="majorHAnsi" w:cstheme="majorBidi"/>
      <w:iCs/>
      <w:color w:val="36591F" w:themeColor="accent1" w:themeShade="80"/>
    </w:rPr>
  </w:style>
  <w:style w:type="paragraph" w:styleId="Heading9">
    <w:name w:val="heading 9"/>
    <w:basedOn w:val="Normal"/>
    <w:next w:val="Normal"/>
    <w:link w:val="Heading9Char"/>
    <w:uiPriority w:val="9"/>
    <w:unhideWhenUsed/>
    <w:qFormat/>
    <w:rsid w:val="002C40E6"/>
    <w:pPr>
      <w:keepNext/>
      <w:keepLines/>
      <w:numPr>
        <w:ilvl w:val="8"/>
        <w:numId w:val="6"/>
      </w:numPr>
      <w:spacing w:before="120" w:after="0"/>
      <w:outlineLvl w:val="8"/>
    </w:pPr>
    <w:rPr>
      <w:rFonts w:asciiTheme="majorHAnsi" w:eastAsiaTheme="majorEastAsia" w:hAnsiTheme="majorHAnsi" w:cstheme="majorBidi"/>
      <w:i/>
      <w:color w:val="36591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730"/>
    <w:rPr>
      <w:rFonts w:asciiTheme="majorHAnsi" w:eastAsiaTheme="majorEastAsia" w:hAnsiTheme="majorHAnsi" w:cstheme="majorBidi"/>
      <w:color w:val="6DB33F" w:themeColor="accent1"/>
      <w:sz w:val="44"/>
      <w:szCs w:val="40"/>
    </w:rPr>
  </w:style>
  <w:style w:type="character" w:customStyle="1" w:styleId="Heading2Char">
    <w:name w:val="Heading 2 Char"/>
    <w:basedOn w:val="DefaultParagraphFont"/>
    <w:link w:val="Heading2"/>
    <w:uiPriority w:val="4"/>
    <w:rsid w:val="00F06730"/>
    <w:rPr>
      <w:rFonts w:asciiTheme="majorHAnsi" w:eastAsiaTheme="majorEastAsia" w:hAnsiTheme="majorHAnsi" w:cstheme="majorBidi"/>
      <w:color w:val="6DB33F"/>
      <w:sz w:val="36"/>
      <w:szCs w:val="32"/>
    </w:rPr>
  </w:style>
  <w:style w:type="character" w:customStyle="1" w:styleId="Heading3Char">
    <w:name w:val="Heading 3 Char"/>
    <w:basedOn w:val="DefaultParagraphFont"/>
    <w:link w:val="Heading3"/>
    <w:uiPriority w:val="9"/>
    <w:rsid w:val="00F06730"/>
    <w:rPr>
      <w:rFonts w:asciiTheme="majorHAnsi" w:eastAsiaTheme="majorEastAsia" w:hAnsiTheme="majorHAnsi" w:cstheme="majorBidi"/>
      <w:color w:val="36591F" w:themeColor="accent1" w:themeShade="80"/>
      <w:sz w:val="28"/>
      <w:szCs w:val="28"/>
    </w:rPr>
  </w:style>
  <w:style w:type="character" w:customStyle="1" w:styleId="Heading4Char">
    <w:name w:val="Heading 4 Char"/>
    <w:basedOn w:val="DefaultParagraphFont"/>
    <w:link w:val="Heading4"/>
    <w:uiPriority w:val="9"/>
    <w:rsid w:val="00F06730"/>
    <w:rPr>
      <w:rFonts w:asciiTheme="majorHAnsi" w:eastAsiaTheme="majorEastAsia" w:hAnsiTheme="majorHAnsi" w:cstheme="majorBidi"/>
      <w:iCs/>
      <w:color w:val="51852F" w:themeColor="accent1" w:themeShade="BF"/>
      <w:sz w:val="26"/>
      <w:szCs w:val="26"/>
      <w:u w:val="single"/>
    </w:rPr>
  </w:style>
  <w:style w:type="character" w:customStyle="1" w:styleId="Heading5Char">
    <w:name w:val="Heading 5 Char"/>
    <w:basedOn w:val="DefaultParagraphFont"/>
    <w:link w:val="Heading5"/>
    <w:uiPriority w:val="9"/>
    <w:rsid w:val="00F06730"/>
    <w:rPr>
      <w:rFonts w:asciiTheme="majorHAnsi" w:eastAsiaTheme="majorEastAsia" w:hAnsiTheme="majorHAnsi" w:cstheme="majorBidi"/>
      <w:b/>
      <w:color w:val="51852F" w:themeColor="accent1" w:themeShade="BF"/>
    </w:rPr>
  </w:style>
  <w:style w:type="character" w:customStyle="1" w:styleId="Heading6Char">
    <w:name w:val="Heading 6 Char"/>
    <w:basedOn w:val="DefaultParagraphFont"/>
    <w:link w:val="Heading6"/>
    <w:uiPriority w:val="9"/>
    <w:rsid w:val="00F06730"/>
    <w:rPr>
      <w:rFonts w:asciiTheme="majorHAnsi" w:eastAsiaTheme="majorEastAsia" w:hAnsiTheme="majorHAnsi" w:cstheme="majorBidi"/>
      <w:b/>
      <w:iCs/>
      <w:color w:val="36591F" w:themeColor="accent1" w:themeShade="80"/>
    </w:rPr>
  </w:style>
  <w:style w:type="character" w:customStyle="1" w:styleId="Heading7Char">
    <w:name w:val="Heading 7 Char"/>
    <w:basedOn w:val="DefaultParagraphFont"/>
    <w:link w:val="Heading7"/>
    <w:uiPriority w:val="9"/>
    <w:rsid w:val="00F06730"/>
    <w:rPr>
      <w:rFonts w:asciiTheme="majorHAnsi" w:eastAsiaTheme="majorEastAsia" w:hAnsiTheme="majorHAnsi" w:cstheme="majorBidi"/>
      <w:b/>
      <w:i/>
      <w:color w:val="36591F" w:themeColor="accent1" w:themeShade="80"/>
    </w:rPr>
  </w:style>
  <w:style w:type="character" w:customStyle="1" w:styleId="Heading8Char">
    <w:name w:val="Heading 8 Char"/>
    <w:basedOn w:val="DefaultParagraphFont"/>
    <w:link w:val="Heading8"/>
    <w:uiPriority w:val="9"/>
    <w:rsid w:val="00F06730"/>
    <w:rPr>
      <w:rFonts w:asciiTheme="majorHAnsi" w:eastAsiaTheme="majorEastAsia" w:hAnsiTheme="majorHAnsi" w:cstheme="majorBidi"/>
      <w:iCs/>
      <w:color w:val="36591F" w:themeColor="accent1" w:themeShade="80"/>
    </w:rPr>
  </w:style>
  <w:style w:type="character" w:customStyle="1" w:styleId="Heading9Char">
    <w:name w:val="Heading 9 Char"/>
    <w:basedOn w:val="DefaultParagraphFont"/>
    <w:link w:val="Heading9"/>
    <w:uiPriority w:val="9"/>
    <w:rsid w:val="00F06730"/>
    <w:rPr>
      <w:rFonts w:asciiTheme="majorHAnsi" w:eastAsiaTheme="majorEastAsia" w:hAnsiTheme="majorHAnsi" w:cstheme="majorBidi"/>
      <w:i/>
      <w:color w:val="36591F" w:themeColor="accent1" w:themeShade="80"/>
    </w:rPr>
  </w:style>
  <w:style w:type="paragraph" w:styleId="Title">
    <w:name w:val="Title"/>
    <w:basedOn w:val="Normal"/>
    <w:next w:val="Normal"/>
    <w:link w:val="TitleChar"/>
    <w:uiPriority w:val="8"/>
    <w:qFormat/>
    <w:rsid w:val="001538B0"/>
    <w:pPr>
      <w:spacing w:after="80"/>
      <w:contextualSpacing/>
    </w:pPr>
    <w:rPr>
      <w:rFonts w:ascii="Georgia" w:eastAsiaTheme="majorEastAsia" w:hAnsi="Georgia" w:cstheme="majorBidi"/>
      <w:b/>
      <w:bCs/>
      <w:color w:val="6DB33F" w:themeColor="accent1"/>
      <w:kern w:val="28"/>
      <w:sz w:val="48"/>
      <w:szCs w:val="52"/>
    </w:rPr>
  </w:style>
  <w:style w:type="character" w:customStyle="1" w:styleId="TitleChar">
    <w:name w:val="Title Char"/>
    <w:basedOn w:val="DefaultParagraphFont"/>
    <w:link w:val="Title"/>
    <w:uiPriority w:val="8"/>
    <w:rsid w:val="00F06730"/>
    <w:rPr>
      <w:rFonts w:ascii="Georgia" w:eastAsiaTheme="majorEastAsia" w:hAnsi="Georgia" w:cstheme="majorBidi"/>
      <w:b/>
      <w:bCs/>
      <w:color w:val="6DB33F" w:themeColor="accent1"/>
      <w:kern w:val="28"/>
      <w:sz w:val="48"/>
      <w:szCs w:val="52"/>
    </w:rPr>
  </w:style>
  <w:style w:type="paragraph" w:styleId="Subtitle">
    <w:name w:val="Subtitle"/>
    <w:basedOn w:val="Normal"/>
    <w:next w:val="Normal"/>
    <w:link w:val="SubtitleChar"/>
    <w:uiPriority w:val="11"/>
    <w:qFormat/>
    <w:rsid w:val="002C40E6"/>
    <w:pPr>
      <w:numPr>
        <w:ilvl w:val="1"/>
      </w:numPr>
    </w:pPr>
    <w:rPr>
      <w:rFonts w:asciiTheme="majorHAnsi" w:eastAsiaTheme="majorEastAsia" w:hAnsiTheme="majorHAnsi" w:cstheme="majorBidi"/>
      <w:color w:val="5F6062" w:themeColor="text2"/>
      <w:spacing w:val="15"/>
      <w:sz w:val="28"/>
      <w:szCs w:val="28"/>
    </w:rPr>
  </w:style>
  <w:style w:type="character" w:customStyle="1" w:styleId="SubtitleChar">
    <w:name w:val="Subtitle Char"/>
    <w:basedOn w:val="DefaultParagraphFont"/>
    <w:link w:val="Subtitle"/>
    <w:uiPriority w:val="11"/>
    <w:rsid w:val="00F06730"/>
    <w:rPr>
      <w:rFonts w:asciiTheme="majorHAnsi" w:eastAsiaTheme="majorEastAsia" w:hAnsiTheme="majorHAnsi" w:cstheme="majorBidi"/>
      <w:color w:val="5F6062" w:themeColor="text2"/>
      <w:spacing w:val="15"/>
      <w:sz w:val="28"/>
      <w:szCs w:val="28"/>
    </w:rPr>
  </w:style>
  <w:style w:type="paragraph" w:styleId="Quote">
    <w:name w:val="Quote"/>
    <w:basedOn w:val="Normal"/>
    <w:next w:val="Normal"/>
    <w:link w:val="QuoteChar"/>
    <w:uiPriority w:val="1"/>
    <w:qFormat/>
    <w:rsid w:val="003A70AA"/>
    <w:pPr>
      <w:spacing w:before="160"/>
      <w:ind w:left="720" w:right="720"/>
      <w:contextualSpacing/>
    </w:pPr>
    <w:rPr>
      <w:iCs/>
      <w:color w:val="2C3F8E" w:themeColor="accent4"/>
      <w:sz w:val="20"/>
    </w:rPr>
  </w:style>
  <w:style w:type="character" w:customStyle="1" w:styleId="QuoteChar">
    <w:name w:val="Quote Char"/>
    <w:basedOn w:val="DefaultParagraphFont"/>
    <w:link w:val="Quote"/>
    <w:uiPriority w:val="1"/>
    <w:rsid w:val="00F06730"/>
    <w:rPr>
      <w:iCs/>
      <w:color w:val="2C3F8E" w:themeColor="accent4"/>
      <w:sz w:val="20"/>
    </w:rPr>
  </w:style>
  <w:style w:type="paragraph" w:styleId="ListParagraph">
    <w:name w:val="List Paragraph"/>
    <w:aliases w:val="List Paragraph1,List Paragraph11,L,Recommendation,CV text,List Paragraph2,F5 List Paragraph,Dot pt,List Paragraph111,Medium Grid 1 - Accent 21,Numbered Paragraph,Bullet text,Bulleted Para,NFP GP Bulleted List,FooterText,列出段落1"/>
    <w:basedOn w:val="Normal"/>
    <w:link w:val="ListParagraphChar"/>
    <w:uiPriority w:val="34"/>
    <w:qFormat/>
    <w:rsid w:val="009B7045"/>
    <w:pPr>
      <w:ind w:left="720"/>
      <w:contextualSpacing/>
    </w:pPr>
  </w:style>
  <w:style w:type="character" w:styleId="IntenseEmphasis">
    <w:name w:val="Intense Emphasis"/>
    <w:basedOn w:val="DefaultParagraphFont"/>
    <w:uiPriority w:val="21"/>
    <w:qFormat/>
    <w:rsid w:val="00503A64"/>
    <w:rPr>
      <w:i/>
      <w:iCs/>
      <w:color w:val="51852F" w:themeColor="accent1" w:themeShade="BF"/>
    </w:rPr>
  </w:style>
  <w:style w:type="paragraph" w:styleId="IntenseQuote">
    <w:name w:val="Intense Quote"/>
    <w:basedOn w:val="Normal"/>
    <w:next w:val="Normal"/>
    <w:link w:val="IntenseQuoteChar"/>
    <w:uiPriority w:val="30"/>
    <w:qFormat/>
    <w:rsid w:val="00503A64"/>
    <w:pPr>
      <w:pBdr>
        <w:top w:val="single" w:sz="4" w:space="10" w:color="51852F" w:themeColor="accent1" w:themeShade="BF"/>
        <w:bottom w:val="single" w:sz="4" w:space="10" w:color="51852F" w:themeColor="accent1" w:themeShade="BF"/>
      </w:pBdr>
      <w:spacing w:before="360" w:after="360"/>
      <w:ind w:left="864" w:right="864"/>
      <w:jc w:val="center"/>
    </w:pPr>
    <w:rPr>
      <w:i/>
      <w:iCs/>
      <w:color w:val="51852F" w:themeColor="accent1" w:themeShade="BF"/>
    </w:rPr>
  </w:style>
  <w:style w:type="character" w:customStyle="1" w:styleId="IntenseQuoteChar">
    <w:name w:val="Intense Quote Char"/>
    <w:basedOn w:val="DefaultParagraphFont"/>
    <w:link w:val="IntenseQuote"/>
    <w:uiPriority w:val="30"/>
    <w:rsid w:val="00F06730"/>
    <w:rPr>
      <w:i/>
      <w:iCs/>
      <w:color w:val="51852F" w:themeColor="accent1" w:themeShade="BF"/>
    </w:rPr>
  </w:style>
  <w:style w:type="character" w:styleId="IntenseReference">
    <w:name w:val="Intense Reference"/>
    <w:basedOn w:val="DefaultParagraphFont"/>
    <w:uiPriority w:val="32"/>
    <w:qFormat/>
    <w:rsid w:val="00503A64"/>
    <w:rPr>
      <w:b/>
      <w:bCs/>
      <w:smallCaps/>
      <w:color w:val="51852F" w:themeColor="accent1" w:themeShade="BF"/>
      <w:spacing w:val="5"/>
    </w:rPr>
  </w:style>
  <w:style w:type="table" w:styleId="TableGrid">
    <w:name w:val="Table Grid"/>
    <w:basedOn w:val="TableNormal"/>
    <w:uiPriority w:val="39"/>
    <w:rsid w:val="00BC5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BC5967"/>
    <w:pPr>
      <w:numPr>
        <w:numId w:val="1"/>
      </w:numPr>
    </w:pPr>
  </w:style>
  <w:style w:type="paragraph" w:styleId="FootnoteText">
    <w:name w:val="footnote text"/>
    <w:basedOn w:val="Normal"/>
    <w:link w:val="FootnoteTextChar"/>
    <w:uiPriority w:val="99"/>
    <w:unhideWhenUsed/>
    <w:rsid w:val="009517C8"/>
    <w:rPr>
      <w:sz w:val="20"/>
      <w:szCs w:val="20"/>
    </w:rPr>
  </w:style>
  <w:style w:type="character" w:customStyle="1" w:styleId="FootnoteTextChar">
    <w:name w:val="Footnote Text Char"/>
    <w:basedOn w:val="DefaultParagraphFont"/>
    <w:link w:val="FootnoteText"/>
    <w:uiPriority w:val="99"/>
    <w:rsid w:val="009517C8"/>
    <w:rPr>
      <w:sz w:val="20"/>
      <w:szCs w:val="20"/>
    </w:rPr>
  </w:style>
  <w:style w:type="character" w:styleId="FootnoteReference">
    <w:name w:val="footnote reference"/>
    <w:aliases w:val="ftref,footnote ref,16 Point,Superscript 6 Point,Fußnotenzeichen DISS,fr,BVI fnr,(NECG) Footnote Reference,Char Char Char Char Car Char"/>
    <w:basedOn w:val="DefaultParagraphFont"/>
    <w:uiPriority w:val="99"/>
    <w:unhideWhenUsed/>
    <w:rsid w:val="009517C8"/>
    <w:rPr>
      <w:vertAlign w:val="superscript"/>
    </w:rPr>
  </w:style>
  <w:style w:type="paragraph" w:styleId="TOCHeading">
    <w:name w:val="TOC Heading"/>
    <w:basedOn w:val="Heading1"/>
    <w:next w:val="Normal"/>
    <w:uiPriority w:val="39"/>
    <w:unhideWhenUsed/>
    <w:qFormat/>
    <w:rsid w:val="00250A0A"/>
    <w:pPr>
      <w:numPr>
        <w:numId w:val="0"/>
      </w:numPr>
      <w:suppressAutoHyphens w:val="0"/>
      <w:spacing w:before="480" w:after="0" w:line="276" w:lineRule="auto"/>
      <w:outlineLvl w:val="9"/>
    </w:pPr>
  </w:style>
  <w:style w:type="paragraph" w:styleId="TOC1">
    <w:name w:val="toc 1"/>
    <w:basedOn w:val="Normal"/>
    <w:next w:val="Normal"/>
    <w:autoRedefine/>
    <w:uiPriority w:val="39"/>
    <w:unhideWhenUsed/>
    <w:rsid w:val="005A698C"/>
    <w:pPr>
      <w:tabs>
        <w:tab w:val="right" w:leader="dot" w:pos="9016"/>
      </w:tabs>
      <w:spacing w:before="120" w:after="0"/>
      <w:ind w:left="397" w:hanging="397"/>
    </w:pPr>
    <w:rPr>
      <w:b/>
      <w:bCs/>
      <w:iCs/>
    </w:rPr>
  </w:style>
  <w:style w:type="paragraph" w:styleId="TOC3">
    <w:name w:val="toc 3"/>
    <w:basedOn w:val="Normal"/>
    <w:next w:val="Normal"/>
    <w:autoRedefine/>
    <w:uiPriority w:val="39"/>
    <w:unhideWhenUsed/>
    <w:rsid w:val="001E1C55"/>
    <w:pPr>
      <w:spacing w:before="120" w:after="0"/>
    </w:pPr>
    <w:rPr>
      <w:sz w:val="20"/>
      <w:szCs w:val="20"/>
    </w:rPr>
  </w:style>
  <w:style w:type="character" w:styleId="Hyperlink">
    <w:name w:val="Hyperlink"/>
    <w:basedOn w:val="DefaultParagraphFont"/>
    <w:uiPriority w:val="99"/>
    <w:unhideWhenUsed/>
    <w:rsid w:val="00F70A19"/>
    <w:rPr>
      <w:color w:val="002060"/>
      <w:u w:val="single"/>
    </w:rPr>
  </w:style>
  <w:style w:type="paragraph" w:styleId="TOC4">
    <w:name w:val="toc 4"/>
    <w:basedOn w:val="Normal"/>
    <w:next w:val="Normal"/>
    <w:autoRedefine/>
    <w:uiPriority w:val="39"/>
    <w:semiHidden/>
    <w:unhideWhenUsed/>
    <w:rsid w:val="00C54FDC"/>
    <w:pPr>
      <w:spacing w:after="0"/>
      <w:ind w:left="720"/>
    </w:pPr>
    <w:rPr>
      <w:sz w:val="20"/>
      <w:szCs w:val="20"/>
    </w:rPr>
  </w:style>
  <w:style w:type="paragraph" w:styleId="TOC5">
    <w:name w:val="toc 5"/>
    <w:basedOn w:val="Normal"/>
    <w:next w:val="Normal"/>
    <w:autoRedefine/>
    <w:uiPriority w:val="39"/>
    <w:semiHidden/>
    <w:unhideWhenUsed/>
    <w:rsid w:val="00C54FDC"/>
    <w:pPr>
      <w:spacing w:after="0"/>
      <w:ind w:left="960"/>
    </w:pPr>
    <w:rPr>
      <w:sz w:val="20"/>
      <w:szCs w:val="20"/>
    </w:rPr>
  </w:style>
  <w:style w:type="paragraph" w:styleId="TOC6">
    <w:name w:val="toc 6"/>
    <w:basedOn w:val="Normal"/>
    <w:next w:val="Normal"/>
    <w:autoRedefine/>
    <w:uiPriority w:val="39"/>
    <w:semiHidden/>
    <w:unhideWhenUsed/>
    <w:rsid w:val="00C54FDC"/>
    <w:pPr>
      <w:spacing w:after="0"/>
      <w:ind w:left="1200"/>
    </w:pPr>
    <w:rPr>
      <w:sz w:val="20"/>
      <w:szCs w:val="20"/>
    </w:rPr>
  </w:style>
  <w:style w:type="paragraph" w:styleId="TOC7">
    <w:name w:val="toc 7"/>
    <w:basedOn w:val="Normal"/>
    <w:next w:val="Normal"/>
    <w:autoRedefine/>
    <w:uiPriority w:val="39"/>
    <w:semiHidden/>
    <w:unhideWhenUsed/>
    <w:rsid w:val="00C54FDC"/>
    <w:pPr>
      <w:spacing w:after="0"/>
      <w:ind w:left="1440"/>
    </w:pPr>
    <w:rPr>
      <w:sz w:val="20"/>
      <w:szCs w:val="20"/>
    </w:rPr>
  </w:style>
  <w:style w:type="paragraph" w:styleId="TOC8">
    <w:name w:val="toc 8"/>
    <w:basedOn w:val="Normal"/>
    <w:next w:val="Normal"/>
    <w:autoRedefine/>
    <w:uiPriority w:val="39"/>
    <w:semiHidden/>
    <w:unhideWhenUsed/>
    <w:rsid w:val="00C54FDC"/>
    <w:pPr>
      <w:spacing w:after="0"/>
      <w:ind w:left="1680"/>
    </w:pPr>
    <w:rPr>
      <w:sz w:val="20"/>
      <w:szCs w:val="20"/>
    </w:rPr>
  </w:style>
  <w:style w:type="paragraph" w:styleId="TOC9">
    <w:name w:val="toc 9"/>
    <w:basedOn w:val="Normal"/>
    <w:next w:val="Normal"/>
    <w:autoRedefine/>
    <w:uiPriority w:val="39"/>
    <w:semiHidden/>
    <w:unhideWhenUsed/>
    <w:rsid w:val="00C54FDC"/>
    <w:pPr>
      <w:spacing w:after="0"/>
      <w:ind w:left="1920"/>
    </w:pPr>
    <w:rPr>
      <w:sz w:val="20"/>
      <w:szCs w:val="20"/>
    </w:rPr>
  </w:style>
  <w:style w:type="paragraph" w:styleId="TOC2">
    <w:name w:val="toc 2"/>
    <w:basedOn w:val="Normal"/>
    <w:next w:val="Normal"/>
    <w:autoRedefine/>
    <w:uiPriority w:val="39"/>
    <w:unhideWhenUsed/>
    <w:rsid w:val="001C101D"/>
    <w:pPr>
      <w:spacing w:before="120" w:after="0"/>
      <w:ind w:left="907" w:hanging="510"/>
    </w:pPr>
  </w:style>
  <w:style w:type="table" w:styleId="TableGridLight">
    <w:name w:val="Grid Table Light"/>
    <w:basedOn w:val="TableNormal"/>
    <w:uiPriority w:val="40"/>
    <w:rsid w:val="004C6F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3">
    <w:name w:val="Grid Table 2 Accent 3"/>
    <w:basedOn w:val="TableNormal"/>
    <w:uiPriority w:val="47"/>
    <w:rsid w:val="004C6FBF"/>
    <w:tblPr>
      <w:tblStyleRowBandSize w:val="1"/>
      <w:tblStyleColBandSize w:val="1"/>
      <w:tblBorders>
        <w:top w:val="single" w:sz="2" w:space="0" w:color="D9E288" w:themeColor="accent3" w:themeTint="99"/>
        <w:bottom w:val="single" w:sz="2" w:space="0" w:color="D9E288" w:themeColor="accent3" w:themeTint="99"/>
        <w:insideH w:val="single" w:sz="2" w:space="0" w:color="D9E288" w:themeColor="accent3" w:themeTint="99"/>
        <w:insideV w:val="single" w:sz="2" w:space="0" w:color="D9E288" w:themeColor="accent3" w:themeTint="99"/>
      </w:tblBorders>
    </w:tblPr>
    <w:tblStylePr w:type="firstRow">
      <w:rPr>
        <w:b/>
        <w:bCs/>
      </w:rPr>
      <w:tblPr/>
      <w:tcPr>
        <w:tcBorders>
          <w:top w:val="nil"/>
          <w:bottom w:val="single" w:sz="12" w:space="0" w:color="D9E288" w:themeColor="accent3" w:themeTint="99"/>
          <w:insideH w:val="nil"/>
          <w:insideV w:val="nil"/>
        </w:tcBorders>
        <w:shd w:val="clear" w:color="auto" w:fill="FFFFFF" w:themeFill="background1"/>
      </w:tcPr>
    </w:tblStylePr>
    <w:tblStylePr w:type="lastRow">
      <w:rPr>
        <w:b/>
        <w:bCs/>
      </w:rPr>
      <w:tblPr/>
      <w:tcPr>
        <w:tcBorders>
          <w:top w:val="double" w:sz="2" w:space="0" w:color="D9E2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1Light-Accent3">
    <w:name w:val="Grid Table 1 Light Accent 3"/>
    <w:basedOn w:val="TableNormal"/>
    <w:uiPriority w:val="46"/>
    <w:rsid w:val="004C6FBF"/>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6FBF"/>
    <w:tblPr>
      <w:tblStyleRowBandSize w:val="1"/>
      <w:tblStyleColBandSize w:val="1"/>
      <w:tblBorders>
        <w:top w:val="single" w:sz="4" w:space="0" w:color="D3ECA6" w:themeColor="accent2" w:themeTint="66"/>
        <w:left w:val="single" w:sz="4" w:space="0" w:color="D3ECA6" w:themeColor="accent2" w:themeTint="66"/>
        <w:bottom w:val="single" w:sz="4" w:space="0" w:color="D3ECA6" w:themeColor="accent2" w:themeTint="66"/>
        <w:right w:val="single" w:sz="4" w:space="0" w:color="D3ECA6" w:themeColor="accent2" w:themeTint="66"/>
        <w:insideH w:val="single" w:sz="4" w:space="0" w:color="D3ECA6" w:themeColor="accent2" w:themeTint="66"/>
        <w:insideV w:val="single" w:sz="4" w:space="0" w:color="D3ECA6" w:themeColor="accent2" w:themeTint="66"/>
      </w:tblBorders>
    </w:tblPr>
    <w:tblStylePr w:type="firstRow">
      <w:rPr>
        <w:b/>
        <w:bCs/>
      </w:rPr>
      <w:tblPr/>
      <w:tcPr>
        <w:tcBorders>
          <w:bottom w:val="single" w:sz="12" w:space="0" w:color="BDE379" w:themeColor="accent2" w:themeTint="99"/>
        </w:tcBorders>
      </w:tcPr>
    </w:tblStylePr>
    <w:tblStylePr w:type="lastRow">
      <w:rPr>
        <w:b/>
        <w:bCs/>
      </w:rPr>
      <w:tblPr/>
      <w:tcPr>
        <w:tcBorders>
          <w:top w:val="double" w:sz="2" w:space="0" w:color="BDE379" w:themeColor="accent2" w:themeTint="99"/>
        </w:tcBorders>
      </w:tcPr>
    </w:tblStylePr>
    <w:tblStylePr w:type="firstCol">
      <w:rPr>
        <w:b/>
        <w:bCs/>
      </w:rPr>
    </w:tblStylePr>
    <w:tblStylePr w:type="lastCol">
      <w:rPr>
        <w:b/>
        <w:bCs/>
      </w:rPr>
    </w:tblStylePr>
  </w:style>
  <w:style w:type="table" w:styleId="PlainTable4">
    <w:name w:val="Plain Table 4"/>
    <w:basedOn w:val="TableNormal"/>
    <w:uiPriority w:val="44"/>
    <w:rsid w:val="004C6FB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6FB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4C6F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C6FB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4C6FB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4C6F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6FBF"/>
    <w:tblPr>
      <w:tblStyleRowBandSize w:val="1"/>
      <w:tblStyleColBandSize w:val="1"/>
      <w:tblBorders>
        <w:top w:val="single" w:sz="4" w:space="0" w:color="C3E3AF" w:themeColor="accent1" w:themeTint="66"/>
        <w:left w:val="single" w:sz="4" w:space="0" w:color="C3E3AF" w:themeColor="accent1" w:themeTint="66"/>
        <w:bottom w:val="single" w:sz="4" w:space="0" w:color="C3E3AF" w:themeColor="accent1" w:themeTint="66"/>
        <w:right w:val="single" w:sz="4" w:space="0" w:color="C3E3AF" w:themeColor="accent1" w:themeTint="66"/>
        <w:insideH w:val="single" w:sz="4" w:space="0" w:color="C3E3AF" w:themeColor="accent1" w:themeTint="66"/>
        <w:insideV w:val="single" w:sz="4" w:space="0" w:color="C3E3AF" w:themeColor="accent1" w:themeTint="66"/>
      </w:tblBorders>
    </w:tblPr>
    <w:tblStylePr w:type="firstRow">
      <w:rPr>
        <w:b/>
        <w:bCs/>
      </w:rPr>
      <w:tblPr/>
      <w:tcPr>
        <w:tcBorders>
          <w:bottom w:val="single" w:sz="12" w:space="0" w:color="A6D587" w:themeColor="accent1" w:themeTint="99"/>
        </w:tcBorders>
      </w:tcPr>
    </w:tblStylePr>
    <w:tblStylePr w:type="lastRow">
      <w:rPr>
        <w:b/>
        <w:bCs/>
      </w:rPr>
      <w:tblPr/>
      <w:tcPr>
        <w:tcBorders>
          <w:top w:val="double" w:sz="2" w:space="0" w:color="A6D58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07B1"/>
    <w:rPr>
      <w:sz w:val="20"/>
    </w:rPr>
    <w:tblPr>
      <w:tblStyleRowBandSize w:val="1"/>
      <w:tblStyleColBandSize w:val="1"/>
      <w:tblBorders>
        <w:top w:val="single" w:sz="4" w:space="0" w:color="B6E1E7" w:themeColor="accent5" w:themeTint="66"/>
        <w:left w:val="single" w:sz="4" w:space="0" w:color="B6E1E7" w:themeColor="accent5" w:themeTint="66"/>
        <w:bottom w:val="single" w:sz="4" w:space="0" w:color="B6E1E7" w:themeColor="accent5" w:themeTint="66"/>
        <w:right w:val="single" w:sz="4" w:space="0" w:color="B6E1E7" w:themeColor="accent5" w:themeTint="66"/>
        <w:insideH w:val="single" w:sz="4" w:space="0" w:color="B6E1E7" w:themeColor="accent5" w:themeTint="66"/>
        <w:insideV w:val="single" w:sz="4" w:space="0" w:color="B6E1E7" w:themeColor="accent5" w:themeTint="66"/>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2" w:space="0" w:color="92D2DB" w:themeColor="accent5" w:themeTint="99"/>
        </w:tcBorders>
      </w:tcPr>
    </w:tblStylePr>
    <w:tblStylePr w:type="firstCol">
      <w:rPr>
        <w:b/>
        <w:bCs/>
      </w:rPr>
    </w:tblStylePr>
    <w:tblStylePr w:type="lastCol">
      <w:rPr>
        <w:b/>
        <w:bCs/>
      </w:rPr>
    </w:tblStylePr>
  </w:style>
  <w:style w:type="paragraph" w:styleId="Caption">
    <w:name w:val="caption"/>
    <w:basedOn w:val="Normal"/>
    <w:next w:val="Normal"/>
    <w:uiPriority w:val="4"/>
    <w:unhideWhenUsed/>
    <w:qFormat/>
    <w:rsid w:val="00F86AB0"/>
    <w:pPr>
      <w:keepNext/>
      <w:spacing w:before="240" w:after="120"/>
    </w:pPr>
    <w:rPr>
      <w:b/>
      <w:iCs/>
      <w:color w:val="000000" w:themeColor="text1"/>
      <w:sz w:val="20"/>
      <w:szCs w:val="20"/>
    </w:rPr>
  </w:style>
  <w:style w:type="paragraph" w:styleId="ListBullet">
    <w:name w:val="List Bullet"/>
    <w:basedOn w:val="Normal"/>
    <w:uiPriority w:val="99"/>
    <w:semiHidden/>
    <w:unhideWhenUsed/>
    <w:rsid w:val="004C6FBF"/>
    <w:pPr>
      <w:numPr>
        <w:numId w:val="1"/>
      </w:numPr>
      <w:contextualSpacing/>
    </w:pPr>
  </w:style>
  <w:style w:type="paragraph" w:styleId="ListBullet2">
    <w:name w:val="List Bullet 2"/>
    <w:basedOn w:val="Normal"/>
    <w:uiPriority w:val="99"/>
    <w:semiHidden/>
    <w:unhideWhenUsed/>
    <w:rsid w:val="004C6FBF"/>
    <w:pPr>
      <w:numPr>
        <w:numId w:val="2"/>
      </w:numPr>
      <w:contextualSpacing/>
    </w:pPr>
  </w:style>
  <w:style w:type="paragraph" w:styleId="ListBullet3">
    <w:name w:val="List Bullet 3"/>
    <w:basedOn w:val="Normal"/>
    <w:uiPriority w:val="99"/>
    <w:semiHidden/>
    <w:unhideWhenUsed/>
    <w:rsid w:val="004C6FBF"/>
    <w:pPr>
      <w:numPr>
        <w:numId w:val="3"/>
      </w:numPr>
      <w:contextualSpacing/>
    </w:pPr>
  </w:style>
  <w:style w:type="paragraph" w:styleId="ListBullet4">
    <w:name w:val="List Bullet 4"/>
    <w:basedOn w:val="Normal"/>
    <w:uiPriority w:val="99"/>
    <w:semiHidden/>
    <w:unhideWhenUsed/>
    <w:rsid w:val="004C6FBF"/>
    <w:pPr>
      <w:numPr>
        <w:numId w:val="4"/>
      </w:numPr>
      <w:contextualSpacing/>
    </w:pPr>
  </w:style>
  <w:style w:type="paragraph" w:styleId="ListBullet5">
    <w:name w:val="List Bullet 5"/>
    <w:basedOn w:val="Normal"/>
    <w:uiPriority w:val="99"/>
    <w:unhideWhenUsed/>
    <w:rsid w:val="004C6FBF"/>
    <w:pPr>
      <w:numPr>
        <w:numId w:val="5"/>
      </w:numPr>
      <w:contextualSpacing/>
    </w:pPr>
  </w:style>
  <w:style w:type="paragraph" w:customStyle="1" w:styleId="SourceNote">
    <w:name w:val="Source / Note"/>
    <w:next w:val="Normal"/>
    <w:uiPriority w:val="2"/>
    <w:qFormat/>
    <w:rsid w:val="005907B1"/>
    <w:pPr>
      <w:spacing w:before="80" w:after="240"/>
    </w:pPr>
    <w:rPr>
      <w:color w:val="5F6062" w:themeColor="text2"/>
      <w:sz w:val="18"/>
      <w:szCs w:val="18"/>
    </w:rPr>
  </w:style>
  <w:style w:type="paragraph" w:customStyle="1" w:styleId="Tabletext">
    <w:name w:val="Table text"/>
    <w:basedOn w:val="Normal"/>
    <w:qFormat/>
    <w:rsid w:val="00B60385"/>
    <w:pPr>
      <w:spacing w:before="40" w:after="40"/>
    </w:pPr>
  </w:style>
  <w:style w:type="table" w:styleId="GridTable1Light-Accent4">
    <w:name w:val="Grid Table 1 Light Accent 4"/>
    <w:basedOn w:val="TableNormal"/>
    <w:uiPriority w:val="46"/>
    <w:rsid w:val="005907B1"/>
    <w:tblPr>
      <w:tblStyleRowBandSize w:val="1"/>
      <w:tblStyleColBandSize w:val="1"/>
      <w:tblBorders>
        <w:top w:val="single" w:sz="4" w:space="0" w:color="9CA9E0" w:themeColor="accent4" w:themeTint="66"/>
        <w:left w:val="single" w:sz="4" w:space="0" w:color="9CA9E0" w:themeColor="accent4" w:themeTint="66"/>
        <w:bottom w:val="single" w:sz="4" w:space="0" w:color="9CA9E0" w:themeColor="accent4" w:themeTint="66"/>
        <w:right w:val="single" w:sz="4" w:space="0" w:color="9CA9E0" w:themeColor="accent4" w:themeTint="66"/>
        <w:insideH w:val="single" w:sz="4" w:space="0" w:color="9CA9E0" w:themeColor="accent4" w:themeTint="66"/>
        <w:insideV w:val="single" w:sz="4" w:space="0" w:color="9CA9E0" w:themeColor="accent4" w:themeTint="66"/>
      </w:tblBorders>
    </w:tblPr>
    <w:tblStylePr w:type="firstRow">
      <w:rPr>
        <w:b/>
        <w:bCs/>
      </w:rPr>
      <w:tblPr/>
      <w:tcPr>
        <w:tcBorders>
          <w:bottom w:val="single" w:sz="12" w:space="0" w:color="6A7ED1" w:themeColor="accent4" w:themeTint="99"/>
        </w:tcBorders>
      </w:tcPr>
    </w:tblStylePr>
    <w:tblStylePr w:type="lastRow">
      <w:rPr>
        <w:b/>
        <w:bCs/>
      </w:rPr>
      <w:tblPr/>
      <w:tcPr>
        <w:tcBorders>
          <w:top w:val="double" w:sz="2" w:space="0" w:color="6A7ED1" w:themeColor="accent4" w:themeTint="99"/>
        </w:tcBorders>
      </w:tcPr>
    </w:tblStylePr>
    <w:tblStylePr w:type="firstCol">
      <w:rPr>
        <w:b/>
        <w:bCs/>
      </w:rPr>
    </w:tblStylePr>
    <w:tblStylePr w:type="lastCol">
      <w:rPr>
        <w:b/>
        <w:bCs/>
      </w:rPr>
    </w:tblStylePr>
  </w:style>
  <w:style w:type="table" w:customStyle="1" w:styleId="SustineoTables">
    <w:name w:val="SustineoTables"/>
    <w:basedOn w:val="TableNormal"/>
    <w:uiPriority w:val="99"/>
    <w:rsid w:val="00C831A8"/>
    <w:pPr>
      <w:suppressAutoHyphens/>
    </w:pPr>
    <w:rPr>
      <w:rFonts w:cs="Times New Roman (Body CS)"/>
      <w:sz w:val="20"/>
    </w:rPr>
    <w:tblPr>
      <w:tblStyleRowBandSize w:val="1"/>
      <w:tblBorders>
        <w:top w:val="single" w:sz="4" w:space="0" w:color="90C82A" w:themeColor="accent2"/>
        <w:bottom w:val="single" w:sz="4" w:space="0" w:color="90C82A" w:themeColor="accent2"/>
        <w:insideH w:val="single" w:sz="4" w:space="0" w:color="90C82A" w:themeColor="accent2"/>
      </w:tblBorders>
    </w:tblPr>
    <w:tcPr>
      <w:shd w:val="clear" w:color="auto" w:fill="auto"/>
    </w:tcPr>
    <w:tblStylePr w:type="firstRow">
      <w:pPr>
        <w:jc w:val="left"/>
      </w:pPr>
      <w:rPr>
        <w:b/>
      </w:rPr>
      <w:tblPr/>
      <w:trPr>
        <w:cantSplit/>
        <w:tblHeader/>
      </w:trPr>
      <w:tcPr>
        <w:tcBorders>
          <w:top w:val="single" w:sz="4" w:space="0" w:color="90C82A" w:themeColor="accent2"/>
          <w:left w:val="nil"/>
          <w:bottom w:val="single" w:sz="12" w:space="0" w:color="90C82A" w:themeColor="accent2"/>
          <w:right w:val="nil"/>
          <w:insideH w:val="nil"/>
        </w:tcBorders>
        <w:vAlign w:val="bottom"/>
      </w:tcPr>
    </w:tblStylePr>
    <w:tblStylePr w:type="lastRow">
      <w:rPr>
        <w:b/>
      </w:rPr>
      <w:tblPr/>
      <w:tcPr>
        <w:tcBorders>
          <w:top w:val="double" w:sz="4" w:space="0" w:color="90C82A" w:themeColor="accent2"/>
          <w:bottom w:val="single" w:sz="4" w:space="0" w:color="90C82A" w:themeColor="accent2"/>
        </w:tcBorders>
        <w:shd w:val="clear" w:color="auto" w:fill="auto"/>
      </w:tcPr>
    </w:tblStylePr>
    <w:tblStylePr w:type="firstCol">
      <w:rPr>
        <w:b/>
      </w:rPr>
    </w:tblStylePr>
    <w:tblStylePr w:type="lastCol">
      <w:rPr>
        <w:b/>
      </w:r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shd w:val="clear" w:color="auto" w:fill="auto"/>
      </w:tcPr>
    </w:tblStylePr>
  </w:style>
  <w:style w:type="paragraph" w:styleId="Bibliography">
    <w:name w:val="Bibliography"/>
    <w:basedOn w:val="Normal"/>
    <w:next w:val="Normal"/>
    <w:uiPriority w:val="37"/>
    <w:semiHidden/>
    <w:unhideWhenUsed/>
    <w:rsid w:val="00F7321B"/>
  </w:style>
  <w:style w:type="character" w:styleId="Emphasis">
    <w:name w:val="Emphasis"/>
    <w:basedOn w:val="DefaultParagraphFont"/>
    <w:uiPriority w:val="20"/>
    <w:qFormat/>
    <w:rsid w:val="00F06730"/>
    <w:rPr>
      <w:i/>
      <w:iCs/>
    </w:rPr>
  </w:style>
  <w:style w:type="paragraph" w:customStyle="1" w:styleId="Referencelist">
    <w:name w:val="Reference list"/>
    <w:basedOn w:val="Normal"/>
    <w:uiPriority w:val="3"/>
    <w:qFormat/>
    <w:rsid w:val="00783366"/>
    <w:pPr>
      <w:spacing w:after="0"/>
      <w:ind w:left="720" w:hanging="720"/>
    </w:pPr>
  </w:style>
  <w:style w:type="character" w:styleId="UnresolvedMention">
    <w:name w:val="Unresolved Mention"/>
    <w:basedOn w:val="DefaultParagraphFont"/>
    <w:uiPriority w:val="99"/>
    <w:semiHidden/>
    <w:unhideWhenUsed/>
    <w:rsid w:val="00F7321B"/>
    <w:rPr>
      <w:color w:val="605E5C"/>
      <w:shd w:val="clear" w:color="auto" w:fill="E1DFDD"/>
    </w:rPr>
  </w:style>
  <w:style w:type="paragraph" w:styleId="Header">
    <w:name w:val="header"/>
    <w:basedOn w:val="Normal"/>
    <w:link w:val="HeaderChar"/>
    <w:uiPriority w:val="99"/>
    <w:unhideWhenUsed/>
    <w:rsid w:val="006A274D"/>
    <w:pPr>
      <w:tabs>
        <w:tab w:val="center" w:pos="4513"/>
        <w:tab w:val="right" w:pos="9026"/>
      </w:tabs>
      <w:spacing w:after="0"/>
    </w:pPr>
  </w:style>
  <w:style w:type="character" w:customStyle="1" w:styleId="HeaderChar">
    <w:name w:val="Header Char"/>
    <w:basedOn w:val="DefaultParagraphFont"/>
    <w:link w:val="Header"/>
    <w:uiPriority w:val="99"/>
    <w:rsid w:val="006A274D"/>
  </w:style>
  <w:style w:type="paragraph" w:styleId="Footer">
    <w:name w:val="footer"/>
    <w:basedOn w:val="Normal"/>
    <w:link w:val="FooterChar"/>
    <w:uiPriority w:val="99"/>
    <w:unhideWhenUsed/>
    <w:rsid w:val="006A274D"/>
    <w:pPr>
      <w:tabs>
        <w:tab w:val="center" w:pos="4513"/>
        <w:tab w:val="right" w:pos="9026"/>
      </w:tabs>
      <w:spacing w:after="0"/>
    </w:pPr>
  </w:style>
  <w:style w:type="character" w:customStyle="1" w:styleId="FooterChar">
    <w:name w:val="Footer Char"/>
    <w:basedOn w:val="DefaultParagraphFont"/>
    <w:link w:val="Footer"/>
    <w:uiPriority w:val="99"/>
    <w:rsid w:val="006A274D"/>
  </w:style>
  <w:style w:type="character" w:styleId="FollowedHyperlink">
    <w:name w:val="FollowedHyperlink"/>
    <w:basedOn w:val="DefaultParagraphFont"/>
    <w:uiPriority w:val="99"/>
    <w:semiHidden/>
    <w:unhideWhenUsed/>
    <w:rsid w:val="00C227E3"/>
    <w:rPr>
      <w:color w:val="6B9F25" w:themeColor="followedHyperlink"/>
      <w:u w:val="single"/>
    </w:rPr>
  </w:style>
  <w:style w:type="paragraph" w:styleId="NoSpacing">
    <w:name w:val="No Spacing"/>
    <w:uiPriority w:val="6"/>
    <w:qFormat/>
    <w:rsid w:val="00B1030A"/>
    <w:pPr>
      <w:suppressAutoHyphens/>
    </w:pPr>
  </w:style>
  <w:style w:type="paragraph" w:styleId="TableofFigures">
    <w:name w:val="table of figures"/>
    <w:basedOn w:val="Normal"/>
    <w:next w:val="Normal"/>
    <w:uiPriority w:val="99"/>
    <w:unhideWhenUsed/>
    <w:rsid w:val="000D6E65"/>
    <w:pPr>
      <w:spacing w:before="60" w:after="60"/>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A06B56"/>
    <w:rPr>
      <w:b/>
      <w:bCs/>
    </w:rPr>
  </w:style>
  <w:style w:type="character" w:customStyle="1" w:styleId="CommentSubjectChar">
    <w:name w:val="Comment Subject Char"/>
    <w:basedOn w:val="CommentTextChar"/>
    <w:link w:val="CommentSubject"/>
    <w:uiPriority w:val="99"/>
    <w:semiHidden/>
    <w:rsid w:val="00A06B56"/>
    <w:rPr>
      <w:b/>
      <w:bCs/>
      <w:sz w:val="20"/>
      <w:szCs w:val="20"/>
    </w:rPr>
  </w:style>
  <w:style w:type="character" w:customStyle="1" w:styleId="apple-converted-space">
    <w:name w:val="apple-converted-space"/>
    <w:basedOn w:val="DefaultParagraphFont"/>
    <w:rsid w:val="004B2D39"/>
  </w:style>
  <w:style w:type="table" w:customStyle="1" w:styleId="SustineoTableStyle1">
    <w:name w:val="SustineoTableStyle1"/>
    <w:basedOn w:val="TableNormal"/>
    <w:uiPriority w:val="99"/>
    <w:rsid w:val="00110ADC"/>
    <w:pPr>
      <w:spacing w:before="60" w:after="60" w:line="264" w:lineRule="auto"/>
    </w:pPr>
    <w:rPr>
      <w:kern w:val="0"/>
      <w:sz w:val="20"/>
      <w:szCs w:val="22"/>
      <w:lang w:eastAsia="en-US"/>
      <w14:ligatures w14:val="none"/>
    </w:rPr>
    <w:tblPr>
      <w:tblStyleRowBandSize w:val="1"/>
      <w:tblStyleColBandSize w:val="1"/>
      <w:tblBorders>
        <w:top w:val="single" w:sz="4" w:space="0" w:color="C0CF3A" w:themeColor="accent3"/>
        <w:left w:val="single" w:sz="4" w:space="0" w:color="C0CF3A" w:themeColor="accent3"/>
        <w:bottom w:val="single" w:sz="4" w:space="0" w:color="C0CF3A" w:themeColor="accent3"/>
        <w:right w:val="single" w:sz="4" w:space="0" w:color="C0CF3A" w:themeColor="accent3"/>
      </w:tblBorders>
      <w:tblCellMar>
        <w:top w:w="28" w:type="dxa"/>
        <w:bottom w:w="28" w:type="dxa"/>
      </w:tblCellMar>
    </w:tblPr>
    <w:tcPr>
      <w:shd w:val="clear" w:color="auto" w:fill="auto"/>
    </w:tcPr>
    <w:tblStylePr w:type="firstRow">
      <w:pPr>
        <w:jc w:val="left"/>
      </w:pPr>
      <w:rPr>
        <w:b/>
        <w:color w:val="FFFFFF" w:themeColor="background1"/>
      </w:rPr>
      <w:tblPr/>
      <w:tcPr>
        <w:shd w:val="clear" w:color="auto" w:fill="C0CF3A" w:themeFill="accent3"/>
      </w:tcPr>
    </w:tblStylePr>
    <w:tblStylePr w:type="lastRow">
      <w:rPr>
        <w:b/>
        <w:color w:val="auto"/>
      </w:rPr>
      <w:tblPr/>
      <w:tcPr>
        <w:tcBorders>
          <w:top w:val="single" w:sz="4" w:space="0" w:color="6DB33F" w:themeColor="accent1"/>
          <w:left w:val="single" w:sz="4" w:space="0" w:color="6DB33F" w:themeColor="accent1"/>
          <w:bottom w:val="single" w:sz="4" w:space="0" w:color="6DB33F" w:themeColor="accent1"/>
          <w:right w:val="single" w:sz="4" w:space="0" w:color="6DB33F" w:themeColor="accent1"/>
        </w:tcBorders>
        <w:shd w:val="clear" w:color="auto" w:fill="auto"/>
      </w:tcPr>
    </w:tblStylePr>
    <w:tblStylePr w:type="firstCol">
      <w:rPr>
        <w:b/>
        <w:color w:val="FFFFFF" w:themeColor="background1"/>
      </w:rPr>
      <w:tblPr/>
      <w:tcPr>
        <w:shd w:val="clear" w:color="auto" w:fill="C0CF3A" w:themeFill="accent3"/>
      </w:tcPr>
    </w:tblStylePr>
    <w:tblStylePr w:type="lastCol">
      <w:rPr>
        <w:b/>
        <w:color w:val="auto"/>
      </w:rPr>
    </w:tblStylePr>
    <w:tblStylePr w:type="band2Vert">
      <w:tblPr/>
      <w:tcPr>
        <w:shd w:val="clear" w:color="auto" w:fill="F4F5F6"/>
      </w:tcPr>
    </w:tblStylePr>
    <w:tblStylePr w:type="band2Horz">
      <w:tblPr/>
      <w:tcPr>
        <w:shd w:val="clear" w:color="auto" w:fill="F4F5F6"/>
      </w:tcPr>
    </w:tblStylePr>
  </w:style>
  <w:style w:type="paragraph" w:customStyle="1" w:styleId="Heading3nonumber">
    <w:name w:val="Heading 3 no number"/>
    <w:basedOn w:val="Heading3"/>
    <w:link w:val="Heading3nonumberChar"/>
    <w:qFormat/>
    <w:rsid w:val="00576E4E"/>
    <w:rPr>
      <w:color w:val="6DB33F"/>
    </w:rPr>
  </w:style>
  <w:style w:type="character" w:customStyle="1" w:styleId="Heading3nonumberChar">
    <w:name w:val="Heading 3 no number Char"/>
    <w:basedOn w:val="Heading3Char"/>
    <w:link w:val="Heading3nonumber"/>
    <w:rsid w:val="00576E4E"/>
    <w:rPr>
      <w:rFonts w:asciiTheme="majorHAnsi" w:eastAsiaTheme="majorEastAsia" w:hAnsiTheme="majorHAnsi" w:cstheme="majorBidi"/>
      <w:color w:val="6DB33F"/>
      <w:sz w:val="28"/>
      <w:szCs w:val="28"/>
    </w:rPr>
  </w:style>
  <w:style w:type="paragraph" w:customStyle="1" w:styleId="ListBullet1">
    <w:name w:val="List Bullet 1"/>
    <w:basedOn w:val="ListParagraph"/>
    <w:qFormat/>
    <w:rsid w:val="00974D69"/>
    <w:pPr>
      <w:numPr>
        <w:numId w:val="7"/>
      </w:numPr>
      <w:contextualSpacing w:val="0"/>
    </w:pPr>
  </w:style>
  <w:style w:type="paragraph" w:styleId="NormalWeb">
    <w:name w:val="Normal (Web)"/>
    <w:basedOn w:val="Normal"/>
    <w:uiPriority w:val="99"/>
    <w:unhideWhenUsed/>
    <w:rsid w:val="00457D68"/>
    <w:pPr>
      <w:suppressAutoHyphens w:val="0"/>
      <w:spacing w:before="100" w:beforeAutospacing="1" w:after="100" w:afterAutospacing="1"/>
    </w:pPr>
    <w:rPr>
      <w:rFonts w:ascii="Times New Roman" w:eastAsia="Times New Roman" w:hAnsi="Times New Roman" w:cs="Times New Roman"/>
      <w:kern w:val="0"/>
      <w:lang w:eastAsia="en-US"/>
      <w14:ligatures w14:val="none"/>
    </w:rPr>
  </w:style>
  <w:style w:type="paragraph" w:customStyle="1" w:styleId="Box">
    <w:name w:val="Box"/>
    <w:basedOn w:val="Normal"/>
    <w:uiPriority w:val="1"/>
    <w:qFormat/>
    <w:rsid w:val="00181670"/>
    <w:pPr>
      <w:pBdr>
        <w:top w:val="dashed" w:sz="8" w:space="6" w:color="51852F" w:themeColor="accent1" w:themeShade="BF"/>
        <w:left w:val="dashed" w:sz="8" w:space="6" w:color="51852F" w:themeColor="accent1" w:themeShade="BF"/>
        <w:bottom w:val="dashed" w:sz="8" w:space="6" w:color="51852F" w:themeColor="accent1" w:themeShade="BF"/>
        <w:right w:val="dashed" w:sz="8" w:space="6" w:color="51852F" w:themeColor="accent1" w:themeShade="BF"/>
      </w:pBdr>
      <w:spacing w:before="240" w:after="240"/>
      <w:ind w:left="180" w:right="180"/>
    </w:pPr>
    <w:rPr>
      <w:b/>
      <w:bCs/>
      <w:sz w:val="22"/>
      <w:szCs w:val="22"/>
    </w:rPr>
  </w:style>
  <w:style w:type="paragraph" w:customStyle="1" w:styleId="Appendices">
    <w:name w:val="Appendices"/>
    <w:basedOn w:val="Heading2"/>
    <w:link w:val="AppendicesChar"/>
    <w:qFormat/>
    <w:rsid w:val="005A698C"/>
    <w:pPr>
      <w:numPr>
        <w:numId w:val="8"/>
      </w:numPr>
      <w:spacing w:after="160" w:line="216" w:lineRule="auto"/>
    </w:pPr>
    <w:rPr>
      <w:sz w:val="44"/>
    </w:rPr>
  </w:style>
  <w:style w:type="character" w:customStyle="1" w:styleId="AppendicesChar">
    <w:name w:val="Appendices Char"/>
    <w:basedOn w:val="Heading2Char"/>
    <w:link w:val="Appendices"/>
    <w:rsid w:val="005A698C"/>
    <w:rPr>
      <w:rFonts w:asciiTheme="majorHAnsi" w:eastAsiaTheme="majorEastAsia" w:hAnsiTheme="majorHAnsi" w:cstheme="majorBidi"/>
      <w:color w:val="6DB33F"/>
      <w:sz w:val="44"/>
      <w:szCs w:val="32"/>
    </w:rPr>
  </w:style>
  <w:style w:type="numbering" w:customStyle="1" w:styleId="CurrentList1">
    <w:name w:val="Current List1"/>
    <w:uiPriority w:val="99"/>
    <w:rsid w:val="00DC656B"/>
    <w:pPr>
      <w:numPr>
        <w:numId w:val="8"/>
      </w:numPr>
    </w:pPr>
  </w:style>
  <w:style w:type="numbering" w:customStyle="1" w:styleId="CurrentList2">
    <w:name w:val="Current List2"/>
    <w:uiPriority w:val="99"/>
    <w:rsid w:val="00DC656B"/>
    <w:pPr>
      <w:numPr>
        <w:numId w:val="9"/>
      </w:numPr>
    </w:pPr>
  </w:style>
  <w:style w:type="numbering" w:customStyle="1" w:styleId="CurrentList3">
    <w:name w:val="Current List3"/>
    <w:uiPriority w:val="99"/>
    <w:rsid w:val="00DC656B"/>
    <w:pPr>
      <w:numPr>
        <w:numId w:val="10"/>
      </w:numPr>
    </w:pPr>
  </w:style>
  <w:style w:type="numbering" w:customStyle="1" w:styleId="CurrentList4">
    <w:name w:val="Current List4"/>
    <w:uiPriority w:val="99"/>
    <w:rsid w:val="00DC656B"/>
    <w:pPr>
      <w:numPr>
        <w:numId w:val="11"/>
      </w:numPr>
    </w:pPr>
  </w:style>
  <w:style w:type="numbering" w:customStyle="1" w:styleId="CurrentList5">
    <w:name w:val="Current List5"/>
    <w:uiPriority w:val="99"/>
    <w:rsid w:val="00DC656B"/>
    <w:pPr>
      <w:numPr>
        <w:numId w:val="12"/>
      </w:numPr>
    </w:pPr>
  </w:style>
  <w:style w:type="numbering" w:customStyle="1" w:styleId="CurrentList6">
    <w:name w:val="Current List6"/>
    <w:uiPriority w:val="99"/>
    <w:rsid w:val="00DC656B"/>
    <w:pPr>
      <w:numPr>
        <w:numId w:val="13"/>
      </w:numPr>
    </w:pPr>
  </w:style>
  <w:style w:type="numbering" w:customStyle="1" w:styleId="CurrentList7">
    <w:name w:val="Current List7"/>
    <w:uiPriority w:val="99"/>
    <w:rsid w:val="00DC656B"/>
    <w:pPr>
      <w:numPr>
        <w:numId w:val="14"/>
      </w:numPr>
    </w:pPr>
  </w:style>
  <w:style w:type="paragraph" w:customStyle="1" w:styleId="BodyCopy">
    <w:name w:val="Body Copy"/>
    <w:link w:val="BodyCopyChar"/>
    <w:qFormat/>
    <w:rsid w:val="00CC5E64"/>
    <w:pPr>
      <w:spacing w:before="57" w:line="250" w:lineRule="atLeast"/>
    </w:pPr>
    <w:rPr>
      <w:rFonts w:ascii="Georgia" w:eastAsiaTheme="majorEastAsia" w:hAnsi="Georgia" w:cstheme="majorBidi"/>
      <w:color w:val="6DB33F" w:themeColor="accent1"/>
      <w:szCs w:val="52"/>
      <w:lang w:eastAsia="en-US"/>
    </w:rPr>
  </w:style>
  <w:style w:type="character" w:customStyle="1" w:styleId="BodyCopyChar">
    <w:name w:val="Body Copy Char"/>
    <w:basedOn w:val="TitleChar"/>
    <w:link w:val="BodyCopy"/>
    <w:rsid w:val="00CC5E64"/>
    <w:rPr>
      <w:rFonts w:ascii="Georgia" w:eastAsiaTheme="majorEastAsia" w:hAnsi="Georgia" w:cstheme="majorBidi"/>
      <w:b w:val="0"/>
      <w:bCs w:val="0"/>
      <w:color w:val="6DB33F" w:themeColor="accent1"/>
      <w:spacing w:val="-10"/>
      <w:kern w:val="0"/>
      <w:sz w:val="20"/>
      <w:szCs w:val="52"/>
      <w:lang w:eastAsia="en-US"/>
      <w14:ligatures w14:val="none"/>
    </w:rPr>
  </w:style>
  <w:style w:type="paragraph" w:styleId="Revision">
    <w:name w:val="Revision"/>
    <w:hidden/>
    <w:uiPriority w:val="99"/>
    <w:semiHidden/>
    <w:rsid w:val="0076431E"/>
  </w:style>
  <w:style w:type="paragraph" w:customStyle="1" w:styleId="Boxbullett">
    <w:name w:val="Box bullett"/>
    <w:basedOn w:val="Normal"/>
    <w:qFormat/>
    <w:rsid w:val="003C27FE"/>
    <w:pPr>
      <w:numPr>
        <w:numId w:val="14"/>
      </w:numPr>
      <w:pBdr>
        <w:top w:val="single" w:sz="4" w:space="8" w:color="FFFFFF"/>
        <w:left w:val="single" w:sz="4" w:space="8" w:color="FFFFFF"/>
        <w:bottom w:val="single" w:sz="4" w:space="8" w:color="FFFFFF"/>
        <w:right w:val="single" w:sz="4" w:space="8" w:color="FFFFFF"/>
      </w:pBdr>
      <w:shd w:val="clear" w:color="auto" w:fill="EAF1DD"/>
      <w:spacing w:before="160"/>
      <w:ind w:right="113"/>
    </w:pPr>
    <w:rPr>
      <w:rFonts w:ascii="Franklin Gothic Book" w:eastAsia="Times New Roman" w:hAnsi="Franklin Gothic Book" w:cs="Times New Roman"/>
      <w:sz w:val="22"/>
      <w:lang w:eastAsia="en-US"/>
    </w:rPr>
  </w:style>
  <w:style w:type="numbering" w:customStyle="1" w:styleId="CurrentList8">
    <w:name w:val="Current List8"/>
    <w:uiPriority w:val="99"/>
    <w:rsid w:val="00CD50FD"/>
  </w:style>
  <w:style w:type="table" w:customStyle="1" w:styleId="SustineoTables1">
    <w:name w:val="SustineoTables1"/>
    <w:basedOn w:val="TableNormal"/>
    <w:uiPriority w:val="99"/>
    <w:rsid w:val="00AE67DA"/>
    <w:pPr>
      <w:suppressAutoHyphens/>
      <w:spacing w:before="40" w:after="40"/>
    </w:pPr>
    <w:rPr>
      <w:rFonts w:cs="Times New Roman (Body CS)"/>
      <w:color w:val="000000"/>
      <w:sz w:val="20"/>
    </w:rPr>
    <w:tblPr>
      <w:tblStyleRowBandSize w:val="1"/>
      <w:tblBorders>
        <w:top w:val="single" w:sz="4" w:space="0" w:color="6DB33F"/>
        <w:bottom w:val="single" w:sz="4" w:space="0" w:color="6DB33F"/>
        <w:insideH w:val="single" w:sz="4" w:space="0" w:color="6DB33F"/>
      </w:tblBorders>
    </w:tblPr>
    <w:tcPr>
      <w:shd w:val="clear" w:color="auto" w:fill="auto"/>
    </w:tcPr>
    <w:tblStylePr w:type="firstRow">
      <w:pPr>
        <w:jc w:val="left"/>
      </w:pPr>
      <w:rPr>
        <w:b/>
      </w:rPr>
      <w:tblPr/>
      <w:tcPr>
        <w:tcBorders>
          <w:top w:val="single" w:sz="4" w:space="0" w:color="6DB33F"/>
          <w:left w:val="nil"/>
          <w:bottom w:val="single" w:sz="4" w:space="0" w:color="6DB33F"/>
          <w:right w:val="nil"/>
          <w:insideH w:val="nil"/>
          <w:insideV w:val="nil"/>
          <w:tl2br w:val="nil"/>
          <w:tr2bl w:val="nil"/>
        </w:tcBorders>
        <w:shd w:val="clear" w:color="auto" w:fill="auto"/>
      </w:tcPr>
    </w:tblStylePr>
    <w:tblStylePr w:type="lastRow">
      <w:rPr>
        <w:b/>
      </w:rPr>
      <w:tblPr/>
      <w:tcPr>
        <w:tcBorders>
          <w:top w:val="double" w:sz="4" w:space="0" w:color="6DB33F"/>
          <w:bottom w:val="single" w:sz="4" w:space="0" w:color="6DB33F"/>
        </w:tcBorders>
        <w:shd w:val="clear" w:color="auto" w:fill="auto"/>
      </w:tcPr>
    </w:tblStylePr>
    <w:tblStylePr w:type="firstCol">
      <w:rPr>
        <w:b/>
      </w:rPr>
    </w:tblStylePr>
    <w:tblStylePr w:type="lastCol">
      <w:rPr>
        <w:b/>
      </w:r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tcBorders>
          <w:top w:val="nil"/>
          <w:left w:val="nil"/>
          <w:bottom w:val="nil"/>
          <w:right w:val="nil"/>
          <w:insideH w:val="nil"/>
          <w:insideV w:val="nil"/>
          <w:tl2br w:val="nil"/>
          <w:tr2bl w:val="nil"/>
        </w:tcBorders>
        <w:shd w:val="clear" w:color="auto" w:fill="auto"/>
      </w:tcPr>
    </w:tblStylePr>
  </w:style>
  <w:style w:type="paragraph" w:customStyle="1" w:styleId="ListBullet10">
    <w:name w:val="List Bullet 10"/>
    <w:basedOn w:val="ListParagraph"/>
    <w:qFormat/>
    <w:rsid w:val="007A3124"/>
    <w:pPr>
      <w:ind w:left="360" w:hanging="360"/>
      <w:contextualSpacing w:val="0"/>
    </w:pPr>
  </w:style>
  <w:style w:type="paragraph" w:customStyle="1" w:styleId="BodyCopyBullets">
    <w:name w:val="Body Copy Bullets"/>
    <w:basedOn w:val="BodyCopy"/>
    <w:qFormat/>
    <w:rsid w:val="00FA1032"/>
    <w:pPr>
      <w:numPr>
        <w:numId w:val="15"/>
      </w:numPr>
      <w:spacing w:before="40" w:line="240" w:lineRule="auto"/>
      <w:ind w:left="340" w:hanging="340"/>
    </w:pPr>
    <w:rPr>
      <w:rFonts w:ascii="Calibri Light" w:eastAsia="Calibri" w:hAnsi="Calibri Light" w:cs="Calibri Light"/>
      <w:color w:val="313E48"/>
      <w:sz w:val="22"/>
      <w:szCs w:val="21"/>
    </w:rPr>
  </w:style>
  <w:style w:type="paragraph" w:styleId="BodyText">
    <w:name w:val="Body Text"/>
    <w:basedOn w:val="Normal"/>
    <w:link w:val="BodyTextChar"/>
    <w:uiPriority w:val="1"/>
    <w:qFormat/>
    <w:rsid w:val="00143030"/>
    <w:pPr>
      <w:widowControl w:val="0"/>
      <w:autoSpaceDE w:val="0"/>
      <w:autoSpaceDN w:val="0"/>
      <w:spacing w:after="0"/>
      <w:ind w:left="220"/>
    </w:pPr>
    <w:rPr>
      <w:rFonts w:ascii="Cambria" w:eastAsia="Cambria" w:hAnsi="Cambria" w:cs="Cambria"/>
      <w:sz w:val="22"/>
      <w:szCs w:val="22"/>
      <w:lang w:val="en-US" w:eastAsia="en-US"/>
    </w:rPr>
  </w:style>
  <w:style w:type="character" w:customStyle="1" w:styleId="BodyTextChar">
    <w:name w:val="Body Text Char"/>
    <w:basedOn w:val="DefaultParagraphFont"/>
    <w:link w:val="BodyText"/>
    <w:uiPriority w:val="1"/>
    <w:rsid w:val="00143030"/>
    <w:rPr>
      <w:rFonts w:ascii="Cambria" w:eastAsia="Cambria" w:hAnsi="Cambria" w:cs="Cambria"/>
      <w:kern w:val="0"/>
      <w:sz w:val="22"/>
      <w:szCs w:val="22"/>
      <w:lang w:val="en-US" w:eastAsia="en-US"/>
      <w14:ligatures w14:val="none"/>
    </w:rPr>
  </w:style>
  <w:style w:type="paragraph" w:customStyle="1" w:styleId="TableParagraph">
    <w:name w:val="Table Paragraph"/>
    <w:basedOn w:val="Normal"/>
    <w:uiPriority w:val="1"/>
    <w:qFormat/>
    <w:rsid w:val="00143030"/>
    <w:pPr>
      <w:widowControl w:val="0"/>
      <w:autoSpaceDE w:val="0"/>
      <w:autoSpaceDN w:val="0"/>
      <w:spacing w:after="0"/>
      <w:ind w:left="109"/>
    </w:pPr>
    <w:rPr>
      <w:rFonts w:ascii="Cambria" w:eastAsia="Cambria" w:hAnsi="Cambria" w:cs="Cambria"/>
      <w:sz w:val="22"/>
      <w:szCs w:val="22"/>
      <w:lang w:val="en-US" w:eastAsia="en-US"/>
    </w:rPr>
  </w:style>
  <w:style w:type="character" w:customStyle="1" w:styleId="ListParagraphChar">
    <w:name w:val="List Paragraph Char"/>
    <w:aliases w:val="List Paragraph1 Char,List Paragraph11 Char,L Char,Recommendation Char,CV text Char,List Paragraph2 Char,F5 List Paragraph Char,Dot pt Char,List Paragraph111 Char,Medium Grid 1 - Accent 21 Char,Numbered Paragraph Char,Bullet text Char"/>
    <w:link w:val="ListParagraph"/>
    <w:uiPriority w:val="34"/>
    <w:qFormat/>
    <w:rsid w:val="003A4B47"/>
  </w:style>
  <w:style w:type="paragraph" w:customStyle="1" w:styleId="Default">
    <w:name w:val="Default"/>
    <w:rsid w:val="003A4B47"/>
    <w:pPr>
      <w:autoSpaceDE w:val="0"/>
      <w:autoSpaceDN w:val="0"/>
      <w:adjustRightInd w:val="0"/>
    </w:pPr>
    <w:rPr>
      <w:rFonts w:ascii="Aptos" w:eastAsia="Calibri" w:hAnsi="Aptos" w:cs="Aptos"/>
      <w:color w:val="000000"/>
      <w:kern w:val="0"/>
      <w:lang w:eastAsia="en-US" w:bidi="th-TH"/>
    </w:rPr>
  </w:style>
  <w:style w:type="table" w:styleId="GridTable4-Accent1">
    <w:name w:val="Grid Table 4 Accent 1"/>
    <w:basedOn w:val="TableNormal"/>
    <w:uiPriority w:val="49"/>
    <w:rsid w:val="00887F11"/>
    <w:rPr>
      <w:lang w:val="en-SG" w:eastAsia="en-US"/>
    </w:rPr>
    <w:tblPr>
      <w:tblStyleRowBandSize w:val="1"/>
      <w:tblStyleColBandSize w:val="1"/>
      <w:tblBorders>
        <w:top w:val="single" w:sz="4" w:space="0" w:color="A6D587" w:themeColor="accent1" w:themeTint="99"/>
        <w:left w:val="single" w:sz="4" w:space="0" w:color="A6D587" w:themeColor="accent1" w:themeTint="99"/>
        <w:bottom w:val="single" w:sz="4" w:space="0" w:color="A6D587" w:themeColor="accent1" w:themeTint="99"/>
        <w:right w:val="single" w:sz="4" w:space="0" w:color="A6D587" w:themeColor="accent1" w:themeTint="99"/>
        <w:insideH w:val="single" w:sz="4" w:space="0" w:color="A6D587" w:themeColor="accent1" w:themeTint="99"/>
        <w:insideV w:val="single" w:sz="4" w:space="0" w:color="A6D587" w:themeColor="accent1" w:themeTint="99"/>
      </w:tblBorders>
    </w:tblPr>
    <w:tblStylePr w:type="firstRow">
      <w:rPr>
        <w:b/>
        <w:bCs/>
        <w:color w:val="FFFFFF" w:themeColor="background1"/>
      </w:rPr>
      <w:tblPr/>
      <w:tcPr>
        <w:tcBorders>
          <w:top w:val="single" w:sz="4" w:space="0" w:color="6DB33F" w:themeColor="accent1"/>
          <w:left w:val="single" w:sz="4" w:space="0" w:color="6DB33F" w:themeColor="accent1"/>
          <w:bottom w:val="single" w:sz="4" w:space="0" w:color="6DB33F" w:themeColor="accent1"/>
          <w:right w:val="single" w:sz="4" w:space="0" w:color="6DB33F" w:themeColor="accent1"/>
          <w:insideH w:val="nil"/>
          <w:insideV w:val="nil"/>
        </w:tcBorders>
        <w:shd w:val="clear" w:color="auto" w:fill="6DB33F" w:themeFill="accent1"/>
      </w:tcPr>
    </w:tblStylePr>
    <w:tblStylePr w:type="lastRow">
      <w:rPr>
        <w:b/>
        <w:bCs/>
      </w:rPr>
      <w:tblPr/>
      <w:tcPr>
        <w:tcBorders>
          <w:top w:val="double" w:sz="4" w:space="0" w:color="6DB33F" w:themeColor="accent1"/>
        </w:tcBorders>
      </w:tcPr>
    </w:tblStylePr>
    <w:tblStylePr w:type="firstCol">
      <w:rPr>
        <w:b/>
        <w:bCs/>
      </w:rPr>
    </w:tblStylePr>
    <w:tblStylePr w:type="lastCol">
      <w:rPr>
        <w:b/>
        <w:bCs/>
      </w:rPr>
    </w:tblStylePr>
    <w:tblStylePr w:type="band1Vert">
      <w:tblPr/>
      <w:tcPr>
        <w:shd w:val="clear" w:color="auto" w:fill="E1F1D7" w:themeFill="accent1" w:themeFillTint="33"/>
      </w:tcPr>
    </w:tblStylePr>
    <w:tblStylePr w:type="band1Horz">
      <w:tblPr/>
      <w:tcPr>
        <w:shd w:val="clear" w:color="auto" w:fill="E1F1D7" w:themeFill="accent1" w:themeFillTint="33"/>
      </w:tcPr>
    </w:tblStylePr>
  </w:style>
  <w:style w:type="paragraph" w:customStyle="1" w:styleId="TableText0">
    <w:name w:val="Table Text"/>
    <w:uiPriority w:val="1"/>
    <w:qFormat/>
    <w:rsid w:val="006E6981"/>
    <w:pPr>
      <w:spacing w:before="60" w:after="60" w:line="276" w:lineRule="auto"/>
    </w:pPr>
    <w:rPr>
      <w:rFonts w:eastAsia="Calibri" w:cs="Times New Roman"/>
      <w:kern w:val="10"/>
      <w:lang w:eastAsia="en-US"/>
    </w:rPr>
  </w:style>
  <w:style w:type="paragraph" w:customStyle="1" w:styleId="Heading21">
    <w:name w:val="Heading 21"/>
    <w:basedOn w:val="Normal"/>
    <w:next w:val="Normal"/>
    <w:uiPriority w:val="9"/>
    <w:qFormat/>
    <w:rsid w:val="006E6981"/>
    <w:pPr>
      <w:keepNext/>
      <w:keepLines/>
      <w:spacing w:before="240" w:after="80"/>
      <w:ind w:left="397" w:hanging="397"/>
      <w:outlineLvl w:val="1"/>
    </w:pPr>
    <w:rPr>
      <w:rFonts w:asciiTheme="majorHAnsi" w:eastAsiaTheme="majorEastAsia" w:hAnsiTheme="majorHAnsi" w:cstheme="majorBidi"/>
      <w:color w:val="6DB33F"/>
      <w:sz w:val="36"/>
      <w:szCs w:val="32"/>
    </w:rPr>
  </w:style>
  <w:style w:type="paragraph" w:customStyle="1" w:styleId="BodyA">
    <w:name w:val="Body A"/>
    <w:rsid w:val="00FF3458"/>
    <w:pPr>
      <w:pBdr>
        <w:top w:val="nil"/>
        <w:left w:val="nil"/>
        <w:bottom w:val="nil"/>
        <w:right w:val="nil"/>
        <w:between w:val="nil"/>
        <w:bar w:val="nil"/>
      </w:pBdr>
    </w:pPr>
    <w:rPr>
      <w:rFonts w:ascii="Helvetica" w:eastAsia="Arial Unicode MS" w:hAnsi="Arial Unicode MS" w:cs="Arial Unicode MS"/>
      <w:color w:val="000000"/>
      <w:kern w:val="0"/>
      <w:sz w:val="22"/>
      <w:szCs w:val="22"/>
      <w:u w:color="000000"/>
      <w:bdr w:val="nil"/>
      <w:lang w:val="en-US" w:eastAsia="en-AU"/>
      <w14:ligatures w14:val="none"/>
    </w:rPr>
  </w:style>
  <w:style w:type="character" w:styleId="Strong">
    <w:name w:val="Strong"/>
    <w:basedOn w:val="DefaultParagraphFont"/>
    <w:uiPriority w:val="22"/>
    <w:qFormat/>
    <w:rsid w:val="00F06730"/>
    <w:rPr>
      <w:b/>
      <w:bCs/>
    </w:rPr>
  </w:style>
  <w:style w:type="table" w:styleId="GridTable4">
    <w:name w:val="Grid Table 4"/>
    <w:basedOn w:val="TableNormal"/>
    <w:uiPriority w:val="49"/>
    <w:rsid w:val="00DF40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2766">
      <w:bodyDiv w:val="1"/>
      <w:marLeft w:val="0"/>
      <w:marRight w:val="0"/>
      <w:marTop w:val="0"/>
      <w:marBottom w:val="0"/>
      <w:divBdr>
        <w:top w:val="none" w:sz="0" w:space="0" w:color="auto"/>
        <w:left w:val="none" w:sz="0" w:space="0" w:color="auto"/>
        <w:bottom w:val="none" w:sz="0" w:space="0" w:color="auto"/>
        <w:right w:val="none" w:sz="0" w:space="0" w:color="auto"/>
      </w:divBdr>
    </w:div>
    <w:div w:id="15471752">
      <w:bodyDiv w:val="1"/>
      <w:marLeft w:val="0"/>
      <w:marRight w:val="0"/>
      <w:marTop w:val="0"/>
      <w:marBottom w:val="0"/>
      <w:divBdr>
        <w:top w:val="none" w:sz="0" w:space="0" w:color="auto"/>
        <w:left w:val="none" w:sz="0" w:space="0" w:color="auto"/>
        <w:bottom w:val="none" w:sz="0" w:space="0" w:color="auto"/>
        <w:right w:val="none" w:sz="0" w:space="0" w:color="auto"/>
      </w:divBdr>
      <w:divsChild>
        <w:div w:id="918245296">
          <w:marLeft w:val="0"/>
          <w:marRight w:val="0"/>
          <w:marTop w:val="0"/>
          <w:marBottom w:val="0"/>
          <w:divBdr>
            <w:top w:val="none" w:sz="0" w:space="0" w:color="auto"/>
            <w:left w:val="none" w:sz="0" w:space="0" w:color="auto"/>
            <w:bottom w:val="none" w:sz="0" w:space="0" w:color="auto"/>
            <w:right w:val="none" w:sz="0" w:space="0" w:color="auto"/>
          </w:divBdr>
        </w:div>
        <w:div w:id="1135372719">
          <w:marLeft w:val="0"/>
          <w:marRight w:val="0"/>
          <w:marTop w:val="0"/>
          <w:marBottom w:val="0"/>
          <w:divBdr>
            <w:top w:val="none" w:sz="0" w:space="0" w:color="auto"/>
            <w:left w:val="none" w:sz="0" w:space="0" w:color="auto"/>
            <w:bottom w:val="none" w:sz="0" w:space="0" w:color="auto"/>
            <w:right w:val="none" w:sz="0" w:space="0" w:color="auto"/>
          </w:divBdr>
        </w:div>
        <w:div w:id="1373579767">
          <w:marLeft w:val="0"/>
          <w:marRight w:val="0"/>
          <w:marTop w:val="0"/>
          <w:marBottom w:val="0"/>
          <w:divBdr>
            <w:top w:val="none" w:sz="0" w:space="0" w:color="auto"/>
            <w:left w:val="none" w:sz="0" w:space="0" w:color="auto"/>
            <w:bottom w:val="none" w:sz="0" w:space="0" w:color="auto"/>
            <w:right w:val="none" w:sz="0" w:space="0" w:color="auto"/>
          </w:divBdr>
        </w:div>
        <w:div w:id="1470122852">
          <w:marLeft w:val="0"/>
          <w:marRight w:val="0"/>
          <w:marTop w:val="0"/>
          <w:marBottom w:val="0"/>
          <w:divBdr>
            <w:top w:val="none" w:sz="0" w:space="0" w:color="auto"/>
            <w:left w:val="none" w:sz="0" w:space="0" w:color="auto"/>
            <w:bottom w:val="none" w:sz="0" w:space="0" w:color="auto"/>
            <w:right w:val="none" w:sz="0" w:space="0" w:color="auto"/>
          </w:divBdr>
        </w:div>
        <w:div w:id="1534222690">
          <w:marLeft w:val="0"/>
          <w:marRight w:val="0"/>
          <w:marTop w:val="0"/>
          <w:marBottom w:val="0"/>
          <w:divBdr>
            <w:top w:val="none" w:sz="0" w:space="0" w:color="auto"/>
            <w:left w:val="none" w:sz="0" w:space="0" w:color="auto"/>
            <w:bottom w:val="none" w:sz="0" w:space="0" w:color="auto"/>
            <w:right w:val="none" w:sz="0" w:space="0" w:color="auto"/>
          </w:divBdr>
        </w:div>
        <w:div w:id="2012220616">
          <w:marLeft w:val="0"/>
          <w:marRight w:val="0"/>
          <w:marTop w:val="0"/>
          <w:marBottom w:val="0"/>
          <w:divBdr>
            <w:top w:val="none" w:sz="0" w:space="0" w:color="auto"/>
            <w:left w:val="none" w:sz="0" w:space="0" w:color="auto"/>
            <w:bottom w:val="none" w:sz="0" w:space="0" w:color="auto"/>
            <w:right w:val="none" w:sz="0" w:space="0" w:color="auto"/>
          </w:divBdr>
        </w:div>
        <w:div w:id="2057586525">
          <w:marLeft w:val="0"/>
          <w:marRight w:val="0"/>
          <w:marTop w:val="0"/>
          <w:marBottom w:val="0"/>
          <w:divBdr>
            <w:top w:val="none" w:sz="0" w:space="0" w:color="auto"/>
            <w:left w:val="none" w:sz="0" w:space="0" w:color="auto"/>
            <w:bottom w:val="none" w:sz="0" w:space="0" w:color="auto"/>
            <w:right w:val="none" w:sz="0" w:space="0" w:color="auto"/>
          </w:divBdr>
        </w:div>
      </w:divsChild>
    </w:div>
    <w:div w:id="18364215">
      <w:bodyDiv w:val="1"/>
      <w:marLeft w:val="0"/>
      <w:marRight w:val="0"/>
      <w:marTop w:val="0"/>
      <w:marBottom w:val="0"/>
      <w:divBdr>
        <w:top w:val="none" w:sz="0" w:space="0" w:color="auto"/>
        <w:left w:val="none" w:sz="0" w:space="0" w:color="auto"/>
        <w:bottom w:val="none" w:sz="0" w:space="0" w:color="auto"/>
        <w:right w:val="none" w:sz="0" w:space="0" w:color="auto"/>
      </w:divBdr>
      <w:divsChild>
        <w:div w:id="1072193169">
          <w:marLeft w:val="0"/>
          <w:marRight w:val="0"/>
          <w:marTop w:val="0"/>
          <w:marBottom w:val="0"/>
          <w:divBdr>
            <w:top w:val="none" w:sz="0" w:space="0" w:color="auto"/>
            <w:left w:val="none" w:sz="0" w:space="0" w:color="auto"/>
            <w:bottom w:val="none" w:sz="0" w:space="0" w:color="auto"/>
            <w:right w:val="none" w:sz="0" w:space="0" w:color="auto"/>
          </w:divBdr>
          <w:divsChild>
            <w:div w:id="14697255">
              <w:marLeft w:val="0"/>
              <w:marRight w:val="0"/>
              <w:marTop w:val="0"/>
              <w:marBottom w:val="0"/>
              <w:divBdr>
                <w:top w:val="none" w:sz="0" w:space="0" w:color="auto"/>
                <w:left w:val="none" w:sz="0" w:space="0" w:color="auto"/>
                <w:bottom w:val="none" w:sz="0" w:space="0" w:color="auto"/>
                <w:right w:val="none" w:sz="0" w:space="0" w:color="auto"/>
              </w:divBdr>
              <w:divsChild>
                <w:div w:id="5126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9301">
      <w:bodyDiv w:val="1"/>
      <w:marLeft w:val="0"/>
      <w:marRight w:val="0"/>
      <w:marTop w:val="0"/>
      <w:marBottom w:val="0"/>
      <w:divBdr>
        <w:top w:val="none" w:sz="0" w:space="0" w:color="auto"/>
        <w:left w:val="none" w:sz="0" w:space="0" w:color="auto"/>
        <w:bottom w:val="none" w:sz="0" w:space="0" w:color="auto"/>
        <w:right w:val="none" w:sz="0" w:space="0" w:color="auto"/>
      </w:divBdr>
    </w:div>
    <w:div w:id="75176055">
      <w:bodyDiv w:val="1"/>
      <w:marLeft w:val="0"/>
      <w:marRight w:val="0"/>
      <w:marTop w:val="0"/>
      <w:marBottom w:val="0"/>
      <w:divBdr>
        <w:top w:val="none" w:sz="0" w:space="0" w:color="auto"/>
        <w:left w:val="none" w:sz="0" w:space="0" w:color="auto"/>
        <w:bottom w:val="none" w:sz="0" w:space="0" w:color="auto"/>
        <w:right w:val="none" w:sz="0" w:space="0" w:color="auto"/>
      </w:divBdr>
      <w:divsChild>
        <w:div w:id="58137104">
          <w:marLeft w:val="0"/>
          <w:marRight w:val="0"/>
          <w:marTop w:val="0"/>
          <w:marBottom w:val="0"/>
          <w:divBdr>
            <w:top w:val="none" w:sz="0" w:space="0" w:color="auto"/>
            <w:left w:val="none" w:sz="0" w:space="0" w:color="auto"/>
            <w:bottom w:val="none" w:sz="0" w:space="0" w:color="auto"/>
            <w:right w:val="none" w:sz="0" w:space="0" w:color="auto"/>
          </w:divBdr>
        </w:div>
        <w:div w:id="140539871">
          <w:marLeft w:val="0"/>
          <w:marRight w:val="0"/>
          <w:marTop w:val="0"/>
          <w:marBottom w:val="0"/>
          <w:divBdr>
            <w:top w:val="none" w:sz="0" w:space="0" w:color="auto"/>
            <w:left w:val="none" w:sz="0" w:space="0" w:color="auto"/>
            <w:bottom w:val="none" w:sz="0" w:space="0" w:color="auto"/>
            <w:right w:val="none" w:sz="0" w:space="0" w:color="auto"/>
          </w:divBdr>
        </w:div>
        <w:div w:id="207962022">
          <w:marLeft w:val="0"/>
          <w:marRight w:val="0"/>
          <w:marTop w:val="0"/>
          <w:marBottom w:val="0"/>
          <w:divBdr>
            <w:top w:val="none" w:sz="0" w:space="0" w:color="auto"/>
            <w:left w:val="none" w:sz="0" w:space="0" w:color="auto"/>
            <w:bottom w:val="none" w:sz="0" w:space="0" w:color="auto"/>
            <w:right w:val="none" w:sz="0" w:space="0" w:color="auto"/>
          </w:divBdr>
        </w:div>
        <w:div w:id="359279785">
          <w:marLeft w:val="0"/>
          <w:marRight w:val="0"/>
          <w:marTop w:val="0"/>
          <w:marBottom w:val="0"/>
          <w:divBdr>
            <w:top w:val="none" w:sz="0" w:space="0" w:color="auto"/>
            <w:left w:val="none" w:sz="0" w:space="0" w:color="auto"/>
            <w:bottom w:val="none" w:sz="0" w:space="0" w:color="auto"/>
            <w:right w:val="none" w:sz="0" w:space="0" w:color="auto"/>
          </w:divBdr>
        </w:div>
        <w:div w:id="830292767">
          <w:marLeft w:val="0"/>
          <w:marRight w:val="0"/>
          <w:marTop w:val="0"/>
          <w:marBottom w:val="0"/>
          <w:divBdr>
            <w:top w:val="none" w:sz="0" w:space="0" w:color="auto"/>
            <w:left w:val="none" w:sz="0" w:space="0" w:color="auto"/>
            <w:bottom w:val="none" w:sz="0" w:space="0" w:color="auto"/>
            <w:right w:val="none" w:sz="0" w:space="0" w:color="auto"/>
          </w:divBdr>
        </w:div>
        <w:div w:id="1375155821">
          <w:marLeft w:val="0"/>
          <w:marRight w:val="0"/>
          <w:marTop w:val="0"/>
          <w:marBottom w:val="0"/>
          <w:divBdr>
            <w:top w:val="none" w:sz="0" w:space="0" w:color="auto"/>
            <w:left w:val="none" w:sz="0" w:space="0" w:color="auto"/>
            <w:bottom w:val="none" w:sz="0" w:space="0" w:color="auto"/>
            <w:right w:val="none" w:sz="0" w:space="0" w:color="auto"/>
          </w:divBdr>
        </w:div>
        <w:div w:id="1417901117">
          <w:marLeft w:val="0"/>
          <w:marRight w:val="0"/>
          <w:marTop w:val="0"/>
          <w:marBottom w:val="0"/>
          <w:divBdr>
            <w:top w:val="none" w:sz="0" w:space="0" w:color="auto"/>
            <w:left w:val="none" w:sz="0" w:space="0" w:color="auto"/>
            <w:bottom w:val="none" w:sz="0" w:space="0" w:color="auto"/>
            <w:right w:val="none" w:sz="0" w:space="0" w:color="auto"/>
          </w:divBdr>
        </w:div>
        <w:div w:id="1420718308">
          <w:marLeft w:val="0"/>
          <w:marRight w:val="0"/>
          <w:marTop w:val="0"/>
          <w:marBottom w:val="0"/>
          <w:divBdr>
            <w:top w:val="none" w:sz="0" w:space="0" w:color="auto"/>
            <w:left w:val="none" w:sz="0" w:space="0" w:color="auto"/>
            <w:bottom w:val="none" w:sz="0" w:space="0" w:color="auto"/>
            <w:right w:val="none" w:sz="0" w:space="0" w:color="auto"/>
          </w:divBdr>
        </w:div>
        <w:div w:id="1706373227">
          <w:marLeft w:val="0"/>
          <w:marRight w:val="0"/>
          <w:marTop w:val="0"/>
          <w:marBottom w:val="0"/>
          <w:divBdr>
            <w:top w:val="none" w:sz="0" w:space="0" w:color="auto"/>
            <w:left w:val="none" w:sz="0" w:space="0" w:color="auto"/>
            <w:bottom w:val="none" w:sz="0" w:space="0" w:color="auto"/>
            <w:right w:val="none" w:sz="0" w:space="0" w:color="auto"/>
          </w:divBdr>
        </w:div>
        <w:div w:id="1830562493">
          <w:marLeft w:val="0"/>
          <w:marRight w:val="0"/>
          <w:marTop w:val="0"/>
          <w:marBottom w:val="0"/>
          <w:divBdr>
            <w:top w:val="none" w:sz="0" w:space="0" w:color="auto"/>
            <w:left w:val="none" w:sz="0" w:space="0" w:color="auto"/>
            <w:bottom w:val="none" w:sz="0" w:space="0" w:color="auto"/>
            <w:right w:val="none" w:sz="0" w:space="0" w:color="auto"/>
          </w:divBdr>
        </w:div>
        <w:div w:id="2040007073">
          <w:marLeft w:val="0"/>
          <w:marRight w:val="0"/>
          <w:marTop w:val="0"/>
          <w:marBottom w:val="0"/>
          <w:divBdr>
            <w:top w:val="none" w:sz="0" w:space="0" w:color="auto"/>
            <w:left w:val="none" w:sz="0" w:space="0" w:color="auto"/>
            <w:bottom w:val="none" w:sz="0" w:space="0" w:color="auto"/>
            <w:right w:val="none" w:sz="0" w:space="0" w:color="auto"/>
          </w:divBdr>
        </w:div>
        <w:div w:id="2066029877">
          <w:marLeft w:val="0"/>
          <w:marRight w:val="0"/>
          <w:marTop w:val="0"/>
          <w:marBottom w:val="0"/>
          <w:divBdr>
            <w:top w:val="none" w:sz="0" w:space="0" w:color="auto"/>
            <w:left w:val="none" w:sz="0" w:space="0" w:color="auto"/>
            <w:bottom w:val="none" w:sz="0" w:space="0" w:color="auto"/>
            <w:right w:val="none" w:sz="0" w:space="0" w:color="auto"/>
          </w:divBdr>
        </w:div>
        <w:div w:id="2087679718">
          <w:marLeft w:val="0"/>
          <w:marRight w:val="0"/>
          <w:marTop w:val="0"/>
          <w:marBottom w:val="0"/>
          <w:divBdr>
            <w:top w:val="none" w:sz="0" w:space="0" w:color="auto"/>
            <w:left w:val="none" w:sz="0" w:space="0" w:color="auto"/>
            <w:bottom w:val="none" w:sz="0" w:space="0" w:color="auto"/>
            <w:right w:val="none" w:sz="0" w:space="0" w:color="auto"/>
          </w:divBdr>
        </w:div>
      </w:divsChild>
    </w:div>
    <w:div w:id="76248153">
      <w:bodyDiv w:val="1"/>
      <w:marLeft w:val="0"/>
      <w:marRight w:val="0"/>
      <w:marTop w:val="0"/>
      <w:marBottom w:val="0"/>
      <w:divBdr>
        <w:top w:val="none" w:sz="0" w:space="0" w:color="auto"/>
        <w:left w:val="none" w:sz="0" w:space="0" w:color="auto"/>
        <w:bottom w:val="none" w:sz="0" w:space="0" w:color="auto"/>
        <w:right w:val="none" w:sz="0" w:space="0" w:color="auto"/>
      </w:divBdr>
    </w:div>
    <w:div w:id="78185853">
      <w:bodyDiv w:val="1"/>
      <w:marLeft w:val="0"/>
      <w:marRight w:val="0"/>
      <w:marTop w:val="0"/>
      <w:marBottom w:val="0"/>
      <w:divBdr>
        <w:top w:val="none" w:sz="0" w:space="0" w:color="auto"/>
        <w:left w:val="none" w:sz="0" w:space="0" w:color="auto"/>
        <w:bottom w:val="none" w:sz="0" w:space="0" w:color="auto"/>
        <w:right w:val="none" w:sz="0" w:space="0" w:color="auto"/>
      </w:divBdr>
    </w:div>
    <w:div w:id="83037592">
      <w:bodyDiv w:val="1"/>
      <w:marLeft w:val="0"/>
      <w:marRight w:val="0"/>
      <w:marTop w:val="0"/>
      <w:marBottom w:val="0"/>
      <w:divBdr>
        <w:top w:val="none" w:sz="0" w:space="0" w:color="auto"/>
        <w:left w:val="none" w:sz="0" w:space="0" w:color="auto"/>
        <w:bottom w:val="none" w:sz="0" w:space="0" w:color="auto"/>
        <w:right w:val="none" w:sz="0" w:space="0" w:color="auto"/>
      </w:divBdr>
    </w:div>
    <w:div w:id="89206541">
      <w:bodyDiv w:val="1"/>
      <w:marLeft w:val="0"/>
      <w:marRight w:val="0"/>
      <w:marTop w:val="0"/>
      <w:marBottom w:val="0"/>
      <w:divBdr>
        <w:top w:val="none" w:sz="0" w:space="0" w:color="auto"/>
        <w:left w:val="none" w:sz="0" w:space="0" w:color="auto"/>
        <w:bottom w:val="none" w:sz="0" w:space="0" w:color="auto"/>
        <w:right w:val="none" w:sz="0" w:space="0" w:color="auto"/>
      </w:divBdr>
    </w:div>
    <w:div w:id="120880418">
      <w:bodyDiv w:val="1"/>
      <w:marLeft w:val="0"/>
      <w:marRight w:val="0"/>
      <w:marTop w:val="0"/>
      <w:marBottom w:val="0"/>
      <w:divBdr>
        <w:top w:val="none" w:sz="0" w:space="0" w:color="auto"/>
        <w:left w:val="none" w:sz="0" w:space="0" w:color="auto"/>
        <w:bottom w:val="none" w:sz="0" w:space="0" w:color="auto"/>
        <w:right w:val="none" w:sz="0" w:space="0" w:color="auto"/>
      </w:divBdr>
      <w:divsChild>
        <w:div w:id="622081898">
          <w:marLeft w:val="0"/>
          <w:marRight w:val="0"/>
          <w:marTop w:val="0"/>
          <w:marBottom w:val="0"/>
          <w:divBdr>
            <w:top w:val="none" w:sz="0" w:space="0" w:color="auto"/>
            <w:left w:val="none" w:sz="0" w:space="0" w:color="auto"/>
            <w:bottom w:val="none" w:sz="0" w:space="0" w:color="auto"/>
            <w:right w:val="none" w:sz="0" w:space="0" w:color="auto"/>
          </w:divBdr>
        </w:div>
      </w:divsChild>
    </w:div>
    <w:div w:id="148182419">
      <w:bodyDiv w:val="1"/>
      <w:marLeft w:val="0"/>
      <w:marRight w:val="0"/>
      <w:marTop w:val="0"/>
      <w:marBottom w:val="0"/>
      <w:divBdr>
        <w:top w:val="none" w:sz="0" w:space="0" w:color="auto"/>
        <w:left w:val="none" w:sz="0" w:space="0" w:color="auto"/>
        <w:bottom w:val="none" w:sz="0" w:space="0" w:color="auto"/>
        <w:right w:val="none" w:sz="0" w:space="0" w:color="auto"/>
      </w:divBdr>
    </w:div>
    <w:div w:id="156193050">
      <w:bodyDiv w:val="1"/>
      <w:marLeft w:val="0"/>
      <w:marRight w:val="0"/>
      <w:marTop w:val="0"/>
      <w:marBottom w:val="0"/>
      <w:divBdr>
        <w:top w:val="none" w:sz="0" w:space="0" w:color="auto"/>
        <w:left w:val="none" w:sz="0" w:space="0" w:color="auto"/>
        <w:bottom w:val="none" w:sz="0" w:space="0" w:color="auto"/>
        <w:right w:val="none" w:sz="0" w:space="0" w:color="auto"/>
      </w:divBdr>
    </w:div>
    <w:div w:id="160705486">
      <w:bodyDiv w:val="1"/>
      <w:marLeft w:val="0"/>
      <w:marRight w:val="0"/>
      <w:marTop w:val="0"/>
      <w:marBottom w:val="0"/>
      <w:divBdr>
        <w:top w:val="none" w:sz="0" w:space="0" w:color="auto"/>
        <w:left w:val="none" w:sz="0" w:space="0" w:color="auto"/>
        <w:bottom w:val="none" w:sz="0" w:space="0" w:color="auto"/>
        <w:right w:val="none" w:sz="0" w:space="0" w:color="auto"/>
      </w:divBdr>
      <w:divsChild>
        <w:div w:id="2079591995">
          <w:marLeft w:val="0"/>
          <w:marRight w:val="0"/>
          <w:marTop w:val="0"/>
          <w:marBottom w:val="0"/>
          <w:divBdr>
            <w:top w:val="none" w:sz="0" w:space="0" w:color="auto"/>
            <w:left w:val="none" w:sz="0" w:space="0" w:color="auto"/>
            <w:bottom w:val="none" w:sz="0" w:space="0" w:color="auto"/>
            <w:right w:val="none" w:sz="0" w:space="0" w:color="auto"/>
          </w:divBdr>
          <w:divsChild>
            <w:div w:id="1495955628">
              <w:marLeft w:val="0"/>
              <w:marRight w:val="0"/>
              <w:marTop w:val="0"/>
              <w:marBottom w:val="0"/>
              <w:divBdr>
                <w:top w:val="none" w:sz="0" w:space="0" w:color="auto"/>
                <w:left w:val="none" w:sz="0" w:space="0" w:color="auto"/>
                <w:bottom w:val="none" w:sz="0" w:space="0" w:color="auto"/>
                <w:right w:val="none" w:sz="0" w:space="0" w:color="auto"/>
              </w:divBdr>
              <w:divsChild>
                <w:div w:id="1135177117">
                  <w:marLeft w:val="0"/>
                  <w:marRight w:val="0"/>
                  <w:marTop w:val="0"/>
                  <w:marBottom w:val="0"/>
                  <w:divBdr>
                    <w:top w:val="none" w:sz="0" w:space="0" w:color="auto"/>
                    <w:left w:val="none" w:sz="0" w:space="0" w:color="auto"/>
                    <w:bottom w:val="none" w:sz="0" w:space="0" w:color="auto"/>
                    <w:right w:val="none" w:sz="0" w:space="0" w:color="auto"/>
                  </w:divBdr>
                  <w:divsChild>
                    <w:div w:id="342514529">
                      <w:marLeft w:val="0"/>
                      <w:marRight w:val="0"/>
                      <w:marTop w:val="0"/>
                      <w:marBottom w:val="0"/>
                      <w:divBdr>
                        <w:top w:val="none" w:sz="0" w:space="0" w:color="auto"/>
                        <w:left w:val="none" w:sz="0" w:space="0" w:color="auto"/>
                        <w:bottom w:val="none" w:sz="0" w:space="0" w:color="auto"/>
                        <w:right w:val="none" w:sz="0" w:space="0" w:color="auto"/>
                      </w:divBdr>
                      <w:divsChild>
                        <w:div w:id="142159709">
                          <w:marLeft w:val="0"/>
                          <w:marRight w:val="0"/>
                          <w:marTop w:val="0"/>
                          <w:marBottom w:val="0"/>
                          <w:divBdr>
                            <w:top w:val="none" w:sz="0" w:space="0" w:color="auto"/>
                            <w:left w:val="none" w:sz="0" w:space="0" w:color="auto"/>
                            <w:bottom w:val="none" w:sz="0" w:space="0" w:color="auto"/>
                            <w:right w:val="none" w:sz="0" w:space="0" w:color="auto"/>
                          </w:divBdr>
                          <w:divsChild>
                            <w:div w:id="4580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9047">
      <w:bodyDiv w:val="1"/>
      <w:marLeft w:val="0"/>
      <w:marRight w:val="0"/>
      <w:marTop w:val="0"/>
      <w:marBottom w:val="0"/>
      <w:divBdr>
        <w:top w:val="none" w:sz="0" w:space="0" w:color="auto"/>
        <w:left w:val="none" w:sz="0" w:space="0" w:color="auto"/>
        <w:bottom w:val="none" w:sz="0" w:space="0" w:color="auto"/>
        <w:right w:val="none" w:sz="0" w:space="0" w:color="auto"/>
      </w:divBdr>
    </w:div>
    <w:div w:id="215898431">
      <w:bodyDiv w:val="1"/>
      <w:marLeft w:val="0"/>
      <w:marRight w:val="0"/>
      <w:marTop w:val="0"/>
      <w:marBottom w:val="0"/>
      <w:divBdr>
        <w:top w:val="none" w:sz="0" w:space="0" w:color="auto"/>
        <w:left w:val="none" w:sz="0" w:space="0" w:color="auto"/>
        <w:bottom w:val="none" w:sz="0" w:space="0" w:color="auto"/>
        <w:right w:val="none" w:sz="0" w:space="0" w:color="auto"/>
      </w:divBdr>
    </w:div>
    <w:div w:id="244996890">
      <w:bodyDiv w:val="1"/>
      <w:marLeft w:val="0"/>
      <w:marRight w:val="0"/>
      <w:marTop w:val="0"/>
      <w:marBottom w:val="0"/>
      <w:divBdr>
        <w:top w:val="none" w:sz="0" w:space="0" w:color="auto"/>
        <w:left w:val="none" w:sz="0" w:space="0" w:color="auto"/>
        <w:bottom w:val="none" w:sz="0" w:space="0" w:color="auto"/>
        <w:right w:val="none" w:sz="0" w:space="0" w:color="auto"/>
      </w:divBdr>
    </w:div>
    <w:div w:id="246967622">
      <w:bodyDiv w:val="1"/>
      <w:marLeft w:val="0"/>
      <w:marRight w:val="0"/>
      <w:marTop w:val="0"/>
      <w:marBottom w:val="0"/>
      <w:divBdr>
        <w:top w:val="none" w:sz="0" w:space="0" w:color="auto"/>
        <w:left w:val="none" w:sz="0" w:space="0" w:color="auto"/>
        <w:bottom w:val="none" w:sz="0" w:space="0" w:color="auto"/>
        <w:right w:val="none" w:sz="0" w:space="0" w:color="auto"/>
      </w:divBdr>
    </w:div>
    <w:div w:id="253975686">
      <w:bodyDiv w:val="1"/>
      <w:marLeft w:val="0"/>
      <w:marRight w:val="0"/>
      <w:marTop w:val="0"/>
      <w:marBottom w:val="0"/>
      <w:divBdr>
        <w:top w:val="none" w:sz="0" w:space="0" w:color="auto"/>
        <w:left w:val="none" w:sz="0" w:space="0" w:color="auto"/>
        <w:bottom w:val="none" w:sz="0" w:space="0" w:color="auto"/>
        <w:right w:val="none" w:sz="0" w:space="0" w:color="auto"/>
      </w:divBdr>
    </w:div>
    <w:div w:id="263730491">
      <w:bodyDiv w:val="1"/>
      <w:marLeft w:val="0"/>
      <w:marRight w:val="0"/>
      <w:marTop w:val="0"/>
      <w:marBottom w:val="0"/>
      <w:divBdr>
        <w:top w:val="none" w:sz="0" w:space="0" w:color="auto"/>
        <w:left w:val="none" w:sz="0" w:space="0" w:color="auto"/>
        <w:bottom w:val="none" w:sz="0" w:space="0" w:color="auto"/>
        <w:right w:val="none" w:sz="0" w:space="0" w:color="auto"/>
      </w:divBdr>
    </w:div>
    <w:div w:id="271212262">
      <w:bodyDiv w:val="1"/>
      <w:marLeft w:val="0"/>
      <w:marRight w:val="0"/>
      <w:marTop w:val="0"/>
      <w:marBottom w:val="0"/>
      <w:divBdr>
        <w:top w:val="none" w:sz="0" w:space="0" w:color="auto"/>
        <w:left w:val="none" w:sz="0" w:space="0" w:color="auto"/>
        <w:bottom w:val="none" w:sz="0" w:space="0" w:color="auto"/>
        <w:right w:val="none" w:sz="0" w:space="0" w:color="auto"/>
      </w:divBdr>
    </w:div>
    <w:div w:id="274211315">
      <w:bodyDiv w:val="1"/>
      <w:marLeft w:val="0"/>
      <w:marRight w:val="0"/>
      <w:marTop w:val="0"/>
      <w:marBottom w:val="0"/>
      <w:divBdr>
        <w:top w:val="none" w:sz="0" w:space="0" w:color="auto"/>
        <w:left w:val="none" w:sz="0" w:space="0" w:color="auto"/>
        <w:bottom w:val="none" w:sz="0" w:space="0" w:color="auto"/>
        <w:right w:val="none" w:sz="0" w:space="0" w:color="auto"/>
      </w:divBdr>
    </w:div>
    <w:div w:id="275842077">
      <w:bodyDiv w:val="1"/>
      <w:marLeft w:val="0"/>
      <w:marRight w:val="0"/>
      <w:marTop w:val="0"/>
      <w:marBottom w:val="0"/>
      <w:divBdr>
        <w:top w:val="none" w:sz="0" w:space="0" w:color="auto"/>
        <w:left w:val="none" w:sz="0" w:space="0" w:color="auto"/>
        <w:bottom w:val="none" w:sz="0" w:space="0" w:color="auto"/>
        <w:right w:val="none" w:sz="0" w:space="0" w:color="auto"/>
      </w:divBdr>
    </w:div>
    <w:div w:id="286742099">
      <w:bodyDiv w:val="1"/>
      <w:marLeft w:val="0"/>
      <w:marRight w:val="0"/>
      <w:marTop w:val="0"/>
      <w:marBottom w:val="0"/>
      <w:divBdr>
        <w:top w:val="none" w:sz="0" w:space="0" w:color="auto"/>
        <w:left w:val="none" w:sz="0" w:space="0" w:color="auto"/>
        <w:bottom w:val="none" w:sz="0" w:space="0" w:color="auto"/>
        <w:right w:val="none" w:sz="0" w:space="0" w:color="auto"/>
      </w:divBdr>
      <w:divsChild>
        <w:div w:id="168060061">
          <w:marLeft w:val="0"/>
          <w:marRight w:val="0"/>
          <w:marTop w:val="0"/>
          <w:marBottom w:val="0"/>
          <w:divBdr>
            <w:top w:val="none" w:sz="0" w:space="0" w:color="auto"/>
            <w:left w:val="none" w:sz="0" w:space="0" w:color="auto"/>
            <w:bottom w:val="none" w:sz="0" w:space="0" w:color="auto"/>
            <w:right w:val="none" w:sz="0" w:space="0" w:color="auto"/>
          </w:divBdr>
        </w:div>
        <w:div w:id="1961641415">
          <w:marLeft w:val="0"/>
          <w:marRight w:val="0"/>
          <w:marTop w:val="0"/>
          <w:marBottom w:val="0"/>
          <w:divBdr>
            <w:top w:val="none" w:sz="0" w:space="0" w:color="auto"/>
            <w:left w:val="none" w:sz="0" w:space="0" w:color="auto"/>
            <w:bottom w:val="none" w:sz="0" w:space="0" w:color="auto"/>
            <w:right w:val="none" w:sz="0" w:space="0" w:color="auto"/>
          </w:divBdr>
        </w:div>
      </w:divsChild>
    </w:div>
    <w:div w:id="290016553">
      <w:bodyDiv w:val="1"/>
      <w:marLeft w:val="0"/>
      <w:marRight w:val="0"/>
      <w:marTop w:val="0"/>
      <w:marBottom w:val="0"/>
      <w:divBdr>
        <w:top w:val="none" w:sz="0" w:space="0" w:color="auto"/>
        <w:left w:val="none" w:sz="0" w:space="0" w:color="auto"/>
        <w:bottom w:val="none" w:sz="0" w:space="0" w:color="auto"/>
        <w:right w:val="none" w:sz="0" w:space="0" w:color="auto"/>
      </w:divBdr>
      <w:divsChild>
        <w:div w:id="280452951">
          <w:marLeft w:val="0"/>
          <w:marRight w:val="0"/>
          <w:marTop w:val="0"/>
          <w:marBottom w:val="0"/>
          <w:divBdr>
            <w:top w:val="none" w:sz="0" w:space="0" w:color="auto"/>
            <w:left w:val="none" w:sz="0" w:space="0" w:color="auto"/>
            <w:bottom w:val="none" w:sz="0" w:space="0" w:color="auto"/>
            <w:right w:val="none" w:sz="0" w:space="0" w:color="auto"/>
          </w:divBdr>
        </w:div>
        <w:div w:id="583997840">
          <w:marLeft w:val="0"/>
          <w:marRight w:val="0"/>
          <w:marTop w:val="0"/>
          <w:marBottom w:val="0"/>
          <w:divBdr>
            <w:top w:val="none" w:sz="0" w:space="0" w:color="auto"/>
            <w:left w:val="none" w:sz="0" w:space="0" w:color="auto"/>
            <w:bottom w:val="none" w:sz="0" w:space="0" w:color="auto"/>
            <w:right w:val="none" w:sz="0" w:space="0" w:color="auto"/>
          </w:divBdr>
        </w:div>
        <w:div w:id="819229960">
          <w:marLeft w:val="0"/>
          <w:marRight w:val="0"/>
          <w:marTop w:val="0"/>
          <w:marBottom w:val="0"/>
          <w:divBdr>
            <w:top w:val="none" w:sz="0" w:space="0" w:color="auto"/>
            <w:left w:val="none" w:sz="0" w:space="0" w:color="auto"/>
            <w:bottom w:val="none" w:sz="0" w:space="0" w:color="auto"/>
            <w:right w:val="none" w:sz="0" w:space="0" w:color="auto"/>
          </w:divBdr>
        </w:div>
        <w:div w:id="923690038">
          <w:marLeft w:val="0"/>
          <w:marRight w:val="0"/>
          <w:marTop w:val="0"/>
          <w:marBottom w:val="0"/>
          <w:divBdr>
            <w:top w:val="none" w:sz="0" w:space="0" w:color="auto"/>
            <w:left w:val="none" w:sz="0" w:space="0" w:color="auto"/>
            <w:bottom w:val="none" w:sz="0" w:space="0" w:color="auto"/>
            <w:right w:val="none" w:sz="0" w:space="0" w:color="auto"/>
          </w:divBdr>
        </w:div>
        <w:div w:id="1172182472">
          <w:marLeft w:val="0"/>
          <w:marRight w:val="0"/>
          <w:marTop w:val="0"/>
          <w:marBottom w:val="0"/>
          <w:divBdr>
            <w:top w:val="none" w:sz="0" w:space="0" w:color="auto"/>
            <w:left w:val="none" w:sz="0" w:space="0" w:color="auto"/>
            <w:bottom w:val="none" w:sz="0" w:space="0" w:color="auto"/>
            <w:right w:val="none" w:sz="0" w:space="0" w:color="auto"/>
          </w:divBdr>
        </w:div>
        <w:div w:id="1726179519">
          <w:marLeft w:val="0"/>
          <w:marRight w:val="0"/>
          <w:marTop w:val="0"/>
          <w:marBottom w:val="0"/>
          <w:divBdr>
            <w:top w:val="none" w:sz="0" w:space="0" w:color="auto"/>
            <w:left w:val="none" w:sz="0" w:space="0" w:color="auto"/>
            <w:bottom w:val="none" w:sz="0" w:space="0" w:color="auto"/>
            <w:right w:val="none" w:sz="0" w:space="0" w:color="auto"/>
          </w:divBdr>
        </w:div>
        <w:div w:id="1781338586">
          <w:marLeft w:val="0"/>
          <w:marRight w:val="0"/>
          <w:marTop w:val="0"/>
          <w:marBottom w:val="0"/>
          <w:divBdr>
            <w:top w:val="none" w:sz="0" w:space="0" w:color="auto"/>
            <w:left w:val="none" w:sz="0" w:space="0" w:color="auto"/>
            <w:bottom w:val="none" w:sz="0" w:space="0" w:color="auto"/>
            <w:right w:val="none" w:sz="0" w:space="0" w:color="auto"/>
          </w:divBdr>
        </w:div>
      </w:divsChild>
    </w:div>
    <w:div w:id="316299818">
      <w:bodyDiv w:val="1"/>
      <w:marLeft w:val="0"/>
      <w:marRight w:val="0"/>
      <w:marTop w:val="0"/>
      <w:marBottom w:val="0"/>
      <w:divBdr>
        <w:top w:val="none" w:sz="0" w:space="0" w:color="auto"/>
        <w:left w:val="none" w:sz="0" w:space="0" w:color="auto"/>
        <w:bottom w:val="none" w:sz="0" w:space="0" w:color="auto"/>
        <w:right w:val="none" w:sz="0" w:space="0" w:color="auto"/>
      </w:divBdr>
    </w:div>
    <w:div w:id="342362433">
      <w:bodyDiv w:val="1"/>
      <w:marLeft w:val="0"/>
      <w:marRight w:val="0"/>
      <w:marTop w:val="0"/>
      <w:marBottom w:val="0"/>
      <w:divBdr>
        <w:top w:val="none" w:sz="0" w:space="0" w:color="auto"/>
        <w:left w:val="none" w:sz="0" w:space="0" w:color="auto"/>
        <w:bottom w:val="none" w:sz="0" w:space="0" w:color="auto"/>
        <w:right w:val="none" w:sz="0" w:space="0" w:color="auto"/>
      </w:divBdr>
    </w:div>
    <w:div w:id="344096700">
      <w:bodyDiv w:val="1"/>
      <w:marLeft w:val="0"/>
      <w:marRight w:val="0"/>
      <w:marTop w:val="0"/>
      <w:marBottom w:val="0"/>
      <w:divBdr>
        <w:top w:val="none" w:sz="0" w:space="0" w:color="auto"/>
        <w:left w:val="none" w:sz="0" w:space="0" w:color="auto"/>
        <w:bottom w:val="none" w:sz="0" w:space="0" w:color="auto"/>
        <w:right w:val="none" w:sz="0" w:space="0" w:color="auto"/>
      </w:divBdr>
      <w:divsChild>
        <w:div w:id="82073842">
          <w:marLeft w:val="0"/>
          <w:marRight w:val="0"/>
          <w:marTop w:val="0"/>
          <w:marBottom w:val="0"/>
          <w:divBdr>
            <w:top w:val="none" w:sz="0" w:space="0" w:color="auto"/>
            <w:left w:val="none" w:sz="0" w:space="0" w:color="auto"/>
            <w:bottom w:val="none" w:sz="0" w:space="0" w:color="auto"/>
            <w:right w:val="none" w:sz="0" w:space="0" w:color="auto"/>
          </w:divBdr>
        </w:div>
        <w:div w:id="390621561">
          <w:marLeft w:val="0"/>
          <w:marRight w:val="0"/>
          <w:marTop w:val="0"/>
          <w:marBottom w:val="0"/>
          <w:divBdr>
            <w:top w:val="none" w:sz="0" w:space="0" w:color="auto"/>
            <w:left w:val="none" w:sz="0" w:space="0" w:color="auto"/>
            <w:bottom w:val="none" w:sz="0" w:space="0" w:color="auto"/>
            <w:right w:val="none" w:sz="0" w:space="0" w:color="auto"/>
          </w:divBdr>
        </w:div>
        <w:div w:id="420493713">
          <w:marLeft w:val="0"/>
          <w:marRight w:val="0"/>
          <w:marTop w:val="0"/>
          <w:marBottom w:val="0"/>
          <w:divBdr>
            <w:top w:val="none" w:sz="0" w:space="0" w:color="auto"/>
            <w:left w:val="none" w:sz="0" w:space="0" w:color="auto"/>
            <w:bottom w:val="none" w:sz="0" w:space="0" w:color="auto"/>
            <w:right w:val="none" w:sz="0" w:space="0" w:color="auto"/>
          </w:divBdr>
        </w:div>
        <w:div w:id="824392308">
          <w:marLeft w:val="0"/>
          <w:marRight w:val="0"/>
          <w:marTop w:val="0"/>
          <w:marBottom w:val="0"/>
          <w:divBdr>
            <w:top w:val="none" w:sz="0" w:space="0" w:color="auto"/>
            <w:left w:val="none" w:sz="0" w:space="0" w:color="auto"/>
            <w:bottom w:val="none" w:sz="0" w:space="0" w:color="auto"/>
            <w:right w:val="none" w:sz="0" w:space="0" w:color="auto"/>
          </w:divBdr>
        </w:div>
        <w:div w:id="839930343">
          <w:marLeft w:val="0"/>
          <w:marRight w:val="0"/>
          <w:marTop w:val="0"/>
          <w:marBottom w:val="0"/>
          <w:divBdr>
            <w:top w:val="none" w:sz="0" w:space="0" w:color="auto"/>
            <w:left w:val="none" w:sz="0" w:space="0" w:color="auto"/>
            <w:bottom w:val="none" w:sz="0" w:space="0" w:color="auto"/>
            <w:right w:val="none" w:sz="0" w:space="0" w:color="auto"/>
          </w:divBdr>
        </w:div>
        <w:div w:id="892932814">
          <w:marLeft w:val="0"/>
          <w:marRight w:val="0"/>
          <w:marTop w:val="0"/>
          <w:marBottom w:val="0"/>
          <w:divBdr>
            <w:top w:val="none" w:sz="0" w:space="0" w:color="auto"/>
            <w:left w:val="none" w:sz="0" w:space="0" w:color="auto"/>
            <w:bottom w:val="none" w:sz="0" w:space="0" w:color="auto"/>
            <w:right w:val="none" w:sz="0" w:space="0" w:color="auto"/>
          </w:divBdr>
        </w:div>
        <w:div w:id="1334994195">
          <w:marLeft w:val="0"/>
          <w:marRight w:val="0"/>
          <w:marTop w:val="0"/>
          <w:marBottom w:val="0"/>
          <w:divBdr>
            <w:top w:val="none" w:sz="0" w:space="0" w:color="auto"/>
            <w:left w:val="none" w:sz="0" w:space="0" w:color="auto"/>
            <w:bottom w:val="none" w:sz="0" w:space="0" w:color="auto"/>
            <w:right w:val="none" w:sz="0" w:space="0" w:color="auto"/>
          </w:divBdr>
        </w:div>
        <w:div w:id="1450510413">
          <w:marLeft w:val="0"/>
          <w:marRight w:val="0"/>
          <w:marTop w:val="0"/>
          <w:marBottom w:val="0"/>
          <w:divBdr>
            <w:top w:val="none" w:sz="0" w:space="0" w:color="auto"/>
            <w:left w:val="none" w:sz="0" w:space="0" w:color="auto"/>
            <w:bottom w:val="none" w:sz="0" w:space="0" w:color="auto"/>
            <w:right w:val="none" w:sz="0" w:space="0" w:color="auto"/>
          </w:divBdr>
        </w:div>
        <w:div w:id="1484618912">
          <w:marLeft w:val="0"/>
          <w:marRight w:val="0"/>
          <w:marTop w:val="0"/>
          <w:marBottom w:val="0"/>
          <w:divBdr>
            <w:top w:val="none" w:sz="0" w:space="0" w:color="auto"/>
            <w:left w:val="none" w:sz="0" w:space="0" w:color="auto"/>
            <w:bottom w:val="none" w:sz="0" w:space="0" w:color="auto"/>
            <w:right w:val="none" w:sz="0" w:space="0" w:color="auto"/>
          </w:divBdr>
        </w:div>
        <w:div w:id="1745491104">
          <w:marLeft w:val="0"/>
          <w:marRight w:val="0"/>
          <w:marTop w:val="0"/>
          <w:marBottom w:val="0"/>
          <w:divBdr>
            <w:top w:val="none" w:sz="0" w:space="0" w:color="auto"/>
            <w:left w:val="none" w:sz="0" w:space="0" w:color="auto"/>
            <w:bottom w:val="none" w:sz="0" w:space="0" w:color="auto"/>
            <w:right w:val="none" w:sz="0" w:space="0" w:color="auto"/>
          </w:divBdr>
        </w:div>
        <w:div w:id="1881168676">
          <w:marLeft w:val="0"/>
          <w:marRight w:val="0"/>
          <w:marTop w:val="0"/>
          <w:marBottom w:val="0"/>
          <w:divBdr>
            <w:top w:val="none" w:sz="0" w:space="0" w:color="auto"/>
            <w:left w:val="none" w:sz="0" w:space="0" w:color="auto"/>
            <w:bottom w:val="none" w:sz="0" w:space="0" w:color="auto"/>
            <w:right w:val="none" w:sz="0" w:space="0" w:color="auto"/>
          </w:divBdr>
        </w:div>
        <w:div w:id="1972855395">
          <w:marLeft w:val="0"/>
          <w:marRight w:val="0"/>
          <w:marTop w:val="0"/>
          <w:marBottom w:val="0"/>
          <w:divBdr>
            <w:top w:val="none" w:sz="0" w:space="0" w:color="auto"/>
            <w:left w:val="none" w:sz="0" w:space="0" w:color="auto"/>
            <w:bottom w:val="none" w:sz="0" w:space="0" w:color="auto"/>
            <w:right w:val="none" w:sz="0" w:space="0" w:color="auto"/>
          </w:divBdr>
        </w:div>
        <w:div w:id="1987779505">
          <w:marLeft w:val="0"/>
          <w:marRight w:val="0"/>
          <w:marTop w:val="0"/>
          <w:marBottom w:val="0"/>
          <w:divBdr>
            <w:top w:val="none" w:sz="0" w:space="0" w:color="auto"/>
            <w:left w:val="none" w:sz="0" w:space="0" w:color="auto"/>
            <w:bottom w:val="none" w:sz="0" w:space="0" w:color="auto"/>
            <w:right w:val="none" w:sz="0" w:space="0" w:color="auto"/>
          </w:divBdr>
        </w:div>
        <w:div w:id="2018388184">
          <w:marLeft w:val="0"/>
          <w:marRight w:val="0"/>
          <w:marTop w:val="0"/>
          <w:marBottom w:val="0"/>
          <w:divBdr>
            <w:top w:val="none" w:sz="0" w:space="0" w:color="auto"/>
            <w:left w:val="none" w:sz="0" w:space="0" w:color="auto"/>
            <w:bottom w:val="none" w:sz="0" w:space="0" w:color="auto"/>
            <w:right w:val="none" w:sz="0" w:space="0" w:color="auto"/>
          </w:divBdr>
        </w:div>
      </w:divsChild>
    </w:div>
    <w:div w:id="351881859">
      <w:bodyDiv w:val="1"/>
      <w:marLeft w:val="0"/>
      <w:marRight w:val="0"/>
      <w:marTop w:val="0"/>
      <w:marBottom w:val="0"/>
      <w:divBdr>
        <w:top w:val="none" w:sz="0" w:space="0" w:color="auto"/>
        <w:left w:val="none" w:sz="0" w:space="0" w:color="auto"/>
        <w:bottom w:val="none" w:sz="0" w:space="0" w:color="auto"/>
        <w:right w:val="none" w:sz="0" w:space="0" w:color="auto"/>
      </w:divBdr>
    </w:div>
    <w:div w:id="368336001">
      <w:bodyDiv w:val="1"/>
      <w:marLeft w:val="0"/>
      <w:marRight w:val="0"/>
      <w:marTop w:val="0"/>
      <w:marBottom w:val="0"/>
      <w:divBdr>
        <w:top w:val="none" w:sz="0" w:space="0" w:color="auto"/>
        <w:left w:val="none" w:sz="0" w:space="0" w:color="auto"/>
        <w:bottom w:val="none" w:sz="0" w:space="0" w:color="auto"/>
        <w:right w:val="none" w:sz="0" w:space="0" w:color="auto"/>
      </w:divBdr>
    </w:div>
    <w:div w:id="372340860">
      <w:bodyDiv w:val="1"/>
      <w:marLeft w:val="0"/>
      <w:marRight w:val="0"/>
      <w:marTop w:val="0"/>
      <w:marBottom w:val="0"/>
      <w:divBdr>
        <w:top w:val="none" w:sz="0" w:space="0" w:color="auto"/>
        <w:left w:val="none" w:sz="0" w:space="0" w:color="auto"/>
        <w:bottom w:val="none" w:sz="0" w:space="0" w:color="auto"/>
        <w:right w:val="none" w:sz="0" w:space="0" w:color="auto"/>
      </w:divBdr>
    </w:div>
    <w:div w:id="375590568">
      <w:bodyDiv w:val="1"/>
      <w:marLeft w:val="0"/>
      <w:marRight w:val="0"/>
      <w:marTop w:val="0"/>
      <w:marBottom w:val="0"/>
      <w:divBdr>
        <w:top w:val="none" w:sz="0" w:space="0" w:color="auto"/>
        <w:left w:val="none" w:sz="0" w:space="0" w:color="auto"/>
        <w:bottom w:val="none" w:sz="0" w:space="0" w:color="auto"/>
        <w:right w:val="none" w:sz="0" w:space="0" w:color="auto"/>
      </w:divBdr>
      <w:divsChild>
        <w:div w:id="545527303">
          <w:marLeft w:val="0"/>
          <w:marRight w:val="0"/>
          <w:marTop w:val="0"/>
          <w:marBottom w:val="0"/>
          <w:divBdr>
            <w:top w:val="none" w:sz="0" w:space="0" w:color="auto"/>
            <w:left w:val="none" w:sz="0" w:space="0" w:color="auto"/>
            <w:bottom w:val="none" w:sz="0" w:space="0" w:color="auto"/>
            <w:right w:val="none" w:sz="0" w:space="0" w:color="auto"/>
          </w:divBdr>
        </w:div>
        <w:div w:id="1558131008">
          <w:marLeft w:val="0"/>
          <w:marRight w:val="0"/>
          <w:marTop w:val="0"/>
          <w:marBottom w:val="0"/>
          <w:divBdr>
            <w:top w:val="none" w:sz="0" w:space="0" w:color="auto"/>
            <w:left w:val="none" w:sz="0" w:space="0" w:color="auto"/>
            <w:bottom w:val="none" w:sz="0" w:space="0" w:color="auto"/>
            <w:right w:val="none" w:sz="0" w:space="0" w:color="auto"/>
          </w:divBdr>
        </w:div>
        <w:div w:id="1858814230">
          <w:marLeft w:val="0"/>
          <w:marRight w:val="0"/>
          <w:marTop w:val="0"/>
          <w:marBottom w:val="0"/>
          <w:divBdr>
            <w:top w:val="none" w:sz="0" w:space="0" w:color="auto"/>
            <w:left w:val="none" w:sz="0" w:space="0" w:color="auto"/>
            <w:bottom w:val="none" w:sz="0" w:space="0" w:color="auto"/>
            <w:right w:val="none" w:sz="0" w:space="0" w:color="auto"/>
          </w:divBdr>
        </w:div>
        <w:div w:id="2116561040">
          <w:marLeft w:val="0"/>
          <w:marRight w:val="0"/>
          <w:marTop w:val="0"/>
          <w:marBottom w:val="0"/>
          <w:divBdr>
            <w:top w:val="none" w:sz="0" w:space="0" w:color="auto"/>
            <w:left w:val="none" w:sz="0" w:space="0" w:color="auto"/>
            <w:bottom w:val="none" w:sz="0" w:space="0" w:color="auto"/>
            <w:right w:val="none" w:sz="0" w:space="0" w:color="auto"/>
          </w:divBdr>
        </w:div>
      </w:divsChild>
    </w:div>
    <w:div w:id="377291141">
      <w:bodyDiv w:val="1"/>
      <w:marLeft w:val="0"/>
      <w:marRight w:val="0"/>
      <w:marTop w:val="0"/>
      <w:marBottom w:val="0"/>
      <w:divBdr>
        <w:top w:val="none" w:sz="0" w:space="0" w:color="auto"/>
        <w:left w:val="none" w:sz="0" w:space="0" w:color="auto"/>
        <w:bottom w:val="none" w:sz="0" w:space="0" w:color="auto"/>
        <w:right w:val="none" w:sz="0" w:space="0" w:color="auto"/>
      </w:divBdr>
    </w:div>
    <w:div w:id="388575327">
      <w:bodyDiv w:val="1"/>
      <w:marLeft w:val="0"/>
      <w:marRight w:val="0"/>
      <w:marTop w:val="0"/>
      <w:marBottom w:val="0"/>
      <w:divBdr>
        <w:top w:val="none" w:sz="0" w:space="0" w:color="auto"/>
        <w:left w:val="none" w:sz="0" w:space="0" w:color="auto"/>
        <w:bottom w:val="none" w:sz="0" w:space="0" w:color="auto"/>
        <w:right w:val="none" w:sz="0" w:space="0" w:color="auto"/>
      </w:divBdr>
    </w:div>
    <w:div w:id="396976236">
      <w:bodyDiv w:val="1"/>
      <w:marLeft w:val="0"/>
      <w:marRight w:val="0"/>
      <w:marTop w:val="0"/>
      <w:marBottom w:val="0"/>
      <w:divBdr>
        <w:top w:val="none" w:sz="0" w:space="0" w:color="auto"/>
        <w:left w:val="none" w:sz="0" w:space="0" w:color="auto"/>
        <w:bottom w:val="none" w:sz="0" w:space="0" w:color="auto"/>
        <w:right w:val="none" w:sz="0" w:space="0" w:color="auto"/>
      </w:divBdr>
      <w:divsChild>
        <w:div w:id="603152492">
          <w:marLeft w:val="0"/>
          <w:marRight w:val="0"/>
          <w:marTop w:val="0"/>
          <w:marBottom w:val="0"/>
          <w:divBdr>
            <w:top w:val="none" w:sz="0" w:space="0" w:color="auto"/>
            <w:left w:val="none" w:sz="0" w:space="0" w:color="auto"/>
            <w:bottom w:val="none" w:sz="0" w:space="0" w:color="auto"/>
            <w:right w:val="none" w:sz="0" w:space="0" w:color="auto"/>
          </w:divBdr>
        </w:div>
        <w:div w:id="724984624">
          <w:marLeft w:val="0"/>
          <w:marRight w:val="0"/>
          <w:marTop w:val="0"/>
          <w:marBottom w:val="0"/>
          <w:divBdr>
            <w:top w:val="none" w:sz="0" w:space="0" w:color="auto"/>
            <w:left w:val="none" w:sz="0" w:space="0" w:color="auto"/>
            <w:bottom w:val="none" w:sz="0" w:space="0" w:color="auto"/>
            <w:right w:val="none" w:sz="0" w:space="0" w:color="auto"/>
          </w:divBdr>
        </w:div>
        <w:div w:id="1141264631">
          <w:marLeft w:val="0"/>
          <w:marRight w:val="0"/>
          <w:marTop w:val="0"/>
          <w:marBottom w:val="0"/>
          <w:divBdr>
            <w:top w:val="none" w:sz="0" w:space="0" w:color="auto"/>
            <w:left w:val="none" w:sz="0" w:space="0" w:color="auto"/>
            <w:bottom w:val="none" w:sz="0" w:space="0" w:color="auto"/>
            <w:right w:val="none" w:sz="0" w:space="0" w:color="auto"/>
          </w:divBdr>
        </w:div>
        <w:div w:id="1299144618">
          <w:marLeft w:val="0"/>
          <w:marRight w:val="0"/>
          <w:marTop w:val="0"/>
          <w:marBottom w:val="0"/>
          <w:divBdr>
            <w:top w:val="none" w:sz="0" w:space="0" w:color="auto"/>
            <w:left w:val="none" w:sz="0" w:space="0" w:color="auto"/>
            <w:bottom w:val="none" w:sz="0" w:space="0" w:color="auto"/>
            <w:right w:val="none" w:sz="0" w:space="0" w:color="auto"/>
          </w:divBdr>
        </w:div>
      </w:divsChild>
    </w:div>
    <w:div w:id="408890788">
      <w:bodyDiv w:val="1"/>
      <w:marLeft w:val="0"/>
      <w:marRight w:val="0"/>
      <w:marTop w:val="0"/>
      <w:marBottom w:val="0"/>
      <w:divBdr>
        <w:top w:val="none" w:sz="0" w:space="0" w:color="auto"/>
        <w:left w:val="none" w:sz="0" w:space="0" w:color="auto"/>
        <w:bottom w:val="none" w:sz="0" w:space="0" w:color="auto"/>
        <w:right w:val="none" w:sz="0" w:space="0" w:color="auto"/>
      </w:divBdr>
      <w:divsChild>
        <w:div w:id="164438472">
          <w:marLeft w:val="0"/>
          <w:marRight w:val="0"/>
          <w:marTop w:val="0"/>
          <w:marBottom w:val="0"/>
          <w:divBdr>
            <w:top w:val="none" w:sz="0" w:space="0" w:color="auto"/>
            <w:left w:val="none" w:sz="0" w:space="0" w:color="auto"/>
            <w:bottom w:val="none" w:sz="0" w:space="0" w:color="auto"/>
            <w:right w:val="none" w:sz="0" w:space="0" w:color="auto"/>
          </w:divBdr>
          <w:divsChild>
            <w:div w:id="812062158">
              <w:marLeft w:val="0"/>
              <w:marRight w:val="0"/>
              <w:marTop w:val="0"/>
              <w:marBottom w:val="0"/>
              <w:divBdr>
                <w:top w:val="none" w:sz="0" w:space="0" w:color="auto"/>
                <w:left w:val="none" w:sz="0" w:space="0" w:color="auto"/>
                <w:bottom w:val="none" w:sz="0" w:space="0" w:color="auto"/>
                <w:right w:val="none" w:sz="0" w:space="0" w:color="auto"/>
              </w:divBdr>
              <w:divsChild>
                <w:div w:id="669017980">
                  <w:marLeft w:val="0"/>
                  <w:marRight w:val="0"/>
                  <w:marTop w:val="0"/>
                  <w:marBottom w:val="0"/>
                  <w:divBdr>
                    <w:top w:val="none" w:sz="0" w:space="0" w:color="auto"/>
                    <w:left w:val="none" w:sz="0" w:space="0" w:color="auto"/>
                    <w:bottom w:val="none" w:sz="0" w:space="0" w:color="auto"/>
                    <w:right w:val="none" w:sz="0" w:space="0" w:color="auto"/>
                  </w:divBdr>
                  <w:divsChild>
                    <w:div w:id="7218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95243">
      <w:bodyDiv w:val="1"/>
      <w:marLeft w:val="0"/>
      <w:marRight w:val="0"/>
      <w:marTop w:val="0"/>
      <w:marBottom w:val="0"/>
      <w:divBdr>
        <w:top w:val="none" w:sz="0" w:space="0" w:color="auto"/>
        <w:left w:val="none" w:sz="0" w:space="0" w:color="auto"/>
        <w:bottom w:val="none" w:sz="0" w:space="0" w:color="auto"/>
        <w:right w:val="none" w:sz="0" w:space="0" w:color="auto"/>
      </w:divBdr>
    </w:div>
    <w:div w:id="427427811">
      <w:bodyDiv w:val="1"/>
      <w:marLeft w:val="0"/>
      <w:marRight w:val="0"/>
      <w:marTop w:val="0"/>
      <w:marBottom w:val="0"/>
      <w:divBdr>
        <w:top w:val="none" w:sz="0" w:space="0" w:color="auto"/>
        <w:left w:val="none" w:sz="0" w:space="0" w:color="auto"/>
        <w:bottom w:val="none" w:sz="0" w:space="0" w:color="auto"/>
        <w:right w:val="none" w:sz="0" w:space="0" w:color="auto"/>
      </w:divBdr>
    </w:div>
    <w:div w:id="443117429">
      <w:bodyDiv w:val="1"/>
      <w:marLeft w:val="0"/>
      <w:marRight w:val="0"/>
      <w:marTop w:val="0"/>
      <w:marBottom w:val="0"/>
      <w:divBdr>
        <w:top w:val="none" w:sz="0" w:space="0" w:color="auto"/>
        <w:left w:val="none" w:sz="0" w:space="0" w:color="auto"/>
        <w:bottom w:val="none" w:sz="0" w:space="0" w:color="auto"/>
        <w:right w:val="none" w:sz="0" w:space="0" w:color="auto"/>
      </w:divBdr>
    </w:div>
    <w:div w:id="458766131">
      <w:bodyDiv w:val="1"/>
      <w:marLeft w:val="0"/>
      <w:marRight w:val="0"/>
      <w:marTop w:val="0"/>
      <w:marBottom w:val="0"/>
      <w:divBdr>
        <w:top w:val="none" w:sz="0" w:space="0" w:color="auto"/>
        <w:left w:val="none" w:sz="0" w:space="0" w:color="auto"/>
        <w:bottom w:val="none" w:sz="0" w:space="0" w:color="auto"/>
        <w:right w:val="none" w:sz="0" w:space="0" w:color="auto"/>
      </w:divBdr>
    </w:div>
    <w:div w:id="459109085">
      <w:bodyDiv w:val="1"/>
      <w:marLeft w:val="0"/>
      <w:marRight w:val="0"/>
      <w:marTop w:val="0"/>
      <w:marBottom w:val="0"/>
      <w:divBdr>
        <w:top w:val="none" w:sz="0" w:space="0" w:color="auto"/>
        <w:left w:val="none" w:sz="0" w:space="0" w:color="auto"/>
        <w:bottom w:val="none" w:sz="0" w:space="0" w:color="auto"/>
        <w:right w:val="none" w:sz="0" w:space="0" w:color="auto"/>
      </w:divBdr>
      <w:divsChild>
        <w:div w:id="491683128">
          <w:marLeft w:val="0"/>
          <w:marRight w:val="0"/>
          <w:marTop w:val="0"/>
          <w:marBottom w:val="0"/>
          <w:divBdr>
            <w:top w:val="none" w:sz="0" w:space="0" w:color="auto"/>
            <w:left w:val="none" w:sz="0" w:space="0" w:color="auto"/>
            <w:bottom w:val="none" w:sz="0" w:space="0" w:color="auto"/>
            <w:right w:val="none" w:sz="0" w:space="0" w:color="auto"/>
          </w:divBdr>
        </w:div>
        <w:div w:id="707490786">
          <w:marLeft w:val="0"/>
          <w:marRight w:val="0"/>
          <w:marTop w:val="0"/>
          <w:marBottom w:val="0"/>
          <w:divBdr>
            <w:top w:val="none" w:sz="0" w:space="0" w:color="auto"/>
            <w:left w:val="none" w:sz="0" w:space="0" w:color="auto"/>
            <w:bottom w:val="none" w:sz="0" w:space="0" w:color="auto"/>
            <w:right w:val="none" w:sz="0" w:space="0" w:color="auto"/>
          </w:divBdr>
        </w:div>
        <w:div w:id="854270148">
          <w:marLeft w:val="0"/>
          <w:marRight w:val="0"/>
          <w:marTop w:val="0"/>
          <w:marBottom w:val="0"/>
          <w:divBdr>
            <w:top w:val="none" w:sz="0" w:space="0" w:color="auto"/>
            <w:left w:val="none" w:sz="0" w:space="0" w:color="auto"/>
            <w:bottom w:val="none" w:sz="0" w:space="0" w:color="auto"/>
            <w:right w:val="none" w:sz="0" w:space="0" w:color="auto"/>
          </w:divBdr>
        </w:div>
        <w:div w:id="871920596">
          <w:marLeft w:val="0"/>
          <w:marRight w:val="0"/>
          <w:marTop w:val="0"/>
          <w:marBottom w:val="0"/>
          <w:divBdr>
            <w:top w:val="none" w:sz="0" w:space="0" w:color="auto"/>
            <w:left w:val="none" w:sz="0" w:space="0" w:color="auto"/>
            <w:bottom w:val="none" w:sz="0" w:space="0" w:color="auto"/>
            <w:right w:val="none" w:sz="0" w:space="0" w:color="auto"/>
          </w:divBdr>
        </w:div>
        <w:div w:id="873882526">
          <w:marLeft w:val="0"/>
          <w:marRight w:val="0"/>
          <w:marTop w:val="0"/>
          <w:marBottom w:val="0"/>
          <w:divBdr>
            <w:top w:val="none" w:sz="0" w:space="0" w:color="auto"/>
            <w:left w:val="none" w:sz="0" w:space="0" w:color="auto"/>
            <w:bottom w:val="none" w:sz="0" w:space="0" w:color="auto"/>
            <w:right w:val="none" w:sz="0" w:space="0" w:color="auto"/>
          </w:divBdr>
        </w:div>
        <w:div w:id="999191655">
          <w:marLeft w:val="0"/>
          <w:marRight w:val="0"/>
          <w:marTop w:val="0"/>
          <w:marBottom w:val="0"/>
          <w:divBdr>
            <w:top w:val="none" w:sz="0" w:space="0" w:color="auto"/>
            <w:left w:val="none" w:sz="0" w:space="0" w:color="auto"/>
            <w:bottom w:val="none" w:sz="0" w:space="0" w:color="auto"/>
            <w:right w:val="none" w:sz="0" w:space="0" w:color="auto"/>
          </w:divBdr>
        </w:div>
        <w:div w:id="1125656045">
          <w:marLeft w:val="0"/>
          <w:marRight w:val="0"/>
          <w:marTop w:val="0"/>
          <w:marBottom w:val="0"/>
          <w:divBdr>
            <w:top w:val="none" w:sz="0" w:space="0" w:color="auto"/>
            <w:left w:val="none" w:sz="0" w:space="0" w:color="auto"/>
            <w:bottom w:val="none" w:sz="0" w:space="0" w:color="auto"/>
            <w:right w:val="none" w:sz="0" w:space="0" w:color="auto"/>
          </w:divBdr>
        </w:div>
        <w:div w:id="1315720811">
          <w:marLeft w:val="0"/>
          <w:marRight w:val="0"/>
          <w:marTop w:val="0"/>
          <w:marBottom w:val="0"/>
          <w:divBdr>
            <w:top w:val="none" w:sz="0" w:space="0" w:color="auto"/>
            <w:left w:val="none" w:sz="0" w:space="0" w:color="auto"/>
            <w:bottom w:val="none" w:sz="0" w:space="0" w:color="auto"/>
            <w:right w:val="none" w:sz="0" w:space="0" w:color="auto"/>
          </w:divBdr>
        </w:div>
        <w:div w:id="1617836388">
          <w:marLeft w:val="0"/>
          <w:marRight w:val="0"/>
          <w:marTop w:val="0"/>
          <w:marBottom w:val="0"/>
          <w:divBdr>
            <w:top w:val="none" w:sz="0" w:space="0" w:color="auto"/>
            <w:left w:val="none" w:sz="0" w:space="0" w:color="auto"/>
            <w:bottom w:val="none" w:sz="0" w:space="0" w:color="auto"/>
            <w:right w:val="none" w:sz="0" w:space="0" w:color="auto"/>
          </w:divBdr>
        </w:div>
        <w:div w:id="1660958004">
          <w:marLeft w:val="0"/>
          <w:marRight w:val="0"/>
          <w:marTop w:val="0"/>
          <w:marBottom w:val="0"/>
          <w:divBdr>
            <w:top w:val="none" w:sz="0" w:space="0" w:color="auto"/>
            <w:left w:val="none" w:sz="0" w:space="0" w:color="auto"/>
            <w:bottom w:val="none" w:sz="0" w:space="0" w:color="auto"/>
            <w:right w:val="none" w:sz="0" w:space="0" w:color="auto"/>
          </w:divBdr>
        </w:div>
        <w:div w:id="1995445839">
          <w:marLeft w:val="0"/>
          <w:marRight w:val="0"/>
          <w:marTop w:val="0"/>
          <w:marBottom w:val="0"/>
          <w:divBdr>
            <w:top w:val="none" w:sz="0" w:space="0" w:color="auto"/>
            <w:left w:val="none" w:sz="0" w:space="0" w:color="auto"/>
            <w:bottom w:val="none" w:sz="0" w:space="0" w:color="auto"/>
            <w:right w:val="none" w:sz="0" w:space="0" w:color="auto"/>
          </w:divBdr>
        </w:div>
        <w:div w:id="2008946102">
          <w:marLeft w:val="0"/>
          <w:marRight w:val="0"/>
          <w:marTop w:val="0"/>
          <w:marBottom w:val="0"/>
          <w:divBdr>
            <w:top w:val="none" w:sz="0" w:space="0" w:color="auto"/>
            <w:left w:val="none" w:sz="0" w:space="0" w:color="auto"/>
            <w:bottom w:val="none" w:sz="0" w:space="0" w:color="auto"/>
            <w:right w:val="none" w:sz="0" w:space="0" w:color="auto"/>
          </w:divBdr>
        </w:div>
      </w:divsChild>
    </w:div>
    <w:div w:id="474958133">
      <w:bodyDiv w:val="1"/>
      <w:marLeft w:val="0"/>
      <w:marRight w:val="0"/>
      <w:marTop w:val="0"/>
      <w:marBottom w:val="0"/>
      <w:divBdr>
        <w:top w:val="none" w:sz="0" w:space="0" w:color="auto"/>
        <w:left w:val="none" w:sz="0" w:space="0" w:color="auto"/>
        <w:bottom w:val="none" w:sz="0" w:space="0" w:color="auto"/>
        <w:right w:val="none" w:sz="0" w:space="0" w:color="auto"/>
      </w:divBdr>
    </w:div>
    <w:div w:id="479157077">
      <w:bodyDiv w:val="1"/>
      <w:marLeft w:val="0"/>
      <w:marRight w:val="0"/>
      <w:marTop w:val="0"/>
      <w:marBottom w:val="0"/>
      <w:divBdr>
        <w:top w:val="none" w:sz="0" w:space="0" w:color="auto"/>
        <w:left w:val="none" w:sz="0" w:space="0" w:color="auto"/>
        <w:bottom w:val="none" w:sz="0" w:space="0" w:color="auto"/>
        <w:right w:val="none" w:sz="0" w:space="0" w:color="auto"/>
      </w:divBdr>
    </w:div>
    <w:div w:id="480922496">
      <w:bodyDiv w:val="1"/>
      <w:marLeft w:val="0"/>
      <w:marRight w:val="0"/>
      <w:marTop w:val="0"/>
      <w:marBottom w:val="0"/>
      <w:divBdr>
        <w:top w:val="none" w:sz="0" w:space="0" w:color="auto"/>
        <w:left w:val="none" w:sz="0" w:space="0" w:color="auto"/>
        <w:bottom w:val="none" w:sz="0" w:space="0" w:color="auto"/>
        <w:right w:val="none" w:sz="0" w:space="0" w:color="auto"/>
      </w:divBdr>
    </w:div>
    <w:div w:id="498735594">
      <w:bodyDiv w:val="1"/>
      <w:marLeft w:val="0"/>
      <w:marRight w:val="0"/>
      <w:marTop w:val="0"/>
      <w:marBottom w:val="0"/>
      <w:divBdr>
        <w:top w:val="none" w:sz="0" w:space="0" w:color="auto"/>
        <w:left w:val="none" w:sz="0" w:space="0" w:color="auto"/>
        <w:bottom w:val="none" w:sz="0" w:space="0" w:color="auto"/>
        <w:right w:val="none" w:sz="0" w:space="0" w:color="auto"/>
      </w:divBdr>
    </w:div>
    <w:div w:id="503125878">
      <w:bodyDiv w:val="1"/>
      <w:marLeft w:val="0"/>
      <w:marRight w:val="0"/>
      <w:marTop w:val="0"/>
      <w:marBottom w:val="0"/>
      <w:divBdr>
        <w:top w:val="none" w:sz="0" w:space="0" w:color="auto"/>
        <w:left w:val="none" w:sz="0" w:space="0" w:color="auto"/>
        <w:bottom w:val="none" w:sz="0" w:space="0" w:color="auto"/>
        <w:right w:val="none" w:sz="0" w:space="0" w:color="auto"/>
      </w:divBdr>
    </w:div>
    <w:div w:id="535896358">
      <w:bodyDiv w:val="1"/>
      <w:marLeft w:val="0"/>
      <w:marRight w:val="0"/>
      <w:marTop w:val="0"/>
      <w:marBottom w:val="0"/>
      <w:divBdr>
        <w:top w:val="none" w:sz="0" w:space="0" w:color="auto"/>
        <w:left w:val="none" w:sz="0" w:space="0" w:color="auto"/>
        <w:bottom w:val="none" w:sz="0" w:space="0" w:color="auto"/>
        <w:right w:val="none" w:sz="0" w:space="0" w:color="auto"/>
      </w:divBdr>
    </w:div>
    <w:div w:id="556236654">
      <w:bodyDiv w:val="1"/>
      <w:marLeft w:val="0"/>
      <w:marRight w:val="0"/>
      <w:marTop w:val="0"/>
      <w:marBottom w:val="0"/>
      <w:divBdr>
        <w:top w:val="none" w:sz="0" w:space="0" w:color="auto"/>
        <w:left w:val="none" w:sz="0" w:space="0" w:color="auto"/>
        <w:bottom w:val="none" w:sz="0" w:space="0" w:color="auto"/>
        <w:right w:val="none" w:sz="0" w:space="0" w:color="auto"/>
      </w:divBdr>
    </w:div>
    <w:div w:id="592127035">
      <w:bodyDiv w:val="1"/>
      <w:marLeft w:val="0"/>
      <w:marRight w:val="0"/>
      <w:marTop w:val="0"/>
      <w:marBottom w:val="0"/>
      <w:divBdr>
        <w:top w:val="none" w:sz="0" w:space="0" w:color="auto"/>
        <w:left w:val="none" w:sz="0" w:space="0" w:color="auto"/>
        <w:bottom w:val="none" w:sz="0" w:space="0" w:color="auto"/>
        <w:right w:val="none" w:sz="0" w:space="0" w:color="auto"/>
      </w:divBdr>
    </w:div>
    <w:div w:id="594291304">
      <w:bodyDiv w:val="1"/>
      <w:marLeft w:val="0"/>
      <w:marRight w:val="0"/>
      <w:marTop w:val="0"/>
      <w:marBottom w:val="0"/>
      <w:divBdr>
        <w:top w:val="none" w:sz="0" w:space="0" w:color="auto"/>
        <w:left w:val="none" w:sz="0" w:space="0" w:color="auto"/>
        <w:bottom w:val="none" w:sz="0" w:space="0" w:color="auto"/>
        <w:right w:val="none" w:sz="0" w:space="0" w:color="auto"/>
      </w:divBdr>
      <w:divsChild>
        <w:div w:id="402685517">
          <w:marLeft w:val="0"/>
          <w:marRight w:val="0"/>
          <w:marTop w:val="0"/>
          <w:marBottom w:val="0"/>
          <w:divBdr>
            <w:top w:val="none" w:sz="0" w:space="0" w:color="auto"/>
            <w:left w:val="none" w:sz="0" w:space="0" w:color="auto"/>
            <w:bottom w:val="none" w:sz="0" w:space="0" w:color="auto"/>
            <w:right w:val="none" w:sz="0" w:space="0" w:color="auto"/>
          </w:divBdr>
        </w:div>
        <w:div w:id="579021138">
          <w:marLeft w:val="0"/>
          <w:marRight w:val="0"/>
          <w:marTop w:val="0"/>
          <w:marBottom w:val="0"/>
          <w:divBdr>
            <w:top w:val="none" w:sz="0" w:space="0" w:color="auto"/>
            <w:left w:val="none" w:sz="0" w:space="0" w:color="auto"/>
            <w:bottom w:val="none" w:sz="0" w:space="0" w:color="auto"/>
            <w:right w:val="none" w:sz="0" w:space="0" w:color="auto"/>
          </w:divBdr>
        </w:div>
        <w:div w:id="614099487">
          <w:marLeft w:val="0"/>
          <w:marRight w:val="0"/>
          <w:marTop w:val="0"/>
          <w:marBottom w:val="0"/>
          <w:divBdr>
            <w:top w:val="none" w:sz="0" w:space="0" w:color="auto"/>
            <w:left w:val="none" w:sz="0" w:space="0" w:color="auto"/>
            <w:bottom w:val="none" w:sz="0" w:space="0" w:color="auto"/>
            <w:right w:val="none" w:sz="0" w:space="0" w:color="auto"/>
          </w:divBdr>
        </w:div>
        <w:div w:id="765341581">
          <w:marLeft w:val="0"/>
          <w:marRight w:val="0"/>
          <w:marTop w:val="0"/>
          <w:marBottom w:val="0"/>
          <w:divBdr>
            <w:top w:val="none" w:sz="0" w:space="0" w:color="auto"/>
            <w:left w:val="none" w:sz="0" w:space="0" w:color="auto"/>
            <w:bottom w:val="none" w:sz="0" w:space="0" w:color="auto"/>
            <w:right w:val="none" w:sz="0" w:space="0" w:color="auto"/>
          </w:divBdr>
        </w:div>
        <w:div w:id="787621888">
          <w:marLeft w:val="0"/>
          <w:marRight w:val="0"/>
          <w:marTop w:val="0"/>
          <w:marBottom w:val="0"/>
          <w:divBdr>
            <w:top w:val="none" w:sz="0" w:space="0" w:color="auto"/>
            <w:left w:val="none" w:sz="0" w:space="0" w:color="auto"/>
            <w:bottom w:val="none" w:sz="0" w:space="0" w:color="auto"/>
            <w:right w:val="none" w:sz="0" w:space="0" w:color="auto"/>
          </w:divBdr>
        </w:div>
        <w:div w:id="1052073649">
          <w:marLeft w:val="0"/>
          <w:marRight w:val="0"/>
          <w:marTop w:val="0"/>
          <w:marBottom w:val="0"/>
          <w:divBdr>
            <w:top w:val="none" w:sz="0" w:space="0" w:color="auto"/>
            <w:left w:val="none" w:sz="0" w:space="0" w:color="auto"/>
            <w:bottom w:val="none" w:sz="0" w:space="0" w:color="auto"/>
            <w:right w:val="none" w:sz="0" w:space="0" w:color="auto"/>
          </w:divBdr>
        </w:div>
        <w:div w:id="1103652439">
          <w:marLeft w:val="0"/>
          <w:marRight w:val="0"/>
          <w:marTop w:val="0"/>
          <w:marBottom w:val="0"/>
          <w:divBdr>
            <w:top w:val="none" w:sz="0" w:space="0" w:color="auto"/>
            <w:left w:val="none" w:sz="0" w:space="0" w:color="auto"/>
            <w:bottom w:val="none" w:sz="0" w:space="0" w:color="auto"/>
            <w:right w:val="none" w:sz="0" w:space="0" w:color="auto"/>
          </w:divBdr>
        </w:div>
        <w:div w:id="1122070540">
          <w:marLeft w:val="0"/>
          <w:marRight w:val="0"/>
          <w:marTop w:val="0"/>
          <w:marBottom w:val="0"/>
          <w:divBdr>
            <w:top w:val="none" w:sz="0" w:space="0" w:color="auto"/>
            <w:left w:val="none" w:sz="0" w:space="0" w:color="auto"/>
            <w:bottom w:val="none" w:sz="0" w:space="0" w:color="auto"/>
            <w:right w:val="none" w:sz="0" w:space="0" w:color="auto"/>
          </w:divBdr>
        </w:div>
        <w:div w:id="1312639046">
          <w:marLeft w:val="0"/>
          <w:marRight w:val="0"/>
          <w:marTop w:val="0"/>
          <w:marBottom w:val="0"/>
          <w:divBdr>
            <w:top w:val="none" w:sz="0" w:space="0" w:color="auto"/>
            <w:left w:val="none" w:sz="0" w:space="0" w:color="auto"/>
            <w:bottom w:val="none" w:sz="0" w:space="0" w:color="auto"/>
            <w:right w:val="none" w:sz="0" w:space="0" w:color="auto"/>
          </w:divBdr>
        </w:div>
        <w:div w:id="1418938679">
          <w:marLeft w:val="0"/>
          <w:marRight w:val="0"/>
          <w:marTop w:val="0"/>
          <w:marBottom w:val="0"/>
          <w:divBdr>
            <w:top w:val="none" w:sz="0" w:space="0" w:color="auto"/>
            <w:left w:val="none" w:sz="0" w:space="0" w:color="auto"/>
            <w:bottom w:val="none" w:sz="0" w:space="0" w:color="auto"/>
            <w:right w:val="none" w:sz="0" w:space="0" w:color="auto"/>
          </w:divBdr>
        </w:div>
        <w:div w:id="1669481768">
          <w:marLeft w:val="0"/>
          <w:marRight w:val="0"/>
          <w:marTop w:val="0"/>
          <w:marBottom w:val="0"/>
          <w:divBdr>
            <w:top w:val="none" w:sz="0" w:space="0" w:color="auto"/>
            <w:left w:val="none" w:sz="0" w:space="0" w:color="auto"/>
            <w:bottom w:val="none" w:sz="0" w:space="0" w:color="auto"/>
            <w:right w:val="none" w:sz="0" w:space="0" w:color="auto"/>
          </w:divBdr>
        </w:div>
        <w:div w:id="1817722645">
          <w:marLeft w:val="0"/>
          <w:marRight w:val="0"/>
          <w:marTop w:val="0"/>
          <w:marBottom w:val="0"/>
          <w:divBdr>
            <w:top w:val="none" w:sz="0" w:space="0" w:color="auto"/>
            <w:left w:val="none" w:sz="0" w:space="0" w:color="auto"/>
            <w:bottom w:val="none" w:sz="0" w:space="0" w:color="auto"/>
            <w:right w:val="none" w:sz="0" w:space="0" w:color="auto"/>
          </w:divBdr>
        </w:div>
        <w:div w:id="2144303912">
          <w:marLeft w:val="0"/>
          <w:marRight w:val="0"/>
          <w:marTop w:val="0"/>
          <w:marBottom w:val="0"/>
          <w:divBdr>
            <w:top w:val="none" w:sz="0" w:space="0" w:color="auto"/>
            <w:left w:val="none" w:sz="0" w:space="0" w:color="auto"/>
            <w:bottom w:val="none" w:sz="0" w:space="0" w:color="auto"/>
            <w:right w:val="none" w:sz="0" w:space="0" w:color="auto"/>
          </w:divBdr>
        </w:div>
      </w:divsChild>
    </w:div>
    <w:div w:id="610938800">
      <w:bodyDiv w:val="1"/>
      <w:marLeft w:val="0"/>
      <w:marRight w:val="0"/>
      <w:marTop w:val="0"/>
      <w:marBottom w:val="0"/>
      <w:divBdr>
        <w:top w:val="none" w:sz="0" w:space="0" w:color="auto"/>
        <w:left w:val="none" w:sz="0" w:space="0" w:color="auto"/>
        <w:bottom w:val="none" w:sz="0" w:space="0" w:color="auto"/>
        <w:right w:val="none" w:sz="0" w:space="0" w:color="auto"/>
      </w:divBdr>
      <w:divsChild>
        <w:div w:id="173694769">
          <w:marLeft w:val="0"/>
          <w:marRight w:val="0"/>
          <w:marTop w:val="0"/>
          <w:marBottom w:val="0"/>
          <w:divBdr>
            <w:top w:val="none" w:sz="0" w:space="0" w:color="auto"/>
            <w:left w:val="none" w:sz="0" w:space="0" w:color="auto"/>
            <w:bottom w:val="none" w:sz="0" w:space="0" w:color="auto"/>
            <w:right w:val="none" w:sz="0" w:space="0" w:color="auto"/>
          </w:divBdr>
        </w:div>
        <w:div w:id="936207891">
          <w:marLeft w:val="0"/>
          <w:marRight w:val="0"/>
          <w:marTop w:val="0"/>
          <w:marBottom w:val="0"/>
          <w:divBdr>
            <w:top w:val="none" w:sz="0" w:space="0" w:color="auto"/>
            <w:left w:val="none" w:sz="0" w:space="0" w:color="auto"/>
            <w:bottom w:val="none" w:sz="0" w:space="0" w:color="auto"/>
            <w:right w:val="none" w:sz="0" w:space="0" w:color="auto"/>
          </w:divBdr>
        </w:div>
        <w:div w:id="955524937">
          <w:marLeft w:val="0"/>
          <w:marRight w:val="0"/>
          <w:marTop w:val="0"/>
          <w:marBottom w:val="0"/>
          <w:divBdr>
            <w:top w:val="none" w:sz="0" w:space="0" w:color="auto"/>
            <w:left w:val="none" w:sz="0" w:space="0" w:color="auto"/>
            <w:bottom w:val="none" w:sz="0" w:space="0" w:color="auto"/>
            <w:right w:val="none" w:sz="0" w:space="0" w:color="auto"/>
          </w:divBdr>
        </w:div>
        <w:div w:id="962543253">
          <w:marLeft w:val="0"/>
          <w:marRight w:val="0"/>
          <w:marTop w:val="0"/>
          <w:marBottom w:val="0"/>
          <w:divBdr>
            <w:top w:val="none" w:sz="0" w:space="0" w:color="auto"/>
            <w:left w:val="none" w:sz="0" w:space="0" w:color="auto"/>
            <w:bottom w:val="none" w:sz="0" w:space="0" w:color="auto"/>
            <w:right w:val="none" w:sz="0" w:space="0" w:color="auto"/>
          </w:divBdr>
        </w:div>
        <w:div w:id="1054155383">
          <w:marLeft w:val="0"/>
          <w:marRight w:val="0"/>
          <w:marTop w:val="0"/>
          <w:marBottom w:val="0"/>
          <w:divBdr>
            <w:top w:val="none" w:sz="0" w:space="0" w:color="auto"/>
            <w:left w:val="none" w:sz="0" w:space="0" w:color="auto"/>
            <w:bottom w:val="none" w:sz="0" w:space="0" w:color="auto"/>
            <w:right w:val="none" w:sz="0" w:space="0" w:color="auto"/>
          </w:divBdr>
        </w:div>
        <w:div w:id="1123234038">
          <w:marLeft w:val="0"/>
          <w:marRight w:val="0"/>
          <w:marTop w:val="0"/>
          <w:marBottom w:val="0"/>
          <w:divBdr>
            <w:top w:val="none" w:sz="0" w:space="0" w:color="auto"/>
            <w:left w:val="none" w:sz="0" w:space="0" w:color="auto"/>
            <w:bottom w:val="none" w:sz="0" w:space="0" w:color="auto"/>
            <w:right w:val="none" w:sz="0" w:space="0" w:color="auto"/>
          </w:divBdr>
        </w:div>
        <w:div w:id="1129856242">
          <w:marLeft w:val="0"/>
          <w:marRight w:val="0"/>
          <w:marTop w:val="0"/>
          <w:marBottom w:val="0"/>
          <w:divBdr>
            <w:top w:val="none" w:sz="0" w:space="0" w:color="auto"/>
            <w:left w:val="none" w:sz="0" w:space="0" w:color="auto"/>
            <w:bottom w:val="none" w:sz="0" w:space="0" w:color="auto"/>
            <w:right w:val="none" w:sz="0" w:space="0" w:color="auto"/>
          </w:divBdr>
        </w:div>
        <w:div w:id="1415475703">
          <w:marLeft w:val="0"/>
          <w:marRight w:val="0"/>
          <w:marTop w:val="0"/>
          <w:marBottom w:val="0"/>
          <w:divBdr>
            <w:top w:val="none" w:sz="0" w:space="0" w:color="auto"/>
            <w:left w:val="none" w:sz="0" w:space="0" w:color="auto"/>
            <w:bottom w:val="none" w:sz="0" w:space="0" w:color="auto"/>
            <w:right w:val="none" w:sz="0" w:space="0" w:color="auto"/>
          </w:divBdr>
        </w:div>
        <w:div w:id="1548253813">
          <w:marLeft w:val="0"/>
          <w:marRight w:val="0"/>
          <w:marTop w:val="0"/>
          <w:marBottom w:val="0"/>
          <w:divBdr>
            <w:top w:val="none" w:sz="0" w:space="0" w:color="auto"/>
            <w:left w:val="none" w:sz="0" w:space="0" w:color="auto"/>
            <w:bottom w:val="none" w:sz="0" w:space="0" w:color="auto"/>
            <w:right w:val="none" w:sz="0" w:space="0" w:color="auto"/>
          </w:divBdr>
        </w:div>
        <w:div w:id="1735350220">
          <w:marLeft w:val="0"/>
          <w:marRight w:val="0"/>
          <w:marTop w:val="0"/>
          <w:marBottom w:val="0"/>
          <w:divBdr>
            <w:top w:val="none" w:sz="0" w:space="0" w:color="auto"/>
            <w:left w:val="none" w:sz="0" w:space="0" w:color="auto"/>
            <w:bottom w:val="none" w:sz="0" w:space="0" w:color="auto"/>
            <w:right w:val="none" w:sz="0" w:space="0" w:color="auto"/>
          </w:divBdr>
        </w:div>
        <w:div w:id="1737778401">
          <w:marLeft w:val="0"/>
          <w:marRight w:val="0"/>
          <w:marTop w:val="0"/>
          <w:marBottom w:val="0"/>
          <w:divBdr>
            <w:top w:val="none" w:sz="0" w:space="0" w:color="auto"/>
            <w:left w:val="none" w:sz="0" w:space="0" w:color="auto"/>
            <w:bottom w:val="none" w:sz="0" w:space="0" w:color="auto"/>
            <w:right w:val="none" w:sz="0" w:space="0" w:color="auto"/>
          </w:divBdr>
        </w:div>
        <w:div w:id="1912882586">
          <w:marLeft w:val="0"/>
          <w:marRight w:val="0"/>
          <w:marTop w:val="0"/>
          <w:marBottom w:val="0"/>
          <w:divBdr>
            <w:top w:val="none" w:sz="0" w:space="0" w:color="auto"/>
            <w:left w:val="none" w:sz="0" w:space="0" w:color="auto"/>
            <w:bottom w:val="none" w:sz="0" w:space="0" w:color="auto"/>
            <w:right w:val="none" w:sz="0" w:space="0" w:color="auto"/>
          </w:divBdr>
        </w:div>
        <w:div w:id="1995333273">
          <w:marLeft w:val="0"/>
          <w:marRight w:val="0"/>
          <w:marTop w:val="0"/>
          <w:marBottom w:val="0"/>
          <w:divBdr>
            <w:top w:val="none" w:sz="0" w:space="0" w:color="auto"/>
            <w:left w:val="none" w:sz="0" w:space="0" w:color="auto"/>
            <w:bottom w:val="none" w:sz="0" w:space="0" w:color="auto"/>
            <w:right w:val="none" w:sz="0" w:space="0" w:color="auto"/>
          </w:divBdr>
        </w:div>
        <w:div w:id="2126150010">
          <w:marLeft w:val="0"/>
          <w:marRight w:val="0"/>
          <w:marTop w:val="0"/>
          <w:marBottom w:val="0"/>
          <w:divBdr>
            <w:top w:val="none" w:sz="0" w:space="0" w:color="auto"/>
            <w:left w:val="none" w:sz="0" w:space="0" w:color="auto"/>
            <w:bottom w:val="none" w:sz="0" w:space="0" w:color="auto"/>
            <w:right w:val="none" w:sz="0" w:space="0" w:color="auto"/>
          </w:divBdr>
        </w:div>
      </w:divsChild>
    </w:div>
    <w:div w:id="612176244">
      <w:bodyDiv w:val="1"/>
      <w:marLeft w:val="0"/>
      <w:marRight w:val="0"/>
      <w:marTop w:val="0"/>
      <w:marBottom w:val="0"/>
      <w:divBdr>
        <w:top w:val="none" w:sz="0" w:space="0" w:color="auto"/>
        <w:left w:val="none" w:sz="0" w:space="0" w:color="auto"/>
        <w:bottom w:val="none" w:sz="0" w:space="0" w:color="auto"/>
        <w:right w:val="none" w:sz="0" w:space="0" w:color="auto"/>
      </w:divBdr>
    </w:div>
    <w:div w:id="619073548">
      <w:bodyDiv w:val="1"/>
      <w:marLeft w:val="0"/>
      <w:marRight w:val="0"/>
      <w:marTop w:val="0"/>
      <w:marBottom w:val="0"/>
      <w:divBdr>
        <w:top w:val="none" w:sz="0" w:space="0" w:color="auto"/>
        <w:left w:val="none" w:sz="0" w:space="0" w:color="auto"/>
        <w:bottom w:val="none" w:sz="0" w:space="0" w:color="auto"/>
        <w:right w:val="none" w:sz="0" w:space="0" w:color="auto"/>
      </w:divBdr>
      <w:divsChild>
        <w:div w:id="935987310">
          <w:marLeft w:val="0"/>
          <w:marRight w:val="0"/>
          <w:marTop w:val="0"/>
          <w:marBottom w:val="0"/>
          <w:divBdr>
            <w:top w:val="none" w:sz="0" w:space="0" w:color="auto"/>
            <w:left w:val="none" w:sz="0" w:space="0" w:color="auto"/>
            <w:bottom w:val="none" w:sz="0" w:space="0" w:color="auto"/>
            <w:right w:val="none" w:sz="0" w:space="0" w:color="auto"/>
          </w:divBdr>
        </w:div>
        <w:div w:id="1939290137">
          <w:marLeft w:val="0"/>
          <w:marRight w:val="0"/>
          <w:marTop w:val="0"/>
          <w:marBottom w:val="0"/>
          <w:divBdr>
            <w:top w:val="none" w:sz="0" w:space="0" w:color="auto"/>
            <w:left w:val="none" w:sz="0" w:space="0" w:color="auto"/>
            <w:bottom w:val="none" w:sz="0" w:space="0" w:color="auto"/>
            <w:right w:val="none" w:sz="0" w:space="0" w:color="auto"/>
          </w:divBdr>
        </w:div>
      </w:divsChild>
    </w:div>
    <w:div w:id="634139054">
      <w:bodyDiv w:val="1"/>
      <w:marLeft w:val="0"/>
      <w:marRight w:val="0"/>
      <w:marTop w:val="0"/>
      <w:marBottom w:val="0"/>
      <w:divBdr>
        <w:top w:val="none" w:sz="0" w:space="0" w:color="auto"/>
        <w:left w:val="none" w:sz="0" w:space="0" w:color="auto"/>
        <w:bottom w:val="none" w:sz="0" w:space="0" w:color="auto"/>
        <w:right w:val="none" w:sz="0" w:space="0" w:color="auto"/>
      </w:divBdr>
    </w:div>
    <w:div w:id="661738694">
      <w:bodyDiv w:val="1"/>
      <w:marLeft w:val="0"/>
      <w:marRight w:val="0"/>
      <w:marTop w:val="0"/>
      <w:marBottom w:val="0"/>
      <w:divBdr>
        <w:top w:val="none" w:sz="0" w:space="0" w:color="auto"/>
        <w:left w:val="none" w:sz="0" w:space="0" w:color="auto"/>
        <w:bottom w:val="none" w:sz="0" w:space="0" w:color="auto"/>
        <w:right w:val="none" w:sz="0" w:space="0" w:color="auto"/>
      </w:divBdr>
    </w:div>
    <w:div w:id="694842488">
      <w:bodyDiv w:val="1"/>
      <w:marLeft w:val="0"/>
      <w:marRight w:val="0"/>
      <w:marTop w:val="0"/>
      <w:marBottom w:val="0"/>
      <w:divBdr>
        <w:top w:val="none" w:sz="0" w:space="0" w:color="auto"/>
        <w:left w:val="none" w:sz="0" w:space="0" w:color="auto"/>
        <w:bottom w:val="none" w:sz="0" w:space="0" w:color="auto"/>
        <w:right w:val="none" w:sz="0" w:space="0" w:color="auto"/>
      </w:divBdr>
    </w:div>
    <w:div w:id="711032040">
      <w:bodyDiv w:val="1"/>
      <w:marLeft w:val="0"/>
      <w:marRight w:val="0"/>
      <w:marTop w:val="0"/>
      <w:marBottom w:val="0"/>
      <w:divBdr>
        <w:top w:val="none" w:sz="0" w:space="0" w:color="auto"/>
        <w:left w:val="none" w:sz="0" w:space="0" w:color="auto"/>
        <w:bottom w:val="none" w:sz="0" w:space="0" w:color="auto"/>
        <w:right w:val="none" w:sz="0" w:space="0" w:color="auto"/>
      </w:divBdr>
      <w:divsChild>
        <w:div w:id="923417869">
          <w:marLeft w:val="0"/>
          <w:marRight w:val="0"/>
          <w:marTop w:val="0"/>
          <w:marBottom w:val="0"/>
          <w:divBdr>
            <w:top w:val="none" w:sz="0" w:space="0" w:color="auto"/>
            <w:left w:val="none" w:sz="0" w:space="0" w:color="auto"/>
            <w:bottom w:val="none" w:sz="0" w:space="0" w:color="auto"/>
            <w:right w:val="none" w:sz="0" w:space="0" w:color="auto"/>
          </w:divBdr>
          <w:divsChild>
            <w:div w:id="1733389718">
              <w:marLeft w:val="0"/>
              <w:marRight w:val="0"/>
              <w:marTop w:val="0"/>
              <w:marBottom w:val="0"/>
              <w:divBdr>
                <w:top w:val="none" w:sz="0" w:space="0" w:color="auto"/>
                <w:left w:val="none" w:sz="0" w:space="0" w:color="auto"/>
                <w:bottom w:val="none" w:sz="0" w:space="0" w:color="auto"/>
                <w:right w:val="none" w:sz="0" w:space="0" w:color="auto"/>
              </w:divBdr>
              <w:divsChild>
                <w:div w:id="1485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8420">
      <w:bodyDiv w:val="1"/>
      <w:marLeft w:val="0"/>
      <w:marRight w:val="0"/>
      <w:marTop w:val="0"/>
      <w:marBottom w:val="0"/>
      <w:divBdr>
        <w:top w:val="none" w:sz="0" w:space="0" w:color="auto"/>
        <w:left w:val="none" w:sz="0" w:space="0" w:color="auto"/>
        <w:bottom w:val="none" w:sz="0" w:space="0" w:color="auto"/>
        <w:right w:val="none" w:sz="0" w:space="0" w:color="auto"/>
      </w:divBdr>
    </w:div>
    <w:div w:id="775518292">
      <w:bodyDiv w:val="1"/>
      <w:marLeft w:val="0"/>
      <w:marRight w:val="0"/>
      <w:marTop w:val="0"/>
      <w:marBottom w:val="0"/>
      <w:divBdr>
        <w:top w:val="none" w:sz="0" w:space="0" w:color="auto"/>
        <w:left w:val="none" w:sz="0" w:space="0" w:color="auto"/>
        <w:bottom w:val="none" w:sz="0" w:space="0" w:color="auto"/>
        <w:right w:val="none" w:sz="0" w:space="0" w:color="auto"/>
      </w:divBdr>
    </w:div>
    <w:div w:id="784664622">
      <w:bodyDiv w:val="1"/>
      <w:marLeft w:val="0"/>
      <w:marRight w:val="0"/>
      <w:marTop w:val="0"/>
      <w:marBottom w:val="0"/>
      <w:divBdr>
        <w:top w:val="none" w:sz="0" w:space="0" w:color="auto"/>
        <w:left w:val="none" w:sz="0" w:space="0" w:color="auto"/>
        <w:bottom w:val="none" w:sz="0" w:space="0" w:color="auto"/>
        <w:right w:val="none" w:sz="0" w:space="0" w:color="auto"/>
      </w:divBdr>
      <w:divsChild>
        <w:div w:id="1217741616">
          <w:marLeft w:val="0"/>
          <w:marRight w:val="0"/>
          <w:marTop w:val="0"/>
          <w:marBottom w:val="0"/>
          <w:divBdr>
            <w:top w:val="none" w:sz="0" w:space="0" w:color="auto"/>
            <w:left w:val="none" w:sz="0" w:space="0" w:color="auto"/>
            <w:bottom w:val="none" w:sz="0" w:space="0" w:color="auto"/>
            <w:right w:val="none" w:sz="0" w:space="0" w:color="auto"/>
          </w:divBdr>
          <w:divsChild>
            <w:div w:id="1348016572">
              <w:marLeft w:val="0"/>
              <w:marRight w:val="0"/>
              <w:marTop w:val="0"/>
              <w:marBottom w:val="0"/>
              <w:divBdr>
                <w:top w:val="none" w:sz="0" w:space="0" w:color="auto"/>
                <w:left w:val="none" w:sz="0" w:space="0" w:color="auto"/>
                <w:bottom w:val="none" w:sz="0" w:space="0" w:color="auto"/>
                <w:right w:val="none" w:sz="0" w:space="0" w:color="auto"/>
              </w:divBdr>
              <w:divsChild>
                <w:div w:id="16868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94237">
      <w:bodyDiv w:val="1"/>
      <w:marLeft w:val="0"/>
      <w:marRight w:val="0"/>
      <w:marTop w:val="0"/>
      <w:marBottom w:val="0"/>
      <w:divBdr>
        <w:top w:val="none" w:sz="0" w:space="0" w:color="auto"/>
        <w:left w:val="none" w:sz="0" w:space="0" w:color="auto"/>
        <w:bottom w:val="none" w:sz="0" w:space="0" w:color="auto"/>
        <w:right w:val="none" w:sz="0" w:space="0" w:color="auto"/>
      </w:divBdr>
    </w:div>
    <w:div w:id="872619791">
      <w:bodyDiv w:val="1"/>
      <w:marLeft w:val="0"/>
      <w:marRight w:val="0"/>
      <w:marTop w:val="0"/>
      <w:marBottom w:val="0"/>
      <w:divBdr>
        <w:top w:val="none" w:sz="0" w:space="0" w:color="auto"/>
        <w:left w:val="none" w:sz="0" w:space="0" w:color="auto"/>
        <w:bottom w:val="none" w:sz="0" w:space="0" w:color="auto"/>
        <w:right w:val="none" w:sz="0" w:space="0" w:color="auto"/>
      </w:divBdr>
    </w:div>
    <w:div w:id="873426045">
      <w:bodyDiv w:val="1"/>
      <w:marLeft w:val="0"/>
      <w:marRight w:val="0"/>
      <w:marTop w:val="0"/>
      <w:marBottom w:val="0"/>
      <w:divBdr>
        <w:top w:val="none" w:sz="0" w:space="0" w:color="auto"/>
        <w:left w:val="none" w:sz="0" w:space="0" w:color="auto"/>
        <w:bottom w:val="none" w:sz="0" w:space="0" w:color="auto"/>
        <w:right w:val="none" w:sz="0" w:space="0" w:color="auto"/>
      </w:divBdr>
    </w:div>
    <w:div w:id="878589034">
      <w:bodyDiv w:val="1"/>
      <w:marLeft w:val="0"/>
      <w:marRight w:val="0"/>
      <w:marTop w:val="0"/>
      <w:marBottom w:val="0"/>
      <w:divBdr>
        <w:top w:val="none" w:sz="0" w:space="0" w:color="auto"/>
        <w:left w:val="none" w:sz="0" w:space="0" w:color="auto"/>
        <w:bottom w:val="none" w:sz="0" w:space="0" w:color="auto"/>
        <w:right w:val="none" w:sz="0" w:space="0" w:color="auto"/>
      </w:divBdr>
    </w:div>
    <w:div w:id="882212674">
      <w:bodyDiv w:val="1"/>
      <w:marLeft w:val="0"/>
      <w:marRight w:val="0"/>
      <w:marTop w:val="0"/>
      <w:marBottom w:val="0"/>
      <w:divBdr>
        <w:top w:val="none" w:sz="0" w:space="0" w:color="auto"/>
        <w:left w:val="none" w:sz="0" w:space="0" w:color="auto"/>
        <w:bottom w:val="none" w:sz="0" w:space="0" w:color="auto"/>
        <w:right w:val="none" w:sz="0" w:space="0" w:color="auto"/>
      </w:divBdr>
    </w:div>
    <w:div w:id="935942629">
      <w:bodyDiv w:val="1"/>
      <w:marLeft w:val="0"/>
      <w:marRight w:val="0"/>
      <w:marTop w:val="0"/>
      <w:marBottom w:val="0"/>
      <w:divBdr>
        <w:top w:val="none" w:sz="0" w:space="0" w:color="auto"/>
        <w:left w:val="none" w:sz="0" w:space="0" w:color="auto"/>
        <w:bottom w:val="none" w:sz="0" w:space="0" w:color="auto"/>
        <w:right w:val="none" w:sz="0" w:space="0" w:color="auto"/>
      </w:divBdr>
    </w:div>
    <w:div w:id="948438956">
      <w:bodyDiv w:val="1"/>
      <w:marLeft w:val="0"/>
      <w:marRight w:val="0"/>
      <w:marTop w:val="0"/>
      <w:marBottom w:val="0"/>
      <w:divBdr>
        <w:top w:val="none" w:sz="0" w:space="0" w:color="auto"/>
        <w:left w:val="none" w:sz="0" w:space="0" w:color="auto"/>
        <w:bottom w:val="none" w:sz="0" w:space="0" w:color="auto"/>
        <w:right w:val="none" w:sz="0" w:space="0" w:color="auto"/>
      </w:divBdr>
    </w:div>
    <w:div w:id="954872081">
      <w:bodyDiv w:val="1"/>
      <w:marLeft w:val="0"/>
      <w:marRight w:val="0"/>
      <w:marTop w:val="0"/>
      <w:marBottom w:val="0"/>
      <w:divBdr>
        <w:top w:val="none" w:sz="0" w:space="0" w:color="auto"/>
        <w:left w:val="none" w:sz="0" w:space="0" w:color="auto"/>
        <w:bottom w:val="none" w:sz="0" w:space="0" w:color="auto"/>
        <w:right w:val="none" w:sz="0" w:space="0" w:color="auto"/>
      </w:divBdr>
    </w:div>
    <w:div w:id="973022050">
      <w:bodyDiv w:val="1"/>
      <w:marLeft w:val="0"/>
      <w:marRight w:val="0"/>
      <w:marTop w:val="0"/>
      <w:marBottom w:val="0"/>
      <w:divBdr>
        <w:top w:val="none" w:sz="0" w:space="0" w:color="auto"/>
        <w:left w:val="none" w:sz="0" w:space="0" w:color="auto"/>
        <w:bottom w:val="none" w:sz="0" w:space="0" w:color="auto"/>
        <w:right w:val="none" w:sz="0" w:space="0" w:color="auto"/>
      </w:divBdr>
      <w:divsChild>
        <w:div w:id="572394204">
          <w:marLeft w:val="0"/>
          <w:marRight w:val="0"/>
          <w:marTop w:val="0"/>
          <w:marBottom w:val="0"/>
          <w:divBdr>
            <w:top w:val="none" w:sz="0" w:space="0" w:color="auto"/>
            <w:left w:val="none" w:sz="0" w:space="0" w:color="auto"/>
            <w:bottom w:val="none" w:sz="0" w:space="0" w:color="auto"/>
            <w:right w:val="none" w:sz="0" w:space="0" w:color="auto"/>
          </w:divBdr>
        </w:div>
        <w:div w:id="874469043">
          <w:marLeft w:val="0"/>
          <w:marRight w:val="0"/>
          <w:marTop w:val="0"/>
          <w:marBottom w:val="0"/>
          <w:divBdr>
            <w:top w:val="none" w:sz="0" w:space="0" w:color="auto"/>
            <w:left w:val="none" w:sz="0" w:space="0" w:color="auto"/>
            <w:bottom w:val="none" w:sz="0" w:space="0" w:color="auto"/>
            <w:right w:val="none" w:sz="0" w:space="0" w:color="auto"/>
          </w:divBdr>
        </w:div>
        <w:div w:id="997420483">
          <w:marLeft w:val="0"/>
          <w:marRight w:val="0"/>
          <w:marTop w:val="0"/>
          <w:marBottom w:val="0"/>
          <w:divBdr>
            <w:top w:val="none" w:sz="0" w:space="0" w:color="auto"/>
            <w:left w:val="none" w:sz="0" w:space="0" w:color="auto"/>
            <w:bottom w:val="none" w:sz="0" w:space="0" w:color="auto"/>
            <w:right w:val="none" w:sz="0" w:space="0" w:color="auto"/>
          </w:divBdr>
        </w:div>
        <w:div w:id="2003771445">
          <w:marLeft w:val="0"/>
          <w:marRight w:val="0"/>
          <w:marTop w:val="0"/>
          <w:marBottom w:val="0"/>
          <w:divBdr>
            <w:top w:val="none" w:sz="0" w:space="0" w:color="auto"/>
            <w:left w:val="none" w:sz="0" w:space="0" w:color="auto"/>
            <w:bottom w:val="none" w:sz="0" w:space="0" w:color="auto"/>
            <w:right w:val="none" w:sz="0" w:space="0" w:color="auto"/>
          </w:divBdr>
        </w:div>
      </w:divsChild>
    </w:div>
    <w:div w:id="976683419">
      <w:bodyDiv w:val="1"/>
      <w:marLeft w:val="0"/>
      <w:marRight w:val="0"/>
      <w:marTop w:val="0"/>
      <w:marBottom w:val="0"/>
      <w:divBdr>
        <w:top w:val="none" w:sz="0" w:space="0" w:color="auto"/>
        <w:left w:val="none" w:sz="0" w:space="0" w:color="auto"/>
        <w:bottom w:val="none" w:sz="0" w:space="0" w:color="auto"/>
        <w:right w:val="none" w:sz="0" w:space="0" w:color="auto"/>
      </w:divBdr>
    </w:div>
    <w:div w:id="984819918">
      <w:bodyDiv w:val="1"/>
      <w:marLeft w:val="0"/>
      <w:marRight w:val="0"/>
      <w:marTop w:val="0"/>
      <w:marBottom w:val="0"/>
      <w:divBdr>
        <w:top w:val="none" w:sz="0" w:space="0" w:color="auto"/>
        <w:left w:val="none" w:sz="0" w:space="0" w:color="auto"/>
        <w:bottom w:val="none" w:sz="0" w:space="0" w:color="auto"/>
        <w:right w:val="none" w:sz="0" w:space="0" w:color="auto"/>
      </w:divBdr>
    </w:div>
    <w:div w:id="985814070">
      <w:bodyDiv w:val="1"/>
      <w:marLeft w:val="0"/>
      <w:marRight w:val="0"/>
      <w:marTop w:val="0"/>
      <w:marBottom w:val="0"/>
      <w:divBdr>
        <w:top w:val="none" w:sz="0" w:space="0" w:color="auto"/>
        <w:left w:val="none" w:sz="0" w:space="0" w:color="auto"/>
        <w:bottom w:val="none" w:sz="0" w:space="0" w:color="auto"/>
        <w:right w:val="none" w:sz="0" w:space="0" w:color="auto"/>
      </w:divBdr>
      <w:divsChild>
        <w:div w:id="1773166857">
          <w:marLeft w:val="0"/>
          <w:marRight w:val="0"/>
          <w:marTop w:val="0"/>
          <w:marBottom w:val="0"/>
          <w:divBdr>
            <w:top w:val="none" w:sz="0" w:space="0" w:color="auto"/>
            <w:left w:val="none" w:sz="0" w:space="0" w:color="auto"/>
            <w:bottom w:val="none" w:sz="0" w:space="0" w:color="auto"/>
            <w:right w:val="none" w:sz="0" w:space="0" w:color="auto"/>
          </w:divBdr>
          <w:divsChild>
            <w:div w:id="2092434428">
              <w:marLeft w:val="0"/>
              <w:marRight w:val="0"/>
              <w:marTop w:val="0"/>
              <w:marBottom w:val="0"/>
              <w:divBdr>
                <w:top w:val="none" w:sz="0" w:space="0" w:color="auto"/>
                <w:left w:val="none" w:sz="0" w:space="0" w:color="auto"/>
                <w:bottom w:val="none" w:sz="0" w:space="0" w:color="auto"/>
                <w:right w:val="none" w:sz="0" w:space="0" w:color="auto"/>
              </w:divBdr>
              <w:divsChild>
                <w:div w:id="12262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332873">
      <w:bodyDiv w:val="1"/>
      <w:marLeft w:val="0"/>
      <w:marRight w:val="0"/>
      <w:marTop w:val="0"/>
      <w:marBottom w:val="0"/>
      <w:divBdr>
        <w:top w:val="none" w:sz="0" w:space="0" w:color="auto"/>
        <w:left w:val="none" w:sz="0" w:space="0" w:color="auto"/>
        <w:bottom w:val="none" w:sz="0" w:space="0" w:color="auto"/>
        <w:right w:val="none" w:sz="0" w:space="0" w:color="auto"/>
      </w:divBdr>
      <w:divsChild>
        <w:div w:id="906840674">
          <w:marLeft w:val="0"/>
          <w:marRight w:val="0"/>
          <w:marTop w:val="0"/>
          <w:marBottom w:val="0"/>
          <w:divBdr>
            <w:top w:val="none" w:sz="0" w:space="0" w:color="auto"/>
            <w:left w:val="none" w:sz="0" w:space="0" w:color="auto"/>
            <w:bottom w:val="none" w:sz="0" w:space="0" w:color="auto"/>
            <w:right w:val="none" w:sz="0" w:space="0" w:color="auto"/>
          </w:divBdr>
        </w:div>
        <w:div w:id="1050348670">
          <w:marLeft w:val="0"/>
          <w:marRight w:val="0"/>
          <w:marTop w:val="0"/>
          <w:marBottom w:val="0"/>
          <w:divBdr>
            <w:top w:val="none" w:sz="0" w:space="0" w:color="auto"/>
            <w:left w:val="none" w:sz="0" w:space="0" w:color="auto"/>
            <w:bottom w:val="none" w:sz="0" w:space="0" w:color="auto"/>
            <w:right w:val="none" w:sz="0" w:space="0" w:color="auto"/>
          </w:divBdr>
        </w:div>
      </w:divsChild>
    </w:div>
    <w:div w:id="993416085">
      <w:bodyDiv w:val="1"/>
      <w:marLeft w:val="0"/>
      <w:marRight w:val="0"/>
      <w:marTop w:val="0"/>
      <w:marBottom w:val="0"/>
      <w:divBdr>
        <w:top w:val="none" w:sz="0" w:space="0" w:color="auto"/>
        <w:left w:val="none" w:sz="0" w:space="0" w:color="auto"/>
        <w:bottom w:val="none" w:sz="0" w:space="0" w:color="auto"/>
        <w:right w:val="none" w:sz="0" w:space="0" w:color="auto"/>
      </w:divBdr>
    </w:div>
    <w:div w:id="1005016860">
      <w:bodyDiv w:val="1"/>
      <w:marLeft w:val="0"/>
      <w:marRight w:val="0"/>
      <w:marTop w:val="0"/>
      <w:marBottom w:val="0"/>
      <w:divBdr>
        <w:top w:val="none" w:sz="0" w:space="0" w:color="auto"/>
        <w:left w:val="none" w:sz="0" w:space="0" w:color="auto"/>
        <w:bottom w:val="none" w:sz="0" w:space="0" w:color="auto"/>
        <w:right w:val="none" w:sz="0" w:space="0" w:color="auto"/>
      </w:divBdr>
      <w:divsChild>
        <w:div w:id="1932371">
          <w:marLeft w:val="0"/>
          <w:marRight w:val="0"/>
          <w:marTop w:val="0"/>
          <w:marBottom w:val="0"/>
          <w:divBdr>
            <w:top w:val="none" w:sz="0" w:space="0" w:color="auto"/>
            <w:left w:val="none" w:sz="0" w:space="0" w:color="auto"/>
            <w:bottom w:val="none" w:sz="0" w:space="0" w:color="auto"/>
            <w:right w:val="none" w:sz="0" w:space="0" w:color="auto"/>
          </w:divBdr>
        </w:div>
        <w:div w:id="24141173">
          <w:marLeft w:val="0"/>
          <w:marRight w:val="0"/>
          <w:marTop w:val="0"/>
          <w:marBottom w:val="0"/>
          <w:divBdr>
            <w:top w:val="none" w:sz="0" w:space="0" w:color="auto"/>
            <w:left w:val="none" w:sz="0" w:space="0" w:color="auto"/>
            <w:bottom w:val="none" w:sz="0" w:space="0" w:color="auto"/>
            <w:right w:val="none" w:sz="0" w:space="0" w:color="auto"/>
          </w:divBdr>
          <w:divsChild>
            <w:div w:id="29307805">
              <w:marLeft w:val="0"/>
              <w:marRight w:val="0"/>
              <w:marTop w:val="0"/>
              <w:marBottom w:val="0"/>
              <w:divBdr>
                <w:top w:val="none" w:sz="0" w:space="0" w:color="auto"/>
                <w:left w:val="none" w:sz="0" w:space="0" w:color="auto"/>
                <w:bottom w:val="none" w:sz="0" w:space="0" w:color="auto"/>
                <w:right w:val="none" w:sz="0" w:space="0" w:color="auto"/>
              </w:divBdr>
            </w:div>
            <w:div w:id="64843706">
              <w:marLeft w:val="0"/>
              <w:marRight w:val="0"/>
              <w:marTop w:val="0"/>
              <w:marBottom w:val="0"/>
              <w:divBdr>
                <w:top w:val="none" w:sz="0" w:space="0" w:color="auto"/>
                <w:left w:val="none" w:sz="0" w:space="0" w:color="auto"/>
                <w:bottom w:val="none" w:sz="0" w:space="0" w:color="auto"/>
                <w:right w:val="none" w:sz="0" w:space="0" w:color="auto"/>
              </w:divBdr>
            </w:div>
            <w:div w:id="121465282">
              <w:marLeft w:val="0"/>
              <w:marRight w:val="0"/>
              <w:marTop w:val="0"/>
              <w:marBottom w:val="0"/>
              <w:divBdr>
                <w:top w:val="none" w:sz="0" w:space="0" w:color="auto"/>
                <w:left w:val="none" w:sz="0" w:space="0" w:color="auto"/>
                <w:bottom w:val="none" w:sz="0" w:space="0" w:color="auto"/>
                <w:right w:val="none" w:sz="0" w:space="0" w:color="auto"/>
              </w:divBdr>
            </w:div>
            <w:div w:id="156304967">
              <w:marLeft w:val="0"/>
              <w:marRight w:val="0"/>
              <w:marTop w:val="0"/>
              <w:marBottom w:val="0"/>
              <w:divBdr>
                <w:top w:val="none" w:sz="0" w:space="0" w:color="auto"/>
                <w:left w:val="none" w:sz="0" w:space="0" w:color="auto"/>
                <w:bottom w:val="none" w:sz="0" w:space="0" w:color="auto"/>
                <w:right w:val="none" w:sz="0" w:space="0" w:color="auto"/>
              </w:divBdr>
            </w:div>
            <w:div w:id="497119371">
              <w:marLeft w:val="0"/>
              <w:marRight w:val="0"/>
              <w:marTop w:val="0"/>
              <w:marBottom w:val="0"/>
              <w:divBdr>
                <w:top w:val="none" w:sz="0" w:space="0" w:color="auto"/>
                <w:left w:val="none" w:sz="0" w:space="0" w:color="auto"/>
                <w:bottom w:val="none" w:sz="0" w:space="0" w:color="auto"/>
                <w:right w:val="none" w:sz="0" w:space="0" w:color="auto"/>
              </w:divBdr>
            </w:div>
            <w:div w:id="708265348">
              <w:marLeft w:val="0"/>
              <w:marRight w:val="0"/>
              <w:marTop w:val="0"/>
              <w:marBottom w:val="0"/>
              <w:divBdr>
                <w:top w:val="none" w:sz="0" w:space="0" w:color="auto"/>
                <w:left w:val="none" w:sz="0" w:space="0" w:color="auto"/>
                <w:bottom w:val="none" w:sz="0" w:space="0" w:color="auto"/>
                <w:right w:val="none" w:sz="0" w:space="0" w:color="auto"/>
              </w:divBdr>
            </w:div>
            <w:div w:id="804202165">
              <w:marLeft w:val="0"/>
              <w:marRight w:val="0"/>
              <w:marTop w:val="0"/>
              <w:marBottom w:val="0"/>
              <w:divBdr>
                <w:top w:val="none" w:sz="0" w:space="0" w:color="auto"/>
                <w:left w:val="none" w:sz="0" w:space="0" w:color="auto"/>
                <w:bottom w:val="none" w:sz="0" w:space="0" w:color="auto"/>
                <w:right w:val="none" w:sz="0" w:space="0" w:color="auto"/>
              </w:divBdr>
            </w:div>
            <w:div w:id="945698581">
              <w:marLeft w:val="0"/>
              <w:marRight w:val="0"/>
              <w:marTop w:val="0"/>
              <w:marBottom w:val="0"/>
              <w:divBdr>
                <w:top w:val="none" w:sz="0" w:space="0" w:color="auto"/>
                <w:left w:val="none" w:sz="0" w:space="0" w:color="auto"/>
                <w:bottom w:val="none" w:sz="0" w:space="0" w:color="auto"/>
                <w:right w:val="none" w:sz="0" w:space="0" w:color="auto"/>
              </w:divBdr>
            </w:div>
            <w:div w:id="1373076622">
              <w:marLeft w:val="0"/>
              <w:marRight w:val="0"/>
              <w:marTop w:val="0"/>
              <w:marBottom w:val="0"/>
              <w:divBdr>
                <w:top w:val="none" w:sz="0" w:space="0" w:color="auto"/>
                <w:left w:val="none" w:sz="0" w:space="0" w:color="auto"/>
                <w:bottom w:val="none" w:sz="0" w:space="0" w:color="auto"/>
                <w:right w:val="none" w:sz="0" w:space="0" w:color="auto"/>
              </w:divBdr>
            </w:div>
            <w:div w:id="1395856485">
              <w:marLeft w:val="0"/>
              <w:marRight w:val="0"/>
              <w:marTop w:val="0"/>
              <w:marBottom w:val="0"/>
              <w:divBdr>
                <w:top w:val="none" w:sz="0" w:space="0" w:color="auto"/>
                <w:left w:val="none" w:sz="0" w:space="0" w:color="auto"/>
                <w:bottom w:val="none" w:sz="0" w:space="0" w:color="auto"/>
                <w:right w:val="none" w:sz="0" w:space="0" w:color="auto"/>
              </w:divBdr>
            </w:div>
            <w:div w:id="1545753156">
              <w:marLeft w:val="0"/>
              <w:marRight w:val="0"/>
              <w:marTop w:val="0"/>
              <w:marBottom w:val="0"/>
              <w:divBdr>
                <w:top w:val="none" w:sz="0" w:space="0" w:color="auto"/>
                <w:left w:val="none" w:sz="0" w:space="0" w:color="auto"/>
                <w:bottom w:val="none" w:sz="0" w:space="0" w:color="auto"/>
                <w:right w:val="none" w:sz="0" w:space="0" w:color="auto"/>
              </w:divBdr>
            </w:div>
            <w:div w:id="1906454371">
              <w:marLeft w:val="0"/>
              <w:marRight w:val="0"/>
              <w:marTop w:val="0"/>
              <w:marBottom w:val="0"/>
              <w:divBdr>
                <w:top w:val="none" w:sz="0" w:space="0" w:color="auto"/>
                <w:left w:val="none" w:sz="0" w:space="0" w:color="auto"/>
                <w:bottom w:val="none" w:sz="0" w:space="0" w:color="auto"/>
                <w:right w:val="none" w:sz="0" w:space="0" w:color="auto"/>
              </w:divBdr>
            </w:div>
          </w:divsChild>
        </w:div>
        <w:div w:id="106849858">
          <w:marLeft w:val="0"/>
          <w:marRight w:val="0"/>
          <w:marTop w:val="0"/>
          <w:marBottom w:val="0"/>
          <w:divBdr>
            <w:top w:val="none" w:sz="0" w:space="0" w:color="auto"/>
            <w:left w:val="none" w:sz="0" w:space="0" w:color="auto"/>
            <w:bottom w:val="none" w:sz="0" w:space="0" w:color="auto"/>
            <w:right w:val="none" w:sz="0" w:space="0" w:color="auto"/>
          </w:divBdr>
        </w:div>
      </w:divsChild>
    </w:div>
    <w:div w:id="1005086939">
      <w:bodyDiv w:val="1"/>
      <w:marLeft w:val="0"/>
      <w:marRight w:val="0"/>
      <w:marTop w:val="0"/>
      <w:marBottom w:val="0"/>
      <w:divBdr>
        <w:top w:val="none" w:sz="0" w:space="0" w:color="auto"/>
        <w:left w:val="none" w:sz="0" w:space="0" w:color="auto"/>
        <w:bottom w:val="none" w:sz="0" w:space="0" w:color="auto"/>
        <w:right w:val="none" w:sz="0" w:space="0" w:color="auto"/>
      </w:divBdr>
      <w:divsChild>
        <w:div w:id="285282250">
          <w:marLeft w:val="0"/>
          <w:marRight w:val="0"/>
          <w:marTop w:val="0"/>
          <w:marBottom w:val="0"/>
          <w:divBdr>
            <w:top w:val="none" w:sz="0" w:space="0" w:color="auto"/>
            <w:left w:val="none" w:sz="0" w:space="0" w:color="auto"/>
            <w:bottom w:val="none" w:sz="0" w:space="0" w:color="auto"/>
            <w:right w:val="none" w:sz="0" w:space="0" w:color="auto"/>
          </w:divBdr>
        </w:div>
        <w:div w:id="1104769440">
          <w:marLeft w:val="0"/>
          <w:marRight w:val="0"/>
          <w:marTop w:val="0"/>
          <w:marBottom w:val="0"/>
          <w:divBdr>
            <w:top w:val="none" w:sz="0" w:space="0" w:color="auto"/>
            <w:left w:val="none" w:sz="0" w:space="0" w:color="auto"/>
            <w:bottom w:val="none" w:sz="0" w:space="0" w:color="auto"/>
            <w:right w:val="none" w:sz="0" w:space="0" w:color="auto"/>
          </w:divBdr>
        </w:div>
        <w:div w:id="1380208629">
          <w:marLeft w:val="0"/>
          <w:marRight w:val="0"/>
          <w:marTop w:val="0"/>
          <w:marBottom w:val="0"/>
          <w:divBdr>
            <w:top w:val="none" w:sz="0" w:space="0" w:color="auto"/>
            <w:left w:val="none" w:sz="0" w:space="0" w:color="auto"/>
            <w:bottom w:val="none" w:sz="0" w:space="0" w:color="auto"/>
            <w:right w:val="none" w:sz="0" w:space="0" w:color="auto"/>
          </w:divBdr>
        </w:div>
      </w:divsChild>
    </w:div>
    <w:div w:id="1024865119">
      <w:bodyDiv w:val="1"/>
      <w:marLeft w:val="0"/>
      <w:marRight w:val="0"/>
      <w:marTop w:val="0"/>
      <w:marBottom w:val="0"/>
      <w:divBdr>
        <w:top w:val="none" w:sz="0" w:space="0" w:color="auto"/>
        <w:left w:val="none" w:sz="0" w:space="0" w:color="auto"/>
        <w:bottom w:val="none" w:sz="0" w:space="0" w:color="auto"/>
        <w:right w:val="none" w:sz="0" w:space="0" w:color="auto"/>
      </w:divBdr>
      <w:divsChild>
        <w:div w:id="29579192">
          <w:marLeft w:val="0"/>
          <w:marRight w:val="0"/>
          <w:marTop w:val="0"/>
          <w:marBottom w:val="0"/>
          <w:divBdr>
            <w:top w:val="none" w:sz="0" w:space="0" w:color="auto"/>
            <w:left w:val="none" w:sz="0" w:space="0" w:color="auto"/>
            <w:bottom w:val="none" w:sz="0" w:space="0" w:color="auto"/>
            <w:right w:val="none" w:sz="0" w:space="0" w:color="auto"/>
          </w:divBdr>
        </w:div>
        <w:div w:id="430972501">
          <w:marLeft w:val="0"/>
          <w:marRight w:val="0"/>
          <w:marTop w:val="0"/>
          <w:marBottom w:val="0"/>
          <w:divBdr>
            <w:top w:val="none" w:sz="0" w:space="0" w:color="auto"/>
            <w:left w:val="none" w:sz="0" w:space="0" w:color="auto"/>
            <w:bottom w:val="none" w:sz="0" w:space="0" w:color="auto"/>
            <w:right w:val="none" w:sz="0" w:space="0" w:color="auto"/>
          </w:divBdr>
        </w:div>
        <w:div w:id="922569813">
          <w:marLeft w:val="0"/>
          <w:marRight w:val="0"/>
          <w:marTop w:val="0"/>
          <w:marBottom w:val="0"/>
          <w:divBdr>
            <w:top w:val="none" w:sz="0" w:space="0" w:color="auto"/>
            <w:left w:val="none" w:sz="0" w:space="0" w:color="auto"/>
            <w:bottom w:val="none" w:sz="0" w:space="0" w:color="auto"/>
            <w:right w:val="none" w:sz="0" w:space="0" w:color="auto"/>
          </w:divBdr>
        </w:div>
        <w:div w:id="962998238">
          <w:marLeft w:val="0"/>
          <w:marRight w:val="0"/>
          <w:marTop w:val="0"/>
          <w:marBottom w:val="0"/>
          <w:divBdr>
            <w:top w:val="none" w:sz="0" w:space="0" w:color="auto"/>
            <w:left w:val="none" w:sz="0" w:space="0" w:color="auto"/>
            <w:bottom w:val="none" w:sz="0" w:space="0" w:color="auto"/>
            <w:right w:val="none" w:sz="0" w:space="0" w:color="auto"/>
          </w:divBdr>
        </w:div>
        <w:div w:id="1530989298">
          <w:marLeft w:val="0"/>
          <w:marRight w:val="0"/>
          <w:marTop w:val="0"/>
          <w:marBottom w:val="0"/>
          <w:divBdr>
            <w:top w:val="none" w:sz="0" w:space="0" w:color="auto"/>
            <w:left w:val="none" w:sz="0" w:space="0" w:color="auto"/>
            <w:bottom w:val="none" w:sz="0" w:space="0" w:color="auto"/>
            <w:right w:val="none" w:sz="0" w:space="0" w:color="auto"/>
          </w:divBdr>
        </w:div>
        <w:div w:id="1552964848">
          <w:marLeft w:val="0"/>
          <w:marRight w:val="0"/>
          <w:marTop w:val="0"/>
          <w:marBottom w:val="0"/>
          <w:divBdr>
            <w:top w:val="none" w:sz="0" w:space="0" w:color="auto"/>
            <w:left w:val="none" w:sz="0" w:space="0" w:color="auto"/>
            <w:bottom w:val="none" w:sz="0" w:space="0" w:color="auto"/>
            <w:right w:val="none" w:sz="0" w:space="0" w:color="auto"/>
          </w:divBdr>
        </w:div>
        <w:div w:id="1643079842">
          <w:marLeft w:val="0"/>
          <w:marRight w:val="0"/>
          <w:marTop w:val="0"/>
          <w:marBottom w:val="0"/>
          <w:divBdr>
            <w:top w:val="none" w:sz="0" w:space="0" w:color="auto"/>
            <w:left w:val="none" w:sz="0" w:space="0" w:color="auto"/>
            <w:bottom w:val="none" w:sz="0" w:space="0" w:color="auto"/>
            <w:right w:val="none" w:sz="0" w:space="0" w:color="auto"/>
          </w:divBdr>
        </w:div>
        <w:div w:id="1863784477">
          <w:marLeft w:val="0"/>
          <w:marRight w:val="0"/>
          <w:marTop w:val="0"/>
          <w:marBottom w:val="0"/>
          <w:divBdr>
            <w:top w:val="none" w:sz="0" w:space="0" w:color="auto"/>
            <w:left w:val="none" w:sz="0" w:space="0" w:color="auto"/>
            <w:bottom w:val="none" w:sz="0" w:space="0" w:color="auto"/>
            <w:right w:val="none" w:sz="0" w:space="0" w:color="auto"/>
          </w:divBdr>
        </w:div>
        <w:div w:id="1972125229">
          <w:marLeft w:val="0"/>
          <w:marRight w:val="0"/>
          <w:marTop w:val="0"/>
          <w:marBottom w:val="0"/>
          <w:divBdr>
            <w:top w:val="none" w:sz="0" w:space="0" w:color="auto"/>
            <w:left w:val="none" w:sz="0" w:space="0" w:color="auto"/>
            <w:bottom w:val="none" w:sz="0" w:space="0" w:color="auto"/>
            <w:right w:val="none" w:sz="0" w:space="0" w:color="auto"/>
          </w:divBdr>
        </w:div>
        <w:div w:id="2031681898">
          <w:marLeft w:val="0"/>
          <w:marRight w:val="0"/>
          <w:marTop w:val="0"/>
          <w:marBottom w:val="0"/>
          <w:divBdr>
            <w:top w:val="none" w:sz="0" w:space="0" w:color="auto"/>
            <w:left w:val="none" w:sz="0" w:space="0" w:color="auto"/>
            <w:bottom w:val="none" w:sz="0" w:space="0" w:color="auto"/>
            <w:right w:val="none" w:sz="0" w:space="0" w:color="auto"/>
          </w:divBdr>
        </w:div>
      </w:divsChild>
    </w:div>
    <w:div w:id="1032388721">
      <w:bodyDiv w:val="1"/>
      <w:marLeft w:val="0"/>
      <w:marRight w:val="0"/>
      <w:marTop w:val="0"/>
      <w:marBottom w:val="0"/>
      <w:divBdr>
        <w:top w:val="none" w:sz="0" w:space="0" w:color="auto"/>
        <w:left w:val="none" w:sz="0" w:space="0" w:color="auto"/>
        <w:bottom w:val="none" w:sz="0" w:space="0" w:color="auto"/>
        <w:right w:val="none" w:sz="0" w:space="0" w:color="auto"/>
      </w:divBdr>
    </w:div>
    <w:div w:id="1038242260">
      <w:bodyDiv w:val="1"/>
      <w:marLeft w:val="0"/>
      <w:marRight w:val="0"/>
      <w:marTop w:val="0"/>
      <w:marBottom w:val="0"/>
      <w:divBdr>
        <w:top w:val="none" w:sz="0" w:space="0" w:color="auto"/>
        <w:left w:val="none" w:sz="0" w:space="0" w:color="auto"/>
        <w:bottom w:val="none" w:sz="0" w:space="0" w:color="auto"/>
        <w:right w:val="none" w:sz="0" w:space="0" w:color="auto"/>
      </w:divBdr>
    </w:div>
    <w:div w:id="1044869068">
      <w:bodyDiv w:val="1"/>
      <w:marLeft w:val="0"/>
      <w:marRight w:val="0"/>
      <w:marTop w:val="0"/>
      <w:marBottom w:val="0"/>
      <w:divBdr>
        <w:top w:val="none" w:sz="0" w:space="0" w:color="auto"/>
        <w:left w:val="none" w:sz="0" w:space="0" w:color="auto"/>
        <w:bottom w:val="none" w:sz="0" w:space="0" w:color="auto"/>
        <w:right w:val="none" w:sz="0" w:space="0" w:color="auto"/>
      </w:divBdr>
    </w:div>
    <w:div w:id="1057897558">
      <w:bodyDiv w:val="1"/>
      <w:marLeft w:val="0"/>
      <w:marRight w:val="0"/>
      <w:marTop w:val="0"/>
      <w:marBottom w:val="0"/>
      <w:divBdr>
        <w:top w:val="none" w:sz="0" w:space="0" w:color="auto"/>
        <w:left w:val="none" w:sz="0" w:space="0" w:color="auto"/>
        <w:bottom w:val="none" w:sz="0" w:space="0" w:color="auto"/>
        <w:right w:val="none" w:sz="0" w:space="0" w:color="auto"/>
      </w:divBdr>
    </w:div>
    <w:div w:id="1076130573">
      <w:bodyDiv w:val="1"/>
      <w:marLeft w:val="0"/>
      <w:marRight w:val="0"/>
      <w:marTop w:val="0"/>
      <w:marBottom w:val="0"/>
      <w:divBdr>
        <w:top w:val="none" w:sz="0" w:space="0" w:color="auto"/>
        <w:left w:val="none" w:sz="0" w:space="0" w:color="auto"/>
        <w:bottom w:val="none" w:sz="0" w:space="0" w:color="auto"/>
        <w:right w:val="none" w:sz="0" w:space="0" w:color="auto"/>
      </w:divBdr>
    </w:div>
    <w:div w:id="1104114182">
      <w:bodyDiv w:val="1"/>
      <w:marLeft w:val="0"/>
      <w:marRight w:val="0"/>
      <w:marTop w:val="0"/>
      <w:marBottom w:val="0"/>
      <w:divBdr>
        <w:top w:val="none" w:sz="0" w:space="0" w:color="auto"/>
        <w:left w:val="none" w:sz="0" w:space="0" w:color="auto"/>
        <w:bottom w:val="none" w:sz="0" w:space="0" w:color="auto"/>
        <w:right w:val="none" w:sz="0" w:space="0" w:color="auto"/>
      </w:divBdr>
      <w:divsChild>
        <w:div w:id="359554380">
          <w:marLeft w:val="0"/>
          <w:marRight w:val="0"/>
          <w:marTop w:val="0"/>
          <w:marBottom w:val="0"/>
          <w:divBdr>
            <w:top w:val="none" w:sz="0" w:space="0" w:color="auto"/>
            <w:left w:val="none" w:sz="0" w:space="0" w:color="auto"/>
            <w:bottom w:val="none" w:sz="0" w:space="0" w:color="auto"/>
            <w:right w:val="none" w:sz="0" w:space="0" w:color="auto"/>
          </w:divBdr>
          <w:divsChild>
            <w:div w:id="991451333">
              <w:marLeft w:val="0"/>
              <w:marRight w:val="0"/>
              <w:marTop w:val="0"/>
              <w:marBottom w:val="0"/>
              <w:divBdr>
                <w:top w:val="none" w:sz="0" w:space="0" w:color="auto"/>
                <w:left w:val="none" w:sz="0" w:space="0" w:color="auto"/>
                <w:bottom w:val="none" w:sz="0" w:space="0" w:color="auto"/>
                <w:right w:val="none" w:sz="0" w:space="0" w:color="auto"/>
              </w:divBdr>
              <w:divsChild>
                <w:div w:id="17419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15677">
      <w:bodyDiv w:val="1"/>
      <w:marLeft w:val="0"/>
      <w:marRight w:val="0"/>
      <w:marTop w:val="0"/>
      <w:marBottom w:val="0"/>
      <w:divBdr>
        <w:top w:val="none" w:sz="0" w:space="0" w:color="auto"/>
        <w:left w:val="none" w:sz="0" w:space="0" w:color="auto"/>
        <w:bottom w:val="none" w:sz="0" w:space="0" w:color="auto"/>
        <w:right w:val="none" w:sz="0" w:space="0" w:color="auto"/>
      </w:divBdr>
      <w:divsChild>
        <w:div w:id="480195039">
          <w:marLeft w:val="0"/>
          <w:marRight w:val="0"/>
          <w:marTop w:val="0"/>
          <w:marBottom w:val="0"/>
          <w:divBdr>
            <w:top w:val="none" w:sz="0" w:space="0" w:color="auto"/>
            <w:left w:val="none" w:sz="0" w:space="0" w:color="auto"/>
            <w:bottom w:val="none" w:sz="0" w:space="0" w:color="auto"/>
            <w:right w:val="none" w:sz="0" w:space="0" w:color="auto"/>
          </w:divBdr>
        </w:div>
        <w:div w:id="1086610490">
          <w:marLeft w:val="0"/>
          <w:marRight w:val="0"/>
          <w:marTop w:val="0"/>
          <w:marBottom w:val="0"/>
          <w:divBdr>
            <w:top w:val="none" w:sz="0" w:space="0" w:color="auto"/>
            <w:left w:val="none" w:sz="0" w:space="0" w:color="auto"/>
            <w:bottom w:val="none" w:sz="0" w:space="0" w:color="auto"/>
            <w:right w:val="none" w:sz="0" w:space="0" w:color="auto"/>
          </w:divBdr>
        </w:div>
        <w:div w:id="1100296606">
          <w:marLeft w:val="0"/>
          <w:marRight w:val="0"/>
          <w:marTop w:val="0"/>
          <w:marBottom w:val="0"/>
          <w:divBdr>
            <w:top w:val="none" w:sz="0" w:space="0" w:color="auto"/>
            <w:left w:val="none" w:sz="0" w:space="0" w:color="auto"/>
            <w:bottom w:val="none" w:sz="0" w:space="0" w:color="auto"/>
            <w:right w:val="none" w:sz="0" w:space="0" w:color="auto"/>
          </w:divBdr>
        </w:div>
        <w:div w:id="1633369688">
          <w:marLeft w:val="0"/>
          <w:marRight w:val="0"/>
          <w:marTop w:val="0"/>
          <w:marBottom w:val="0"/>
          <w:divBdr>
            <w:top w:val="none" w:sz="0" w:space="0" w:color="auto"/>
            <w:left w:val="none" w:sz="0" w:space="0" w:color="auto"/>
            <w:bottom w:val="none" w:sz="0" w:space="0" w:color="auto"/>
            <w:right w:val="none" w:sz="0" w:space="0" w:color="auto"/>
          </w:divBdr>
        </w:div>
      </w:divsChild>
    </w:div>
    <w:div w:id="1123308070">
      <w:bodyDiv w:val="1"/>
      <w:marLeft w:val="0"/>
      <w:marRight w:val="0"/>
      <w:marTop w:val="0"/>
      <w:marBottom w:val="0"/>
      <w:divBdr>
        <w:top w:val="none" w:sz="0" w:space="0" w:color="auto"/>
        <w:left w:val="none" w:sz="0" w:space="0" w:color="auto"/>
        <w:bottom w:val="none" w:sz="0" w:space="0" w:color="auto"/>
        <w:right w:val="none" w:sz="0" w:space="0" w:color="auto"/>
      </w:divBdr>
    </w:div>
    <w:div w:id="1130517542">
      <w:bodyDiv w:val="1"/>
      <w:marLeft w:val="0"/>
      <w:marRight w:val="0"/>
      <w:marTop w:val="0"/>
      <w:marBottom w:val="0"/>
      <w:divBdr>
        <w:top w:val="none" w:sz="0" w:space="0" w:color="auto"/>
        <w:left w:val="none" w:sz="0" w:space="0" w:color="auto"/>
        <w:bottom w:val="none" w:sz="0" w:space="0" w:color="auto"/>
        <w:right w:val="none" w:sz="0" w:space="0" w:color="auto"/>
      </w:divBdr>
    </w:div>
    <w:div w:id="1131485273">
      <w:bodyDiv w:val="1"/>
      <w:marLeft w:val="0"/>
      <w:marRight w:val="0"/>
      <w:marTop w:val="0"/>
      <w:marBottom w:val="0"/>
      <w:divBdr>
        <w:top w:val="none" w:sz="0" w:space="0" w:color="auto"/>
        <w:left w:val="none" w:sz="0" w:space="0" w:color="auto"/>
        <w:bottom w:val="none" w:sz="0" w:space="0" w:color="auto"/>
        <w:right w:val="none" w:sz="0" w:space="0" w:color="auto"/>
      </w:divBdr>
    </w:div>
    <w:div w:id="1150100007">
      <w:bodyDiv w:val="1"/>
      <w:marLeft w:val="0"/>
      <w:marRight w:val="0"/>
      <w:marTop w:val="0"/>
      <w:marBottom w:val="0"/>
      <w:divBdr>
        <w:top w:val="none" w:sz="0" w:space="0" w:color="auto"/>
        <w:left w:val="none" w:sz="0" w:space="0" w:color="auto"/>
        <w:bottom w:val="none" w:sz="0" w:space="0" w:color="auto"/>
        <w:right w:val="none" w:sz="0" w:space="0" w:color="auto"/>
      </w:divBdr>
    </w:div>
    <w:div w:id="1150558922">
      <w:bodyDiv w:val="1"/>
      <w:marLeft w:val="0"/>
      <w:marRight w:val="0"/>
      <w:marTop w:val="0"/>
      <w:marBottom w:val="0"/>
      <w:divBdr>
        <w:top w:val="none" w:sz="0" w:space="0" w:color="auto"/>
        <w:left w:val="none" w:sz="0" w:space="0" w:color="auto"/>
        <w:bottom w:val="none" w:sz="0" w:space="0" w:color="auto"/>
        <w:right w:val="none" w:sz="0" w:space="0" w:color="auto"/>
      </w:divBdr>
    </w:div>
    <w:div w:id="1184443767">
      <w:bodyDiv w:val="1"/>
      <w:marLeft w:val="0"/>
      <w:marRight w:val="0"/>
      <w:marTop w:val="0"/>
      <w:marBottom w:val="0"/>
      <w:divBdr>
        <w:top w:val="none" w:sz="0" w:space="0" w:color="auto"/>
        <w:left w:val="none" w:sz="0" w:space="0" w:color="auto"/>
        <w:bottom w:val="none" w:sz="0" w:space="0" w:color="auto"/>
        <w:right w:val="none" w:sz="0" w:space="0" w:color="auto"/>
      </w:divBdr>
    </w:div>
    <w:div w:id="1197935583">
      <w:bodyDiv w:val="1"/>
      <w:marLeft w:val="0"/>
      <w:marRight w:val="0"/>
      <w:marTop w:val="0"/>
      <w:marBottom w:val="0"/>
      <w:divBdr>
        <w:top w:val="none" w:sz="0" w:space="0" w:color="auto"/>
        <w:left w:val="none" w:sz="0" w:space="0" w:color="auto"/>
        <w:bottom w:val="none" w:sz="0" w:space="0" w:color="auto"/>
        <w:right w:val="none" w:sz="0" w:space="0" w:color="auto"/>
      </w:divBdr>
      <w:divsChild>
        <w:div w:id="439684993">
          <w:marLeft w:val="0"/>
          <w:marRight w:val="0"/>
          <w:marTop w:val="0"/>
          <w:marBottom w:val="0"/>
          <w:divBdr>
            <w:top w:val="none" w:sz="0" w:space="0" w:color="auto"/>
            <w:left w:val="none" w:sz="0" w:space="0" w:color="auto"/>
            <w:bottom w:val="none" w:sz="0" w:space="0" w:color="auto"/>
            <w:right w:val="none" w:sz="0" w:space="0" w:color="auto"/>
          </w:divBdr>
          <w:divsChild>
            <w:div w:id="1359045876">
              <w:marLeft w:val="0"/>
              <w:marRight w:val="0"/>
              <w:marTop w:val="0"/>
              <w:marBottom w:val="0"/>
              <w:divBdr>
                <w:top w:val="none" w:sz="0" w:space="0" w:color="auto"/>
                <w:left w:val="none" w:sz="0" w:space="0" w:color="auto"/>
                <w:bottom w:val="none" w:sz="0" w:space="0" w:color="auto"/>
                <w:right w:val="none" w:sz="0" w:space="0" w:color="auto"/>
              </w:divBdr>
              <w:divsChild>
                <w:div w:id="1958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72731">
      <w:bodyDiv w:val="1"/>
      <w:marLeft w:val="0"/>
      <w:marRight w:val="0"/>
      <w:marTop w:val="0"/>
      <w:marBottom w:val="0"/>
      <w:divBdr>
        <w:top w:val="none" w:sz="0" w:space="0" w:color="auto"/>
        <w:left w:val="none" w:sz="0" w:space="0" w:color="auto"/>
        <w:bottom w:val="none" w:sz="0" w:space="0" w:color="auto"/>
        <w:right w:val="none" w:sz="0" w:space="0" w:color="auto"/>
      </w:divBdr>
    </w:div>
    <w:div w:id="1233278878">
      <w:bodyDiv w:val="1"/>
      <w:marLeft w:val="0"/>
      <w:marRight w:val="0"/>
      <w:marTop w:val="0"/>
      <w:marBottom w:val="0"/>
      <w:divBdr>
        <w:top w:val="none" w:sz="0" w:space="0" w:color="auto"/>
        <w:left w:val="none" w:sz="0" w:space="0" w:color="auto"/>
        <w:bottom w:val="none" w:sz="0" w:space="0" w:color="auto"/>
        <w:right w:val="none" w:sz="0" w:space="0" w:color="auto"/>
      </w:divBdr>
    </w:div>
    <w:div w:id="1247425889">
      <w:bodyDiv w:val="1"/>
      <w:marLeft w:val="0"/>
      <w:marRight w:val="0"/>
      <w:marTop w:val="0"/>
      <w:marBottom w:val="0"/>
      <w:divBdr>
        <w:top w:val="none" w:sz="0" w:space="0" w:color="auto"/>
        <w:left w:val="none" w:sz="0" w:space="0" w:color="auto"/>
        <w:bottom w:val="none" w:sz="0" w:space="0" w:color="auto"/>
        <w:right w:val="none" w:sz="0" w:space="0" w:color="auto"/>
      </w:divBdr>
    </w:div>
    <w:div w:id="1254897362">
      <w:bodyDiv w:val="1"/>
      <w:marLeft w:val="0"/>
      <w:marRight w:val="0"/>
      <w:marTop w:val="0"/>
      <w:marBottom w:val="0"/>
      <w:divBdr>
        <w:top w:val="none" w:sz="0" w:space="0" w:color="auto"/>
        <w:left w:val="none" w:sz="0" w:space="0" w:color="auto"/>
        <w:bottom w:val="none" w:sz="0" w:space="0" w:color="auto"/>
        <w:right w:val="none" w:sz="0" w:space="0" w:color="auto"/>
      </w:divBdr>
    </w:div>
    <w:div w:id="1255435059">
      <w:bodyDiv w:val="1"/>
      <w:marLeft w:val="0"/>
      <w:marRight w:val="0"/>
      <w:marTop w:val="0"/>
      <w:marBottom w:val="0"/>
      <w:divBdr>
        <w:top w:val="none" w:sz="0" w:space="0" w:color="auto"/>
        <w:left w:val="none" w:sz="0" w:space="0" w:color="auto"/>
        <w:bottom w:val="none" w:sz="0" w:space="0" w:color="auto"/>
        <w:right w:val="none" w:sz="0" w:space="0" w:color="auto"/>
      </w:divBdr>
    </w:div>
    <w:div w:id="1279991830">
      <w:bodyDiv w:val="1"/>
      <w:marLeft w:val="0"/>
      <w:marRight w:val="0"/>
      <w:marTop w:val="0"/>
      <w:marBottom w:val="0"/>
      <w:divBdr>
        <w:top w:val="none" w:sz="0" w:space="0" w:color="auto"/>
        <w:left w:val="none" w:sz="0" w:space="0" w:color="auto"/>
        <w:bottom w:val="none" w:sz="0" w:space="0" w:color="auto"/>
        <w:right w:val="none" w:sz="0" w:space="0" w:color="auto"/>
      </w:divBdr>
      <w:divsChild>
        <w:div w:id="542401228">
          <w:marLeft w:val="0"/>
          <w:marRight w:val="0"/>
          <w:marTop w:val="0"/>
          <w:marBottom w:val="0"/>
          <w:divBdr>
            <w:top w:val="none" w:sz="0" w:space="0" w:color="auto"/>
            <w:left w:val="none" w:sz="0" w:space="0" w:color="auto"/>
            <w:bottom w:val="none" w:sz="0" w:space="0" w:color="auto"/>
            <w:right w:val="none" w:sz="0" w:space="0" w:color="auto"/>
          </w:divBdr>
          <w:divsChild>
            <w:div w:id="1929002476">
              <w:marLeft w:val="0"/>
              <w:marRight w:val="0"/>
              <w:marTop w:val="0"/>
              <w:marBottom w:val="0"/>
              <w:divBdr>
                <w:top w:val="none" w:sz="0" w:space="0" w:color="auto"/>
                <w:left w:val="none" w:sz="0" w:space="0" w:color="auto"/>
                <w:bottom w:val="none" w:sz="0" w:space="0" w:color="auto"/>
                <w:right w:val="none" w:sz="0" w:space="0" w:color="auto"/>
              </w:divBdr>
              <w:divsChild>
                <w:div w:id="14524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3253">
      <w:bodyDiv w:val="1"/>
      <w:marLeft w:val="0"/>
      <w:marRight w:val="0"/>
      <w:marTop w:val="0"/>
      <w:marBottom w:val="0"/>
      <w:divBdr>
        <w:top w:val="none" w:sz="0" w:space="0" w:color="auto"/>
        <w:left w:val="none" w:sz="0" w:space="0" w:color="auto"/>
        <w:bottom w:val="none" w:sz="0" w:space="0" w:color="auto"/>
        <w:right w:val="none" w:sz="0" w:space="0" w:color="auto"/>
      </w:divBdr>
    </w:div>
    <w:div w:id="1283657680">
      <w:bodyDiv w:val="1"/>
      <w:marLeft w:val="0"/>
      <w:marRight w:val="0"/>
      <w:marTop w:val="0"/>
      <w:marBottom w:val="0"/>
      <w:divBdr>
        <w:top w:val="none" w:sz="0" w:space="0" w:color="auto"/>
        <w:left w:val="none" w:sz="0" w:space="0" w:color="auto"/>
        <w:bottom w:val="none" w:sz="0" w:space="0" w:color="auto"/>
        <w:right w:val="none" w:sz="0" w:space="0" w:color="auto"/>
      </w:divBdr>
      <w:divsChild>
        <w:div w:id="514227711">
          <w:marLeft w:val="0"/>
          <w:marRight w:val="0"/>
          <w:marTop w:val="0"/>
          <w:marBottom w:val="0"/>
          <w:divBdr>
            <w:top w:val="none" w:sz="0" w:space="0" w:color="auto"/>
            <w:left w:val="none" w:sz="0" w:space="0" w:color="auto"/>
            <w:bottom w:val="none" w:sz="0" w:space="0" w:color="auto"/>
            <w:right w:val="none" w:sz="0" w:space="0" w:color="auto"/>
          </w:divBdr>
          <w:divsChild>
            <w:div w:id="1443500261">
              <w:marLeft w:val="0"/>
              <w:marRight w:val="0"/>
              <w:marTop w:val="0"/>
              <w:marBottom w:val="0"/>
              <w:divBdr>
                <w:top w:val="none" w:sz="0" w:space="0" w:color="auto"/>
                <w:left w:val="none" w:sz="0" w:space="0" w:color="auto"/>
                <w:bottom w:val="none" w:sz="0" w:space="0" w:color="auto"/>
                <w:right w:val="none" w:sz="0" w:space="0" w:color="auto"/>
              </w:divBdr>
              <w:divsChild>
                <w:div w:id="317271279">
                  <w:marLeft w:val="0"/>
                  <w:marRight w:val="0"/>
                  <w:marTop w:val="0"/>
                  <w:marBottom w:val="0"/>
                  <w:divBdr>
                    <w:top w:val="none" w:sz="0" w:space="0" w:color="auto"/>
                    <w:left w:val="none" w:sz="0" w:space="0" w:color="auto"/>
                    <w:bottom w:val="none" w:sz="0" w:space="0" w:color="auto"/>
                    <w:right w:val="none" w:sz="0" w:space="0" w:color="auto"/>
                  </w:divBdr>
                  <w:divsChild>
                    <w:div w:id="18177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3814">
      <w:bodyDiv w:val="1"/>
      <w:marLeft w:val="0"/>
      <w:marRight w:val="0"/>
      <w:marTop w:val="0"/>
      <w:marBottom w:val="0"/>
      <w:divBdr>
        <w:top w:val="none" w:sz="0" w:space="0" w:color="auto"/>
        <w:left w:val="none" w:sz="0" w:space="0" w:color="auto"/>
        <w:bottom w:val="none" w:sz="0" w:space="0" w:color="auto"/>
        <w:right w:val="none" w:sz="0" w:space="0" w:color="auto"/>
      </w:divBdr>
      <w:divsChild>
        <w:div w:id="674386738">
          <w:marLeft w:val="0"/>
          <w:marRight w:val="0"/>
          <w:marTop w:val="0"/>
          <w:marBottom w:val="0"/>
          <w:divBdr>
            <w:top w:val="none" w:sz="0" w:space="0" w:color="auto"/>
            <w:left w:val="none" w:sz="0" w:space="0" w:color="auto"/>
            <w:bottom w:val="none" w:sz="0" w:space="0" w:color="auto"/>
            <w:right w:val="none" w:sz="0" w:space="0" w:color="auto"/>
          </w:divBdr>
          <w:divsChild>
            <w:div w:id="759637870">
              <w:marLeft w:val="0"/>
              <w:marRight w:val="0"/>
              <w:marTop w:val="0"/>
              <w:marBottom w:val="0"/>
              <w:divBdr>
                <w:top w:val="none" w:sz="0" w:space="0" w:color="auto"/>
                <w:left w:val="none" w:sz="0" w:space="0" w:color="auto"/>
                <w:bottom w:val="none" w:sz="0" w:space="0" w:color="auto"/>
                <w:right w:val="none" w:sz="0" w:space="0" w:color="auto"/>
              </w:divBdr>
              <w:divsChild>
                <w:div w:id="1060597959">
                  <w:marLeft w:val="0"/>
                  <w:marRight w:val="0"/>
                  <w:marTop w:val="0"/>
                  <w:marBottom w:val="0"/>
                  <w:divBdr>
                    <w:top w:val="none" w:sz="0" w:space="0" w:color="auto"/>
                    <w:left w:val="none" w:sz="0" w:space="0" w:color="auto"/>
                    <w:bottom w:val="none" w:sz="0" w:space="0" w:color="auto"/>
                    <w:right w:val="none" w:sz="0" w:space="0" w:color="auto"/>
                  </w:divBdr>
                  <w:divsChild>
                    <w:div w:id="14719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040195">
      <w:bodyDiv w:val="1"/>
      <w:marLeft w:val="0"/>
      <w:marRight w:val="0"/>
      <w:marTop w:val="0"/>
      <w:marBottom w:val="0"/>
      <w:divBdr>
        <w:top w:val="none" w:sz="0" w:space="0" w:color="auto"/>
        <w:left w:val="none" w:sz="0" w:space="0" w:color="auto"/>
        <w:bottom w:val="none" w:sz="0" w:space="0" w:color="auto"/>
        <w:right w:val="none" w:sz="0" w:space="0" w:color="auto"/>
      </w:divBdr>
    </w:div>
    <w:div w:id="1314793962">
      <w:bodyDiv w:val="1"/>
      <w:marLeft w:val="0"/>
      <w:marRight w:val="0"/>
      <w:marTop w:val="0"/>
      <w:marBottom w:val="0"/>
      <w:divBdr>
        <w:top w:val="none" w:sz="0" w:space="0" w:color="auto"/>
        <w:left w:val="none" w:sz="0" w:space="0" w:color="auto"/>
        <w:bottom w:val="none" w:sz="0" w:space="0" w:color="auto"/>
        <w:right w:val="none" w:sz="0" w:space="0" w:color="auto"/>
      </w:divBdr>
    </w:div>
    <w:div w:id="1340767263">
      <w:bodyDiv w:val="1"/>
      <w:marLeft w:val="0"/>
      <w:marRight w:val="0"/>
      <w:marTop w:val="0"/>
      <w:marBottom w:val="0"/>
      <w:divBdr>
        <w:top w:val="none" w:sz="0" w:space="0" w:color="auto"/>
        <w:left w:val="none" w:sz="0" w:space="0" w:color="auto"/>
        <w:bottom w:val="none" w:sz="0" w:space="0" w:color="auto"/>
        <w:right w:val="none" w:sz="0" w:space="0" w:color="auto"/>
      </w:divBdr>
      <w:divsChild>
        <w:div w:id="236870054">
          <w:marLeft w:val="0"/>
          <w:marRight w:val="0"/>
          <w:marTop w:val="0"/>
          <w:marBottom w:val="0"/>
          <w:divBdr>
            <w:top w:val="none" w:sz="0" w:space="0" w:color="auto"/>
            <w:left w:val="none" w:sz="0" w:space="0" w:color="auto"/>
            <w:bottom w:val="none" w:sz="0" w:space="0" w:color="auto"/>
            <w:right w:val="none" w:sz="0" w:space="0" w:color="auto"/>
          </w:divBdr>
          <w:divsChild>
            <w:div w:id="1820149301">
              <w:marLeft w:val="0"/>
              <w:marRight w:val="0"/>
              <w:marTop w:val="0"/>
              <w:marBottom w:val="0"/>
              <w:divBdr>
                <w:top w:val="none" w:sz="0" w:space="0" w:color="auto"/>
                <w:left w:val="none" w:sz="0" w:space="0" w:color="auto"/>
                <w:bottom w:val="none" w:sz="0" w:space="0" w:color="auto"/>
                <w:right w:val="none" w:sz="0" w:space="0" w:color="auto"/>
              </w:divBdr>
              <w:divsChild>
                <w:div w:id="6854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27584">
      <w:bodyDiv w:val="1"/>
      <w:marLeft w:val="0"/>
      <w:marRight w:val="0"/>
      <w:marTop w:val="0"/>
      <w:marBottom w:val="0"/>
      <w:divBdr>
        <w:top w:val="none" w:sz="0" w:space="0" w:color="auto"/>
        <w:left w:val="none" w:sz="0" w:space="0" w:color="auto"/>
        <w:bottom w:val="none" w:sz="0" w:space="0" w:color="auto"/>
        <w:right w:val="none" w:sz="0" w:space="0" w:color="auto"/>
      </w:divBdr>
    </w:div>
    <w:div w:id="1349599187">
      <w:bodyDiv w:val="1"/>
      <w:marLeft w:val="0"/>
      <w:marRight w:val="0"/>
      <w:marTop w:val="0"/>
      <w:marBottom w:val="0"/>
      <w:divBdr>
        <w:top w:val="none" w:sz="0" w:space="0" w:color="auto"/>
        <w:left w:val="none" w:sz="0" w:space="0" w:color="auto"/>
        <w:bottom w:val="none" w:sz="0" w:space="0" w:color="auto"/>
        <w:right w:val="none" w:sz="0" w:space="0" w:color="auto"/>
      </w:divBdr>
      <w:divsChild>
        <w:div w:id="1102184790">
          <w:marLeft w:val="0"/>
          <w:marRight w:val="0"/>
          <w:marTop w:val="0"/>
          <w:marBottom w:val="0"/>
          <w:divBdr>
            <w:top w:val="none" w:sz="0" w:space="0" w:color="auto"/>
            <w:left w:val="none" w:sz="0" w:space="0" w:color="auto"/>
            <w:bottom w:val="none" w:sz="0" w:space="0" w:color="auto"/>
            <w:right w:val="none" w:sz="0" w:space="0" w:color="auto"/>
          </w:divBdr>
          <w:divsChild>
            <w:div w:id="710223666">
              <w:marLeft w:val="0"/>
              <w:marRight w:val="0"/>
              <w:marTop w:val="0"/>
              <w:marBottom w:val="0"/>
              <w:divBdr>
                <w:top w:val="none" w:sz="0" w:space="0" w:color="auto"/>
                <w:left w:val="none" w:sz="0" w:space="0" w:color="auto"/>
                <w:bottom w:val="none" w:sz="0" w:space="0" w:color="auto"/>
                <w:right w:val="none" w:sz="0" w:space="0" w:color="auto"/>
              </w:divBdr>
              <w:divsChild>
                <w:div w:id="920334954">
                  <w:marLeft w:val="0"/>
                  <w:marRight w:val="0"/>
                  <w:marTop w:val="0"/>
                  <w:marBottom w:val="0"/>
                  <w:divBdr>
                    <w:top w:val="none" w:sz="0" w:space="0" w:color="auto"/>
                    <w:left w:val="none" w:sz="0" w:space="0" w:color="auto"/>
                    <w:bottom w:val="none" w:sz="0" w:space="0" w:color="auto"/>
                    <w:right w:val="none" w:sz="0" w:space="0" w:color="auto"/>
                  </w:divBdr>
                  <w:divsChild>
                    <w:div w:id="11051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25221">
      <w:bodyDiv w:val="1"/>
      <w:marLeft w:val="0"/>
      <w:marRight w:val="0"/>
      <w:marTop w:val="0"/>
      <w:marBottom w:val="0"/>
      <w:divBdr>
        <w:top w:val="none" w:sz="0" w:space="0" w:color="auto"/>
        <w:left w:val="none" w:sz="0" w:space="0" w:color="auto"/>
        <w:bottom w:val="none" w:sz="0" w:space="0" w:color="auto"/>
        <w:right w:val="none" w:sz="0" w:space="0" w:color="auto"/>
      </w:divBdr>
      <w:divsChild>
        <w:div w:id="352456991">
          <w:marLeft w:val="0"/>
          <w:marRight w:val="0"/>
          <w:marTop w:val="0"/>
          <w:marBottom w:val="0"/>
          <w:divBdr>
            <w:top w:val="none" w:sz="0" w:space="0" w:color="auto"/>
            <w:left w:val="none" w:sz="0" w:space="0" w:color="auto"/>
            <w:bottom w:val="none" w:sz="0" w:space="0" w:color="auto"/>
            <w:right w:val="none" w:sz="0" w:space="0" w:color="auto"/>
          </w:divBdr>
          <w:divsChild>
            <w:div w:id="1415591243">
              <w:marLeft w:val="0"/>
              <w:marRight w:val="0"/>
              <w:marTop w:val="0"/>
              <w:marBottom w:val="0"/>
              <w:divBdr>
                <w:top w:val="none" w:sz="0" w:space="0" w:color="auto"/>
                <w:left w:val="none" w:sz="0" w:space="0" w:color="auto"/>
                <w:bottom w:val="none" w:sz="0" w:space="0" w:color="auto"/>
                <w:right w:val="none" w:sz="0" w:space="0" w:color="auto"/>
              </w:divBdr>
              <w:divsChild>
                <w:div w:id="15838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84578">
      <w:bodyDiv w:val="1"/>
      <w:marLeft w:val="0"/>
      <w:marRight w:val="0"/>
      <w:marTop w:val="0"/>
      <w:marBottom w:val="0"/>
      <w:divBdr>
        <w:top w:val="none" w:sz="0" w:space="0" w:color="auto"/>
        <w:left w:val="none" w:sz="0" w:space="0" w:color="auto"/>
        <w:bottom w:val="none" w:sz="0" w:space="0" w:color="auto"/>
        <w:right w:val="none" w:sz="0" w:space="0" w:color="auto"/>
      </w:divBdr>
    </w:div>
    <w:div w:id="1445885949">
      <w:bodyDiv w:val="1"/>
      <w:marLeft w:val="0"/>
      <w:marRight w:val="0"/>
      <w:marTop w:val="0"/>
      <w:marBottom w:val="0"/>
      <w:divBdr>
        <w:top w:val="none" w:sz="0" w:space="0" w:color="auto"/>
        <w:left w:val="none" w:sz="0" w:space="0" w:color="auto"/>
        <w:bottom w:val="none" w:sz="0" w:space="0" w:color="auto"/>
        <w:right w:val="none" w:sz="0" w:space="0" w:color="auto"/>
      </w:divBdr>
    </w:div>
    <w:div w:id="1450664005">
      <w:bodyDiv w:val="1"/>
      <w:marLeft w:val="0"/>
      <w:marRight w:val="0"/>
      <w:marTop w:val="0"/>
      <w:marBottom w:val="0"/>
      <w:divBdr>
        <w:top w:val="none" w:sz="0" w:space="0" w:color="auto"/>
        <w:left w:val="none" w:sz="0" w:space="0" w:color="auto"/>
        <w:bottom w:val="none" w:sz="0" w:space="0" w:color="auto"/>
        <w:right w:val="none" w:sz="0" w:space="0" w:color="auto"/>
      </w:divBdr>
      <w:divsChild>
        <w:div w:id="2027831653">
          <w:marLeft w:val="0"/>
          <w:marRight w:val="0"/>
          <w:marTop w:val="0"/>
          <w:marBottom w:val="0"/>
          <w:divBdr>
            <w:top w:val="none" w:sz="0" w:space="0" w:color="auto"/>
            <w:left w:val="none" w:sz="0" w:space="0" w:color="auto"/>
            <w:bottom w:val="none" w:sz="0" w:space="0" w:color="auto"/>
            <w:right w:val="none" w:sz="0" w:space="0" w:color="auto"/>
          </w:divBdr>
          <w:divsChild>
            <w:div w:id="1939170461">
              <w:marLeft w:val="0"/>
              <w:marRight w:val="0"/>
              <w:marTop w:val="0"/>
              <w:marBottom w:val="0"/>
              <w:divBdr>
                <w:top w:val="none" w:sz="0" w:space="0" w:color="auto"/>
                <w:left w:val="none" w:sz="0" w:space="0" w:color="auto"/>
                <w:bottom w:val="none" w:sz="0" w:space="0" w:color="auto"/>
                <w:right w:val="none" w:sz="0" w:space="0" w:color="auto"/>
              </w:divBdr>
              <w:divsChild>
                <w:div w:id="963117523">
                  <w:marLeft w:val="0"/>
                  <w:marRight w:val="0"/>
                  <w:marTop w:val="0"/>
                  <w:marBottom w:val="0"/>
                  <w:divBdr>
                    <w:top w:val="none" w:sz="0" w:space="0" w:color="auto"/>
                    <w:left w:val="none" w:sz="0" w:space="0" w:color="auto"/>
                    <w:bottom w:val="none" w:sz="0" w:space="0" w:color="auto"/>
                    <w:right w:val="none" w:sz="0" w:space="0" w:color="auto"/>
                  </w:divBdr>
                  <w:divsChild>
                    <w:div w:id="9411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16886">
      <w:bodyDiv w:val="1"/>
      <w:marLeft w:val="0"/>
      <w:marRight w:val="0"/>
      <w:marTop w:val="0"/>
      <w:marBottom w:val="0"/>
      <w:divBdr>
        <w:top w:val="none" w:sz="0" w:space="0" w:color="auto"/>
        <w:left w:val="none" w:sz="0" w:space="0" w:color="auto"/>
        <w:bottom w:val="none" w:sz="0" w:space="0" w:color="auto"/>
        <w:right w:val="none" w:sz="0" w:space="0" w:color="auto"/>
      </w:divBdr>
    </w:div>
    <w:div w:id="1471244928">
      <w:bodyDiv w:val="1"/>
      <w:marLeft w:val="0"/>
      <w:marRight w:val="0"/>
      <w:marTop w:val="0"/>
      <w:marBottom w:val="0"/>
      <w:divBdr>
        <w:top w:val="none" w:sz="0" w:space="0" w:color="auto"/>
        <w:left w:val="none" w:sz="0" w:space="0" w:color="auto"/>
        <w:bottom w:val="none" w:sz="0" w:space="0" w:color="auto"/>
        <w:right w:val="none" w:sz="0" w:space="0" w:color="auto"/>
      </w:divBdr>
    </w:div>
    <w:div w:id="1492256937">
      <w:bodyDiv w:val="1"/>
      <w:marLeft w:val="0"/>
      <w:marRight w:val="0"/>
      <w:marTop w:val="0"/>
      <w:marBottom w:val="0"/>
      <w:divBdr>
        <w:top w:val="none" w:sz="0" w:space="0" w:color="auto"/>
        <w:left w:val="none" w:sz="0" w:space="0" w:color="auto"/>
        <w:bottom w:val="none" w:sz="0" w:space="0" w:color="auto"/>
        <w:right w:val="none" w:sz="0" w:space="0" w:color="auto"/>
      </w:divBdr>
    </w:div>
    <w:div w:id="1532911994">
      <w:bodyDiv w:val="1"/>
      <w:marLeft w:val="0"/>
      <w:marRight w:val="0"/>
      <w:marTop w:val="0"/>
      <w:marBottom w:val="0"/>
      <w:divBdr>
        <w:top w:val="none" w:sz="0" w:space="0" w:color="auto"/>
        <w:left w:val="none" w:sz="0" w:space="0" w:color="auto"/>
        <w:bottom w:val="none" w:sz="0" w:space="0" w:color="auto"/>
        <w:right w:val="none" w:sz="0" w:space="0" w:color="auto"/>
      </w:divBdr>
      <w:divsChild>
        <w:div w:id="678700180">
          <w:marLeft w:val="0"/>
          <w:marRight w:val="0"/>
          <w:marTop w:val="0"/>
          <w:marBottom w:val="0"/>
          <w:divBdr>
            <w:top w:val="none" w:sz="0" w:space="0" w:color="auto"/>
            <w:left w:val="none" w:sz="0" w:space="0" w:color="auto"/>
            <w:bottom w:val="none" w:sz="0" w:space="0" w:color="auto"/>
            <w:right w:val="none" w:sz="0" w:space="0" w:color="auto"/>
          </w:divBdr>
          <w:divsChild>
            <w:div w:id="70154723">
              <w:marLeft w:val="0"/>
              <w:marRight w:val="0"/>
              <w:marTop w:val="0"/>
              <w:marBottom w:val="0"/>
              <w:divBdr>
                <w:top w:val="none" w:sz="0" w:space="0" w:color="auto"/>
                <w:left w:val="none" w:sz="0" w:space="0" w:color="auto"/>
                <w:bottom w:val="none" w:sz="0" w:space="0" w:color="auto"/>
                <w:right w:val="none" w:sz="0" w:space="0" w:color="auto"/>
              </w:divBdr>
            </w:div>
            <w:div w:id="219243736">
              <w:marLeft w:val="0"/>
              <w:marRight w:val="0"/>
              <w:marTop w:val="0"/>
              <w:marBottom w:val="0"/>
              <w:divBdr>
                <w:top w:val="none" w:sz="0" w:space="0" w:color="auto"/>
                <w:left w:val="none" w:sz="0" w:space="0" w:color="auto"/>
                <w:bottom w:val="none" w:sz="0" w:space="0" w:color="auto"/>
                <w:right w:val="none" w:sz="0" w:space="0" w:color="auto"/>
              </w:divBdr>
            </w:div>
            <w:div w:id="386610314">
              <w:marLeft w:val="0"/>
              <w:marRight w:val="0"/>
              <w:marTop w:val="0"/>
              <w:marBottom w:val="0"/>
              <w:divBdr>
                <w:top w:val="none" w:sz="0" w:space="0" w:color="auto"/>
                <w:left w:val="none" w:sz="0" w:space="0" w:color="auto"/>
                <w:bottom w:val="none" w:sz="0" w:space="0" w:color="auto"/>
                <w:right w:val="none" w:sz="0" w:space="0" w:color="auto"/>
              </w:divBdr>
            </w:div>
            <w:div w:id="471094632">
              <w:marLeft w:val="0"/>
              <w:marRight w:val="0"/>
              <w:marTop w:val="0"/>
              <w:marBottom w:val="0"/>
              <w:divBdr>
                <w:top w:val="none" w:sz="0" w:space="0" w:color="auto"/>
                <w:left w:val="none" w:sz="0" w:space="0" w:color="auto"/>
                <w:bottom w:val="none" w:sz="0" w:space="0" w:color="auto"/>
                <w:right w:val="none" w:sz="0" w:space="0" w:color="auto"/>
              </w:divBdr>
            </w:div>
            <w:div w:id="689726444">
              <w:marLeft w:val="0"/>
              <w:marRight w:val="0"/>
              <w:marTop w:val="0"/>
              <w:marBottom w:val="0"/>
              <w:divBdr>
                <w:top w:val="none" w:sz="0" w:space="0" w:color="auto"/>
                <w:left w:val="none" w:sz="0" w:space="0" w:color="auto"/>
                <w:bottom w:val="none" w:sz="0" w:space="0" w:color="auto"/>
                <w:right w:val="none" w:sz="0" w:space="0" w:color="auto"/>
              </w:divBdr>
            </w:div>
            <w:div w:id="704985650">
              <w:marLeft w:val="0"/>
              <w:marRight w:val="0"/>
              <w:marTop w:val="0"/>
              <w:marBottom w:val="0"/>
              <w:divBdr>
                <w:top w:val="none" w:sz="0" w:space="0" w:color="auto"/>
                <w:left w:val="none" w:sz="0" w:space="0" w:color="auto"/>
                <w:bottom w:val="none" w:sz="0" w:space="0" w:color="auto"/>
                <w:right w:val="none" w:sz="0" w:space="0" w:color="auto"/>
              </w:divBdr>
            </w:div>
            <w:div w:id="708647304">
              <w:marLeft w:val="0"/>
              <w:marRight w:val="0"/>
              <w:marTop w:val="0"/>
              <w:marBottom w:val="0"/>
              <w:divBdr>
                <w:top w:val="none" w:sz="0" w:space="0" w:color="auto"/>
                <w:left w:val="none" w:sz="0" w:space="0" w:color="auto"/>
                <w:bottom w:val="none" w:sz="0" w:space="0" w:color="auto"/>
                <w:right w:val="none" w:sz="0" w:space="0" w:color="auto"/>
              </w:divBdr>
            </w:div>
            <w:div w:id="1755660076">
              <w:marLeft w:val="0"/>
              <w:marRight w:val="0"/>
              <w:marTop w:val="0"/>
              <w:marBottom w:val="0"/>
              <w:divBdr>
                <w:top w:val="none" w:sz="0" w:space="0" w:color="auto"/>
                <w:left w:val="none" w:sz="0" w:space="0" w:color="auto"/>
                <w:bottom w:val="none" w:sz="0" w:space="0" w:color="auto"/>
                <w:right w:val="none" w:sz="0" w:space="0" w:color="auto"/>
              </w:divBdr>
            </w:div>
            <w:div w:id="1809399852">
              <w:marLeft w:val="0"/>
              <w:marRight w:val="0"/>
              <w:marTop w:val="0"/>
              <w:marBottom w:val="0"/>
              <w:divBdr>
                <w:top w:val="none" w:sz="0" w:space="0" w:color="auto"/>
                <w:left w:val="none" w:sz="0" w:space="0" w:color="auto"/>
                <w:bottom w:val="none" w:sz="0" w:space="0" w:color="auto"/>
                <w:right w:val="none" w:sz="0" w:space="0" w:color="auto"/>
              </w:divBdr>
            </w:div>
            <w:div w:id="1904832733">
              <w:marLeft w:val="0"/>
              <w:marRight w:val="0"/>
              <w:marTop w:val="0"/>
              <w:marBottom w:val="0"/>
              <w:divBdr>
                <w:top w:val="none" w:sz="0" w:space="0" w:color="auto"/>
                <w:left w:val="none" w:sz="0" w:space="0" w:color="auto"/>
                <w:bottom w:val="none" w:sz="0" w:space="0" w:color="auto"/>
                <w:right w:val="none" w:sz="0" w:space="0" w:color="auto"/>
              </w:divBdr>
            </w:div>
            <w:div w:id="2001158709">
              <w:marLeft w:val="0"/>
              <w:marRight w:val="0"/>
              <w:marTop w:val="0"/>
              <w:marBottom w:val="0"/>
              <w:divBdr>
                <w:top w:val="none" w:sz="0" w:space="0" w:color="auto"/>
                <w:left w:val="none" w:sz="0" w:space="0" w:color="auto"/>
                <w:bottom w:val="none" w:sz="0" w:space="0" w:color="auto"/>
                <w:right w:val="none" w:sz="0" w:space="0" w:color="auto"/>
              </w:divBdr>
            </w:div>
            <w:div w:id="2049404920">
              <w:marLeft w:val="0"/>
              <w:marRight w:val="0"/>
              <w:marTop w:val="0"/>
              <w:marBottom w:val="0"/>
              <w:divBdr>
                <w:top w:val="none" w:sz="0" w:space="0" w:color="auto"/>
                <w:left w:val="none" w:sz="0" w:space="0" w:color="auto"/>
                <w:bottom w:val="none" w:sz="0" w:space="0" w:color="auto"/>
                <w:right w:val="none" w:sz="0" w:space="0" w:color="auto"/>
              </w:divBdr>
            </w:div>
          </w:divsChild>
        </w:div>
        <w:div w:id="1517231553">
          <w:marLeft w:val="0"/>
          <w:marRight w:val="0"/>
          <w:marTop w:val="0"/>
          <w:marBottom w:val="0"/>
          <w:divBdr>
            <w:top w:val="none" w:sz="0" w:space="0" w:color="auto"/>
            <w:left w:val="none" w:sz="0" w:space="0" w:color="auto"/>
            <w:bottom w:val="none" w:sz="0" w:space="0" w:color="auto"/>
            <w:right w:val="none" w:sz="0" w:space="0" w:color="auto"/>
          </w:divBdr>
        </w:div>
        <w:div w:id="1538082931">
          <w:marLeft w:val="0"/>
          <w:marRight w:val="0"/>
          <w:marTop w:val="0"/>
          <w:marBottom w:val="0"/>
          <w:divBdr>
            <w:top w:val="none" w:sz="0" w:space="0" w:color="auto"/>
            <w:left w:val="none" w:sz="0" w:space="0" w:color="auto"/>
            <w:bottom w:val="none" w:sz="0" w:space="0" w:color="auto"/>
            <w:right w:val="none" w:sz="0" w:space="0" w:color="auto"/>
          </w:divBdr>
        </w:div>
      </w:divsChild>
    </w:div>
    <w:div w:id="1534465515">
      <w:bodyDiv w:val="1"/>
      <w:marLeft w:val="0"/>
      <w:marRight w:val="0"/>
      <w:marTop w:val="0"/>
      <w:marBottom w:val="0"/>
      <w:divBdr>
        <w:top w:val="none" w:sz="0" w:space="0" w:color="auto"/>
        <w:left w:val="none" w:sz="0" w:space="0" w:color="auto"/>
        <w:bottom w:val="none" w:sz="0" w:space="0" w:color="auto"/>
        <w:right w:val="none" w:sz="0" w:space="0" w:color="auto"/>
      </w:divBdr>
      <w:divsChild>
        <w:div w:id="243498007">
          <w:marLeft w:val="0"/>
          <w:marRight w:val="0"/>
          <w:marTop w:val="0"/>
          <w:marBottom w:val="0"/>
          <w:divBdr>
            <w:top w:val="none" w:sz="0" w:space="0" w:color="auto"/>
            <w:left w:val="none" w:sz="0" w:space="0" w:color="auto"/>
            <w:bottom w:val="none" w:sz="0" w:space="0" w:color="auto"/>
            <w:right w:val="none" w:sz="0" w:space="0" w:color="auto"/>
          </w:divBdr>
        </w:div>
        <w:div w:id="560023146">
          <w:marLeft w:val="0"/>
          <w:marRight w:val="0"/>
          <w:marTop w:val="0"/>
          <w:marBottom w:val="0"/>
          <w:divBdr>
            <w:top w:val="none" w:sz="0" w:space="0" w:color="auto"/>
            <w:left w:val="none" w:sz="0" w:space="0" w:color="auto"/>
            <w:bottom w:val="none" w:sz="0" w:space="0" w:color="auto"/>
            <w:right w:val="none" w:sz="0" w:space="0" w:color="auto"/>
          </w:divBdr>
        </w:div>
        <w:div w:id="803892378">
          <w:marLeft w:val="0"/>
          <w:marRight w:val="0"/>
          <w:marTop w:val="0"/>
          <w:marBottom w:val="0"/>
          <w:divBdr>
            <w:top w:val="none" w:sz="0" w:space="0" w:color="auto"/>
            <w:left w:val="none" w:sz="0" w:space="0" w:color="auto"/>
            <w:bottom w:val="none" w:sz="0" w:space="0" w:color="auto"/>
            <w:right w:val="none" w:sz="0" w:space="0" w:color="auto"/>
          </w:divBdr>
        </w:div>
        <w:div w:id="840123597">
          <w:marLeft w:val="0"/>
          <w:marRight w:val="0"/>
          <w:marTop w:val="0"/>
          <w:marBottom w:val="0"/>
          <w:divBdr>
            <w:top w:val="none" w:sz="0" w:space="0" w:color="auto"/>
            <w:left w:val="none" w:sz="0" w:space="0" w:color="auto"/>
            <w:bottom w:val="none" w:sz="0" w:space="0" w:color="auto"/>
            <w:right w:val="none" w:sz="0" w:space="0" w:color="auto"/>
          </w:divBdr>
        </w:div>
        <w:div w:id="903414909">
          <w:marLeft w:val="0"/>
          <w:marRight w:val="0"/>
          <w:marTop w:val="0"/>
          <w:marBottom w:val="0"/>
          <w:divBdr>
            <w:top w:val="none" w:sz="0" w:space="0" w:color="auto"/>
            <w:left w:val="none" w:sz="0" w:space="0" w:color="auto"/>
            <w:bottom w:val="none" w:sz="0" w:space="0" w:color="auto"/>
            <w:right w:val="none" w:sz="0" w:space="0" w:color="auto"/>
          </w:divBdr>
        </w:div>
        <w:div w:id="1016423233">
          <w:marLeft w:val="0"/>
          <w:marRight w:val="0"/>
          <w:marTop w:val="0"/>
          <w:marBottom w:val="0"/>
          <w:divBdr>
            <w:top w:val="none" w:sz="0" w:space="0" w:color="auto"/>
            <w:left w:val="none" w:sz="0" w:space="0" w:color="auto"/>
            <w:bottom w:val="none" w:sz="0" w:space="0" w:color="auto"/>
            <w:right w:val="none" w:sz="0" w:space="0" w:color="auto"/>
          </w:divBdr>
        </w:div>
        <w:div w:id="1104109313">
          <w:marLeft w:val="0"/>
          <w:marRight w:val="0"/>
          <w:marTop w:val="0"/>
          <w:marBottom w:val="0"/>
          <w:divBdr>
            <w:top w:val="none" w:sz="0" w:space="0" w:color="auto"/>
            <w:left w:val="none" w:sz="0" w:space="0" w:color="auto"/>
            <w:bottom w:val="none" w:sz="0" w:space="0" w:color="auto"/>
            <w:right w:val="none" w:sz="0" w:space="0" w:color="auto"/>
          </w:divBdr>
        </w:div>
        <w:div w:id="1206330856">
          <w:marLeft w:val="0"/>
          <w:marRight w:val="0"/>
          <w:marTop w:val="0"/>
          <w:marBottom w:val="0"/>
          <w:divBdr>
            <w:top w:val="none" w:sz="0" w:space="0" w:color="auto"/>
            <w:left w:val="none" w:sz="0" w:space="0" w:color="auto"/>
            <w:bottom w:val="none" w:sz="0" w:space="0" w:color="auto"/>
            <w:right w:val="none" w:sz="0" w:space="0" w:color="auto"/>
          </w:divBdr>
        </w:div>
        <w:div w:id="1471510593">
          <w:marLeft w:val="0"/>
          <w:marRight w:val="0"/>
          <w:marTop w:val="0"/>
          <w:marBottom w:val="0"/>
          <w:divBdr>
            <w:top w:val="none" w:sz="0" w:space="0" w:color="auto"/>
            <w:left w:val="none" w:sz="0" w:space="0" w:color="auto"/>
            <w:bottom w:val="none" w:sz="0" w:space="0" w:color="auto"/>
            <w:right w:val="none" w:sz="0" w:space="0" w:color="auto"/>
          </w:divBdr>
        </w:div>
        <w:div w:id="1508713339">
          <w:marLeft w:val="0"/>
          <w:marRight w:val="0"/>
          <w:marTop w:val="0"/>
          <w:marBottom w:val="0"/>
          <w:divBdr>
            <w:top w:val="none" w:sz="0" w:space="0" w:color="auto"/>
            <w:left w:val="none" w:sz="0" w:space="0" w:color="auto"/>
            <w:bottom w:val="none" w:sz="0" w:space="0" w:color="auto"/>
            <w:right w:val="none" w:sz="0" w:space="0" w:color="auto"/>
          </w:divBdr>
        </w:div>
        <w:div w:id="1813250150">
          <w:marLeft w:val="0"/>
          <w:marRight w:val="0"/>
          <w:marTop w:val="0"/>
          <w:marBottom w:val="0"/>
          <w:divBdr>
            <w:top w:val="none" w:sz="0" w:space="0" w:color="auto"/>
            <w:left w:val="none" w:sz="0" w:space="0" w:color="auto"/>
            <w:bottom w:val="none" w:sz="0" w:space="0" w:color="auto"/>
            <w:right w:val="none" w:sz="0" w:space="0" w:color="auto"/>
          </w:divBdr>
        </w:div>
        <w:div w:id="2129615883">
          <w:marLeft w:val="0"/>
          <w:marRight w:val="0"/>
          <w:marTop w:val="0"/>
          <w:marBottom w:val="0"/>
          <w:divBdr>
            <w:top w:val="none" w:sz="0" w:space="0" w:color="auto"/>
            <w:left w:val="none" w:sz="0" w:space="0" w:color="auto"/>
            <w:bottom w:val="none" w:sz="0" w:space="0" w:color="auto"/>
            <w:right w:val="none" w:sz="0" w:space="0" w:color="auto"/>
          </w:divBdr>
        </w:div>
      </w:divsChild>
    </w:div>
    <w:div w:id="1548955263">
      <w:bodyDiv w:val="1"/>
      <w:marLeft w:val="0"/>
      <w:marRight w:val="0"/>
      <w:marTop w:val="0"/>
      <w:marBottom w:val="0"/>
      <w:divBdr>
        <w:top w:val="none" w:sz="0" w:space="0" w:color="auto"/>
        <w:left w:val="none" w:sz="0" w:space="0" w:color="auto"/>
        <w:bottom w:val="none" w:sz="0" w:space="0" w:color="auto"/>
        <w:right w:val="none" w:sz="0" w:space="0" w:color="auto"/>
      </w:divBdr>
    </w:div>
    <w:div w:id="1570456825">
      <w:bodyDiv w:val="1"/>
      <w:marLeft w:val="0"/>
      <w:marRight w:val="0"/>
      <w:marTop w:val="0"/>
      <w:marBottom w:val="0"/>
      <w:divBdr>
        <w:top w:val="none" w:sz="0" w:space="0" w:color="auto"/>
        <w:left w:val="none" w:sz="0" w:space="0" w:color="auto"/>
        <w:bottom w:val="none" w:sz="0" w:space="0" w:color="auto"/>
        <w:right w:val="none" w:sz="0" w:space="0" w:color="auto"/>
      </w:divBdr>
    </w:div>
    <w:div w:id="1574074582">
      <w:bodyDiv w:val="1"/>
      <w:marLeft w:val="0"/>
      <w:marRight w:val="0"/>
      <w:marTop w:val="0"/>
      <w:marBottom w:val="0"/>
      <w:divBdr>
        <w:top w:val="none" w:sz="0" w:space="0" w:color="auto"/>
        <w:left w:val="none" w:sz="0" w:space="0" w:color="auto"/>
        <w:bottom w:val="none" w:sz="0" w:space="0" w:color="auto"/>
        <w:right w:val="none" w:sz="0" w:space="0" w:color="auto"/>
      </w:divBdr>
    </w:div>
    <w:div w:id="1577587178">
      <w:bodyDiv w:val="1"/>
      <w:marLeft w:val="0"/>
      <w:marRight w:val="0"/>
      <w:marTop w:val="0"/>
      <w:marBottom w:val="0"/>
      <w:divBdr>
        <w:top w:val="none" w:sz="0" w:space="0" w:color="auto"/>
        <w:left w:val="none" w:sz="0" w:space="0" w:color="auto"/>
        <w:bottom w:val="none" w:sz="0" w:space="0" w:color="auto"/>
        <w:right w:val="none" w:sz="0" w:space="0" w:color="auto"/>
      </w:divBdr>
    </w:div>
    <w:div w:id="1579486349">
      <w:bodyDiv w:val="1"/>
      <w:marLeft w:val="0"/>
      <w:marRight w:val="0"/>
      <w:marTop w:val="0"/>
      <w:marBottom w:val="0"/>
      <w:divBdr>
        <w:top w:val="none" w:sz="0" w:space="0" w:color="auto"/>
        <w:left w:val="none" w:sz="0" w:space="0" w:color="auto"/>
        <w:bottom w:val="none" w:sz="0" w:space="0" w:color="auto"/>
        <w:right w:val="none" w:sz="0" w:space="0" w:color="auto"/>
      </w:divBdr>
    </w:div>
    <w:div w:id="1584337840">
      <w:bodyDiv w:val="1"/>
      <w:marLeft w:val="0"/>
      <w:marRight w:val="0"/>
      <w:marTop w:val="0"/>
      <w:marBottom w:val="0"/>
      <w:divBdr>
        <w:top w:val="none" w:sz="0" w:space="0" w:color="auto"/>
        <w:left w:val="none" w:sz="0" w:space="0" w:color="auto"/>
        <w:bottom w:val="none" w:sz="0" w:space="0" w:color="auto"/>
        <w:right w:val="none" w:sz="0" w:space="0" w:color="auto"/>
      </w:divBdr>
      <w:divsChild>
        <w:div w:id="23949205">
          <w:marLeft w:val="0"/>
          <w:marRight w:val="0"/>
          <w:marTop w:val="0"/>
          <w:marBottom w:val="0"/>
          <w:divBdr>
            <w:top w:val="none" w:sz="0" w:space="0" w:color="auto"/>
            <w:left w:val="none" w:sz="0" w:space="0" w:color="auto"/>
            <w:bottom w:val="none" w:sz="0" w:space="0" w:color="auto"/>
            <w:right w:val="none" w:sz="0" w:space="0" w:color="auto"/>
          </w:divBdr>
        </w:div>
        <w:div w:id="112674077">
          <w:marLeft w:val="0"/>
          <w:marRight w:val="0"/>
          <w:marTop w:val="0"/>
          <w:marBottom w:val="0"/>
          <w:divBdr>
            <w:top w:val="none" w:sz="0" w:space="0" w:color="auto"/>
            <w:left w:val="none" w:sz="0" w:space="0" w:color="auto"/>
            <w:bottom w:val="none" w:sz="0" w:space="0" w:color="auto"/>
            <w:right w:val="none" w:sz="0" w:space="0" w:color="auto"/>
          </w:divBdr>
        </w:div>
        <w:div w:id="181945135">
          <w:marLeft w:val="0"/>
          <w:marRight w:val="0"/>
          <w:marTop w:val="0"/>
          <w:marBottom w:val="0"/>
          <w:divBdr>
            <w:top w:val="none" w:sz="0" w:space="0" w:color="auto"/>
            <w:left w:val="none" w:sz="0" w:space="0" w:color="auto"/>
            <w:bottom w:val="none" w:sz="0" w:space="0" w:color="auto"/>
            <w:right w:val="none" w:sz="0" w:space="0" w:color="auto"/>
          </w:divBdr>
        </w:div>
        <w:div w:id="211701183">
          <w:marLeft w:val="0"/>
          <w:marRight w:val="0"/>
          <w:marTop w:val="0"/>
          <w:marBottom w:val="0"/>
          <w:divBdr>
            <w:top w:val="none" w:sz="0" w:space="0" w:color="auto"/>
            <w:left w:val="none" w:sz="0" w:space="0" w:color="auto"/>
            <w:bottom w:val="none" w:sz="0" w:space="0" w:color="auto"/>
            <w:right w:val="none" w:sz="0" w:space="0" w:color="auto"/>
          </w:divBdr>
        </w:div>
        <w:div w:id="360788462">
          <w:marLeft w:val="0"/>
          <w:marRight w:val="0"/>
          <w:marTop w:val="0"/>
          <w:marBottom w:val="0"/>
          <w:divBdr>
            <w:top w:val="none" w:sz="0" w:space="0" w:color="auto"/>
            <w:left w:val="none" w:sz="0" w:space="0" w:color="auto"/>
            <w:bottom w:val="none" w:sz="0" w:space="0" w:color="auto"/>
            <w:right w:val="none" w:sz="0" w:space="0" w:color="auto"/>
          </w:divBdr>
        </w:div>
        <w:div w:id="500900990">
          <w:marLeft w:val="0"/>
          <w:marRight w:val="0"/>
          <w:marTop w:val="0"/>
          <w:marBottom w:val="0"/>
          <w:divBdr>
            <w:top w:val="none" w:sz="0" w:space="0" w:color="auto"/>
            <w:left w:val="none" w:sz="0" w:space="0" w:color="auto"/>
            <w:bottom w:val="none" w:sz="0" w:space="0" w:color="auto"/>
            <w:right w:val="none" w:sz="0" w:space="0" w:color="auto"/>
          </w:divBdr>
        </w:div>
        <w:div w:id="823011730">
          <w:marLeft w:val="0"/>
          <w:marRight w:val="0"/>
          <w:marTop w:val="0"/>
          <w:marBottom w:val="0"/>
          <w:divBdr>
            <w:top w:val="none" w:sz="0" w:space="0" w:color="auto"/>
            <w:left w:val="none" w:sz="0" w:space="0" w:color="auto"/>
            <w:bottom w:val="none" w:sz="0" w:space="0" w:color="auto"/>
            <w:right w:val="none" w:sz="0" w:space="0" w:color="auto"/>
          </w:divBdr>
        </w:div>
        <w:div w:id="968972342">
          <w:marLeft w:val="0"/>
          <w:marRight w:val="0"/>
          <w:marTop w:val="0"/>
          <w:marBottom w:val="0"/>
          <w:divBdr>
            <w:top w:val="none" w:sz="0" w:space="0" w:color="auto"/>
            <w:left w:val="none" w:sz="0" w:space="0" w:color="auto"/>
            <w:bottom w:val="none" w:sz="0" w:space="0" w:color="auto"/>
            <w:right w:val="none" w:sz="0" w:space="0" w:color="auto"/>
          </w:divBdr>
        </w:div>
        <w:div w:id="1539052638">
          <w:marLeft w:val="0"/>
          <w:marRight w:val="0"/>
          <w:marTop w:val="0"/>
          <w:marBottom w:val="0"/>
          <w:divBdr>
            <w:top w:val="none" w:sz="0" w:space="0" w:color="auto"/>
            <w:left w:val="none" w:sz="0" w:space="0" w:color="auto"/>
            <w:bottom w:val="none" w:sz="0" w:space="0" w:color="auto"/>
            <w:right w:val="none" w:sz="0" w:space="0" w:color="auto"/>
          </w:divBdr>
        </w:div>
        <w:div w:id="1617448402">
          <w:marLeft w:val="0"/>
          <w:marRight w:val="0"/>
          <w:marTop w:val="0"/>
          <w:marBottom w:val="0"/>
          <w:divBdr>
            <w:top w:val="none" w:sz="0" w:space="0" w:color="auto"/>
            <w:left w:val="none" w:sz="0" w:space="0" w:color="auto"/>
            <w:bottom w:val="none" w:sz="0" w:space="0" w:color="auto"/>
            <w:right w:val="none" w:sz="0" w:space="0" w:color="auto"/>
          </w:divBdr>
        </w:div>
        <w:div w:id="1816336718">
          <w:marLeft w:val="0"/>
          <w:marRight w:val="0"/>
          <w:marTop w:val="0"/>
          <w:marBottom w:val="0"/>
          <w:divBdr>
            <w:top w:val="none" w:sz="0" w:space="0" w:color="auto"/>
            <w:left w:val="none" w:sz="0" w:space="0" w:color="auto"/>
            <w:bottom w:val="none" w:sz="0" w:space="0" w:color="auto"/>
            <w:right w:val="none" w:sz="0" w:space="0" w:color="auto"/>
          </w:divBdr>
        </w:div>
        <w:div w:id="1867063041">
          <w:marLeft w:val="0"/>
          <w:marRight w:val="0"/>
          <w:marTop w:val="0"/>
          <w:marBottom w:val="0"/>
          <w:divBdr>
            <w:top w:val="none" w:sz="0" w:space="0" w:color="auto"/>
            <w:left w:val="none" w:sz="0" w:space="0" w:color="auto"/>
            <w:bottom w:val="none" w:sz="0" w:space="0" w:color="auto"/>
            <w:right w:val="none" w:sz="0" w:space="0" w:color="auto"/>
          </w:divBdr>
        </w:div>
        <w:div w:id="1917930904">
          <w:marLeft w:val="0"/>
          <w:marRight w:val="0"/>
          <w:marTop w:val="0"/>
          <w:marBottom w:val="0"/>
          <w:divBdr>
            <w:top w:val="none" w:sz="0" w:space="0" w:color="auto"/>
            <w:left w:val="none" w:sz="0" w:space="0" w:color="auto"/>
            <w:bottom w:val="none" w:sz="0" w:space="0" w:color="auto"/>
            <w:right w:val="none" w:sz="0" w:space="0" w:color="auto"/>
          </w:divBdr>
        </w:div>
      </w:divsChild>
    </w:div>
    <w:div w:id="1604456495">
      <w:bodyDiv w:val="1"/>
      <w:marLeft w:val="0"/>
      <w:marRight w:val="0"/>
      <w:marTop w:val="0"/>
      <w:marBottom w:val="0"/>
      <w:divBdr>
        <w:top w:val="none" w:sz="0" w:space="0" w:color="auto"/>
        <w:left w:val="none" w:sz="0" w:space="0" w:color="auto"/>
        <w:bottom w:val="none" w:sz="0" w:space="0" w:color="auto"/>
        <w:right w:val="none" w:sz="0" w:space="0" w:color="auto"/>
      </w:divBdr>
      <w:divsChild>
        <w:div w:id="179854155">
          <w:marLeft w:val="0"/>
          <w:marRight w:val="0"/>
          <w:marTop w:val="0"/>
          <w:marBottom w:val="0"/>
          <w:divBdr>
            <w:top w:val="none" w:sz="0" w:space="0" w:color="auto"/>
            <w:left w:val="none" w:sz="0" w:space="0" w:color="auto"/>
            <w:bottom w:val="none" w:sz="0" w:space="0" w:color="auto"/>
            <w:right w:val="none" w:sz="0" w:space="0" w:color="auto"/>
          </w:divBdr>
        </w:div>
        <w:div w:id="779102558">
          <w:marLeft w:val="0"/>
          <w:marRight w:val="0"/>
          <w:marTop w:val="0"/>
          <w:marBottom w:val="0"/>
          <w:divBdr>
            <w:top w:val="none" w:sz="0" w:space="0" w:color="auto"/>
            <w:left w:val="none" w:sz="0" w:space="0" w:color="auto"/>
            <w:bottom w:val="none" w:sz="0" w:space="0" w:color="auto"/>
            <w:right w:val="none" w:sz="0" w:space="0" w:color="auto"/>
          </w:divBdr>
        </w:div>
      </w:divsChild>
    </w:div>
    <w:div w:id="1606303527">
      <w:bodyDiv w:val="1"/>
      <w:marLeft w:val="0"/>
      <w:marRight w:val="0"/>
      <w:marTop w:val="0"/>
      <w:marBottom w:val="0"/>
      <w:divBdr>
        <w:top w:val="none" w:sz="0" w:space="0" w:color="auto"/>
        <w:left w:val="none" w:sz="0" w:space="0" w:color="auto"/>
        <w:bottom w:val="none" w:sz="0" w:space="0" w:color="auto"/>
        <w:right w:val="none" w:sz="0" w:space="0" w:color="auto"/>
      </w:divBdr>
    </w:div>
    <w:div w:id="1623802773">
      <w:bodyDiv w:val="1"/>
      <w:marLeft w:val="0"/>
      <w:marRight w:val="0"/>
      <w:marTop w:val="0"/>
      <w:marBottom w:val="0"/>
      <w:divBdr>
        <w:top w:val="none" w:sz="0" w:space="0" w:color="auto"/>
        <w:left w:val="none" w:sz="0" w:space="0" w:color="auto"/>
        <w:bottom w:val="none" w:sz="0" w:space="0" w:color="auto"/>
        <w:right w:val="none" w:sz="0" w:space="0" w:color="auto"/>
      </w:divBdr>
    </w:div>
    <w:div w:id="1638753952">
      <w:bodyDiv w:val="1"/>
      <w:marLeft w:val="0"/>
      <w:marRight w:val="0"/>
      <w:marTop w:val="0"/>
      <w:marBottom w:val="0"/>
      <w:divBdr>
        <w:top w:val="none" w:sz="0" w:space="0" w:color="auto"/>
        <w:left w:val="none" w:sz="0" w:space="0" w:color="auto"/>
        <w:bottom w:val="none" w:sz="0" w:space="0" w:color="auto"/>
        <w:right w:val="none" w:sz="0" w:space="0" w:color="auto"/>
      </w:divBdr>
      <w:divsChild>
        <w:div w:id="788595881">
          <w:marLeft w:val="0"/>
          <w:marRight w:val="0"/>
          <w:marTop w:val="0"/>
          <w:marBottom w:val="0"/>
          <w:divBdr>
            <w:top w:val="none" w:sz="0" w:space="0" w:color="auto"/>
            <w:left w:val="none" w:sz="0" w:space="0" w:color="auto"/>
            <w:bottom w:val="none" w:sz="0" w:space="0" w:color="auto"/>
            <w:right w:val="none" w:sz="0" w:space="0" w:color="auto"/>
          </w:divBdr>
          <w:divsChild>
            <w:div w:id="1270578236">
              <w:marLeft w:val="0"/>
              <w:marRight w:val="0"/>
              <w:marTop w:val="0"/>
              <w:marBottom w:val="0"/>
              <w:divBdr>
                <w:top w:val="none" w:sz="0" w:space="0" w:color="auto"/>
                <w:left w:val="none" w:sz="0" w:space="0" w:color="auto"/>
                <w:bottom w:val="none" w:sz="0" w:space="0" w:color="auto"/>
                <w:right w:val="none" w:sz="0" w:space="0" w:color="auto"/>
              </w:divBdr>
              <w:divsChild>
                <w:div w:id="1334643468">
                  <w:marLeft w:val="0"/>
                  <w:marRight w:val="0"/>
                  <w:marTop w:val="0"/>
                  <w:marBottom w:val="0"/>
                  <w:divBdr>
                    <w:top w:val="none" w:sz="0" w:space="0" w:color="auto"/>
                    <w:left w:val="none" w:sz="0" w:space="0" w:color="auto"/>
                    <w:bottom w:val="none" w:sz="0" w:space="0" w:color="auto"/>
                    <w:right w:val="none" w:sz="0" w:space="0" w:color="auto"/>
                  </w:divBdr>
                  <w:divsChild>
                    <w:div w:id="4719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18916">
      <w:bodyDiv w:val="1"/>
      <w:marLeft w:val="0"/>
      <w:marRight w:val="0"/>
      <w:marTop w:val="0"/>
      <w:marBottom w:val="0"/>
      <w:divBdr>
        <w:top w:val="none" w:sz="0" w:space="0" w:color="auto"/>
        <w:left w:val="none" w:sz="0" w:space="0" w:color="auto"/>
        <w:bottom w:val="none" w:sz="0" w:space="0" w:color="auto"/>
        <w:right w:val="none" w:sz="0" w:space="0" w:color="auto"/>
      </w:divBdr>
    </w:div>
    <w:div w:id="1663702646">
      <w:bodyDiv w:val="1"/>
      <w:marLeft w:val="0"/>
      <w:marRight w:val="0"/>
      <w:marTop w:val="0"/>
      <w:marBottom w:val="0"/>
      <w:divBdr>
        <w:top w:val="none" w:sz="0" w:space="0" w:color="auto"/>
        <w:left w:val="none" w:sz="0" w:space="0" w:color="auto"/>
        <w:bottom w:val="none" w:sz="0" w:space="0" w:color="auto"/>
        <w:right w:val="none" w:sz="0" w:space="0" w:color="auto"/>
      </w:divBdr>
    </w:div>
    <w:div w:id="1670479588">
      <w:bodyDiv w:val="1"/>
      <w:marLeft w:val="0"/>
      <w:marRight w:val="0"/>
      <w:marTop w:val="0"/>
      <w:marBottom w:val="0"/>
      <w:divBdr>
        <w:top w:val="none" w:sz="0" w:space="0" w:color="auto"/>
        <w:left w:val="none" w:sz="0" w:space="0" w:color="auto"/>
        <w:bottom w:val="none" w:sz="0" w:space="0" w:color="auto"/>
        <w:right w:val="none" w:sz="0" w:space="0" w:color="auto"/>
      </w:divBdr>
    </w:div>
    <w:div w:id="1697654044">
      <w:bodyDiv w:val="1"/>
      <w:marLeft w:val="0"/>
      <w:marRight w:val="0"/>
      <w:marTop w:val="0"/>
      <w:marBottom w:val="0"/>
      <w:divBdr>
        <w:top w:val="none" w:sz="0" w:space="0" w:color="auto"/>
        <w:left w:val="none" w:sz="0" w:space="0" w:color="auto"/>
        <w:bottom w:val="none" w:sz="0" w:space="0" w:color="auto"/>
        <w:right w:val="none" w:sz="0" w:space="0" w:color="auto"/>
      </w:divBdr>
    </w:div>
    <w:div w:id="1703944360">
      <w:bodyDiv w:val="1"/>
      <w:marLeft w:val="0"/>
      <w:marRight w:val="0"/>
      <w:marTop w:val="0"/>
      <w:marBottom w:val="0"/>
      <w:divBdr>
        <w:top w:val="none" w:sz="0" w:space="0" w:color="auto"/>
        <w:left w:val="none" w:sz="0" w:space="0" w:color="auto"/>
        <w:bottom w:val="none" w:sz="0" w:space="0" w:color="auto"/>
        <w:right w:val="none" w:sz="0" w:space="0" w:color="auto"/>
      </w:divBdr>
      <w:divsChild>
        <w:div w:id="211504907">
          <w:marLeft w:val="0"/>
          <w:marRight w:val="0"/>
          <w:marTop w:val="0"/>
          <w:marBottom w:val="0"/>
          <w:divBdr>
            <w:top w:val="none" w:sz="0" w:space="0" w:color="auto"/>
            <w:left w:val="none" w:sz="0" w:space="0" w:color="auto"/>
            <w:bottom w:val="none" w:sz="0" w:space="0" w:color="auto"/>
            <w:right w:val="none" w:sz="0" w:space="0" w:color="auto"/>
          </w:divBdr>
          <w:divsChild>
            <w:div w:id="240723037">
              <w:marLeft w:val="0"/>
              <w:marRight w:val="0"/>
              <w:marTop w:val="0"/>
              <w:marBottom w:val="0"/>
              <w:divBdr>
                <w:top w:val="none" w:sz="0" w:space="0" w:color="auto"/>
                <w:left w:val="none" w:sz="0" w:space="0" w:color="auto"/>
                <w:bottom w:val="none" w:sz="0" w:space="0" w:color="auto"/>
                <w:right w:val="none" w:sz="0" w:space="0" w:color="auto"/>
              </w:divBdr>
              <w:divsChild>
                <w:div w:id="16845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13901">
      <w:bodyDiv w:val="1"/>
      <w:marLeft w:val="0"/>
      <w:marRight w:val="0"/>
      <w:marTop w:val="0"/>
      <w:marBottom w:val="0"/>
      <w:divBdr>
        <w:top w:val="none" w:sz="0" w:space="0" w:color="auto"/>
        <w:left w:val="none" w:sz="0" w:space="0" w:color="auto"/>
        <w:bottom w:val="none" w:sz="0" w:space="0" w:color="auto"/>
        <w:right w:val="none" w:sz="0" w:space="0" w:color="auto"/>
      </w:divBdr>
      <w:divsChild>
        <w:div w:id="1069619705">
          <w:marLeft w:val="0"/>
          <w:marRight w:val="0"/>
          <w:marTop w:val="0"/>
          <w:marBottom w:val="0"/>
          <w:divBdr>
            <w:top w:val="none" w:sz="0" w:space="0" w:color="auto"/>
            <w:left w:val="none" w:sz="0" w:space="0" w:color="auto"/>
            <w:bottom w:val="none" w:sz="0" w:space="0" w:color="auto"/>
            <w:right w:val="none" w:sz="0" w:space="0" w:color="auto"/>
          </w:divBdr>
          <w:divsChild>
            <w:div w:id="1677730863">
              <w:marLeft w:val="0"/>
              <w:marRight w:val="0"/>
              <w:marTop w:val="0"/>
              <w:marBottom w:val="0"/>
              <w:divBdr>
                <w:top w:val="none" w:sz="0" w:space="0" w:color="auto"/>
                <w:left w:val="none" w:sz="0" w:space="0" w:color="auto"/>
                <w:bottom w:val="none" w:sz="0" w:space="0" w:color="auto"/>
                <w:right w:val="none" w:sz="0" w:space="0" w:color="auto"/>
              </w:divBdr>
              <w:divsChild>
                <w:div w:id="1093207526">
                  <w:marLeft w:val="0"/>
                  <w:marRight w:val="0"/>
                  <w:marTop w:val="0"/>
                  <w:marBottom w:val="0"/>
                  <w:divBdr>
                    <w:top w:val="none" w:sz="0" w:space="0" w:color="auto"/>
                    <w:left w:val="none" w:sz="0" w:space="0" w:color="auto"/>
                    <w:bottom w:val="none" w:sz="0" w:space="0" w:color="auto"/>
                    <w:right w:val="none" w:sz="0" w:space="0" w:color="auto"/>
                  </w:divBdr>
                  <w:divsChild>
                    <w:div w:id="1243880094">
                      <w:marLeft w:val="0"/>
                      <w:marRight w:val="0"/>
                      <w:marTop w:val="0"/>
                      <w:marBottom w:val="0"/>
                      <w:divBdr>
                        <w:top w:val="none" w:sz="0" w:space="0" w:color="auto"/>
                        <w:left w:val="none" w:sz="0" w:space="0" w:color="auto"/>
                        <w:bottom w:val="none" w:sz="0" w:space="0" w:color="auto"/>
                        <w:right w:val="none" w:sz="0" w:space="0" w:color="auto"/>
                      </w:divBdr>
                      <w:divsChild>
                        <w:div w:id="837232598">
                          <w:marLeft w:val="0"/>
                          <w:marRight w:val="0"/>
                          <w:marTop w:val="0"/>
                          <w:marBottom w:val="0"/>
                          <w:divBdr>
                            <w:top w:val="none" w:sz="0" w:space="0" w:color="auto"/>
                            <w:left w:val="none" w:sz="0" w:space="0" w:color="auto"/>
                            <w:bottom w:val="none" w:sz="0" w:space="0" w:color="auto"/>
                            <w:right w:val="none" w:sz="0" w:space="0" w:color="auto"/>
                          </w:divBdr>
                          <w:divsChild>
                            <w:div w:id="13362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075950">
      <w:bodyDiv w:val="1"/>
      <w:marLeft w:val="0"/>
      <w:marRight w:val="0"/>
      <w:marTop w:val="0"/>
      <w:marBottom w:val="0"/>
      <w:divBdr>
        <w:top w:val="none" w:sz="0" w:space="0" w:color="auto"/>
        <w:left w:val="none" w:sz="0" w:space="0" w:color="auto"/>
        <w:bottom w:val="none" w:sz="0" w:space="0" w:color="auto"/>
        <w:right w:val="none" w:sz="0" w:space="0" w:color="auto"/>
      </w:divBdr>
    </w:div>
    <w:div w:id="1716541651">
      <w:bodyDiv w:val="1"/>
      <w:marLeft w:val="0"/>
      <w:marRight w:val="0"/>
      <w:marTop w:val="0"/>
      <w:marBottom w:val="0"/>
      <w:divBdr>
        <w:top w:val="none" w:sz="0" w:space="0" w:color="auto"/>
        <w:left w:val="none" w:sz="0" w:space="0" w:color="auto"/>
        <w:bottom w:val="none" w:sz="0" w:space="0" w:color="auto"/>
        <w:right w:val="none" w:sz="0" w:space="0" w:color="auto"/>
      </w:divBdr>
    </w:div>
    <w:div w:id="1722556768">
      <w:bodyDiv w:val="1"/>
      <w:marLeft w:val="0"/>
      <w:marRight w:val="0"/>
      <w:marTop w:val="0"/>
      <w:marBottom w:val="0"/>
      <w:divBdr>
        <w:top w:val="none" w:sz="0" w:space="0" w:color="auto"/>
        <w:left w:val="none" w:sz="0" w:space="0" w:color="auto"/>
        <w:bottom w:val="none" w:sz="0" w:space="0" w:color="auto"/>
        <w:right w:val="none" w:sz="0" w:space="0" w:color="auto"/>
      </w:divBdr>
    </w:div>
    <w:div w:id="1728214561">
      <w:bodyDiv w:val="1"/>
      <w:marLeft w:val="0"/>
      <w:marRight w:val="0"/>
      <w:marTop w:val="0"/>
      <w:marBottom w:val="0"/>
      <w:divBdr>
        <w:top w:val="none" w:sz="0" w:space="0" w:color="auto"/>
        <w:left w:val="none" w:sz="0" w:space="0" w:color="auto"/>
        <w:bottom w:val="none" w:sz="0" w:space="0" w:color="auto"/>
        <w:right w:val="none" w:sz="0" w:space="0" w:color="auto"/>
      </w:divBdr>
    </w:div>
    <w:div w:id="1742018561">
      <w:bodyDiv w:val="1"/>
      <w:marLeft w:val="0"/>
      <w:marRight w:val="0"/>
      <w:marTop w:val="0"/>
      <w:marBottom w:val="0"/>
      <w:divBdr>
        <w:top w:val="none" w:sz="0" w:space="0" w:color="auto"/>
        <w:left w:val="none" w:sz="0" w:space="0" w:color="auto"/>
        <w:bottom w:val="none" w:sz="0" w:space="0" w:color="auto"/>
        <w:right w:val="none" w:sz="0" w:space="0" w:color="auto"/>
      </w:divBdr>
    </w:div>
    <w:div w:id="1761562097">
      <w:bodyDiv w:val="1"/>
      <w:marLeft w:val="0"/>
      <w:marRight w:val="0"/>
      <w:marTop w:val="0"/>
      <w:marBottom w:val="0"/>
      <w:divBdr>
        <w:top w:val="none" w:sz="0" w:space="0" w:color="auto"/>
        <w:left w:val="none" w:sz="0" w:space="0" w:color="auto"/>
        <w:bottom w:val="none" w:sz="0" w:space="0" w:color="auto"/>
        <w:right w:val="none" w:sz="0" w:space="0" w:color="auto"/>
      </w:divBdr>
    </w:div>
    <w:div w:id="1781222344">
      <w:bodyDiv w:val="1"/>
      <w:marLeft w:val="0"/>
      <w:marRight w:val="0"/>
      <w:marTop w:val="0"/>
      <w:marBottom w:val="0"/>
      <w:divBdr>
        <w:top w:val="none" w:sz="0" w:space="0" w:color="auto"/>
        <w:left w:val="none" w:sz="0" w:space="0" w:color="auto"/>
        <w:bottom w:val="none" w:sz="0" w:space="0" w:color="auto"/>
        <w:right w:val="none" w:sz="0" w:space="0" w:color="auto"/>
      </w:divBdr>
    </w:div>
    <w:div w:id="1808667482">
      <w:bodyDiv w:val="1"/>
      <w:marLeft w:val="0"/>
      <w:marRight w:val="0"/>
      <w:marTop w:val="0"/>
      <w:marBottom w:val="0"/>
      <w:divBdr>
        <w:top w:val="none" w:sz="0" w:space="0" w:color="auto"/>
        <w:left w:val="none" w:sz="0" w:space="0" w:color="auto"/>
        <w:bottom w:val="none" w:sz="0" w:space="0" w:color="auto"/>
        <w:right w:val="none" w:sz="0" w:space="0" w:color="auto"/>
      </w:divBdr>
    </w:div>
    <w:div w:id="1812363574">
      <w:bodyDiv w:val="1"/>
      <w:marLeft w:val="0"/>
      <w:marRight w:val="0"/>
      <w:marTop w:val="0"/>
      <w:marBottom w:val="0"/>
      <w:divBdr>
        <w:top w:val="none" w:sz="0" w:space="0" w:color="auto"/>
        <w:left w:val="none" w:sz="0" w:space="0" w:color="auto"/>
        <w:bottom w:val="none" w:sz="0" w:space="0" w:color="auto"/>
        <w:right w:val="none" w:sz="0" w:space="0" w:color="auto"/>
      </w:divBdr>
    </w:div>
    <w:div w:id="1813521996">
      <w:bodyDiv w:val="1"/>
      <w:marLeft w:val="0"/>
      <w:marRight w:val="0"/>
      <w:marTop w:val="0"/>
      <w:marBottom w:val="0"/>
      <w:divBdr>
        <w:top w:val="none" w:sz="0" w:space="0" w:color="auto"/>
        <w:left w:val="none" w:sz="0" w:space="0" w:color="auto"/>
        <w:bottom w:val="none" w:sz="0" w:space="0" w:color="auto"/>
        <w:right w:val="none" w:sz="0" w:space="0" w:color="auto"/>
      </w:divBdr>
    </w:div>
    <w:div w:id="1830779626">
      <w:bodyDiv w:val="1"/>
      <w:marLeft w:val="0"/>
      <w:marRight w:val="0"/>
      <w:marTop w:val="0"/>
      <w:marBottom w:val="0"/>
      <w:divBdr>
        <w:top w:val="none" w:sz="0" w:space="0" w:color="auto"/>
        <w:left w:val="none" w:sz="0" w:space="0" w:color="auto"/>
        <w:bottom w:val="none" w:sz="0" w:space="0" w:color="auto"/>
        <w:right w:val="none" w:sz="0" w:space="0" w:color="auto"/>
      </w:divBdr>
    </w:div>
    <w:div w:id="1853177981">
      <w:bodyDiv w:val="1"/>
      <w:marLeft w:val="0"/>
      <w:marRight w:val="0"/>
      <w:marTop w:val="0"/>
      <w:marBottom w:val="0"/>
      <w:divBdr>
        <w:top w:val="none" w:sz="0" w:space="0" w:color="auto"/>
        <w:left w:val="none" w:sz="0" w:space="0" w:color="auto"/>
        <w:bottom w:val="none" w:sz="0" w:space="0" w:color="auto"/>
        <w:right w:val="none" w:sz="0" w:space="0" w:color="auto"/>
      </w:divBdr>
      <w:divsChild>
        <w:div w:id="1709717768">
          <w:marLeft w:val="0"/>
          <w:marRight w:val="0"/>
          <w:marTop w:val="0"/>
          <w:marBottom w:val="0"/>
          <w:divBdr>
            <w:top w:val="none" w:sz="0" w:space="0" w:color="auto"/>
            <w:left w:val="none" w:sz="0" w:space="0" w:color="auto"/>
            <w:bottom w:val="none" w:sz="0" w:space="0" w:color="auto"/>
            <w:right w:val="none" w:sz="0" w:space="0" w:color="auto"/>
          </w:divBdr>
          <w:divsChild>
            <w:div w:id="792595389">
              <w:marLeft w:val="0"/>
              <w:marRight w:val="0"/>
              <w:marTop w:val="0"/>
              <w:marBottom w:val="0"/>
              <w:divBdr>
                <w:top w:val="none" w:sz="0" w:space="0" w:color="auto"/>
                <w:left w:val="none" w:sz="0" w:space="0" w:color="auto"/>
                <w:bottom w:val="none" w:sz="0" w:space="0" w:color="auto"/>
                <w:right w:val="none" w:sz="0" w:space="0" w:color="auto"/>
              </w:divBdr>
              <w:divsChild>
                <w:div w:id="1550412338">
                  <w:marLeft w:val="0"/>
                  <w:marRight w:val="0"/>
                  <w:marTop w:val="0"/>
                  <w:marBottom w:val="0"/>
                  <w:divBdr>
                    <w:top w:val="none" w:sz="0" w:space="0" w:color="auto"/>
                    <w:left w:val="none" w:sz="0" w:space="0" w:color="auto"/>
                    <w:bottom w:val="none" w:sz="0" w:space="0" w:color="auto"/>
                    <w:right w:val="none" w:sz="0" w:space="0" w:color="auto"/>
                  </w:divBdr>
                  <w:divsChild>
                    <w:div w:id="1894392323">
                      <w:marLeft w:val="0"/>
                      <w:marRight w:val="0"/>
                      <w:marTop w:val="0"/>
                      <w:marBottom w:val="0"/>
                      <w:divBdr>
                        <w:top w:val="none" w:sz="0" w:space="0" w:color="auto"/>
                        <w:left w:val="none" w:sz="0" w:space="0" w:color="auto"/>
                        <w:bottom w:val="none" w:sz="0" w:space="0" w:color="auto"/>
                        <w:right w:val="none" w:sz="0" w:space="0" w:color="auto"/>
                      </w:divBdr>
                      <w:divsChild>
                        <w:div w:id="237398783">
                          <w:marLeft w:val="0"/>
                          <w:marRight w:val="0"/>
                          <w:marTop w:val="0"/>
                          <w:marBottom w:val="0"/>
                          <w:divBdr>
                            <w:top w:val="none" w:sz="0" w:space="0" w:color="auto"/>
                            <w:left w:val="none" w:sz="0" w:space="0" w:color="auto"/>
                            <w:bottom w:val="none" w:sz="0" w:space="0" w:color="auto"/>
                            <w:right w:val="none" w:sz="0" w:space="0" w:color="auto"/>
                          </w:divBdr>
                          <w:divsChild>
                            <w:div w:id="10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726494">
      <w:bodyDiv w:val="1"/>
      <w:marLeft w:val="0"/>
      <w:marRight w:val="0"/>
      <w:marTop w:val="0"/>
      <w:marBottom w:val="0"/>
      <w:divBdr>
        <w:top w:val="none" w:sz="0" w:space="0" w:color="auto"/>
        <w:left w:val="none" w:sz="0" w:space="0" w:color="auto"/>
        <w:bottom w:val="none" w:sz="0" w:space="0" w:color="auto"/>
        <w:right w:val="none" w:sz="0" w:space="0" w:color="auto"/>
      </w:divBdr>
    </w:div>
    <w:div w:id="1888183584">
      <w:bodyDiv w:val="1"/>
      <w:marLeft w:val="0"/>
      <w:marRight w:val="0"/>
      <w:marTop w:val="0"/>
      <w:marBottom w:val="0"/>
      <w:divBdr>
        <w:top w:val="none" w:sz="0" w:space="0" w:color="auto"/>
        <w:left w:val="none" w:sz="0" w:space="0" w:color="auto"/>
        <w:bottom w:val="none" w:sz="0" w:space="0" w:color="auto"/>
        <w:right w:val="none" w:sz="0" w:space="0" w:color="auto"/>
      </w:divBdr>
    </w:div>
    <w:div w:id="1888451817">
      <w:bodyDiv w:val="1"/>
      <w:marLeft w:val="0"/>
      <w:marRight w:val="0"/>
      <w:marTop w:val="0"/>
      <w:marBottom w:val="0"/>
      <w:divBdr>
        <w:top w:val="none" w:sz="0" w:space="0" w:color="auto"/>
        <w:left w:val="none" w:sz="0" w:space="0" w:color="auto"/>
        <w:bottom w:val="none" w:sz="0" w:space="0" w:color="auto"/>
        <w:right w:val="none" w:sz="0" w:space="0" w:color="auto"/>
      </w:divBdr>
      <w:divsChild>
        <w:div w:id="223105513">
          <w:marLeft w:val="0"/>
          <w:marRight w:val="0"/>
          <w:marTop w:val="0"/>
          <w:marBottom w:val="0"/>
          <w:divBdr>
            <w:top w:val="none" w:sz="0" w:space="0" w:color="auto"/>
            <w:left w:val="none" w:sz="0" w:space="0" w:color="auto"/>
            <w:bottom w:val="none" w:sz="0" w:space="0" w:color="auto"/>
            <w:right w:val="none" w:sz="0" w:space="0" w:color="auto"/>
          </w:divBdr>
        </w:div>
        <w:div w:id="413013557">
          <w:marLeft w:val="0"/>
          <w:marRight w:val="0"/>
          <w:marTop w:val="0"/>
          <w:marBottom w:val="0"/>
          <w:divBdr>
            <w:top w:val="none" w:sz="0" w:space="0" w:color="auto"/>
            <w:left w:val="none" w:sz="0" w:space="0" w:color="auto"/>
            <w:bottom w:val="none" w:sz="0" w:space="0" w:color="auto"/>
            <w:right w:val="none" w:sz="0" w:space="0" w:color="auto"/>
          </w:divBdr>
        </w:div>
        <w:div w:id="1864396335">
          <w:marLeft w:val="0"/>
          <w:marRight w:val="0"/>
          <w:marTop w:val="0"/>
          <w:marBottom w:val="0"/>
          <w:divBdr>
            <w:top w:val="none" w:sz="0" w:space="0" w:color="auto"/>
            <w:left w:val="none" w:sz="0" w:space="0" w:color="auto"/>
            <w:bottom w:val="none" w:sz="0" w:space="0" w:color="auto"/>
            <w:right w:val="none" w:sz="0" w:space="0" w:color="auto"/>
          </w:divBdr>
        </w:div>
      </w:divsChild>
    </w:div>
    <w:div w:id="1926458234">
      <w:bodyDiv w:val="1"/>
      <w:marLeft w:val="0"/>
      <w:marRight w:val="0"/>
      <w:marTop w:val="0"/>
      <w:marBottom w:val="0"/>
      <w:divBdr>
        <w:top w:val="none" w:sz="0" w:space="0" w:color="auto"/>
        <w:left w:val="none" w:sz="0" w:space="0" w:color="auto"/>
        <w:bottom w:val="none" w:sz="0" w:space="0" w:color="auto"/>
        <w:right w:val="none" w:sz="0" w:space="0" w:color="auto"/>
      </w:divBdr>
      <w:divsChild>
        <w:div w:id="701051964">
          <w:marLeft w:val="0"/>
          <w:marRight w:val="0"/>
          <w:marTop w:val="0"/>
          <w:marBottom w:val="0"/>
          <w:divBdr>
            <w:top w:val="none" w:sz="0" w:space="0" w:color="auto"/>
            <w:left w:val="none" w:sz="0" w:space="0" w:color="auto"/>
            <w:bottom w:val="none" w:sz="0" w:space="0" w:color="auto"/>
            <w:right w:val="none" w:sz="0" w:space="0" w:color="auto"/>
          </w:divBdr>
        </w:div>
      </w:divsChild>
    </w:div>
    <w:div w:id="1935673197">
      <w:bodyDiv w:val="1"/>
      <w:marLeft w:val="0"/>
      <w:marRight w:val="0"/>
      <w:marTop w:val="0"/>
      <w:marBottom w:val="0"/>
      <w:divBdr>
        <w:top w:val="none" w:sz="0" w:space="0" w:color="auto"/>
        <w:left w:val="none" w:sz="0" w:space="0" w:color="auto"/>
        <w:bottom w:val="none" w:sz="0" w:space="0" w:color="auto"/>
        <w:right w:val="none" w:sz="0" w:space="0" w:color="auto"/>
      </w:divBdr>
    </w:div>
    <w:div w:id="1942295276">
      <w:bodyDiv w:val="1"/>
      <w:marLeft w:val="0"/>
      <w:marRight w:val="0"/>
      <w:marTop w:val="0"/>
      <w:marBottom w:val="0"/>
      <w:divBdr>
        <w:top w:val="none" w:sz="0" w:space="0" w:color="auto"/>
        <w:left w:val="none" w:sz="0" w:space="0" w:color="auto"/>
        <w:bottom w:val="none" w:sz="0" w:space="0" w:color="auto"/>
        <w:right w:val="none" w:sz="0" w:space="0" w:color="auto"/>
      </w:divBdr>
    </w:div>
    <w:div w:id="1956204847">
      <w:bodyDiv w:val="1"/>
      <w:marLeft w:val="0"/>
      <w:marRight w:val="0"/>
      <w:marTop w:val="0"/>
      <w:marBottom w:val="0"/>
      <w:divBdr>
        <w:top w:val="none" w:sz="0" w:space="0" w:color="auto"/>
        <w:left w:val="none" w:sz="0" w:space="0" w:color="auto"/>
        <w:bottom w:val="none" w:sz="0" w:space="0" w:color="auto"/>
        <w:right w:val="none" w:sz="0" w:space="0" w:color="auto"/>
      </w:divBdr>
    </w:div>
    <w:div w:id="1966815727">
      <w:bodyDiv w:val="1"/>
      <w:marLeft w:val="0"/>
      <w:marRight w:val="0"/>
      <w:marTop w:val="0"/>
      <w:marBottom w:val="0"/>
      <w:divBdr>
        <w:top w:val="none" w:sz="0" w:space="0" w:color="auto"/>
        <w:left w:val="none" w:sz="0" w:space="0" w:color="auto"/>
        <w:bottom w:val="none" w:sz="0" w:space="0" w:color="auto"/>
        <w:right w:val="none" w:sz="0" w:space="0" w:color="auto"/>
      </w:divBdr>
    </w:div>
    <w:div w:id="1966960353">
      <w:bodyDiv w:val="1"/>
      <w:marLeft w:val="0"/>
      <w:marRight w:val="0"/>
      <w:marTop w:val="0"/>
      <w:marBottom w:val="0"/>
      <w:divBdr>
        <w:top w:val="none" w:sz="0" w:space="0" w:color="auto"/>
        <w:left w:val="none" w:sz="0" w:space="0" w:color="auto"/>
        <w:bottom w:val="none" w:sz="0" w:space="0" w:color="auto"/>
        <w:right w:val="none" w:sz="0" w:space="0" w:color="auto"/>
      </w:divBdr>
      <w:divsChild>
        <w:div w:id="384640071">
          <w:marLeft w:val="0"/>
          <w:marRight w:val="0"/>
          <w:marTop w:val="0"/>
          <w:marBottom w:val="0"/>
          <w:divBdr>
            <w:top w:val="none" w:sz="0" w:space="0" w:color="auto"/>
            <w:left w:val="none" w:sz="0" w:space="0" w:color="auto"/>
            <w:bottom w:val="none" w:sz="0" w:space="0" w:color="auto"/>
            <w:right w:val="none" w:sz="0" w:space="0" w:color="auto"/>
          </w:divBdr>
        </w:div>
        <w:div w:id="452093737">
          <w:marLeft w:val="0"/>
          <w:marRight w:val="0"/>
          <w:marTop w:val="0"/>
          <w:marBottom w:val="0"/>
          <w:divBdr>
            <w:top w:val="none" w:sz="0" w:space="0" w:color="auto"/>
            <w:left w:val="none" w:sz="0" w:space="0" w:color="auto"/>
            <w:bottom w:val="none" w:sz="0" w:space="0" w:color="auto"/>
            <w:right w:val="none" w:sz="0" w:space="0" w:color="auto"/>
          </w:divBdr>
        </w:div>
        <w:div w:id="472410832">
          <w:marLeft w:val="0"/>
          <w:marRight w:val="0"/>
          <w:marTop w:val="0"/>
          <w:marBottom w:val="0"/>
          <w:divBdr>
            <w:top w:val="none" w:sz="0" w:space="0" w:color="auto"/>
            <w:left w:val="none" w:sz="0" w:space="0" w:color="auto"/>
            <w:bottom w:val="none" w:sz="0" w:space="0" w:color="auto"/>
            <w:right w:val="none" w:sz="0" w:space="0" w:color="auto"/>
          </w:divBdr>
        </w:div>
        <w:div w:id="672801992">
          <w:marLeft w:val="0"/>
          <w:marRight w:val="0"/>
          <w:marTop w:val="0"/>
          <w:marBottom w:val="0"/>
          <w:divBdr>
            <w:top w:val="none" w:sz="0" w:space="0" w:color="auto"/>
            <w:left w:val="none" w:sz="0" w:space="0" w:color="auto"/>
            <w:bottom w:val="none" w:sz="0" w:space="0" w:color="auto"/>
            <w:right w:val="none" w:sz="0" w:space="0" w:color="auto"/>
          </w:divBdr>
        </w:div>
        <w:div w:id="1020206358">
          <w:marLeft w:val="0"/>
          <w:marRight w:val="0"/>
          <w:marTop w:val="0"/>
          <w:marBottom w:val="0"/>
          <w:divBdr>
            <w:top w:val="none" w:sz="0" w:space="0" w:color="auto"/>
            <w:left w:val="none" w:sz="0" w:space="0" w:color="auto"/>
            <w:bottom w:val="none" w:sz="0" w:space="0" w:color="auto"/>
            <w:right w:val="none" w:sz="0" w:space="0" w:color="auto"/>
          </w:divBdr>
        </w:div>
        <w:div w:id="1035346844">
          <w:marLeft w:val="0"/>
          <w:marRight w:val="0"/>
          <w:marTop w:val="0"/>
          <w:marBottom w:val="0"/>
          <w:divBdr>
            <w:top w:val="none" w:sz="0" w:space="0" w:color="auto"/>
            <w:left w:val="none" w:sz="0" w:space="0" w:color="auto"/>
            <w:bottom w:val="none" w:sz="0" w:space="0" w:color="auto"/>
            <w:right w:val="none" w:sz="0" w:space="0" w:color="auto"/>
          </w:divBdr>
        </w:div>
        <w:div w:id="1095784945">
          <w:marLeft w:val="0"/>
          <w:marRight w:val="0"/>
          <w:marTop w:val="0"/>
          <w:marBottom w:val="0"/>
          <w:divBdr>
            <w:top w:val="none" w:sz="0" w:space="0" w:color="auto"/>
            <w:left w:val="none" w:sz="0" w:space="0" w:color="auto"/>
            <w:bottom w:val="none" w:sz="0" w:space="0" w:color="auto"/>
            <w:right w:val="none" w:sz="0" w:space="0" w:color="auto"/>
          </w:divBdr>
        </w:div>
        <w:div w:id="1167786534">
          <w:marLeft w:val="0"/>
          <w:marRight w:val="0"/>
          <w:marTop w:val="0"/>
          <w:marBottom w:val="0"/>
          <w:divBdr>
            <w:top w:val="none" w:sz="0" w:space="0" w:color="auto"/>
            <w:left w:val="none" w:sz="0" w:space="0" w:color="auto"/>
            <w:bottom w:val="none" w:sz="0" w:space="0" w:color="auto"/>
            <w:right w:val="none" w:sz="0" w:space="0" w:color="auto"/>
          </w:divBdr>
        </w:div>
        <w:div w:id="1251037131">
          <w:marLeft w:val="0"/>
          <w:marRight w:val="0"/>
          <w:marTop w:val="0"/>
          <w:marBottom w:val="0"/>
          <w:divBdr>
            <w:top w:val="none" w:sz="0" w:space="0" w:color="auto"/>
            <w:left w:val="none" w:sz="0" w:space="0" w:color="auto"/>
            <w:bottom w:val="none" w:sz="0" w:space="0" w:color="auto"/>
            <w:right w:val="none" w:sz="0" w:space="0" w:color="auto"/>
          </w:divBdr>
        </w:div>
        <w:div w:id="1421635699">
          <w:marLeft w:val="0"/>
          <w:marRight w:val="0"/>
          <w:marTop w:val="0"/>
          <w:marBottom w:val="0"/>
          <w:divBdr>
            <w:top w:val="none" w:sz="0" w:space="0" w:color="auto"/>
            <w:left w:val="none" w:sz="0" w:space="0" w:color="auto"/>
            <w:bottom w:val="none" w:sz="0" w:space="0" w:color="auto"/>
            <w:right w:val="none" w:sz="0" w:space="0" w:color="auto"/>
          </w:divBdr>
        </w:div>
        <w:div w:id="1467773128">
          <w:marLeft w:val="0"/>
          <w:marRight w:val="0"/>
          <w:marTop w:val="0"/>
          <w:marBottom w:val="0"/>
          <w:divBdr>
            <w:top w:val="none" w:sz="0" w:space="0" w:color="auto"/>
            <w:left w:val="none" w:sz="0" w:space="0" w:color="auto"/>
            <w:bottom w:val="none" w:sz="0" w:space="0" w:color="auto"/>
            <w:right w:val="none" w:sz="0" w:space="0" w:color="auto"/>
          </w:divBdr>
        </w:div>
        <w:div w:id="2136172192">
          <w:marLeft w:val="0"/>
          <w:marRight w:val="0"/>
          <w:marTop w:val="0"/>
          <w:marBottom w:val="0"/>
          <w:divBdr>
            <w:top w:val="none" w:sz="0" w:space="0" w:color="auto"/>
            <w:left w:val="none" w:sz="0" w:space="0" w:color="auto"/>
            <w:bottom w:val="none" w:sz="0" w:space="0" w:color="auto"/>
            <w:right w:val="none" w:sz="0" w:space="0" w:color="auto"/>
          </w:divBdr>
        </w:div>
      </w:divsChild>
    </w:div>
    <w:div w:id="1967159063">
      <w:bodyDiv w:val="1"/>
      <w:marLeft w:val="0"/>
      <w:marRight w:val="0"/>
      <w:marTop w:val="0"/>
      <w:marBottom w:val="0"/>
      <w:divBdr>
        <w:top w:val="none" w:sz="0" w:space="0" w:color="auto"/>
        <w:left w:val="none" w:sz="0" w:space="0" w:color="auto"/>
        <w:bottom w:val="none" w:sz="0" w:space="0" w:color="auto"/>
        <w:right w:val="none" w:sz="0" w:space="0" w:color="auto"/>
      </w:divBdr>
    </w:div>
    <w:div w:id="1977024983">
      <w:bodyDiv w:val="1"/>
      <w:marLeft w:val="0"/>
      <w:marRight w:val="0"/>
      <w:marTop w:val="0"/>
      <w:marBottom w:val="0"/>
      <w:divBdr>
        <w:top w:val="none" w:sz="0" w:space="0" w:color="auto"/>
        <w:left w:val="none" w:sz="0" w:space="0" w:color="auto"/>
        <w:bottom w:val="none" w:sz="0" w:space="0" w:color="auto"/>
        <w:right w:val="none" w:sz="0" w:space="0" w:color="auto"/>
      </w:divBdr>
    </w:div>
    <w:div w:id="1987470383">
      <w:bodyDiv w:val="1"/>
      <w:marLeft w:val="0"/>
      <w:marRight w:val="0"/>
      <w:marTop w:val="0"/>
      <w:marBottom w:val="0"/>
      <w:divBdr>
        <w:top w:val="none" w:sz="0" w:space="0" w:color="auto"/>
        <w:left w:val="none" w:sz="0" w:space="0" w:color="auto"/>
        <w:bottom w:val="none" w:sz="0" w:space="0" w:color="auto"/>
        <w:right w:val="none" w:sz="0" w:space="0" w:color="auto"/>
      </w:divBdr>
    </w:div>
    <w:div w:id="1987660114">
      <w:bodyDiv w:val="1"/>
      <w:marLeft w:val="0"/>
      <w:marRight w:val="0"/>
      <w:marTop w:val="0"/>
      <w:marBottom w:val="0"/>
      <w:divBdr>
        <w:top w:val="none" w:sz="0" w:space="0" w:color="auto"/>
        <w:left w:val="none" w:sz="0" w:space="0" w:color="auto"/>
        <w:bottom w:val="none" w:sz="0" w:space="0" w:color="auto"/>
        <w:right w:val="none" w:sz="0" w:space="0" w:color="auto"/>
      </w:divBdr>
    </w:div>
    <w:div w:id="1991055457">
      <w:bodyDiv w:val="1"/>
      <w:marLeft w:val="0"/>
      <w:marRight w:val="0"/>
      <w:marTop w:val="0"/>
      <w:marBottom w:val="0"/>
      <w:divBdr>
        <w:top w:val="none" w:sz="0" w:space="0" w:color="auto"/>
        <w:left w:val="none" w:sz="0" w:space="0" w:color="auto"/>
        <w:bottom w:val="none" w:sz="0" w:space="0" w:color="auto"/>
        <w:right w:val="none" w:sz="0" w:space="0" w:color="auto"/>
      </w:divBdr>
    </w:div>
    <w:div w:id="1999992946">
      <w:bodyDiv w:val="1"/>
      <w:marLeft w:val="0"/>
      <w:marRight w:val="0"/>
      <w:marTop w:val="0"/>
      <w:marBottom w:val="0"/>
      <w:divBdr>
        <w:top w:val="none" w:sz="0" w:space="0" w:color="auto"/>
        <w:left w:val="none" w:sz="0" w:space="0" w:color="auto"/>
        <w:bottom w:val="none" w:sz="0" w:space="0" w:color="auto"/>
        <w:right w:val="none" w:sz="0" w:space="0" w:color="auto"/>
      </w:divBdr>
    </w:div>
    <w:div w:id="2011563301">
      <w:bodyDiv w:val="1"/>
      <w:marLeft w:val="0"/>
      <w:marRight w:val="0"/>
      <w:marTop w:val="0"/>
      <w:marBottom w:val="0"/>
      <w:divBdr>
        <w:top w:val="none" w:sz="0" w:space="0" w:color="auto"/>
        <w:left w:val="none" w:sz="0" w:space="0" w:color="auto"/>
        <w:bottom w:val="none" w:sz="0" w:space="0" w:color="auto"/>
        <w:right w:val="none" w:sz="0" w:space="0" w:color="auto"/>
      </w:divBdr>
    </w:div>
    <w:div w:id="2016346727">
      <w:bodyDiv w:val="1"/>
      <w:marLeft w:val="0"/>
      <w:marRight w:val="0"/>
      <w:marTop w:val="0"/>
      <w:marBottom w:val="0"/>
      <w:divBdr>
        <w:top w:val="none" w:sz="0" w:space="0" w:color="auto"/>
        <w:left w:val="none" w:sz="0" w:space="0" w:color="auto"/>
        <w:bottom w:val="none" w:sz="0" w:space="0" w:color="auto"/>
        <w:right w:val="none" w:sz="0" w:space="0" w:color="auto"/>
      </w:divBdr>
    </w:div>
    <w:div w:id="2017225719">
      <w:bodyDiv w:val="1"/>
      <w:marLeft w:val="0"/>
      <w:marRight w:val="0"/>
      <w:marTop w:val="0"/>
      <w:marBottom w:val="0"/>
      <w:divBdr>
        <w:top w:val="none" w:sz="0" w:space="0" w:color="auto"/>
        <w:left w:val="none" w:sz="0" w:space="0" w:color="auto"/>
        <w:bottom w:val="none" w:sz="0" w:space="0" w:color="auto"/>
        <w:right w:val="none" w:sz="0" w:space="0" w:color="auto"/>
      </w:divBdr>
    </w:div>
    <w:div w:id="2020228999">
      <w:bodyDiv w:val="1"/>
      <w:marLeft w:val="0"/>
      <w:marRight w:val="0"/>
      <w:marTop w:val="0"/>
      <w:marBottom w:val="0"/>
      <w:divBdr>
        <w:top w:val="none" w:sz="0" w:space="0" w:color="auto"/>
        <w:left w:val="none" w:sz="0" w:space="0" w:color="auto"/>
        <w:bottom w:val="none" w:sz="0" w:space="0" w:color="auto"/>
        <w:right w:val="none" w:sz="0" w:space="0" w:color="auto"/>
      </w:divBdr>
    </w:div>
    <w:div w:id="2038197293">
      <w:bodyDiv w:val="1"/>
      <w:marLeft w:val="0"/>
      <w:marRight w:val="0"/>
      <w:marTop w:val="0"/>
      <w:marBottom w:val="0"/>
      <w:divBdr>
        <w:top w:val="none" w:sz="0" w:space="0" w:color="auto"/>
        <w:left w:val="none" w:sz="0" w:space="0" w:color="auto"/>
        <w:bottom w:val="none" w:sz="0" w:space="0" w:color="auto"/>
        <w:right w:val="none" w:sz="0" w:space="0" w:color="auto"/>
      </w:divBdr>
    </w:div>
    <w:div w:id="2040355823">
      <w:bodyDiv w:val="1"/>
      <w:marLeft w:val="0"/>
      <w:marRight w:val="0"/>
      <w:marTop w:val="0"/>
      <w:marBottom w:val="0"/>
      <w:divBdr>
        <w:top w:val="none" w:sz="0" w:space="0" w:color="auto"/>
        <w:left w:val="none" w:sz="0" w:space="0" w:color="auto"/>
        <w:bottom w:val="none" w:sz="0" w:space="0" w:color="auto"/>
        <w:right w:val="none" w:sz="0" w:space="0" w:color="auto"/>
      </w:divBdr>
    </w:div>
    <w:div w:id="2053845283">
      <w:bodyDiv w:val="1"/>
      <w:marLeft w:val="0"/>
      <w:marRight w:val="0"/>
      <w:marTop w:val="0"/>
      <w:marBottom w:val="0"/>
      <w:divBdr>
        <w:top w:val="none" w:sz="0" w:space="0" w:color="auto"/>
        <w:left w:val="none" w:sz="0" w:space="0" w:color="auto"/>
        <w:bottom w:val="none" w:sz="0" w:space="0" w:color="auto"/>
        <w:right w:val="none" w:sz="0" w:space="0" w:color="auto"/>
      </w:divBdr>
      <w:divsChild>
        <w:div w:id="1006975410">
          <w:marLeft w:val="0"/>
          <w:marRight w:val="0"/>
          <w:marTop w:val="0"/>
          <w:marBottom w:val="0"/>
          <w:divBdr>
            <w:top w:val="none" w:sz="0" w:space="0" w:color="auto"/>
            <w:left w:val="none" w:sz="0" w:space="0" w:color="auto"/>
            <w:bottom w:val="none" w:sz="0" w:space="0" w:color="auto"/>
            <w:right w:val="none" w:sz="0" w:space="0" w:color="auto"/>
          </w:divBdr>
          <w:divsChild>
            <w:div w:id="1875071207">
              <w:marLeft w:val="0"/>
              <w:marRight w:val="0"/>
              <w:marTop w:val="0"/>
              <w:marBottom w:val="0"/>
              <w:divBdr>
                <w:top w:val="none" w:sz="0" w:space="0" w:color="auto"/>
                <w:left w:val="none" w:sz="0" w:space="0" w:color="auto"/>
                <w:bottom w:val="none" w:sz="0" w:space="0" w:color="auto"/>
                <w:right w:val="none" w:sz="0" w:space="0" w:color="auto"/>
              </w:divBdr>
              <w:divsChild>
                <w:div w:id="128328102">
                  <w:marLeft w:val="0"/>
                  <w:marRight w:val="0"/>
                  <w:marTop w:val="0"/>
                  <w:marBottom w:val="0"/>
                  <w:divBdr>
                    <w:top w:val="none" w:sz="0" w:space="0" w:color="auto"/>
                    <w:left w:val="none" w:sz="0" w:space="0" w:color="auto"/>
                    <w:bottom w:val="none" w:sz="0" w:space="0" w:color="auto"/>
                    <w:right w:val="none" w:sz="0" w:space="0" w:color="auto"/>
                  </w:divBdr>
                  <w:divsChild>
                    <w:div w:id="400255611">
                      <w:marLeft w:val="0"/>
                      <w:marRight w:val="0"/>
                      <w:marTop w:val="0"/>
                      <w:marBottom w:val="0"/>
                      <w:divBdr>
                        <w:top w:val="none" w:sz="0" w:space="0" w:color="auto"/>
                        <w:left w:val="none" w:sz="0" w:space="0" w:color="auto"/>
                        <w:bottom w:val="none" w:sz="0" w:space="0" w:color="auto"/>
                        <w:right w:val="none" w:sz="0" w:space="0" w:color="auto"/>
                      </w:divBdr>
                      <w:divsChild>
                        <w:div w:id="2081293820">
                          <w:marLeft w:val="0"/>
                          <w:marRight w:val="0"/>
                          <w:marTop w:val="0"/>
                          <w:marBottom w:val="0"/>
                          <w:divBdr>
                            <w:top w:val="none" w:sz="0" w:space="0" w:color="auto"/>
                            <w:left w:val="none" w:sz="0" w:space="0" w:color="auto"/>
                            <w:bottom w:val="none" w:sz="0" w:space="0" w:color="auto"/>
                            <w:right w:val="none" w:sz="0" w:space="0" w:color="auto"/>
                          </w:divBdr>
                          <w:divsChild>
                            <w:div w:id="16389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742276">
      <w:bodyDiv w:val="1"/>
      <w:marLeft w:val="0"/>
      <w:marRight w:val="0"/>
      <w:marTop w:val="0"/>
      <w:marBottom w:val="0"/>
      <w:divBdr>
        <w:top w:val="none" w:sz="0" w:space="0" w:color="auto"/>
        <w:left w:val="none" w:sz="0" w:space="0" w:color="auto"/>
        <w:bottom w:val="none" w:sz="0" w:space="0" w:color="auto"/>
        <w:right w:val="none" w:sz="0" w:space="0" w:color="auto"/>
      </w:divBdr>
    </w:div>
    <w:div w:id="2074236109">
      <w:bodyDiv w:val="1"/>
      <w:marLeft w:val="0"/>
      <w:marRight w:val="0"/>
      <w:marTop w:val="0"/>
      <w:marBottom w:val="0"/>
      <w:divBdr>
        <w:top w:val="none" w:sz="0" w:space="0" w:color="auto"/>
        <w:left w:val="none" w:sz="0" w:space="0" w:color="auto"/>
        <w:bottom w:val="none" w:sz="0" w:space="0" w:color="auto"/>
        <w:right w:val="none" w:sz="0" w:space="0" w:color="auto"/>
      </w:divBdr>
      <w:divsChild>
        <w:div w:id="333069533">
          <w:marLeft w:val="0"/>
          <w:marRight w:val="0"/>
          <w:marTop w:val="0"/>
          <w:marBottom w:val="0"/>
          <w:divBdr>
            <w:top w:val="none" w:sz="0" w:space="0" w:color="auto"/>
            <w:left w:val="none" w:sz="0" w:space="0" w:color="auto"/>
            <w:bottom w:val="none" w:sz="0" w:space="0" w:color="auto"/>
            <w:right w:val="none" w:sz="0" w:space="0" w:color="auto"/>
          </w:divBdr>
          <w:divsChild>
            <w:div w:id="172961475">
              <w:marLeft w:val="0"/>
              <w:marRight w:val="0"/>
              <w:marTop w:val="0"/>
              <w:marBottom w:val="0"/>
              <w:divBdr>
                <w:top w:val="none" w:sz="0" w:space="0" w:color="auto"/>
                <w:left w:val="none" w:sz="0" w:space="0" w:color="auto"/>
                <w:bottom w:val="none" w:sz="0" w:space="0" w:color="auto"/>
                <w:right w:val="none" w:sz="0" w:space="0" w:color="auto"/>
              </w:divBdr>
              <w:divsChild>
                <w:div w:id="1380595422">
                  <w:marLeft w:val="0"/>
                  <w:marRight w:val="0"/>
                  <w:marTop w:val="0"/>
                  <w:marBottom w:val="0"/>
                  <w:divBdr>
                    <w:top w:val="none" w:sz="0" w:space="0" w:color="auto"/>
                    <w:left w:val="none" w:sz="0" w:space="0" w:color="auto"/>
                    <w:bottom w:val="none" w:sz="0" w:space="0" w:color="auto"/>
                    <w:right w:val="none" w:sz="0" w:space="0" w:color="auto"/>
                  </w:divBdr>
                  <w:divsChild>
                    <w:div w:id="7930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3456">
      <w:bodyDiv w:val="1"/>
      <w:marLeft w:val="0"/>
      <w:marRight w:val="0"/>
      <w:marTop w:val="0"/>
      <w:marBottom w:val="0"/>
      <w:divBdr>
        <w:top w:val="none" w:sz="0" w:space="0" w:color="auto"/>
        <w:left w:val="none" w:sz="0" w:space="0" w:color="auto"/>
        <w:bottom w:val="none" w:sz="0" w:space="0" w:color="auto"/>
        <w:right w:val="none" w:sz="0" w:space="0" w:color="auto"/>
      </w:divBdr>
    </w:div>
    <w:div w:id="2080902326">
      <w:bodyDiv w:val="1"/>
      <w:marLeft w:val="0"/>
      <w:marRight w:val="0"/>
      <w:marTop w:val="0"/>
      <w:marBottom w:val="0"/>
      <w:divBdr>
        <w:top w:val="none" w:sz="0" w:space="0" w:color="auto"/>
        <w:left w:val="none" w:sz="0" w:space="0" w:color="auto"/>
        <w:bottom w:val="none" w:sz="0" w:space="0" w:color="auto"/>
        <w:right w:val="none" w:sz="0" w:space="0" w:color="auto"/>
      </w:divBdr>
    </w:div>
    <w:div w:id="2085447159">
      <w:bodyDiv w:val="1"/>
      <w:marLeft w:val="0"/>
      <w:marRight w:val="0"/>
      <w:marTop w:val="0"/>
      <w:marBottom w:val="0"/>
      <w:divBdr>
        <w:top w:val="none" w:sz="0" w:space="0" w:color="auto"/>
        <w:left w:val="none" w:sz="0" w:space="0" w:color="auto"/>
        <w:bottom w:val="none" w:sz="0" w:space="0" w:color="auto"/>
        <w:right w:val="none" w:sz="0" w:space="0" w:color="auto"/>
      </w:divBdr>
      <w:divsChild>
        <w:div w:id="106777217">
          <w:marLeft w:val="0"/>
          <w:marRight w:val="0"/>
          <w:marTop w:val="0"/>
          <w:marBottom w:val="0"/>
          <w:divBdr>
            <w:top w:val="none" w:sz="0" w:space="0" w:color="auto"/>
            <w:left w:val="none" w:sz="0" w:space="0" w:color="auto"/>
            <w:bottom w:val="none" w:sz="0" w:space="0" w:color="auto"/>
            <w:right w:val="none" w:sz="0" w:space="0" w:color="auto"/>
          </w:divBdr>
        </w:div>
        <w:div w:id="597911875">
          <w:marLeft w:val="0"/>
          <w:marRight w:val="0"/>
          <w:marTop w:val="0"/>
          <w:marBottom w:val="0"/>
          <w:divBdr>
            <w:top w:val="none" w:sz="0" w:space="0" w:color="auto"/>
            <w:left w:val="none" w:sz="0" w:space="0" w:color="auto"/>
            <w:bottom w:val="none" w:sz="0" w:space="0" w:color="auto"/>
            <w:right w:val="none" w:sz="0" w:space="0" w:color="auto"/>
          </w:divBdr>
        </w:div>
        <w:div w:id="788745937">
          <w:marLeft w:val="0"/>
          <w:marRight w:val="0"/>
          <w:marTop w:val="0"/>
          <w:marBottom w:val="0"/>
          <w:divBdr>
            <w:top w:val="none" w:sz="0" w:space="0" w:color="auto"/>
            <w:left w:val="none" w:sz="0" w:space="0" w:color="auto"/>
            <w:bottom w:val="none" w:sz="0" w:space="0" w:color="auto"/>
            <w:right w:val="none" w:sz="0" w:space="0" w:color="auto"/>
          </w:divBdr>
        </w:div>
        <w:div w:id="832184515">
          <w:marLeft w:val="0"/>
          <w:marRight w:val="0"/>
          <w:marTop w:val="0"/>
          <w:marBottom w:val="0"/>
          <w:divBdr>
            <w:top w:val="none" w:sz="0" w:space="0" w:color="auto"/>
            <w:left w:val="none" w:sz="0" w:space="0" w:color="auto"/>
            <w:bottom w:val="none" w:sz="0" w:space="0" w:color="auto"/>
            <w:right w:val="none" w:sz="0" w:space="0" w:color="auto"/>
          </w:divBdr>
        </w:div>
        <w:div w:id="935019642">
          <w:marLeft w:val="0"/>
          <w:marRight w:val="0"/>
          <w:marTop w:val="0"/>
          <w:marBottom w:val="0"/>
          <w:divBdr>
            <w:top w:val="none" w:sz="0" w:space="0" w:color="auto"/>
            <w:left w:val="none" w:sz="0" w:space="0" w:color="auto"/>
            <w:bottom w:val="none" w:sz="0" w:space="0" w:color="auto"/>
            <w:right w:val="none" w:sz="0" w:space="0" w:color="auto"/>
          </w:divBdr>
        </w:div>
        <w:div w:id="1487894534">
          <w:marLeft w:val="0"/>
          <w:marRight w:val="0"/>
          <w:marTop w:val="0"/>
          <w:marBottom w:val="0"/>
          <w:divBdr>
            <w:top w:val="none" w:sz="0" w:space="0" w:color="auto"/>
            <w:left w:val="none" w:sz="0" w:space="0" w:color="auto"/>
            <w:bottom w:val="none" w:sz="0" w:space="0" w:color="auto"/>
            <w:right w:val="none" w:sz="0" w:space="0" w:color="auto"/>
          </w:divBdr>
        </w:div>
        <w:div w:id="1525292561">
          <w:marLeft w:val="0"/>
          <w:marRight w:val="0"/>
          <w:marTop w:val="0"/>
          <w:marBottom w:val="0"/>
          <w:divBdr>
            <w:top w:val="none" w:sz="0" w:space="0" w:color="auto"/>
            <w:left w:val="none" w:sz="0" w:space="0" w:color="auto"/>
            <w:bottom w:val="none" w:sz="0" w:space="0" w:color="auto"/>
            <w:right w:val="none" w:sz="0" w:space="0" w:color="auto"/>
          </w:divBdr>
        </w:div>
        <w:div w:id="1712067785">
          <w:marLeft w:val="0"/>
          <w:marRight w:val="0"/>
          <w:marTop w:val="0"/>
          <w:marBottom w:val="0"/>
          <w:divBdr>
            <w:top w:val="none" w:sz="0" w:space="0" w:color="auto"/>
            <w:left w:val="none" w:sz="0" w:space="0" w:color="auto"/>
            <w:bottom w:val="none" w:sz="0" w:space="0" w:color="auto"/>
            <w:right w:val="none" w:sz="0" w:space="0" w:color="auto"/>
          </w:divBdr>
        </w:div>
        <w:div w:id="1965306497">
          <w:marLeft w:val="0"/>
          <w:marRight w:val="0"/>
          <w:marTop w:val="0"/>
          <w:marBottom w:val="0"/>
          <w:divBdr>
            <w:top w:val="none" w:sz="0" w:space="0" w:color="auto"/>
            <w:left w:val="none" w:sz="0" w:space="0" w:color="auto"/>
            <w:bottom w:val="none" w:sz="0" w:space="0" w:color="auto"/>
            <w:right w:val="none" w:sz="0" w:space="0" w:color="auto"/>
          </w:divBdr>
        </w:div>
        <w:div w:id="2053570877">
          <w:marLeft w:val="0"/>
          <w:marRight w:val="0"/>
          <w:marTop w:val="0"/>
          <w:marBottom w:val="0"/>
          <w:divBdr>
            <w:top w:val="none" w:sz="0" w:space="0" w:color="auto"/>
            <w:left w:val="none" w:sz="0" w:space="0" w:color="auto"/>
            <w:bottom w:val="none" w:sz="0" w:space="0" w:color="auto"/>
            <w:right w:val="none" w:sz="0" w:space="0" w:color="auto"/>
          </w:divBdr>
        </w:div>
      </w:divsChild>
    </w:div>
    <w:div w:id="2097555977">
      <w:bodyDiv w:val="1"/>
      <w:marLeft w:val="0"/>
      <w:marRight w:val="0"/>
      <w:marTop w:val="0"/>
      <w:marBottom w:val="0"/>
      <w:divBdr>
        <w:top w:val="none" w:sz="0" w:space="0" w:color="auto"/>
        <w:left w:val="none" w:sz="0" w:space="0" w:color="auto"/>
        <w:bottom w:val="none" w:sz="0" w:space="0" w:color="auto"/>
        <w:right w:val="none" w:sz="0" w:space="0" w:color="auto"/>
      </w:divBdr>
    </w:div>
    <w:div w:id="2103062033">
      <w:bodyDiv w:val="1"/>
      <w:marLeft w:val="0"/>
      <w:marRight w:val="0"/>
      <w:marTop w:val="0"/>
      <w:marBottom w:val="0"/>
      <w:divBdr>
        <w:top w:val="none" w:sz="0" w:space="0" w:color="auto"/>
        <w:left w:val="none" w:sz="0" w:space="0" w:color="auto"/>
        <w:bottom w:val="none" w:sz="0" w:space="0" w:color="auto"/>
        <w:right w:val="none" w:sz="0" w:space="0" w:color="auto"/>
      </w:divBdr>
    </w:div>
    <w:div w:id="2106880780">
      <w:bodyDiv w:val="1"/>
      <w:marLeft w:val="0"/>
      <w:marRight w:val="0"/>
      <w:marTop w:val="0"/>
      <w:marBottom w:val="0"/>
      <w:divBdr>
        <w:top w:val="none" w:sz="0" w:space="0" w:color="auto"/>
        <w:left w:val="none" w:sz="0" w:space="0" w:color="auto"/>
        <w:bottom w:val="none" w:sz="0" w:space="0" w:color="auto"/>
        <w:right w:val="none" w:sz="0" w:space="0" w:color="auto"/>
      </w:divBdr>
    </w:div>
    <w:div w:id="2127193702">
      <w:bodyDiv w:val="1"/>
      <w:marLeft w:val="0"/>
      <w:marRight w:val="0"/>
      <w:marTop w:val="0"/>
      <w:marBottom w:val="0"/>
      <w:divBdr>
        <w:top w:val="none" w:sz="0" w:space="0" w:color="auto"/>
        <w:left w:val="none" w:sz="0" w:space="0" w:color="auto"/>
        <w:bottom w:val="none" w:sz="0" w:space="0" w:color="auto"/>
        <w:right w:val="none" w:sz="0" w:space="0" w:color="auto"/>
      </w:divBdr>
      <w:divsChild>
        <w:div w:id="1682195991">
          <w:marLeft w:val="0"/>
          <w:marRight w:val="0"/>
          <w:marTop w:val="0"/>
          <w:marBottom w:val="0"/>
          <w:divBdr>
            <w:top w:val="none" w:sz="0" w:space="0" w:color="auto"/>
            <w:left w:val="none" w:sz="0" w:space="0" w:color="auto"/>
            <w:bottom w:val="none" w:sz="0" w:space="0" w:color="auto"/>
            <w:right w:val="none" w:sz="0" w:space="0" w:color="auto"/>
          </w:divBdr>
          <w:divsChild>
            <w:div w:id="2124492088">
              <w:marLeft w:val="0"/>
              <w:marRight w:val="0"/>
              <w:marTop w:val="0"/>
              <w:marBottom w:val="0"/>
              <w:divBdr>
                <w:top w:val="none" w:sz="0" w:space="0" w:color="auto"/>
                <w:left w:val="none" w:sz="0" w:space="0" w:color="auto"/>
                <w:bottom w:val="none" w:sz="0" w:space="0" w:color="auto"/>
                <w:right w:val="none" w:sz="0" w:space="0" w:color="auto"/>
              </w:divBdr>
              <w:divsChild>
                <w:div w:id="986395331">
                  <w:marLeft w:val="0"/>
                  <w:marRight w:val="0"/>
                  <w:marTop w:val="0"/>
                  <w:marBottom w:val="0"/>
                  <w:divBdr>
                    <w:top w:val="none" w:sz="0" w:space="0" w:color="auto"/>
                    <w:left w:val="none" w:sz="0" w:space="0" w:color="auto"/>
                    <w:bottom w:val="none" w:sz="0" w:space="0" w:color="auto"/>
                    <w:right w:val="none" w:sz="0" w:space="0" w:color="auto"/>
                  </w:divBdr>
                  <w:divsChild>
                    <w:div w:id="13846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63505">
      <w:bodyDiv w:val="1"/>
      <w:marLeft w:val="0"/>
      <w:marRight w:val="0"/>
      <w:marTop w:val="0"/>
      <w:marBottom w:val="0"/>
      <w:divBdr>
        <w:top w:val="none" w:sz="0" w:space="0" w:color="auto"/>
        <w:left w:val="none" w:sz="0" w:space="0" w:color="auto"/>
        <w:bottom w:val="none" w:sz="0" w:space="0" w:color="auto"/>
        <w:right w:val="none" w:sz="0" w:space="0" w:color="auto"/>
      </w:divBdr>
    </w:div>
    <w:div w:id="2139033203">
      <w:bodyDiv w:val="1"/>
      <w:marLeft w:val="0"/>
      <w:marRight w:val="0"/>
      <w:marTop w:val="0"/>
      <w:marBottom w:val="0"/>
      <w:divBdr>
        <w:top w:val="none" w:sz="0" w:space="0" w:color="auto"/>
        <w:left w:val="none" w:sz="0" w:space="0" w:color="auto"/>
        <w:bottom w:val="none" w:sz="0" w:space="0" w:color="auto"/>
        <w:right w:val="none" w:sz="0" w:space="0" w:color="auto"/>
      </w:divBdr>
    </w:div>
    <w:div w:id="21423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uxano.com/international-scholarships-for-philippine-students/?utm" TargetMode="External"/><Relationship Id="rId18" Type="http://schemas.openxmlformats.org/officeDocument/2006/relationships/hyperlink" Target="https://vuxano.com/international-scholarships-for-philippine-students/?utm" TargetMode="External"/><Relationship Id="rId26" Type="http://schemas.openxmlformats.org/officeDocument/2006/relationships/footer" Target="footer3.xml"/><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s://vuxano.com/international-scholarships-for-philippine-students/?utm" TargetMode="External"/><Relationship Id="rId17" Type="http://schemas.openxmlformats.org/officeDocument/2006/relationships/hyperlink" Target="https://vuxano.com/international-scholarships-for-philippine-students/?utm" TargetMode="External"/><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uxano.com/international-scholarships-for-philippine-students/?utm" TargetMode="Externa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uxano.com/international-scholarships-for-philippine-students/?utm" TargetMode="External"/><Relationship Id="rId24" Type="http://schemas.openxmlformats.org/officeDocument/2006/relationships/footer" Target="footer2.xml"/><Relationship Id="rId32" Type="http://schemas.openxmlformats.org/officeDocument/2006/relationships/header" Target="header6.xml"/><Relationship Id="rId37"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vuxano.com/international-scholarships-for-philippine-students/?utm"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hyperlink" Target="https://vuxano.com/international-scholarships-for-philippine-students/?utm" TargetMode="External"/><Relationship Id="rId19" Type="http://schemas.openxmlformats.org/officeDocument/2006/relationships/hyperlink" Target="https://vuxano.com/international-scholarships-for-philippine-students/?ut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uxano.com/international-scholarships-for-philippine-students/?utm" TargetMode="External"/><Relationship Id="rId22" Type="http://schemas.openxmlformats.org/officeDocument/2006/relationships/footer" Target="footer1.xml"/><Relationship Id="rId27" Type="http://schemas.openxmlformats.org/officeDocument/2006/relationships/hyperlink" Target="mailto:Douglas.Smith@sustineo.com.au" TargetMode="External"/><Relationship Id="rId30" Type="http://schemas.openxmlformats.org/officeDocument/2006/relationships/header" Target="header5.xml"/><Relationship Id="rId35" Type="http://schemas.openxmlformats.org/officeDocument/2006/relationships/footer" Target="footer7.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pdp.neda.gov.ph/philippine-development-plan-2023-2028/" TargetMode="External"/><Relationship Id="rId2" Type="http://schemas.openxmlformats.org/officeDocument/2006/relationships/hyperlink" Target="https://2040.neda.gov.ph" TargetMode="External"/><Relationship Id="rId1" Type="http://schemas.openxmlformats.org/officeDocument/2006/relationships/hyperlink" Target="https://pdp.neda.gov.ph/updated-pdp-2017-2022/" TargetMode="External"/><Relationship Id="rId5" Type="http://schemas.openxmlformats.org/officeDocument/2006/relationships/hyperlink" Target="https://dev.australiaawardsphilippines.org/icsp" TargetMode="External"/><Relationship Id="rId4" Type="http://schemas.openxmlformats.org/officeDocument/2006/relationships/hyperlink" Target="https://www.pna.gov.ph/articles/1205987?u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ustineo2024">
      <a:dk1>
        <a:sysClr val="windowText" lastClr="000000"/>
      </a:dk1>
      <a:lt1>
        <a:sysClr val="window" lastClr="FFFFFF"/>
      </a:lt1>
      <a:dk2>
        <a:srgbClr val="5F6062"/>
      </a:dk2>
      <a:lt2>
        <a:srgbClr val="E3DED1"/>
      </a:lt2>
      <a:accent1>
        <a:srgbClr val="6DB33F"/>
      </a:accent1>
      <a:accent2>
        <a:srgbClr val="90C82A"/>
      </a:accent2>
      <a:accent3>
        <a:srgbClr val="C0CF3A"/>
      </a:accent3>
      <a:accent4>
        <a:srgbClr val="2C3F8E"/>
      </a:accent4>
      <a:accent5>
        <a:srgbClr val="4AB5C4"/>
      </a:accent5>
      <a:accent6>
        <a:srgbClr val="BA6906"/>
      </a:accent6>
      <a:hlink>
        <a:srgbClr val="0A96C2"/>
      </a:hlink>
      <a:folHlink>
        <a:srgbClr val="6B9F2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CF01-1E1D-C64F-B8FD-3515EEE3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32836</Words>
  <Characters>200952</Characters>
  <Application>Microsoft Office Word</Application>
  <DocSecurity>0</DocSecurity>
  <Lines>5170</Lines>
  <Paragraphs>2439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231689</CharactersWithSpaces>
  <SharedDoc>false</SharedDoc>
  <HyperlinkBase/>
  <HLinks>
    <vt:vector size="384" baseType="variant">
      <vt:variant>
        <vt:i4>524347</vt:i4>
      </vt:variant>
      <vt:variant>
        <vt:i4>396</vt:i4>
      </vt:variant>
      <vt:variant>
        <vt:i4>0</vt:i4>
      </vt:variant>
      <vt:variant>
        <vt:i4>5</vt:i4>
      </vt:variant>
      <vt:variant>
        <vt:lpwstr>mailto:Douglas.Smith@sustineo.com.au</vt:lpwstr>
      </vt:variant>
      <vt:variant>
        <vt:lpwstr/>
      </vt:variant>
      <vt:variant>
        <vt:i4>3473524</vt:i4>
      </vt:variant>
      <vt:variant>
        <vt:i4>348</vt:i4>
      </vt:variant>
      <vt:variant>
        <vt:i4>0</vt:i4>
      </vt:variant>
      <vt:variant>
        <vt:i4>5</vt:i4>
      </vt:variant>
      <vt:variant>
        <vt:lpwstr>https://vuxano.com/international-scholarships-for-philippine-students/?utm</vt:lpwstr>
      </vt:variant>
      <vt:variant>
        <vt:lpwstr>10_UN_Scholarships</vt:lpwstr>
      </vt:variant>
      <vt:variant>
        <vt:i4>6553723</vt:i4>
      </vt:variant>
      <vt:variant>
        <vt:i4>345</vt:i4>
      </vt:variant>
      <vt:variant>
        <vt:i4>0</vt:i4>
      </vt:variant>
      <vt:variant>
        <vt:i4>5</vt:i4>
      </vt:variant>
      <vt:variant>
        <vt:lpwstr>https://vuxano.com/international-scholarships-for-philippine-students/?utm</vt:lpwstr>
      </vt:variant>
      <vt:variant>
        <vt:lpwstr>9_Commonwealth_Scholarships</vt:lpwstr>
      </vt:variant>
      <vt:variant>
        <vt:i4>7078012</vt:i4>
      </vt:variant>
      <vt:variant>
        <vt:i4>342</vt:i4>
      </vt:variant>
      <vt:variant>
        <vt:i4>0</vt:i4>
      </vt:variant>
      <vt:variant>
        <vt:i4>5</vt:i4>
      </vt:variant>
      <vt:variant>
        <vt:lpwstr>https://vuxano.com/international-scholarships-for-philippine-students/?utm</vt:lpwstr>
      </vt:variant>
      <vt:variant>
        <vt:lpwstr>8_DAAD_Scholarships</vt:lpwstr>
      </vt:variant>
      <vt:variant>
        <vt:i4>4063321</vt:i4>
      </vt:variant>
      <vt:variant>
        <vt:i4>339</vt:i4>
      </vt:variant>
      <vt:variant>
        <vt:i4>0</vt:i4>
      </vt:variant>
      <vt:variant>
        <vt:i4>5</vt:i4>
      </vt:variant>
      <vt:variant>
        <vt:lpwstr>https://vuxano.com/international-scholarships-for-philippine-students/?utm</vt:lpwstr>
      </vt:variant>
      <vt:variant>
        <vt:lpwstr>7_ADB-Japan_Scholarship_Program</vt:lpwstr>
      </vt:variant>
      <vt:variant>
        <vt:i4>720901</vt:i4>
      </vt:variant>
      <vt:variant>
        <vt:i4>336</vt:i4>
      </vt:variant>
      <vt:variant>
        <vt:i4>0</vt:i4>
      </vt:variant>
      <vt:variant>
        <vt:i4>5</vt:i4>
      </vt:variant>
      <vt:variant>
        <vt:lpwstr>https://vuxano.com/international-scholarships-for-philippine-students/?utm</vt:lpwstr>
      </vt:variant>
      <vt:variant>
        <vt:lpwstr>6_The_Schwarzman_Scholars_Initiative</vt:lpwstr>
      </vt:variant>
      <vt:variant>
        <vt:i4>983111</vt:i4>
      </vt:variant>
      <vt:variant>
        <vt:i4>333</vt:i4>
      </vt:variant>
      <vt:variant>
        <vt:i4>0</vt:i4>
      </vt:variant>
      <vt:variant>
        <vt:i4>5</vt:i4>
      </vt:variant>
      <vt:variant>
        <vt:lpwstr>https://vuxano.com/international-scholarships-for-philippine-students/?utm</vt:lpwstr>
      </vt:variant>
      <vt:variant>
        <vt:lpwstr>5_The_Japan-ASEAN_Integration_Fund</vt:lpwstr>
      </vt:variant>
      <vt:variant>
        <vt:i4>6815829</vt:i4>
      </vt:variant>
      <vt:variant>
        <vt:i4>330</vt:i4>
      </vt:variant>
      <vt:variant>
        <vt:i4>0</vt:i4>
      </vt:variant>
      <vt:variant>
        <vt:i4>5</vt:i4>
      </vt:variant>
      <vt:variant>
        <vt:lpwstr>https://vuxano.com/international-scholarships-for-philippine-students/?utm</vt:lpwstr>
      </vt:variant>
      <vt:variant>
        <vt:lpwstr>4_Erasmus_Mundus_Joint_Masters_students_%E2%80%93_Erasmus</vt:lpwstr>
      </vt:variant>
      <vt:variant>
        <vt:i4>2883587</vt:i4>
      </vt:variant>
      <vt:variant>
        <vt:i4>327</vt:i4>
      </vt:variant>
      <vt:variant>
        <vt:i4>0</vt:i4>
      </vt:variant>
      <vt:variant>
        <vt:i4>5</vt:i4>
      </vt:variant>
      <vt:variant>
        <vt:lpwstr>https://vuxano.com/international-scholarships-for-philippine-students/?utm</vt:lpwstr>
      </vt:variant>
      <vt:variant>
        <vt:lpwstr>3_Australian_Awards_Scholarships</vt:lpwstr>
      </vt:variant>
      <vt:variant>
        <vt:i4>5505133</vt:i4>
      </vt:variant>
      <vt:variant>
        <vt:i4>324</vt:i4>
      </vt:variant>
      <vt:variant>
        <vt:i4>0</vt:i4>
      </vt:variant>
      <vt:variant>
        <vt:i4>5</vt:i4>
      </vt:variant>
      <vt:variant>
        <vt:lpwstr>https://vuxano.com/international-scholarships-for-philippine-students/?utm</vt:lpwstr>
      </vt:variant>
      <vt:variant>
        <vt:lpwstr>2_Chevening_Scholarships_Programme</vt:lpwstr>
      </vt:variant>
      <vt:variant>
        <vt:i4>5636178</vt:i4>
      </vt:variant>
      <vt:variant>
        <vt:i4>321</vt:i4>
      </vt:variant>
      <vt:variant>
        <vt:i4>0</vt:i4>
      </vt:variant>
      <vt:variant>
        <vt:i4>5</vt:i4>
      </vt:variant>
      <vt:variant>
        <vt:lpwstr>https://vuxano.com/international-scholarships-for-philippine-students/?utm</vt:lpwstr>
      </vt:variant>
      <vt:variant>
        <vt:lpwstr>1_The_Fulbright_Scholarship_Program</vt:lpwstr>
      </vt:variant>
      <vt:variant>
        <vt:i4>1703997</vt:i4>
      </vt:variant>
      <vt:variant>
        <vt:i4>299</vt:i4>
      </vt:variant>
      <vt:variant>
        <vt:i4>0</vt:i4>
      </vt:variant>
      <vt:variant>
        <vt:i4>5</vt:i4>
      </vt:variant>
      <vt:variant>
        <vt:lpwstr/>
      </vt:variant>
      <vt:variant>
        <vt:lpwstr>_Toc189671228</vt:lpwstr>
      </vt:variant>
      <vt:variant>
        <vt:i4>1703997</vt:i4>
      </vt:variant>
      <vt:variant>
        <vt:i4>293</vt:i4>
      </vt:variant>
      <vt:variant>
        <vt:i4>0</vt:i4>
      </vt:variant>
      <vt:variant>
        <vt:i4>5</vt:i4>
      </vt:variant>
      <vt:variant>
        <vt:lpwstr/>
      </vt:variant>
      <vt:variant>
        <vt:lpwstr>_Toc189671227</vt:lpwstr>
      </vt:variant>
      <vt:variant>
        <vt:i4>1703997</vt:i4>
      </vt:variant>
      <vt:variant>
        <vt:i4>287</vt:i4>
      </vt:variant>
      <vt:variant>
        <vt:i4>0</vt:i4>
      </vt:variant>
      <vt:variant>
        <vt:i4>5</vt:i4>
      </vt:variant>
      <vt:variant>
        <vt:lpwstr/>
      </vt:variant>
      <vt:variant>
        <vt:lpwstr>_Toc189671226</vt:lpwstr>
      </vt:variant>
      <vt:variant>
        <vt:i4>1703997</vt:i4>
      </vt:variant>
      <vt:variant>
        <vt:i4>281</vt:i4>
      </vt:variant>
      <vt:variant>
        <vt:i4>0</vt:i4>
      </vt:variant>
      <vt:variant>
        <vt:i4>5</vt:i4>
      </vt:variant>
      <vt:variant>
        <vt:lpwstr/>
      </vt:variant>
      <vt:variant>
        <vt:lpwstr>_Toc189671225</vt:lpwstr>
      </vt:variant>
      <vt:variant>
        <vt:i4>1703997</vt:i4>
      </vt:variant>
      <vt:variant>
        <vt:i4>275</vt:i4>
      </vt:variant>
      <vt:variant>
        <vt:i4>0</vt:i4>
      </vt:variant>
      <vt:variant>
        <vt:i4>5</vt:i4>
      </vt:variant>
      <vt:variant>
        <vt:lpwstr/>
      </vt:variant>
      <vt:variant>
        <vt:lpwstr>_Toc189671224</vt:lpwstr>
      </vt:variant>
      <vt:variant>
        <vt:i4>1703997</vt:i4>
      </vt:variant>
      <vt:variant>
        <vt:i4>269</vt:i4>
      </vt:variant>
      <vt:variant>
        <vt:i4>0</vt:i4>
      </vt:variant>
      <vt:variant>
        <vt:i4>5</vt:i4>
      </vt:variant>
      <vt:variant>
        <vt:lpwstr/>
      </vt:variant>
      <vt:variant>
        <vt:lpwstr>_Toc189671223</vt:lpwstr>
      </vt:variant>
      <vt:variant>
        <vt:i4>1703997</vt:i4>
      </vt:variant>
      <vt:variant>
        <vt:i4>263</vt:i4>
      </vt:variant>
      <vt:variant>
        <vt:i4>0</vt:i4>
      </vt:variant>
      <vt:variant>
        <vt:i4>5</vt:i4>
      </vt:variant>
      <vt:variant>
        <vt:lpwstr/>
      </vt:variant>
      <vt:variant>
        <vt:lpwstr>_Toc189671222</vt:lpwstr>
      </vt:variant>
      <vt:variant>
        <vt:i4>1703997</vt:i4>
      </vt:variant>
      <vt:variant>
        <vt:i4>257</vt:i4>
      </vt:variant>
      <vt:variant>
        <vt:i4>0</vt:i4>
      </vt:variant>
      <vt:variant>
        <vt:i4>5</vt:i4>
      </vt:variant>
      <vt:variant>
        <vt:lpwstr/>
      </vt:variant>
      <vt:variant>
        <vt:lpwstr>_Toc189671221</vt:lpwstr>
      </vt:variant>
      <vt:variant>
        <vt:i4>1703997</vt:i4>
      </vt:variant>
      <vt:variant>
        <vt:i4>251</vt:i4>
      </vt:variant>
      <vt:variant>
        <vt:i4>0</vt:i4>
      </vt:variant>
      <vt:variant>
        <vt:i4>5</vt:i4>
      </vt:variant>
      <vt:variant>
        <vt:lpwstr/>
      </vt:variant>
      <vt:variant>
        <vt:lpwstr>_Toc189671220</vt:lpwstr>
      </vt:variant>
      <vt:variant>
        <vt:i4>1638461</vt:i4>
      </vt:variant>
      <vt:variant>
        <vt:i4>245</vt:i4>
      </vt:variant>
      <vt:variant>
        <vt:i4>0</vt:i4>
      </vt:variant>
      <vt:variant>
        <vt:i4>5</vt:i4>
      </vt:variant>
      <vt:variant>
        <vt:lpwstr/>
      </vt:variant>
      <vt:variant>
        <vt:lpwstr>_Toc189671219</vt:lpwstr>
      </vt:variant>
      <vt:variant>
        <vt:i4>1638461</vt:i4>
      </vt:variant>
      <vt:variant>
        <vt:i4>239</vt:i4>
      </vt:variant>
      <vt:variant>
        <vt:i4>0</vt:i4>
      </vt:variant>
      <vt:variant>
        <vt:i4>5</vt:i4>
      </vt:variant>
      <vt:variant>
        <vt:lpwstr/>
      </vt:variant>
      <vt:variant>
        <vt:lpwstr>_Toc189671218</vt:lpwstr>
      </vt:variant>
      <vt:variant>
        <vt:i4>1638461</vt:i4>
      </vt:variant>
      <vt:variant>
        <vt:i4>233</vt:i4>
      </vt:variant>
      <vt:variant>
        <vt:i4>0</vt:i4>
      </vt:variant>
      <vt:variant>
        <vt:i4>5</vt:i4>
      </vt:variant>
      <vt:variant>
        <vt:lpwstr/>
      </vt:variant>
      <vt:variant>
        <vt:lpwstr>_Toc189671217</vt:lpwstr>
      </vt:variant>
      <vt:variant>
        <vt:i4>1638461</vt:i4>
      </vt:variant>
      <vt:variant>
        <vt:i4>227</vt:i4>
      </vt:variant>
      <vt:variant>
        <vt:i4>0</vt:i4>
      </vt:variant>
      <vt:variant>
        <vt:i4>5</vt:i4>
      </vt:variant>
      <vt:variant>
        <vt:lpwstr/>
      </vt:variant>
      <vt:variant>
        <vt:lpwstr>_Toc189671216</vt:lpwstr>
      </vt:variant>
      <vt:variant>
        <vt:i4>1638461</vt:i4>
      </vt:variant>
      <vt:variant>
        <vt:i4>221</vt:i4>
      </vt:variant>
      <vt:variant>
        <vt:i4>0</vt:i4>
      </vt:variant>
      <vt:variant>
        <vt:i4>5</vt:i4>
      </vt:variant>
      <vt:variant>
        <vt:lpwstr/>
      </vt:variant>
      <vt:variant>
        <vt:lpwstr>_Toc189671215</vt:lpwstr>
      </vt:variant>
      <vt:variant>
        <vt:i4>1638461</vt:i4>
      </vt:variant>
      <vt:variant>
        <vt:i4>215</vt:i4>
      </vt:variant>
      <vt:variant>
        <vt:i4>0</vt:i4>
      </vt:variant>
      <vt:variant>
        <vt:i4>5</vt:i4>
      </vt:variant>
      <vt:variant>
        <vt:lpwstr/>
      </vt:variant>
      <vt:variant>
        <vt:lpwstr>_Toc189671214</vt:lpwstr>
      </vt:variant>
      <vt:variant>
        <vt:i4>1638461</vt:i4>
      </vt:variant>
      <vt:variant>
        <vt:i4>209</vt:i4>
      </vt:variant>
      <vt:variant>
        <vt:i4>0</vt:i4>
      </vt:variant>
      <vt:variant>
        <vt:i4>5</vt:i4>
      </vt:variant>
      <vt:variant>
        <vt:lpwstr/>
      </vt:variant>
      <vt:variant>
        <vt:lpwstr>_Toc189671213</vt:lpwstr>
      </vt:variant>
      <vt:variant>
        <vt:i4>1638461</vt:i4>
      </vt:variant>
      <vt:variant>
        <vt:i4>203</vt:i4>
      </vt:variant>
      <vt:variant>
        <vt:i4>0</vt:i4>
      </vt:variant>
      <vt:variant>
        <vt:i4>5</vt:i4>
      </vt:variant>
      <vt:variant>
        <vt:lpwstr/>
      </vt:variant>
      <vt:variant>
        <vt:lpwstr>_Toc189671212</vt:lpwstr>
      </vt:variant>
      <vt:variant>
        <vt:i4>1638461</vt:i4>
      </vt:variant>
      <vt:variant>
        <vt:i4>197</vt:i4>
      </vt:variant>
      <vt:variant>
        <vt:i4>0</vt:i4>
      </vt:variant>
      <vt:variant>
        <vt:i4>5</vt:i4>
      </vt:variant>
      <vt:variant>
        <vt:lpwstr/>
      </vt:variant>
      <vt:variant>
        <vt:lpwstr>_Toc189671211</vt:lpwstr>
      </vt:variant>
      <vt:variant>
        <vt:i4>1638461</vt:i4>
      </vt:variant>
      <vt:variant>
        <vt:i4>191</vt:i4>
      </vt:variant>
      <vt:variant>
        <vt:i4>0</vt:i4>
      </vt:variant>
      <vt:variant>
        <vt:i4>5</vt:i4>
      </vt:variant>
      <vt:variant>
        <vt:lpwstr/>
      </vt:variant>
      <vt:variant>
        <vt:lpwstr>_Toc189671210</vt:lpwstr>
      </vt:variant>
      <vt:variant>
        <vt:i4>1572925</vt:i4>
      </vt:variant>
      <vt:variant>
        <vt:i4>185</vt:i4>
      </vt:variant>
      <vt:variant>
        <vt:i4>0</vt:i4>
      </vt:variant>
      <vt:variant>
        <vt:i4>5</vt:i4>
      </vt:variant>
      <vt:variant>
        <vt:lpwstr/>
      </vt:variant>
      <vt:variant>
        <vt:lpwstr>_Toc189671209</vt:lpwstr>
      </vt:variant>
      <vt:variant>
        <vt:i4>1572925</vt:i4>
      </vt:variant>
      <vt:variant>
        <vt:i4>179</vt:i4>
      </vt:variant>
      <vt:variant>
        <vt:i4>0</vt:i4>
      </vt:variant>
      <vt:variant>
        <vt:i4>5</vt:i4>
      </vt:variant>
      <vt:variant>
        <vt:lpwstr/>
      </vt:variant>
      <vt:variant>
        <vt:lpwstr>_Toc189671208</vt:lpwstr>
      </vt:variant>
      <vt:variant>
        <vt:i4>1572925</vt:i4>
      </vt:variant>
      <vt:variant>
        <vt:i4>173</vt:i4>
      </vt:variant>
      <vt:variant>
        <vt:i4>0</vt:i4>
      </vt:variant>
      <vt:variant>
        <vt:i4>5</vt:i4>
      </vt:variant>
      <vt:variant>
        <vt:lpwstr/>
      </vt:variant>
      <vt:variant>
        <vt:lpwstr>_Toc189671207</vt:lpwstr>
      </vt:variant>
      <vt:variant>
        <vt:i4>1572925</vt:i4>
      </vt:variant>
      <vt:variant>
        <vt:i4>167</vt:i4>
      </vt:variant>
      <vt:variant>
        <vt:i4>0</vt:i4>
      </vt:variant>
      <vt:variant>
        <vt:i4>5</vt:i4>
      </vt:variant>
      <vt:variant>
        <vt:lpwstr/>
      </vt:variant>
      <vt:variant>
        <vt:lpwstr>_Toc189671206</vt:lpwstr>
      </vt:variant>
      <vt:variant>
        <vt:i4>1572925</vt:i4>
      </vt:variant>
      <vt:variant>
        <vt:i4>161</vt:i4>
      </vt:variant>
      <vt:variant>
        <vt:i4>0</vt:i4>
      </vt:variant>
      <vt:variant>
        <vt:i4>5</vt:i4>
      </vt:variant>
      <vt:variant>
        <vt:lpwstr/>
      </vt:variant>
      <vt:variant>
        <vt:lpwstr>_Toc189671205</vt:lpwstr>
      </vt:variant>
      <vt:variant>
        <vt:i4>1572925</vt:i4>
      </vt:variant>
      <vt:variant>
        <vt:i4>155</vt:i4>
      </vt:variant>
      <vt:variant>
        <vt:i4>0</vt:i4>
      </vt:variant>
      <vt:variant>
        <vt:i4>5</vt:i4>
      </vt:variant>
      <vt:variant>
        <vt:lpwstr/>
      </vt:variant>
      <vt:variant>
        <vt:lpwstr>_Toc189671204</vt:lpwstr>
      </vt:variant>
      <vt:variant>
        <vt:i4>1572925</vt:i4>
      </vt:variant>
      <vt:variant>
        <vt:i4>149</vt:i4>
      </vt:variant>
      <vt:variant>
        <vt:i4>0</vt:i4>
      </vt:variant>
      <vt:variant>
        <vt:i4>5</vt:i4>
      </vt:variant>
      <vt:variant>
        <vt:lpwstr/>
      </vt:variant>
      <vt:variant>
        <vt:lpwstr>_Toc189671203</vt:lpwstr>
      </vt:variant>
      <vt:variant>
        <vt:i4>1572925</vt:i4>
      </vt:variant>
      <vt:variant>
        <vt:i4>143</vt:i4>
      </vt:variant>
      <vt:variant>
        <vt:i4>0</vt:i4>
      </vt:variant>
      <vt:variant>
        <vt:i4>5</vt:i4>
      </vt:variant>
      <vt:variant>
        <vt:lpwstr/>
      </vt:variant>
      <vt:variant>
        <vt:lpwstr>_Toc189671202</vt:lpwstr>
      </vt:variant>
      <vt:variant>
        <vt:i4>1572925</vt:i4>
      </vt:variant>
      <vt:variant>
        <vt:i4>134</vt:i4>
      </vt:variant>
      <vt:variant>
        <vt:i4>0</vt:i4>
      </vt:variant>
      <vt:variant>
        <vt:i4>5</vt:i4>
      </vt:variant>
      <vt:variant>
        <vt:lpwstr/>
      </vt:variant>
      <vt:variant>
        <vt:lpwstr>_Toc189671201</vt:lpwstr>
      </vt:variant>
      <vt:variant>
        <vt:i4>1572925</vt:i4>
      </vt:variant>
      <vt:variant>
        <vt:i4>128</vt:i4>
      </vt:variant>
      <vt:variant>
        <vt:i4>0</vt:i4>
      </vt:variant>
      <vt:variant>
        <vt:i4>5</vt:i4>
      </vt:variant>
      <vt:variant>
        <vt:lpwstr/>
      </vt:variant>
      <vt:variant>
        <vt:lpwstr>_Toc189671200</vt:lpwstr>
      </vt:variant>
      <vt:variant>
        <vt:i4>1114174</vt:i4>
      </vt:variant>
      <vt:variant>
        <vt:i4>122</vt:i4>
      </vt:variant>
      <vt:variant>
        <vt:i4>0</vt:i4>
      </vt:variant>
      <vt:variant>
        <vt:i4>5</vt:i4>
      </vt:variant>
      <vt:variant>
        <vt:lpwstr/>
      </vt:variant>
      <vt:variant>
        <vt:lpwstr>_Toc189671199</vt:lpwstr>
      </vt:variant>
      <vt:variant>
        <vt:i4>1114174</vt:i4>
      </vt:variant>
      <vt:variant>
        <vt:i4>116</vt:i4>
      </vt:variant>
      <vt:variant>
        <vt:i4>0</vt:i4>
      </vt:variant>
      <vt:variant>
        <vt:i4>5</vt:i4>
      </vt:variant>
      <vt:variant>
        <vt:lpwstr/>
      </vt:variant>
      <vt:variant>
        <vt:lpwstr>_Toc189671198</vt:lpwstr>
      </vt:variant>
      <vt:variant>
        <vt:i4>1114174</vt:i4>
      </vt:variant>
      <vt:variant>
        <vt:i4>110</vt:i4>
      </vt:variant>
      <vt:variant>
        <vt:i4>0</vt:i4>
      </vt:variant>
      <vt:variant>
        <vt:i4>5</vt:i4>
      </vt:variant>
      <vt:variant>
        <vt:lpwstr/>
      </vt:variant>
      <vt:variant>
        <vt:lpwstr>_Toc189671197</vt:lpwstr>
      </vt:variant>
      <vt:variant>
        <vt:i4>1114174</vt:i4>
      </vt:variant>
      <vt:variant>
        <vt:i4>104</vt:i4>
      </vt:variant>
      <vt:variant>
        <vt:i4>0</vt:i4>
      </vt:variant>
      <vt:variant>
        <vt:i4>5</vt:i4>
      </vt:variant>
      <vt:variant>
        <vt:lpwstr/>
      </vt:variant>
      <vt:variant>
        <vt:lpwstr>_Toc189671196</vt:lpwstr>
      </vt:variant>
      <vt:variant>
        <vt:i4>1114174</vt:i4>
      </vt:variant>
      <vt:variant>
        <vt:i4>98</vt:i4>
      </vt:variant>
      <vt:variant>
        <vt:i4>0</vt:i4>
      </vt:variant>
      <vt:variant>
        <vt:i4>5</vt:i4>
      </vt:variant>
      <vt:variant>
        <vt:lpwstr/>
      </vt:variant>
      <vt:variant>
        <vt:lpwstr>_Toc189671195</vt:lpwstr>
      </vt:variant>
      <vt:variant>
        <vt:i4>1114174</vt:i4>
      </vt:variant>
      <vt:variant>
        <vt:i4>92</vt:i4>
      </vt:variant>
      <vt:variant>
        <vt:i4>0</vt:i4>
      </vt:variant>
      <vt:variant>
        <vt:i4>5</vt:i4>
      </vt:variant>
      <vt:variant>
        <vt:lpwstr/>
      </vt:variant>
      <vt:variant>
        <vt:lpwstr>_Toc189671194</vt:lpwstr>
      </vt:variant>
      <vt:variant>
        <vt:i4>1114174</vt:i4>
      </vt:variant>
      <vt:variant>
        <vt:i4>86</vt:i4>
      </vt:variant>
      <vt:variant>
        <vt:i4>0</vt:i4>
      </vt:variant>
      <vt:variant>
        <vt:i4>5</vt:i4>
      </vt:variant>
      <vt:variant>
        <vt:lpwstr/>
      </vt:variant>
      <vt:variant>
        <vt:lpwstr>_Toc189671193</vt:lpwstr>
      </vt:variant>
      <vt:variant>
        <vt:i4>1114174</vt:i4>
      </vt:variant>
      <vt:variant>
        <vt:i4>80</vt:i4>
      </vt:variant>
      <vt:variant>
        <vt:i4>0</vt:i4>
      </vt:variant>
      <vt:variant>
        <vt:i4>5</vt:i4>
      </vt:variant>
      <vt:variant>
        <vt:lpwstr/>
      </vt:variant>
      <vt:variant>
        <vt:lpwstr>_Toc189671192</vt:lpwstr>
      </vt:variant>
      <vt:variant>
        <vt:i4>1114174</vt:i4>
      </vt:variant>
      <vt:variant>
        <vt:i4>74</vt:i4>
      </vt:variant>
      <vt:variant>
        <vt:i4>0</vt:i4>
      </vt:variant>
      <vt:variant>
        <vt:i4>5</vt:i4>
      </vt:variant>
      <vt:variant>
        <vt:lpwstr/>
      </vt:variant>
      <vt:variant>
        <vt:lpwstr>_Toc189671191</vt:lpwstr>
      </vt:variant>
      <vt:variant>
        <vt:i4>1114174</vt:i4>
      </vt:variant>
      <vt:variant>
        <vt:i4>68</vt:i4>
      </vt:variant>
      <vt:variant>
        <vt:i4>0</vt:i4>
      </vt:variant>
      <vt:variant>
        <vt:i4>5</vt:i4>
      </vt:variant>
      <vt:variant>
        <vt:lpwstr/>
      </vt:variant>
      <vt:variant>
        <vt:lpwstr>_Toc189671190</vt:lpwstr>
      </vt:variant>
      <vt:variant>
        <vt:i4>1048638</vt:i4>
      </vt:variant>
      <vt:variant>
        <vt:i4>62</vt:i4>
      </vt:variant>
      <vt:variant>
        <vt:i4>0</vt:i4>
      </vt:variant>
      <vt:variant>
        <vt:i4>5</vt:i4>
      </vt:variant>
      <vt:variant>
        <vt:lpwstr/>
      </vt:variant>
      <vt:variant>
        <vt:lpwstr>_Toc189671189</vt:lpwstr>
      </vt:variant>
      <vt:variant>
        <vt:i4>1048638</vt:i4>
      </vt:variant>
      <vt:variant>
        <vt:i4>56</vt:i4>
      </vt:variant>
      <vt:variant>
        <vt:i4>0</vt:i4>
      </vt:variant>
      <vt:variant>
        <vt:i4>5</vt:i4>
      </vt:variant>
      <vt:variant>
        <vt:lpwstr/>
      </vt:variant>
      <vt:variant>
        <vt:lpwstr>_Toc189671188</vt:lpwstr>
      </vt:variant>
      <vt:variant>
        <vt:i4>1048638</vt:i4>
      </vt:variant>
      <vt:variant>
        <vt:i4>50</vt:i4>
      </vt:variant>
      <vt:variant>
        <vt:i4>0</vt:i4>
      </vt:variant>
      <vt:variant>
        <vt:i4>5</vt:i4>
      </vt:variant>
      <vt:variant>
        <vt:lpwstr/>
      </vt:variant>
      <vt:variant>
        <vt:lpwstr>_Toc189671187</vt:lpwstr>
      </vt:variant>
      <vt:variant>
        <vt:i4>1048638</vt:i4>
      </vt:variant>
      <vt:variant>
        <vt:i4>44</vt:i4>
      </vt:variant>
      <vt:variant>
        <vt:i4>0</vt:i4>
      </vt:variant>
      <vt:variant>
        <vt:i4>5</vt:i4>
      </vt:variant>
      <vt:variant>
        <vt:lpwstr/>
      </vt:variant>
      <vt:variant>
        <vt:lpwstr>_Toc189671186</vt:lpwstr>
      </vt:variant>
      <vt:variant>
        <vt:i4>1048638</vt:i4>
      </vt:variant>
      <vt:variant>
        <vt:i4>38</vt:i4>
      </vt:variant>
      <vt:variant>
        <vt:i4>0</vt:i4>
      </vt:variant>
      <vt:variant>
        <vt:i4>5</vt:i4>
      </vt:variant>
      <vt:variant>
        <vt:lpwstr/>
      </vt:variant>
      <vt:variant>
        <vt:lpwstr>_Toc189671185</vt:lpwstr>
      </vt:variant>
      <vt:variant>
        <vt:i4>1048638</vt:i4>
      </vt:variant>
      <vt:variant>
        <vt:i4>32</vt:i4>
      </vt:variant>
      <vt:variant>
        <vt:i4>0</vt:i4>
      </vt:variant>
      <vt:variant>
        <vt:i4>5</vt:i4>
      </vt:variant>
      <vt:variant>
        <vt:lpwstr/>
      </vt:variant>
      <vt:variant>
        <vt:lpwstr>_Toc189671184</vt:lpwstr>
      </vt:variant>
      <vt:variant>
        <vt:i4>1048638</vt:i4>
      </vt:variant>
      <vt:variant>
        <vt:i4>26</vt:i4>
      </vt:variant>
      <vt:variant>
        <vt:i4>0</vt:i4>
      </vt:variant>
      <vt:variant>
        <vt:i4>5</vt:i4>
      </vt:variant>
      <vt:variant>
        <vt:lpwstr/>
      </vt:variant>
      <vt:variant>
        <vt:lpwstr>_Toc189671183</vt:lpwstr>
      </vt:variant>
      <vt:variant>
        <vt:i4>1048638</vt:i4>
      </vt:variant>
      <vt:variant>
        <vt:i4>20</vt:i4>
      </vt:variant>
      <vt:variant>
        <vt:i4>0</vt:i4>
      </vt:variant>
      <vt:variant>
        <vt:i4>5</vt:i4>
      </vt:variant>
      <vt:variant>
        <vt:lpwstr/>
      </vt:variant>
      <vt:variant>
        <vt:lpwstr>_Toc189671182</vt:lpwstr>
      </vt:variant>
      <vt:variant>
        <vt:i4>1048638</vt:i4>
      </vt:variant>
      <vt:variant>
        <vt:i4>14</vt:i4>
      </vt:variant>
      <vt:variant>
        <vt:i4>0</vt:i4>
      </vt:variant>
      <vt:variant>
        <vt:i4>5</vt:i4>
      </vt:variant>
      <vt:variant>
        <vt:lpwstr/>
      </vt:variant>
      <vt:variant>
        <vt:lpwstr>_Toc189671180</vt:lpwstr>
      </vt:variant>
      <vt:variant>
        <vt:i4>2031678</vt:i4>
      </vt:variant>
      <vt:variant>
        <vt:i4>8</vt:i4>
      </vt:variant>
      <vt:variant>
        <vt:i4>0</vt:i4>
      </vt:variant>
      <vt:variant>
        <vt:i4>5</vt:i4>
      </vt:variant>
      <vt:variant>
        <vt:lpwstr/>
      </vt:variant>
      <vt:variant>
        <vt:lpwstr>_Toc189671179</vt:lpwstr>
      </vt:variant>
      <vt:variant>
        <vt:i4>2031678</vt:i4>
      </vt:variant>
      <vt:variant>
        <vt:i4>2</vt:i4>
      </vt:variant>
      <vt:variant>
        <vt:i4>0</vt:i4>
      </vt:variant>
      <vt:variant>
        <vt:i4>5</vt:i4>
      </vt:variant>
      <vt:variant>
        <vt:lpwstr/>
      </vt:variant>
      <vt:variant>
        <vt:lpwstr>_Toc189671178</vt:lpwstr>
      </vt:variant>
      <vt:variant>
        <vt:i4>3670049</vt:i4>
      </vt:variant>
      <vt:variant>
        <vt:i4>9</vt:i4>
      </vt:variant>
      <vt:variant>
        <vt:i4>0</vt:i4>
      </vt:variant>
      <vt:variant>
        <vt:i4>5</vt:i4>
      </vt:variant>
      <vt:variant>
        <vt:lpwstr>https://dev.australiaawardsphilippines.org/icsp</vt:lpwstr>
      </vt:variant>
      <vt:variant>
        <vt:lpwstr/>
      </vt:variant>
      <vt:variant>
        <vt:i4>6881377</vt:i4>
      </vt:variant>
      <vt:variant>
        <vt:i4>3</vt:i4>
      </vt:variant>
      <vt:variant>
        <vt:i4>0</vt:i4>
      </vt:variant>
      <vt:variant>
        <vt:i4>5</vt:i4>
      </vt:variant>
      <vt:variant>
        <vt:lpwstr>https://www.pna.gov.ph/articles/1205987?utm</vt:lpwstr>
      </vt:variant>
      <vt:variant>
        <vt:lpwstr/>
      </vt:variant>
      <vt:variant>
        <vt:i4>1835021</vt:i4>
      </vt:variant>
      <vt:variant>
        <vt:i4>0</vt:i4>
      </vt:variant>
      <vt:variant>
        <vt:i4>0</vt:i4>
      </vt:variant>
      <vt:variant>
        <vt:i4>5</vt:i4>
      </vt:variant>
      <vt:variant>
        <vt:lpwstr>https://2040.neda.gov.ph/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and Alumni Engagement Program Philippines - Final Program Evaluation</dc:title>
  <dc:subject/>
  <dc:creator/>
  <cp:keywords>[SEC=OFFICIAL:Sensitive]</cp:keywords>
  <dc:description/>
  <cp:lastModifiedBy/>
  <cp:revision>1</cp:revision>
  <dcterms:created xsi:type="dcterms:W3CDTF">2025-06-24T23:48:00Z</dcterms:created>
  <dcterms:modified xsi:type="dcterms:W3CDTF">2025-06-24T23:48:00Z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OFFICIAL:Sensitive</vt:lpwstr>
  </property>
  <property fmtid="{D5CDD505-2E9C-101B-9397-08002B2CF9AE}" pid="5" name="PMHMAC">
    <vt:lpwstr>v=2022.1;a=SHA256;h=4A4F08927744F67AE5B86F7CB02FB6BEDE04C9C1E5F48DB09BE6BC7173C1CC91</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 Sensitive</vt:lpwstr>
  </property>
  <property fmtid="{D5CDD505-2E9C-101B-9397-08002B2CF9AE}" pid="9" name="PM_OriginationTimeStamp">
    <vt:lpwstr>2025-01-10T07:42:45Z</vt:lpwstr>
  </property>
  <property fmtid="{D5CDD505-2E9C-101B-9397-08002B2CF9AE}" pid="10" name="PM_Markers">
    <vt:lpwstr/>
  </property>
  <property fmtid="{D5CDD505-2E9C-101B-9397-08002B2CF9AE}" pid="11" name="PM_InsertionValue">
    <vt:lpwstr>OFFICIAL: Sensitive</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 Sensitive</vt:lpwstr>
  </property>
  <property fmtid="{D5CDD505-2E9C-101B-9397-08002B2CF9AE}" pid="14" name="PM_ProtectiveMarkingValue_Footer">
    <vt:lpwstr>OFFICIAL: Sensitive</vt:lpwstr>
  </property>
  <property fmtid="{D5CDD505-2E9C-101B-9397-08002B2CF9AE}" pid="15" name="PM_Originating_FileId">
    <vt:lpwstr>C3FDC3F621D1405780516DE009DAEE5B</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 Sensitive</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v=2022.2;d=gov.au;g=ABA70C08-925C-5FA3-8765-3178156983AC</vt:lpwstr>
  </property>
  <property fmtid="{D5CDD505-2E9C-101B-9397-08002B2CF9AE}" pid="22" name="PM_Hash_Version">
    <vt:lpwstr>2022.1</vt:lpwstr>
  </property>
  <property fmtid="{D5CDD505-2E9C-101B-9397-08002B2CF9AE}" pid="23" name="PM_SecurityClassification_Prev">
    <vt:lpwstr>OFFICIAL:Sensitive</vt:lpwstr>
  </property>
  <property fmtid="{D5CDD505-2E9C-101B-9397-08002B2CF9AE}" pid="24" name="PM_Qualifier_Prev">
    <vt:lpwstr/>
  </property>
  <property fmtid="{D5CDD505-2E9C-101B-9397-08002B2CF9AE}" pid="25" name="PM_Hash_Salt_Prev">
    <vt:lpwstr>0FA8E278114626EAE0AD8A7F2543DCAB</vt:lpwstr>
  </property>
  <property fmtid="{D5CDD505-2E9C-101B-9397-08002B2CF9AE}" pid="26" name="PM_Hash_Salt">
    <vt:lpwstr>05100588297A83D998842CF11EDE4658</vt:lpwstr>
  </property>
  <property fmtid="{D5CDD505-2E9C-101B-9397-08002B2CF9AE}" pid="27" name="PM_Hash_SHA1">
    <vt:lpwstr>3C6C1E460C638364BE16337D9A97D02EA51842F1</vt:lpwstr>
  </property>
  <property fmtid="{D5CDD505-2E9C-101B-9397-08002B2CF9AE}" pid="28" name="PM_Caveats_Count">
    <vt:lpwstr>0</vt:lpwstr>
  </property>
</Properties>
</file>