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99E06" w14:textId="77777777" w:rsidR="007D1C94" w:rsidRPr="000E3641" w:rsidRDefault="007D1C94" w:rsidP="007D1C94">
      <w:pPr>
        <w:pStyle w:val="Title"/>
        <w:spacing w:before="4700" w:after="2000"/>
        <w:ind w:left="0" w:right="-624"/>
        <w:rPr>
          <w:color w:val="124486"/>
          <w:sz w:val="44"/>
          <w:szCs w:val="44"/>
        </w:rPr>
      </w:pPr>
      <w:r w:rsidRPr="000E3641">
        <w:rPr>
          <w:color w:val="124486"/>
          <w:sz w:val="44"/>
          <w:szCs w:val="44"/>
        </w:rPr>
        <w:t>Mid</w:t>
      </w:r>
      <w:r w:rsidR="000E3641" w:rsidRPr="000E3641">
        <w:rPr>
          <w:color w:val="124486"/>
          <w:sz w:val="44"/>
          <w:szCs w:val="44"/>
        </w:rPr>
        <w:t>-t</w:t>
      </w:r>
      <w:r w:rsidRPr="000E3641">
        <w:rPr>
          <w:color w:val="124486"/>
          <w:sz w:val="44"/>
          <w:szCs w:val="44"/>
        </w:rPr>
        <w:t xml:space="preserve">erm </w:t>
      </w:r>
      <w:r w:rsidR="000E3641" w:rsidRPr="000E3641">
        <w:rPr>
          <w:color w:val="124486"/>
          <w:sz w:val="44"/>
          <w:szCs w:val="44"/>
        </w:rPr>
        <w:t xml:space="preserve">evaluation </w:t>
      </w:r>
      <w:r w:rsidRPr="000E3641">
        <w:rPr>
          <w:color w:val="124486"/>
          <w:sz w:val="44"/>
          <w:szCs w:val="44"/>
        </w:rPr>
        <w:t xml:space="preserve">of </w:t>
      </w:r>
      <w:r w:rsidR="00B915F5">
        <w:rPr>
          <w:color w:val="124486"/>
          <w:sz w:val="44"/>
          <w:szCs w:val="44"/>
        </w:rPr>
        <w:t>Australia Awards in Africa</w:t>
      </w:r>
      <w:r w:rsidRPr="000E3641">
        <w:rPr>
          <w:color w:val="124486"/>
          <w:sz w:val="44"/>
          <w:szCs w:val="44"/>
        </w:rPr>
        <w:t xml:space="preserve">: </w:t>
      </w:r>
      <w:r w:rsidRPr="000E3641">
        <w:rPr>
          <w:color w:val="124486"/>
          <w:sz w:val="44"/>
          <w:szCs w:val="44"/>
        </w:rPr>
        <w:br/>
        <w:t>Evaluation Report</w:t>
      </w:r>
    </w:p>
    <w:p w14:paraId="7A0013BC" w14:textId="77777777" w:rsidR="007D1C94" w:rsidRPr="0083543E" w:rsidRDefault="007D1C94" w:rsidP="007D1C94">
      <w:pPr>
        <w:pStyle w:val="Subtitle"/>
        <w:rPr>
          <w:color w:val="124486"/>
        </w:rPr>
      </w:pPr>
    </w:p>
    <w:p w14:paraId="7001FF0B" w14:textId="60FAB168" w:rsidR="007D1C94" w:rsidRDefault="009F005A" w:rsidP="007D1C94">
      <w:pPr>
        <w:pStyle w:val="Date"/>
        <w:ind w:left="0" w:right="-624"/>
        <w:rPr>
          <w:color w:val="124486"/>
        </w:rPr>
      </w:pPr>
      <w:r>
        <w:rPr>
          <w:color w:val="124486"/>
        </w:rPr>
        <w:t xml:space="preserve">Final Report </w:t>
      </w:r>
    </w:p>
    <w:p w14:paraId="17A22AA1" w14:textId="6CA4E549" w:rsidR="007D1C94" w:rsidRPr="0083543E" w:rsidRDefault="009F005A" w:rsidP="007D1C94">
      <w:pPr>
        <w:pStyle w:val="Date"/>
        <w:ind w:left="0" w:right="-624"/>
        <w:rPr>
          <w:color w:val="124486"/>
        </w:rPr>
        <w:sectPr w:rsidR="007D1C94" w:rsidRPr="0083543E" w:rsidSect="007D1C94">
          <w:headerReference w:type="even" r:id="rId8"/>
          <w:footerReference w:type="even" r:id="rId9"/>
          <w:footerReference w:type="default" r:id="rId10"/>
          <w:footerReference w:type="first" r:id="rId11"/>
          <w:type w:val="oddPage"/>
          <w:pgSz w:w="11906" w:h="16838" w:code="9"/>
          <w:pgMar w:top="1440" w:right="1440" w:bottom="1440" w:left="1440" w:header="576" w:footer="576" w:gutter="0"/>
          <w:pgNumType w:fmt="lowerRoman" w:start="1"/>
          <w:cols w:space="720"/>
          <w:titlePg/>
          <w:docGrid w:linePitch="286"/>
        </w:sectPr>
      </w:pPr>
      <w:r>
        <w:rPr>
          <w:color w:val="124486"/>
        </w:rPr>
        <w:t>22</w:t>
      </w:r>
      <w:r w:rsidR="000266F9">
        <w:rPr>
          <w:color w:val="124486"/>
        </w:rPr>
        <w:t xml:space="preserve"> February </w:t>
      </w:r>
      <w:r w:rsidR="003D1AE3">
        <w:rPr>
          <w:color w:val="124486"/>
        </w:rPr>
        <w:t>2019</w:t>
      </w:r>
    </w:p>
    <w:p w14:paraId="434A300A" w14:textId="77777777" w:rsidR="00D20FD9" w:rsidRDefault="0048295D" w:rsidP="00D75AC5">
      <w:pPr>
        <w:pStyle w:val="SectionTitle"/>
      </w:pPr>
      <w:bookmarkStart w:id="0" w:name="_Toc1729506"/>
      <w:bookmarkStart w:id="1" w:name="_Toc381953318"/>
      <w:r>
        <w:lastRenderedPageBreak/>
        <w:t>Contents</w:t>
      </w:r>
      <w:bookmarkEnd w:id="0"/>
      <w:r w:rsidR="00C15DB3">
        <w:t xml:space="preserve"> </w:t>
      </w:r>
      <w:bookmarkEnd w:id="1"/>
    </w:p>
    <w:p w14:paraId="34C9C772" w14:textId="427D5893" w:rsidR="00EC527D" w:rsidRDefault="00887FA3">
      <w:pPr>
        <w:pStyle w:val="TOC1"/>
        <w:rPr>
          <w:rFonts w:asciiTheme="minorHAnsi" w:eastAsiaTheme="minorEastAsia" w:hAnsiTheme="minorHAnsi" w:cstheme="minorBidi"/>
          <w:bCs w:val="0"/>
          <w:color w:val="auto"/>
          <w:sz w:val="22"/>
          <w:szCs w:val="22"/>
          <w:lang w:val="en-NZ" w:eastAsia="en-NZ"/>
        </w:rPr>
      </w:pPr>
      <w:r>
        <w:rPr>
          <w:rFonts w:asciiTheme="minorHAnsi" w:hAnsiTheme="minorHAnsi"/>
          <w:b/>
          <w:color w:val="007C92"/>
          <w:sz w:val="32"/>
        </w:rPr>
        <w:fldChar w:fldCharType="begin"/>
      </w:r>
      <w:r>
        <w:rPr>
          <w:rFonts w:asciiTheme="minorHAnsi" w:hAnsiTheme="minorHAnsi"/>
          <w:b/>
          <w:color w:val="007C92"/>
          <w:sz w:val="32"/>
        </w:rPr>
        <w:instrText xml:space="preserve"> TOC \o "1-2" \t "SectionTitle,1" </w:instrText>
      </w:r>
      <w:r>
        <w:rPr>
          <w:rFonts w:asciiTheme="minorHAnsi" w:hAnsiTheme="minorHAnsi"/>
          <w:b/>
          <w:color w:val="007C92"/>
          <w:sz w:val="32"/>
        </w:rPr>
        <w:fldChar w:fldCharType="separate"/>
      </w:r>
      <w:r w:rsidR="00EC527D">
        <w:t>Contents</w:t>
      </w:r>
      <w:r w:rsidR="00EC527D">
        <w:tab/>
      </w:r>
      <w:r w:rsidR="00EC527D">
        <w:fldChar w:fldCharType="begin"/>
      </w:r>
      <w:r w:rsidR="00EC527D">
        <w:instrText xml:space="preserve"> PAGEREF _Toc1729506 \h </w:instrText>
      </w:r>
      <w:r w:rsidR="00EC527D">
        <w:fldChar w:fldCharType="separate"/>
      </w:r>
      <w:r w:rsidR="00EC62DB">
        <w:t>i</w:t>
      </w:r>
      <w:r w:rsidR="00EC527D">
        <w:fldChar w:fldCharType="end"/>
      </w:r>
    </w:p>
    <w:p w14:paraId="3BF51FA7" w14:textId="093F6012" w:rsidR="00EC527D" w:rsidRDefault="00EC527D">
      <w:pPr>
        <w:pStyle w:val="TOC1"/>
        <w:rPr>
          <w:rFonts w:asciiTheme="minorHAnsi" w:eastAsiaTheme="minorEastAsia" w:hAnsiTheme="minorHAnsi" w:cstheme="minorBidi"/>
          <w:bCs w:val="0"/>
          <w:color w:val="auto"/>
          <w:sz w:val="22"/>
          <w:szCs w:val="22"/>
          <w:lang w:val="en-NZ" w:eastAsia="en-NZ"/>
        </w:rPr>
      </w:pPr>
      <w:r>
        <w:t>Acknowledgments</w:t>
      </w:r>
      <w:r>
        <w:tab/>
      </w:r>
      <w:r>
        <w:fldChar w:fldCharType="begin"/>
      </w:r>
      <w:r>
        <w:instrText xml:space="preserve"> PAGEREF _Toc1729507 \h </w:instrText>
      </w:r>
      <w:r>
        <w:fldChar w:fldCharType="separate"/>
      </w:r>
      <w:r w:rsidR="00EC62DB">
        <w:t>iii</w:t>
      </w:r>
      <w:r>
        <w:fldChar w:fldCharType="end"/>
      </w:r>
    </w:p>
    <w:p w14:paraId="45CC2F32" w14:textId="6762E27E" w:rsidR="00EC527D" w:rsidRDefault="00EC527D">
      <w:pPr>
        <w:pStyle w:val="TOC1"/>
        <w:rPr>
          <w:rFonts w:asciiTheme="minorHAnsi" w:eastAsiaTheme="minorEastAsia" w:hAnsiTheme="minorHAnsi" w:cstheme="minorBidi"/>
          <w:bCs w:val="0"/>
          <w:color w:val="auto"/>
          <w:sz w:val="22"/>
          <w:szCs w:val="22"/>
          <w:lang w:val="en-NZ" w:eastAsia="en-NZ"/>
        </w:rPr>
      </w:pPr>
      <w:r>
        <w:t>Abbreviations</w:t>
      </w:r>
      <w:r>
        <w:tab/>
      </w:r>
      <w:r>
        <w:fldChar w:fldCharType="begin"/>
      </w:r>
      <w:r>
        <w:instrText xml:space="preserve"> PAGEREF _Toc1729508 \h </w:instrText>
      </w:r>
      <w:r>
        <w:fldChar w:fldCharType="separate"/>
      </w:r>
      <w:r w:rsidR="00EC62DB">
        <w:t>iv</w:t>
      </w:r>
      <w:r>
        <w:fldChar w:fldCharType="end"/>
      </w:r>
    </w:p>
    <w:p w14:paraId="453B6FB9" w14:textId="78018D29" w:rsidR="00EC527D" w:rsidRDefault="00EC527D">
      <w:pPr>
        <w:pStyle w:val="TOC1"/>
        <w:rPr>
          <w:rFonts w:asciiTheme="minorHAnsi" w:eastAsiaTheme="minorEastAsia" w:hAnsiTheme="minorHAnsi" w:cstheme="minorBidi"/>
          <w:bCs w:val="0"/>
          <w:color w:val="auto"/>
          <w:sz w:val="22"/>
          <w:szCs w:val="22"/>
          <w:lang w:val="en-NZ" w:eastAsia="en-NZ"/>
        </w:rPr>
      </w:pPr>
      <w:r>
        <w:t>Executive Summary</w:t>
      </w:r>
      <w:r>
        <w:tab/>
      </w:r>
      <w:r>
        <w:fldChar w:fldCharType="begin"/>
      </w:r>
      <w:r>
        <w:instrText xml:space="preserve"> PAGEREF _Toc1729509 \h </w:instrText>
      </w:r>
      <w:r>
        <w:fldChar w:fldCharType="separate"/>
      </w:r>
      <w:r w:rsidR="00EC62DB">
        <w:t>1</w:t>
      </w:r>
      <w:r>
        <w:fldChar w:fldCharType="end"/>
      </w:r>
    </w:p>
    <w:p w14:paraId="1439EEE4" w14:textId="5758737C" w:rsidR="00EC527D" w:rsidRDefault="00EC527D">
      <w:pPr>
        <w:pStyle w:val="TOC2"/>
        <w:rPr>
          <w:rFonts w:asciiTheme="minorHAnsi" w:eastAsiaTheme="minorEastAsia" w:hAnsiTheme="minorHAnsi" w:cstheme="minorBidi"/>
          <w:noProof/>
          <w:sz w:val="22"/>
          <w:szCs w:val="22"/>
          <w:lang w:val="en-NZ" w:eastAsia="en-NZ"/>
        </w:rPr>
      </w:pPr>
      <w:r>
        <w:rPr>
          <w:noProof/>
        </w:rPr>
        <w:t>Overall conclusions</w:t>
      </w:r>
      <w:r>
        <w:rPr>
          <w:noProof/>
        </w:rPr>
        <w:tab/>
      </w:r>
      <w:r>
        <w:rPr>
          <w:noProof/>
        </w:rPr>
        <w:fldChar w:fldCharType="begin"/>
      </w:r>
      <w:r>
        <w:rPr>
          <w:noProof/>
        </w:rPr>
        <w:instrText xml:space="preserve"> PAGEREF _Toc1729510 \h </w:instrText>
      </w:r>
      <w:r>
        <w:rPr>
          <w:noProof/>
        </w:rPr>
      </w:r>
      <w:r>
        <w:rPr>
          <w:noProof/>
        </w:rPr>
        <w:fldChar w:fldCharType="separate"/>
      </w:r>
      <w:r w:rsidR="00EC62DB">
        <w:rPr>
          <w:noProof/>
        </w:rPr>
        <w:t>1</w:t>
      </w:r>
      <w:r>
        <w:rPr>
          <w:noProof/>
        </w:rPr>
        <w:fldChar w:fldCharType="end"/>
      </w:r>
    </w:p>
    <w:p w14:paraId="0D8E5CC6" w14:textId="4ED110EE" w:rsidR="00EC527D" w:rsidRDefault="00EC527D">
      <w:pPr>
        <w:pStyle w:val="TOC2"/>
        <w:rPr>
          <w:rFonts w:asciiTheme="minorHAnsi" w:eastAsiaTheme="minorEastAsia" w:hAnsiTheme="minorHAnsi" w:cstheme="minorBidi"/>
          <w:noProof/>
          <w:sz w:val="22"/>
          <w:szCs w:val="22"/>
          <w:lang w:val="en-NZ" w:eastAsia="en-NZ"/>
        </w:rPr>
      </w:pPr>
      <w:r>
        <w:rPr>
          <w:noProof/>
        </w:rPr>
        <w:t>Findings</w:t>
      </w:r>
      <w:r>
        <w:rPr>
          <w:noProof/>
        </w:rPr>
        <w:tab/>
      </w:r>
      <w:r>
        <w:rPr>
          <w:noProof/>
        </w:rPr>
        <w:fldChar w:fldCharType="begin"/>
      </w:r>
      <w:r>
        <w:rPr>
          <w:noProof/>
        </w:rPr>
        <w:instrText xml:space="preserve"> PAGEREF _Toc1729511 \h </w:instrText>
      </w:r>
      <w:r>
        <w:rPr>
          <w:noProof/>
        </w:rPr>
      </w:r>
      <w:r>
        <w:rPr>
          <w:noProof/>
        </w:rPr>
        <w:fldChar w:fldCharType="separate"/>
      </w:r>
      <w:r w:rsidR="00EC62DB">
        <w:rPr>
          <w:noProof/>
        </w:rPr>
        <w:t>2</w:t>
      </w:r>
      <w:r>
        <w:rPr>
          <w:noProof/>
        </w:rPr>
        <w:fldChar w:fldCharType="end"/>
      </w:r>
    </w:p>
    <w:p w14:paraId="2989D765" w14:textId="59546A82" w:rsidR="00EC527D" w:rsidRDefault="00EC527D">
      <w:pPr>
        <w:pStyle w:val="TOC2"/>
        <w:rPr>
          <w:rFonts w:asciiTheme="minorHAnsi" w:eastAsiaTheme="minorEastAsia" w:hAnsiTheme="minorHAnsi" w:cstheme="minorBidi"/>
          <w:noProof/>
          <w:sz w:val="22"/>
          <w:szCs w:val="22"/>
          <w:lang w:val="en-NZ" w:eastAsia="en-NZ"/>
        </w:rPr>
      </w:pPr>
      <w:r>
        <w:rPr>
          <w:noProof/>
        </w:rPr>
        <w:t>Recommendations</w:t>
      </w:r>
      <w:r>
        <w:rPr>
          <w:noProof/>
        </w:rPr>
        <w:tab/>
      </w:r>
      <w:r>
        <w:rPr>
          <w:noProof/>
        </w:rPr>
        <w:fldChar w:fldCharType="begin"/>
      </w:r>
      <w:r>
        <w:rPr>
          <w:noProof/>
        </w:rPr>
        <w:instrText xml:space="preserve"> PAGEREF _Toc1729512 \h </w:instrText>
      </w:r>
      <w:r>
        <w:rPr>
          <w:noProof/>
        </w:rPr>
      </w:r>
      <w:r>
        <w:rPr>
          <w:noProof/>
        </w:rPr>
        <w:fldChar w:fldCharType="separate"/>
      </w:r>
      <w:r w:rsidR="00EC62DB">
        <w:rPr>
          <w:noProof/>
        </w:rPr>
        <w:t>4</w:t>
      </w:r>
      <w:r>
        <w:rPr>
          <w:noProof/>
        </w:rPr>
        <w:fldChar w:fldCharType="end"/>
      </w:r>
    </w:p>
    <w:p w14:paraId="281911C3" w14:textId="4E06B812" w:rsidR="00EC527D" w:rsidRDefault="00EC527D">
      <w:pPr>
        <w:pStyle w:val="TOC1"/>
        <w:rPr>
          <w:rFonts w:asciiTheme="minorHAnsi" w:eastAsiaTheme="minorEastAsia" w:hAnsiTheme="minorHAnsi" w:cstheme="minorBidi"/>
          <w:bCs w:val="0"/>
          <w:color w:val="auto"/>
          <w:sz w:val="22"/>
          <w:szCs w:val="22"/>
          <w:lang w:val="en-NZ" w:eastAsia="en-NZ"/>
        </w:rPr>
      </w:pPr>
      <w:r>
        <w:t>1</w:t>
      </w:r>
      <w:r>
        <w:rPr>
          <w:rFonts w:asciiTheme="minorHAnsi" w:eastAsiaTheme="minorEastAsia" w:hAnsiTheme="minorHAnsi" w:cstheme="minorBidi"/>
          <w:bCs w:val="0"/>
          <w:color w:val="auto"/>
          <w:sz w:val="22"/>
          <w:szCs w:val="22"/>
          <w:lang w:val="en-NZ" w:eastAsia="en-NZ"/>
        </w:rPr>
        <w:tab/>
      </w:r>
      <w:r>
        <w:t>Introduction</w:t>
      </w:r>
      <w:r>
        <w:tab/>
      </w:r>
      <w:r>
        <w:fldChar w:fldCharType="begin"/>
      </w:r>
      <w:r>
        <w:instrText xml:space="preserve"> PAGEREF _Toc1729513 \h </w:instrText>
      </w:r>
      <w:r>
        <w:fldChar w:fldCharType="separate"/>
      </w:r>
      <w:r w:rsidR="00EC62DB">
        <w:t>5</w:t>
      </w:r>
      <w:r>
        <w:fldChar w:fldCharType="end"/>
      </w:r>
    </w:p>
    <w:p w14:paraId="64CB3809" w14:textId="41A19826" w:rsidR="00EC527D" w:rsidRDefault="00EC527D">
      <w:pPr>
        <w:pStyle w:val="TOC2"/>
        <w:rPr>
          <w:rFonts w:asciiTheme="minorHAnsi" w:eastAsiaTheme="minorEastAsia" w:hAnsiTheme="minorHAnsi" w:cstheme="minorBidi"/>
          <w:noProof/>
          <w:sz w:val="22"/>
          <w:szCs w:val="22"/>
          <w:lang w:val="en-NZ" w:eastAsia="en-NZ"/>
        </w:rPr>
      </w:pPr>
      <w:r>
        <w:rPr>
          <w:noProof/>
        </w:rPr>
        <w:t>1.1</w:t>
      </w:r>
      <w:r>
        <w:rPr>
          <w:rFonts w:asciiTheme="minorHAnsi" w:eastAsiaTheme="minorEastAsia" w:hAnsiTheme="minorHAnsi" w:cstheme="minorBidi"/>
          <w:noProof/>
          <w:sz w:val="22"/>
          <w:szCs w:val="22"/>
          <w:lang w:val="en-NZ" w:eastAsia="en-NZ"/>
        </w:rPr>
        <w:tab/>
      </w:r>
      <w:r>
        <w:rPr>
          <w:noProof/>
        </w:rPr>
        <w:t>Australia Awards in Africa</w:t>
      </w:r>
      <w:r>
        <w:rPr>
          <w:noProof/>
        </w:rPr>
        <w:tab/>
      </w:r>
      <w:r>
        <w:rPr>
          <w:noProof/>
        </w:rPr>
        <w:fldChar w:fldCharType="begin"/>
      </w:r>
      <w:r>
        <w:rPr>
          <w:noProof/>
        </w:rPr>
        <w:instrText xml:space="preserve"> PAGEREF _Toc1729514 \h </w:instrText>
      </w:r>
      <w:r>
        <w:rPr>
          <w:noProof/>
        </w:rPr>
      </w:r>
      <w:r>
        <w:rPr>
          <w:noProof/>
        </w:rPr>
        <w:fldChar w:fldCharType="separate"/>
      </w:r>
      <w:r w:rsidR="00EC62DB">
        <w:rPr>
          <w:noProof/>
        </w:rPr>
        <w:t>5</w:t>
      </w:r>
      <w:r>
        <w:rPr>
          <w:noProof/>
        </w:rPr>
        <w:fldChar w:fldCharType="end"/>
      </w:r>
    </w:p>
    <w:p w14:paraId="63319512" w14:textId="6F1ADCEC" w:rsidR="00EC527D" w:rsidRDefault="00EC527D">
      <w:pPr>
        <w:pStyle w:val="TOC1"/>
        <w:rPr>
          <w:rFonts w:asciiTheme="minorHAnsi" w:eastAsiaTheme="minorEastAsia" w:hAnsiTheme="minorHAnsi" w:cstheme="minorBidi"/>
          <w:bCs w:val="0"/>
          <w:color w:val="auto"/>
          <w:sz w:val="22"/>
          <w:szCs w:val="22"/>
          <w:lang w:val="en-NZ" w:eastAsia="en-NZ"/>
        </w:rPr>
      </w:pPr>
      <w:r>
        <w:t>2</w:t>
      </w:r>
      <w:r>
        <w:rPr>
          <w:rFonts w:asciiTheme="minorHAnsi" w:eastAsiaTheme="minorEastAsia" w:hAnsiTheme="minorHAnsi" w:cstheme="minorBidi"/>
          <w:bCs w:val="0"/>
          <w:color w:val="auto"/>
          <w:sz w:val="22"/>
          <w:szCs w:val="22"/>
          <w:lang w:val="en-NZ" w:eastAsia="en-NZ"/>
        </w:rPr>
        <w:tab/>
      </w:r>
      <w:r>
        <w:t>Methodology</w:t>
      </w:r>
      <w:r>
        <w:tab/>
      </w:r>
      <w:r>
        <w:fldChar w:fldCharType="begin"/>
      </w:r>
      <w:r>
        <w:instrText xml:space="preserve"> PAGEREF _Toc1729515 \h </w:instrText>
      </w:r>
      <w:r>
        <w:fldChar w:fldCharType="separate"/>
      </w:r>
      <w:r w:rsidR="00EC62DB">
        <w:t>7</w:t>
      </w:r>
      <w:r>
        <w:fldChar w:fldCharType="end"/>
      </w:r>
    </w:p>
    <w:p w14:paraId="0030D1A6" w14:textId="59DA7E8F" w:rsidR="00EC527D" w:rsidRDefault="00EC527D">
      <w:pPr>
        <w:pStyle w:val="TOC2"/>
        <w:rPr>
          <w:rFonts w:asciiTheme="minorHAnsi" w:eastAsiaTheme="minorEastAsia" w:hAnsiTheme="minorHAnsi" w:cstheme="minorBidi"/>
          <w:noProof/>
          <w:sz w:val="22"/>
          <w:szCs w:val="22"/>
          <w:lang w:val="en-NZ" w:eastAsia="en-NZ"/>
        </w:rPr>
      </w:pPr>
      <w:r>
        <w:rPr>
          <w:noProof/>
        </w:rPr>
        <w:t>2.1</w:t>
      </w:r>
      <w:r>
        <w:rPr>
          <w:rFonts w:asciiTheme="minorHAnsi" w:eastAsiaTheme="minorEastAsia" w:hAnsiTheme="minorHAnsi" w:cstheme="minorBidi"/>
          <w:noProof/>
          <w:sz w:val="22"/>
          <w:szCs w:val="22"/>
          <w:lang w:val="en-NZ" w:eastAsia="en-NZ"/>
        </w:rPr>
        <w:tab/>
      </w:r>
      <w:r>
        <w:rPr>
          <w:noProof/>
        </w:rPr>
        <w:t>Purpose</w:t>
      </w:r>
      <w:r>
        <w:rPr>
          <w:noProof/>
        </w:rPr>
        <w:tab/>
      </w:r>
      <w:r>
        <w:rPr>
          <w:noProof/>
        </w:rPr>
        <w:fldChar w:fldCharType="begin"/>
      </w:r>
      <w:r>
        <w:rPr>
          <w:noProof/>
        </w:rPr>
        <w:instrText xml:space="preserve"> PAGEREF _Toc1729516 \h </w:instrText>
      </w:r>
      <w:r>
        <w:rPr>
          <w:noProof/>
        </w:rPr>
      </w:r>
      <w:r>
        <w:rPr>
          <w:noProof/>
        </w:rPr>
        <w:fldChar w:fldCharType="separate"/>
      </w:r>
      <w:r w:rsidR="00EC62DB">
        <w:rPr>
          <w:noProof/>
        </w:rPr>
        <w:t>7</w:t>
      </w:r>
      <w:r>
        <w:rPr>
          <w:noProof/>
        </w:rPr>
        <w:fldChar w:fldCharType="end"/>
      </w:r>
    </w:p>
    <w:p w14:paraId="6BE77550" w14:textId="6DF7AACE" w:rsidR="00EC527D" w:rsidRDefault="00EC527D">
      <w:pPr>
        <w:pStyle w:val="TOC2"/>
        <w:rPr>
          <w:rFonts w:asciiTheme="minorHAnsi" w:eastAsiaTheme="minorEastAsia" w:hAnsiTheme="minorHAnsi" w:cstheme="minorBidi"/>
          <w:noProof/>
          <w:sz w:val="22"/>
          <w:szCs w:val="22"/>
          <w:lang w:val="en-NZ" w:eastAsia="en-NZ"/>
        </w:rPr>
      </w:pPr>
      <w:r>
        <w:rPr>
          <w:noProof/>
        </w:rPr>
        <w:t>2.2</w:t>
      </w:r>
      <w:r>
        <w:rPr>
          <w:rFonts w:asciiTheme="minorHAnsi" w:eastAsiaTheme="minorEastAsia" w:hAnsiTheme="minorHAnsi" w:cstheme="minorBidi"/>
          <w:noProof/>
          <w:sz w:val="22"/>
          <w:szCs w:val="22"/>
          <w:lang w:val="en-NZ" w:eastAsia="en-NZ"/>
        </w:rPr>
        <w:tab/>
      </w:r>
      <w:r>
        <w:rPr>
          <w:noProof/>
        </w:rPr>
        <w:t>Evaluation questions</w:t>
      </w:r>
      <w:r>
        <w:rPr>
          <w:noProof/>
        </w:rPr>
        <w:tab/>
      </w:r>
      <w:r>
        <w:rPr>
          <w:noProof/>
        </w:rPr>
        <w:fldChar w:fldCharType="begin"/>
      </w:r>
      <w:r>
        <w:rPr>
          <w:noProof/>
        </w:rPr>
        <w:instrText xml:space="preserve"> PAGEREF _Toc1729517 \h </w:instrText>
      </w:r>
      <w:r>
        <w:rPr>
          <w:noProof/>
        </w:rPr>
      </w:r>
      <w:r>
        <w:rPr>
          <w:noProof/>
        </w:rPr>
        <w:fldChar w:fldCharType="separate"/>
      </w:r>
      <w:r w:rsidR="00EC62DB">
        <w:rPr>
          <w:noProof/>
        </w:rPr>
        <w:t>7</w:t>
      </w:r>
      <w:r>
        <w:rPr>
          <w:noProof/>
        </w:rPr>
        <w:fldChar w:fldCharType="end"/>
      </w:r>
    </w:p>
    <w:p w14:paraId="298C7E1E" w14:textId="03598B05" w:rsidR="00EC527D" w:rsidRDefault="00EC527D">
      <w:pPr>
        <w:pStyle w:val="TOC2"/>
        <w:rPr>
          <w:rFonts w:asciiTheme="minorHAnsi" w:eastAsiaTheme="minorEastAsia" w:hAnsiTheme="minorHAnsi" w:cstheme="minorBidi"/>
          <w:noProof/>
          <w:sz w:val="22"/>
          <w:szCs w:val="22"/>
          <w:lang w:val="en-NZ" w:eastAsia="en-NZ"/>
        </w:rPr>
      </w:pPr>
      <w:r>
        <w:rPr>
          <w:noProof/>
        </w:rPr>
        <w:t>2.3</w:t>
      </w:r>
      <w:r>
        <w:rPr>
          <w:rFonts w:asciiTheme="minorHAnsi" w:eastAsiaTheme="minorEastAsia" w:hAnsiTheme="minorHAnsi" w:cstheme="minorBidi"/>
          <w:noProof/>
          <w:sz w:val="22"/>
          <w:szCs w:val="22"/>
          <w:lang w:val="en-NZ" w:eastAsia="en-NZ"/>
        </w:rPr>
        <w:tab/>
      </w:r>
      <w:r>
        <w:rPr>
          <w:noProof/>
        </w:rPr>
        <w:t>Approach</w:t>
      </w:r>
      <w:r>
        <w:rPr>
          <w:noProof/>
        </w:rPr>
        <w:tab/>
      </w:r>
      <w:r>
        <w:rPr>
          <w:noProof/>
        </w:rPr>
        <w:fldChar w:fldCharType="begin"/>
      </w:r>
      <w:r>
        <w:rPr>
          <w:noProof/>
        </w:rPr>
        <w:instrText xml:space="preserve"> PAGEREF _Toc1729518 \h </w:instrText>
      </w:r>
      <w:r>
        <w:rPr>
          <w:noProof/>
        </w:rPr>
      </w:r>
      <w:r>
        <w:rPr>
          <w:noProof/>
        </w:rPr>
        <w:fldChar w:fldCharType="separate"/>
      </w:r>
      <w:r w:rsidR="00EC62DB">
        <w:rPr>
          <w:noProof/>
        </w:rPr>
        <w:t>8</w:t>
      </w:r>
      <w:r>
        <w:rPr>
          <w:noProof/>
        </w:rPr>
        <w:fldChar w:fldCharType="end"/>
      </w:r>
    </w:p>
    <w:p w14:paraId="0DCF1719" w14:textId="6224BFF5" w:rsidR="00EC527D" w:rsidRDefault="00EC527D">
      <w:pPr>
        <w:pStyle w:val="TOC2"/>
        <w:rPr>
          <w:rFonts w:asciiTheme="minorHAnsi" w:eastAsiaTheme="minorEastAsia" w:hAnsiTheme="minorHAnsi" w:cstheme="minorBidi"/>
          <w:noProof/>
          <w:sz w:val="22"/>
          <w:szCs w:val="22"/>
          <w:lang w:val="en-NZ" w:eastAsia="en-NZ"/>
        </w:rPr>
      </w:pPr>
      <w:r>
        <w:rPr>
          <w:noProof/>
        </w:rPr>
        <w:t>2.4</w:t>
      </w:r>
      <w:r>
        <w:rPr>
          <w:rFonts w:asciiTheme="minorHAnsi" w:eastAsiaTheme="minorEastAsia" w:hAnsiTheme="minorHAnsi" w:cstheme="minorBidi"/>
          <w:noProof/>
          <w:sz w:val="22"/>
          <w:szCs w:val="22"/>
          <w:lang w:val="en-NZ" w:eastAsia="en-NZ"/>
        </w:rPr>
        <w:tab/>
      </w:r>
      <w:r>
        <w:rPr>
          <w:noProof/>
        </w:rPr>
        <w:t>Limitations</w:t>
      </w:r>
      <w:r>
        <w:rPr>
          <w:noProof/>
        </w:rPr>
        <w:tab/>
      </w:r>
      <w:r>
        <w:rPr>
          <w:noProof/>
        </w:rPr>
        <w:fldChar w:fldCharType="begin"/>
      </w:r>
      <w:r>
        <w:rPr>
          <w:noProof/>
        </w:rPr>
        <w:instrText xml:space="preserve"> PAGEREF _Toc1729519 \h </w:instrText>
      </w:r>
      <w:r>
        <w:rPr>
          <w:noProof/>
        </w:rPr>
      </w:r>
      <w:r>
        <w:rPr>
          <w:noProof/>
        </w:rPr>
        <w:fldChar w:fldCharType="separate"/>
      </w:r>
      <w:r w:rsidR="00EC62DB">
        <w:rPr>
          <w:noProof/>
        </w:rPr>
        <w:t>8</w:t>
      </w:r>
      <w:r>
        <w:rPr>
          <w:noProof/>
        </w:rPr>
        <w:fldChar w:fldCharType="end"/>
      </w:r>
    </w:p>
    <w:p w14:paraId="5CB5D786" w14:textId="09E40634" w:rsidR="00EC527D" w:rsidRDefault="00EC527D">
      <w:pPr>
        <w:pStyle w:val="TOC1"/>
        <w:rPr>
          <w:rFonts w:asciiTheme="minorHAnsi" w:eastAsiaTheme="minorEastAsia" w:hAnsiTheme="minorHAnsi" w:cstheme="minorBidi"/>
          <w:bCs w:val="0"/>
          <w:color w:val="auto"/>
          <w:sz w:val="22"/>
          <w:szCs w:val="22"/>
          <w:lang w:val="en-NZ" w:eastAsia="en-NZ"/>
        </w:rPr>
      </w:pPr>
      <w:r>
        <w:t>3</w:t>
      </w:r>
      <w:r>
        <w:rPr>
          <w:rFonts w:asciiTheme="minorHAnsi" w:eastAsiaTheme="minorEastAsia" w:hAnsiTheme="minorHAnsi" w:cstheme="minorBidi"/>
          <w:bCs w:val="0"/>
          <w:color w:val="auto"/>
          <w:sz w:val="22"/>
          <w:szCs w:val="22"/>
          <w:lang w:val="en-NZ" w:eastAsia="en-NZ"/>
        </w:rPr>
        <w:tab/>
      </w:r>
      <w:r>
        <w:t>Findings</w:t>
      </w:r>
      <w:r>
        <w:tab/>
      </w:r>
      <w:r>
        <w:fldChar w:fldCharType="begin"/>
      </w:r>
      <w:r>
        <w:instrText xml:space="preserve"> PAGEREF _Toc1729520 \h </w:instrText>
      </w:r>
      <w:r>
        <w:fldChar w:fldCharType="separate"/>
      </w:r>
      <w:r w:rsidR="00EC62DB">
        <w:t>9</w:t>
      </w:r>
      <w:r>
        <w:fldChar w:fldCharType="end"/>
      </w:r>
    </w:p>
    <w:p w14:paraId="471A076C" w14:textId="123BC962" w:rsidR="00EC527D" w:rsidRDefault="00EC527D">
      <w:pPr>
        <w:pStyle w:val="TOC2"/>
        <w:rPr>
          <w:rFonts w:asciiTheme="minorHAnsi" w:eastAsiaTheme="minorEastAsia" w:hAnsiTheme="minorHAnsi" w:cstheme="minorBidi"/>
          <w:noProof/>
          <w:sz w:val="22"/>
          <w:szCs w:val="22"/>
          <w:lang w:val="en-NZ" w:eastAsia="en-NZ"/>
        </w:rPr>
      </w:pPr>
      <w:r>
        <w:rPr>
          <w:noProof/>
        </w:rPr>
        <w:t>3.1</w:t>
      </w:r>
      <w:r>
        <w:rPr>
          <w:rFonts w:asciiTheme="minorHAnsi" w:eastAsiaTheme="minorEastAsia" w:hAnsiTheme="minorHAnsi" w:cstheme="minorBidi"/>
          <w:noProof/>
          <w:sz w:val="22"/>
          <w:szCs w:val="22"/>
          <w:lang w:val="en-NZ" w:eastAsia="en-NZ"/>
        </w:rPr>
        <w:tab/>
      </w:r>
      <w:r>
        <w:rPr>
          <w:noProof/>
        </w:rPr>
        <w:t>Effectiveness</w:t>
      </w:r>
      <w:r>
        <w:rPr>
          <w:noProof/>
        </w:rPr>
        <w:tab/>
      </w:r>
      <w:r>
        <w:rPr>
          <w:noProof/>
        </w:rPr>
        <w:fldChar w:fldCharType="begin"/>
      </w:r>
      <w:r>
        <w:rPr>
          <w:noProof/>
        </w:rPr>
        <w:instrText xml:space="preserve"> PAGEREF _Toc1729521 \h </w:instrText>
      </w:r>
      <w:r>
        <w:rPr>
          <w:noProof/>
        </w:rPr>
      </w:r>
      <w:r>
        <w:rPr>
          <w:noProof/>
        </w:rPr>
        <w:fldChar w:fldCharType="separate"/>
      </w:r>
      <w:r w:rsidR="00EC62DB">
        <w:rPr>
          <w:noProof/>
        </w:rPr>
        <w:t>9</w:t>
      </w:r>
      <w:r>
        <w:rPr>
          <w:noProof/>
        </w:rPr>
        <w:fldChar w:fldCharType="end"/>
      </w:r>
    </w:p>
    <w:p w14:paraId="4C9B889C" w14:textId="738890B7" w:rsidR="00EC527D" w:rsidRDefault="00EC527D">
      <w:pPr>
        <w:pStyle w:val="TOC2"/>
        <w:rPr>
          <w:rFonts w:asciiTheme="minorHAnsi" w:eastAsiaTheme="minorEastAsia" w:hAnsiTheme="minorHAnsi" w:cstheme="minorBidi"/>
          <w:noProof/>
          <w:sz w:val="22"/>
          <w:szCs w:val="22"/>
          <w:lang w:val="en-NZ" w:eastAsia="en-NZ"/>
        </w:rPr>
      </w:pPr>
      <w:r>
        <w:rPr>
          <w:noProof/>
        </w:rPr>
        <w:t>3.2</w:t>
      </w:r>
      <w:r>
        <w:rPr>
          <w:rFonts w:asciiTheme="minorHAnsi" w:eastAsiaTheme="minorEastAsia" w:hAnsiTheme="minorHAnsi" w:cstheme="minorBidi"/>
          <w:noProof/>
          <w:sz w:val="22"/>
          <w:szCs w:val="22"/>
          <w:lang w:val="en-NZ" w:eastAsia="en-NZ"/>
        </w:rPr>
        <w:tab/>
      </w:r>
      <w:r>
        <w:rPr>
          <w:noProof/>
        </w:rPr>
        <w:t>Efficiency of program implementation</w:t>
      </w:r>
      <w:r>
        <w:rPr>
          <w:noProof/>
        </w:rPr>
        <w:tab/>
      </w:r>
      <w:r>
        <w:rPr>
          <w:noProof/>
        </w:rPr>
        <w:fldChar w:fldCharType="begin"/>
      </w:r>
      <w:r>
        <w:rPr>
          <w:noProof/>
        </w:rPr>
        <w:instrText xml:space="preserve"> PAGEREF _Toc1729522 \h </w:instrText>
      </w:r>
      <w:r>
        <w:rPr>
          <w:noProof/>
        </w:rPr>
      </w:r>
      <w:r>
        <w:rPr>
          <w:noProof/>
        </w:rPr>
        <w:fldChar w:fldCharType="separate"/>
      </w:r>
      <w:r w:rsidR="00EC62DB">
        <w:rPr>
          <w:noProof/>
        </w:rPr>
        <w:t>20</w:t>
      </w:r>
      <w:r>
        <w:rPr>
          <w:noProof/>
        </w:rPr>
        <w:fldChar w:fldCharType="end"/>
      </w:r>
    </w:p>
    <w:p w14:paraId="05D4A25D" w14:textId="6EFD530C" w:rsidR="00EC527D" w:rsidRDefault="00EC527D">
      <w:pPr>
        <w:pStyle w:val="TOC2"/>
        <w:rPr>
          <w:rFonts w:asciiTheme="minorHAnsi" w:eastAsiaTheme="minorEastAsia" w:hAnsiTheme="minorHAnsi" w:cstheme="minorBidi"/>
          <w:noProof/>
          <w:sz w:val="22"/>
          <w:szCs w:val="22"/>
          <w:lang w:val="en-NZ" w:eastAsia="en-NZ"/>
        </w:rPr>
      </w:pPr>
      <w:r>
        <w:rPr>
          <w:noProof/>
        </w:rPr>
        <w:t>3.3</w:t>
      </w:r>
      <w:r>
        <w:rPr>
          <w:rFonts w:asciiTheme="minorHAnsi" w:eastAsiaTheme="minorEastAsia" w:hAnsiTheme="minorHAnsi" w:cstheme="minorBidi"/>
          <w:noProof/>
          <w:sz w:val="22"/>
          <w:szCs w:val="22"/>
          <w:lang w:val="en-NZ" w:eastAsia="en-NZ"/>
        </w:rPr>
        <w:tab/>
      </w:r>
      <w:r>
        <w:rPr>
          <w:noProof/>
        </w:rPr>
        <w:t>Relevance and alignment with new policy and aid priorities</w:t>
      </w:r>
      <w:r>
        <w:rPr>
          <w:noProof/>
        </w:rPr>
        <w:tab/>
      </w:r>
      <w:r>
        <w:rPr>
          <w:noProof/>
        </w:rPr>
        <w:fldChar w:fldCharType="begin"/>
      </w:r>
      <w:r>
        <w:rPr>
          <w:noProof/>
        </w:rPr>
        <w:instrText xml:space="preserve"> PAGEREF _Toc1729523 \h </w:instrText>
      </w:r>
      <w:r>
        <w:rPr>
          <w:noProof/>
        </w:rPr>
      </w:r>
      <w:r>
        <w:rPr>
          <w:noProof/>
        </w:rPr>
        <w:fldChar w:fldCharType="separate"/>
      </w:r>
      <w:r w:rsidR="00EC62DB">
        <w:rPr>
          <w:noProof/>
        </w:rPr>
        <w:t>25</w:t>
      </w:r>
      <w:r>
        <w:rPr>
          <w:noProof/>
        </w:rPr>
        <w:fldChar w:fldCharType="end"/>
      </w:r>
    </w:p>
    <w:p w14:paraId="49658D85" w14:textId="3A734793" w:rsidR="00EC527D" w:rsidRDefault="00EC527D">
      <w:pPr>
        <w:pStyle w:val="TOC2"/>
        <w:rPr>
          <w:rFonts w:asciiTheme="minorHAnsi" w:eastAsiaTheme="minorEastAsia" w:hAnsiTheme="minorHAnsi" w:cstheme="minorBidi"/>
          <w:noProof/>
          <w:sz w:val="22"/>
          <w:szCs w:val="22"/>
          <w:lang w:val="en-NZ" w:eastAsia="en-NZ"/>
        </w:rPr>
      </w:pPr>
      <w:r>
        <w:rPr>
          <w:noProof/>
        </w:rPr>
        <w:t>3.4</w:t>
      </w:r>
      <w:r>
        <w:rPr>
          <w:rFonts w:asciiTheme="minorHAnsi" w:eastAsiaTheme="minorEastAsia" w:hAnsiTheme="minorHAnsi" w:cstheme="minorBidi"/>
          <w:noProof/>
          <w:sz w:val="22"/>
          <w:szCs w:val="22"/>
          <w:lang w:val="en-NZ" w:eastAsia="en-NZ"/>
        </w:rPr>
        <w:tab/>
      </w:r>
      <w:r>
        <w:rPr>
          <w:noProof/>
        </w:rPr>
        <w:t>Gender equality and social inclusion</w:t>
      </w:r>
      <w:r>
        <w:rPr>
          <w:noProof/>
        </w:rPr>
        <w:tab/>
      </w:r>
      <w:r>
        <w:rPr>
          <w:noProof/>
        </w:rPr>
        <w:fldChar w:fldCharType="begin"/>
      </w:r>
      <w:r>
        <w:rPr>
          <w:noProof/>
        </w:rPr>
        <w:instrText xml:space="preserve"> PAGEREF _Toc1729524 \h </w:instrText>
      </w:r>
      <w:r>
        <w:rPr>
          <w:noProof/>
        </w:rPr>
      </w:r>
      <w:r>
        <w:rPr>
          <w:noProof/>
        </w:rPr>
        <w:fldChar w:fldCharType="separate"/>
      </w:r>
      <w:r w:rsidR="00EC62DB">
        <w:rPr>
          <w:noProof/>
        </w:rPr>
        <w:t>26</w:t>
      </w:r>
      <w:r>
        <w:rPr>
          <w:noProof/>
        </w:rPr>
        <w:fldChar w:fldCharType="end"/>
      </w:r>
    </w:p>
    <w:p w14:paraId="57F308F2" w14:textId="1B8BC9EA" w:rsidR="00EC527D" w:rsidRDefault="00EC527D">
      <w:pPr>
        <w:pStyle w:val="TOC1"/>
        <w:rPr>
          <w:rFonts w:asciiTheme="minorHAnsi" w:eastAsiaTheme="minorEastAsia" w:hAnsiTheme="minorHAnsi" w:cstheme="minorBidi"/>
          <w:bCs w:val="0"/>
          <w:color w:val="auto"/>
          <w:sz w:val="22"/>
          <w:szCs w:val="22"/>
          <w:lang w:val="en-NZ" w:eastAsia="en-NZ"/>
        </w:rPr>
      </w:pPr>
      <w:r>
        <w:t>4</w:t>
      </w:r>
      <w:r>
        <w:rPr>
          <w:rFonts w:asciiTheme="minorHAnsi" w:eastAsiaTheme="minorEastAsia" w:hAnsiTheme="minorHAnsi" w:cstheme="minorBidi"/>
          <w:bCs w:val="0"/>
          <w:color w:val="auto"/>
          <w:sz w:val="22"/>
          <w:szCs w:val="22"/>
          <w:lang w:val="en-NZ" w:eastAsia="en-NZ"/>
        </w:rPr>
        <w:tab/>
      </w:r>
      <w:r>
        <w:t>Conclusions</w:t>
      </w:r>
      <w:r>
        <w:tab/>
      </w:r>
      <w:r>
        <w:fldChar w:fldCharType="begin"/>
      </w:r>
      <w:r>
        <w:instrText xml:space="preserve"> PAGEREF _Toc1729525 \h </w:instrText>
      </w:r>
      <w:r>
        <w:fldChar w:fldCharType="separate"/>
      </w:r>
      <w:r w:rsidR="00EC62DB">
        <w:t>30</w:t>
      </w:r>
      <w:r>
        <w:fldChar w:fldCharType="end"/>
      </w:r>
    </w:p>
    <w:p w14:paraId="21AB1FC1" w14:textId="61C7FCE7" w:rsidR="00EC527D" w:rsidRDefault="00EC527D">
      <w:pPr>
        <w:pStyle w:val="TOC1"/>
        <w:rPr>
          <w:rFonts w:asciiTheme="minorHAnsi" w:eastAsiaTheme="minorEastAsia" w:hAnsiTheme="minorHAnsi" w:cstheme="minorBidi"/>
          <w:bCs w:val="0"/>
          <w:color w:val="auto"/>
          <w:sz w:val="22"/>
          <w:szCs w:val="22"/>
          <w:lang w:val="en-NZ" w:eastAsia="en-NZ"/>
        </w:rPr>
      </w:pPr>
      <w:r>
        <w:t>5</w:t>
      </w:r>
      <w:r>
        <w:rPr>
          <w:rFonts w:asciiTheme="minorHAnsi" w:eastAsiaTheme="minorEastAsia" w:hAnsiTheme="minorHAnsi" w:cstheme="minorBidi"/>
          <w:bCs w:val="0"/>
          <w:color w:val="auto"/>
          <w:sz w:val="22"/>
          <w:szCs w:val="22"/>
          <w:lang w:val="en-NZ" w:eastAsia="en-NZ"/>
        </w:rPr>
        <w:tab/>
      </w:r>
      <w:r>
        <w:t>Recommendations</w:t>
      </w:r>
      <w:r>
        <w:tab/>
      </w:r>
      <w:r>
        <w:fldChar w:fldCharType="begin"/>
      </w:r>
      <w:r>
        <w:instrText xml:space="preserve"> PAGEREF _Toc1729526 \h </w:instrText>
      </w:r>
      <w:r>
        <w:fldChar w:fldCharType="separate"/>
      </w:r>
      <w:r w:rsidR="00EC62DB">
        <w:t>32</w:t>
      </w:r>
      <w:r>
        <w:fldChar w:fldCharType="end"/>
      </w:r>
    </w:p>
    <w:p w14:paraId="3CEE01E9" w14:textId="76B8746C" w:rsidR="00EC527D" w:rsidRDefault="00EC527D">
      <w:pPr>
        <w:pStyle w:val="TOC1"/>
        <w:rPr>
          <w:rFonts w:asciiTheme="minorHAnsi" w:eastAsiaTheme="minorEastAsia" w:hAnsiTheme="minorHAnsi" w:cstheme="minorBidi"/>
          <w:bCs w:val="0"/>
          <w:color w:val="auto"/>
          <w:sz w:val="22"/>
          <w:szCs w:val="22"/>
          <w:lang w:val="en-NZ" w:eastAsia="en-NZ"/>
        </w:rPr>
      </w:pPr>
      <w:r>
        <w:t>Appendix A: Methodology</w:t>
      </w:r>
      <w:r>
        <w:tab/>
      </w:r>
      <w:r>
        <w:fldChar w:fldCharType="begin"/>
      </w:r>
      <w:r>
        <w:instrText xml:space="preserve"> PAGEREF _Toc1729527 \h </w:instrText>
      </w:r>
      <w:r>
        <w:fldChar w:fldCharType="separate"/>
      </w:r>
      <w:r w:rsidR="00EC62DB">
        <w:t>33</w:t>
      </w:r>
      <w:r>
        <w:fldChar w:fldCharType="end"/>
      </w:r>
    </w:p>
    <w:p w14:paraId="11CC1679" w14:textId="36B92902" w:rsidR="00EC527D" w:rsidRDefault="00EC527D">
      <w:pPr>
        <w:pStyle w:val="TOC1"/>
        <w:rPr>
          <w:rFonts w:asciiTheme="minorHAnsi" w:eastAsiaTheme="minorEastAsia" w:hAnsiTheme="minorHAnsi" w:cstheme="minorBidi"/>
          <w:bCs w:val="0"/>
          <w:color w:val="auto"/>
          <w:sz w:val="22"/>
          <w:szCs w:val="22"/>
          <w:lang w:val="en-NZ" w:eastAsia="en-NZ"/>
        </w:rPr>
      </w:pPr>
      <w:r>
        <w:t>Appendix B: Stakeholders consulted</w:t>
      </w:r>
      <w:r>
        <w:tab/>
      </w:r>
      <w:r>
        <w:fldChar w:fldCharType="begin"/>
      </w:r>
      <w:r>
        <w:instrText xml:space="preserve"> PAGEREF _Toc1729528 \h </w:instrText>
      </w:r>
      <w:r>
        <w:fldChar w:fldCharType="separate"/>
      </w:r>
      <w:r w:rsidR="00EC62DB">
        <w:t>38</w:t>
      </w:r>
      <w:r>
        <w:fldChar w:fldCharType="end"/>
      </w:r>
    </w:p>
    <w:p w14:paraId="5D86D6BA" w14:textId="246FE8A2" w:rsidR="00EC527D" w:rsidRDefault="00EC527D">
      <w:pPr>
        <w:pStyle w:val="TOC1"/>
        <w:rPr>
          <w:rFonts w:asciiTheme="minorHAnsi" w:eastAsiaTheme="minorEastAsia" w:hAnsiTheme="minorHAnsi" w:cstheme="minorBidi"/>
          <w:bCs w:val="0"/>
          <w:color w:val="auto"/>
          <w:sz w:val="22"/>
          <w:szCs w:val="22"/>
          <w:lang w:val="en-NZ" w:eastAsia="en-NZ"/>
        </w:rPr>
      </w:pPr>
      <w:r>
        <w:t>Appendix C: High level results</w:t>
      </w:r>
      <w:r>
        <w:tab/>
      </w:r>
      <w:r>
        <w:fldChar w:fldCharType="begin"/>
      </w:r>
      <w:r>
        <w:instrText xml:space="preserve"> PAGEREF _Toc1729529 \h </w:instrText>
      </w:r>
      <w:r>
        <w:fldChar w:fldCharType="separate"/>
      </w:r>
      <w:r w:rsidR="00EC62DB">
        <w:t>42</w:t>
      </w:r>
      <w:r>
        <w:fldChar w:fldCharType="end"/>
      </w:r>
    </w:p>
    <w:p w14:paraId="18E8954F" w14:textId="4B023190" w:rsidR="00EC527D" w:rsidRDefault="00EC527D">
      <w:pPr>
        <w:pStyle w:val="TOC1"/>
        <w:rPr>
          <w:rFonts w:asciiTheme="minorHAnsi" w:eastAsiaTheme="minorEastAsia" w:hAnsiTheme="minorHAnsi" w:cstheme="minorBidi"/>
          <w:bCs w:val="0"/>
          <w:color w:val="auto"/>
          <w:sz w:val="22"/>
          <w:szCs w:val="22"/>
          <w:lang w:val="en-NZ" w:eastAsia="en-NZ"/>
        </w:rPr>
      </w:pPr>
      <w:r>
        <w:t>Appendix D: Summary of key data</w:t>
      </w:r>
      <w:r>
        <w:tab/>
      </w:r>
      <w:r>
        <w:fldChar w:fldCharType="begin"/>
      </w:r>
      <w:r>
        <w:instrText xml:space="preserve"> PAGEREF _Toc1729530 \h </w:instrText>
      </w:r>
      <w:r>
        <w:fldChar w:fldCharType="separate"/>
      </w:r>
      <w:r w:rsidR="00EC62DB">
        <w:t>44</w:t>
      </w:r>
      <w:r>
        <w:fldChar w:fldCharType="end"/>
      </w:r>
    </w:p>
    <w:p w14:paraId="2DB4B537" w14:textId="2283B339" w:rsidR="00EC527D" w:rsidRDefault="00EC527D">
      <w:pPr>
        <w:pStyle w:val="TOC1"/>
        <w:rPr>
          <w:rFonts w:asciiTheme="minorHAnsi" w:eastAsiaTheme="minorEastAsia" w:hAnsiTheme="minorHAnsi" w:cstheme="minorBidi"/>
          <w:bCs w:val="0"/>
          <w:color w:val="auto"/>
          <w:sz w:val="22"/>
          <w:szCs w:val="22"/>
          <w:lang w:val="en-NZ" w:eastAsia="en-NZ"/>
        </w:rPr>
      </w:pPr>
      <w:r>
        <w:t>Appendix E: Postdoctoral fellowship pilot</w:t>
      </w:r>
      <w:r>
        <w:tab/>
      </w:r>
      <w:r>
        <w:fldChar w:fldCharType="begin"/>
      </w:r>
      <w:r>
        <w:instrText xml:space="preserve"> PAGEREF _Toc1729531 \h </w:instrText>
      </w:r>
      <w:r>
        <w:fldChar w:fldCharType="separate"/>
      </w:r>
      <w:r w:rsidR="00EC62DB">
        <w:t>51</w:t>
      </w:r>
      <w:r>
        <w:fldChar w:fldCharType="end"/>
      </w:r>
    </w:p>
    <w:p w14:paraId="0898DDB2" w14:textId="7FBDF1FE" w:rsidR="00EC527D" w:rsidRDefault="00EC527D">
      <w:pPr>
        <w:pStyle w:val="TOC1"/>
        <w:rPr>
          <w:rFonts w:asciiTheme="minorHAnsi" w:eastAsiaTheme="minorEastAsia" w:hAnsiTheme="minorHAnsi" w:cstheme="minorBidi"/>
          <w:bCs w:val="0"/>
          <w:color w:val="auto"/>
          <w:sz w:val="22"/>
          <w:szCs w:val="22"/>
          <w:lang w:val="en-NZ" w:eastAsia="en-NZ"/>
        </w:rPr>
      </w:pPr>
      <w:r>
        <w:t>Appendix F: Private sector engagement overview</w:t>
      </w:r>
      <w:r>
        <w:tab/>
      </w:r>
      <w:r>
        <w:fldChar w:fldCharType="begin"/>
      </w:r>
      <w:r>
        <w:instrText xml:space="preserve"> PAGEREF _Toc1729532 \h </w:instrText>
      </w:r>
      <w:r>
        <w:fldChar w:fldCharType="separate"/>
      </w:r>
      <w:r w:rsidR="00EC62DB">
        <w:t>55</w:t>
      </w:r>
      <w:r>
        <w:fldChar w:fldCharType="end"/>
      </w:r>
    </w:p>
    <w:p w14:paraId="6B7D998D" w14:textId="692C0B45" w:rsidR="00EC527D" w:rsidRDefault="00EC527D">
      <w:pPr>
        <w:pStyle w:val="TOC1"/>
        <w:rPr>
          <w:rFonts w:asciiTheme="minorHAnsi" w:eastAsiaTheme="minorEastAsia" w:hAnsiTheme="minorHAnsi" w:cstheme="minorBidi"/>
          <w:bCs w:val="0"/>
          <w:color w:val="auto"/>
          <w:sz w:val="22"/>
          <w:szCs w:val="22"/>
          <w:lang w:val="en-NZ" w:eastAsia="en-NZ"/>
        </w:rPr>
      </w:pPr>
      <w:r>
        <w:t>Appendix G: Expenditure summary</w:t>
      </w:r>
      <w:r>
        <w:tab/>
      </w:r>
      <w:r>
        <w:fldChar w:fldCharType="begin"/>
      </w:r>
      <w:r>
        <w:instrText xml:space="preserve"> PAGEREF _Toc1729533 \h </w:instrText>
      </w:r>
      <w:r>
        <w:fldChar w:fldCharType="separate"/>
      </w:r>
      <w:r w:rsidR="00EC62DB">
        <w:t>59</w:t>
      </w:r>
      <w:r>
        <w:fldChar w:fldCharType="end"/>
      </w:r>
    </w:p>
    <w:p w14:paraId="4C78B6A6" w14:textId="32C2AE2F" w:rsidR="00EC527D" w:rsidRDefault="00EC527D">
      <w:pPr>
        <w:pStyle w:val="TOC1"/>
        <w:rPr>
          <w:rFonts w:asciiTheme="minorHAnsi" w:eastAsiaTheme="minorEastAsia" w:hAnsiTheme="minorHAnsi" w:cstheme="minorBidi"/>
          <w:bCs w:val="0"/>
          <w:color w:val="auto"/>
          <w:sz w:val="22"/>
          <w:szCs w:val="22"/>
          <w:lang w:val="en-NZ" w:eastAsia="en-NZ"/>
        </w:rPr>
      </w:pPr>
      <w:r>
        <w:t>Appendix H: Stakeholder suggestions for improvements</w:t>
      </w:r>
      <w:r>
        <w:tab/>
      </w:r>
      <w:r>
        <w:fldChar w:fldCharType="begin"/>
      </w:r>
      <w:r>
        <w:instrText xml:space="preserve"> PAGEREF _Toc1729534 \h </w:instrText>
      </w:r>
      <w:r>
        <w:fldChar w:fldCharType="separate"/>
      </w:r>
      <w:r w:rsidR="00EC62DB">
        <w:t>60</w:t>
      </w:r>
      <w:r>
        <w:fldChar w:fldCharType="end"/>
      </w:r>
    </w:p>
    <w:p w14:paraId="4E03E508" w14:textId="4B25451B" w:rsidR="00EC527D" w:rsidRDefault="00EC527D">
      <w:pPr>
        <w:pStyle w:val="TOC1"/>
        <w:rPr>
          <w:rFonts w:asciiTheme="minorHAnsi" w:eastAsiaTheme="minorEastAsia" w:hAnsiTheme="minorHAnsi" w:cstheme="minorBidi"/>
          <w:bCs w:val="0"/>
          <w:color w:val="auto"/>
          <w:sz w:val="22"/>
          <w:szCs w:val="22"/>
          <w:lang w:val="en-NZ" w:eastAsia="en-NZ"/>
        </w:rPr>
      </w:pPr>
      <w:r>
        <w:t>Appendix I: MEF and reporting recommendations</w:t>
      </w:r>
      <w:r>
        <w:tab/>
      </w:r>
      <w:r>
        <w:fldChar w:fldCharType="begin"/>
      </w:r>
      <w:r>
        <w:instrText xml:space="preserve"> PAGEREF _Toc1729535 \h </w:instrText>
      </w:r>
      <w:r>
        <w:fldChar w:fldCharType="separate"/>
      </w:r>
      <w:r w:rsidR="00EC62DB">
        <w:t>64</w:t>
      </w:r>
      <w:r>
        <w:fldChar w:fldCharType="end"/>
      </w:r>
    </w:p>
    <w:p w14:paraId="06763EDF" w14:textId="6F5EA84A" w:rsidR="00EC527D" w:rsidRDefault="00EC527D">
      <w:pPr>
        <w:pStyle w:val="TOC1"/>
        <w:rPr>
          <w:rFonts w:asciiTheme="minorHAnsi" w:eastAsiaTheme="minorEastAsia" w:hAnsiTheme="minorHAnsi" w:cstheme="minorBidi"/>
          <w:bCs w:val="0"/>
          <w:color w:val="auto"/>
          <w:sz w:val="22"/>
          <w:szCs w:val="22"/>
          <w:lang w:val="en-NZ" w:eastAsia="en-NZ"/>
        </w:rPr>
      </w:pPr>
      <w:r>
        <w:t>Appendix J: Gender Equality Fund and Disability Equity and Access Fund</w:t>
      </w:r>
      <w:r>
        <w:tab/>
      </w:r>
      <w:r>
        <w:fldChar w:fldCharType="begin"/>
      </w:r>
      <w:r>
        <w:instrText xml:space="preserve"> PAGEREF _Toc1729536 \h </w:instrText>
      </w:r>
      <w:r>
        <w:fldChar w:fldCharType="separate"/>
      </w:r>
      <w:r w:rsidR="00EC62DB">
        <w:t>65</w:t>
      </w:r>
      <w:r>
        <w:fldChar w:fldCharType="end"/>
      </w:r>
    </w:p>
    <w:p w14:paraId="0156B81F" w14:textId="2CE8968A" w:rsidR="00EC527D" w:rsidRDefault="00EC527D">
      <w:pPr>
        <w:pStyle w:val="TOC1"/>
        <w:rPr>
          <w:rFonts w:asciiTheme="minorHAnsi" w:eastAsiaTheme="minorEastAsia" w:hAnsiTheme="minorHAnsi" w:cstheme="minorBidi"/>
          <w:bCs w:val="0"/>
          <w:color w:val="auto"/>
          <w:sz w:val="22"/>
          <w:szCs w:val="22"/>
          <w:lang w:val="en-NZ" w:eastAsia="en-NZ"/>
        </w:rPr>
      </w:pPr>
      <w:r>
        <w:t>Glossary</w:t>
      </w:r>
      <w:r>
        <w:tab/>
      </w:r>
      <w:r>
        <w:fldChar w:fldCharType="begin"/>
      </w:r>
      <w:r>
        <w:instrText xml:space="preserve"> PAGEREF _Toc1729537 \h </w:instrText>
      </w:r>
      <w:r>
        <w:fldChar w:fldCharType="separate"/>
      </w:r>
      <w:r w:rsidR="00EC62DB">
        <w:t>66</w:t>
      </w:r>
      <w:r>
        <w:fldChar w:fldCharType="end"/>
      </w:r>
    </w:p>
    <w:p w14:paraId="76E23F32" w14:textId="52F41C92" w:rsidR="00EC527D" w:rsidRDefault="00EC527D">
      <w:pPr>
        <w:pStyle w:val="TOC1"/>
        <w:rPr>
          <w:rFonts w:asciiTheme="minorHAnsi" w:eastAsiaTheme="minorEastAsia" w:hAnsiTheme="minorHAnsi" w:cstheme="minorBidi"/>
          <w:bCs w:val="0"/>
          <w:color w:val="auto"/>
          <w:sz w:val="22"/>
          <w:szCs w:val="22"/>
          <w:lang w:val="en-NZ" w:eastAsia="en-NZ"/>
        </w:rPr>
      </w:pPr>
      <w:r>
        <w:t>References</w:t>
      </w:r>
      <w:r>
        <w:tab/>
      </w:r>
      <w:r>
        <w:fldChar w:fldCharType="begin"/>
      </w:r>
      <w:r>
        <w:instrText xml:space="preserve"> PAGEREF _Toc1729538 \h </w:instrText>
      </w:r>
      <w:r>
        <w:fldChar w:fldCharType="separate"/>
      </w:r>
      <w:r w:rsidR="00EC62DB">
        <w:t>68</w:t>
      </w:r>
      <w:r>
        <w:fldChar w:fldCharType="end"/>
      </w:r>
    </w:p>
    <w:p w14:paraId="281F4B11" w14:textId="7DCB372C" w:rsidR="006068DE" w:rsidRDefault="00887FA3" w:rsidP="006068DE">
      <w:pPr>
        <w:rPr>
          <w:noProof/>
        </w:rPr>
      </w:pPr>
      <w:r>
        <w:rPr>
          <w:noProof/>
        </w:rPr>
        <w:lastRenderedPageBreak/>
        <w:fldChar w:fldCharType="end"/>
      </w:r>
    </w:p>
    <w:p w14:paraId="538F8C23" w14:textId="77777777" w:rsidR="00D20FD9" w:rsidRPr="00E92F8F" w:rsidRDefault="0048295D" w:rsidP="00E92F32">
      <w:pPr>
        <w:pStyle w:val="Heading3a"/>
        <w:numPr>
          <w:ilvl w:val="0"/>
          <w:numId w:val="0"/>
        </w:numPr>
      </w:pPr>
      <w:r>
        <w:t>Tables</w:t>
      </w:r>
    </w:p>
    <w:p w14:paraId="607CE190" w14:textId="4DF03518" w:rsidR="00EC527D" w:rsidRDefault="007B6376">
      <w:pPr>
        <w:pStyle w:val="TableofFigures"/>
        <w:ind w:left="990" w:hanging="990"/>
        <w:rPr>
          <w:rFonts w:asciiTheme="minorHAnsi" w:eastAsiaTheme="minorEastAsia" w:hAnsiTheme="minorHAnsi" w:cstheme="minorBidi"/>
          <w:noProof/>
          <w:szCs w:val="22"/>
          <w:lang w:val="en-NZ" w:eastAsia="en-NZ"/>
        </w:rPr>
      </w:pPr>
      <w:r w:rsidRPr="007754ED">
        <w:rPr>
          <w:rFonts w:asciiTheme="minorHAnsi" w:hAnsiTheme="minorHAnsi"/>
          <w:color w:val="007C92"/>
        </w:rPr>
        <w:fldChar w:fldCharType="begin"/>
      </w:r>
      <w:r w:rsidR="0048295D" w:rsidRPr="007754ED">
        <w:instrText xml:space="preserve"> TOC \t "TableName" \c </w:instrText>
      </w:r>
      <w:r w:rsidRPr="007754ED">
        <w:rPr>
          <w:rFonts w:asciiTheme="minorHAnsi" w:hAnsiTheme="minorHAnsi"/>
          <w:color w:val="007C92"/>
        </w:rPr>
        <w:fldChar w:fldCharType="separate"/>
      </w:r>
      <w:r w:rsidR="00EC527D">
        <w:rPr>
          <w:noProof/>
        </w:rPr>
        <w:t>Table 1</w:t>
      </w:r>
      <w:r w:rsidR="00EC527D">
        <w:rPr>
          <w:rFonts w:asciiTheme="minorHAnsi" w:eastAsiaTheme="minorEastAsia" w:hAnsiTheme="minorHAnsi" w:cstheme="minorBidi"/>
          <w:noProof/>
          <w:szCs w:val="22"/>
          <w:lang w:val="en-NZ" w:eastAsia="en-NZ"/>
        </w:rPr>
        <w:tab/>
      </w:r>
      <w:r w:rsidR="00EC527D">
        <w:rPr>
          <w:noProof/>
        </w:rPr>
        <w:t>Countries (in order of number of Awards received) for Australia Awards scholarships (2016-2019) and short courses (2016-2018)</w:t>
      </w:r>
      <w:r w:rsidR="00EC527D">
        <w:rPr>
          <w:noProof/>
        </w:rPr>
        <w:tab/>
      </w:r>
      <w:r w:rsidR="00EC527D">
        <w:rPr>
          <w:noProof/>
        </w:rPr>
        <w:fldChar w:fldCharType="begin"/>
      </w:r>
      <w:r w:rsidR="00EC527D">
        <w:rPr>
          <w:noProof/>
        </w:rPr>
        <w:instrText xml:space="preserve"> PAGEREF _Toc1729539 \h </w:instrText>
      </w:r>
      <w:r w:rsidR="00EC527D">
        <w:rPr>
          <w:noProof/>
        </w:rPr>
      </w:r>
      <w:r w:rsidR="00EC527D">
        <w:rPr>
          <w:noProof/>
        </w:rPr>
        <w:fldChar w:fldCharType="separate"/>
      </w:r>
      <w:r w:rsidR="00EC62DB">
        <w:rPr>
          <w:noProof/>
        </w:rPr>
        <w:t>12</w:t>
      </w:r>
      <w:r w:rsidR="00EC527D">
        <w:rPr>
          <w:noProof/>
        </w:rPr>
        <w:fldChar w:fldCharType="end"/>
      </w:r>
    </w:p>
    <w:p w14:paraId="31E62C20" w14:textId="736F15E1"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2</w:t>
      </w:r>
      <w:r>
        <w:rPr>
          <w:rFonts w:asciiTheme="minorHAnsi" w:eastAsiaTheme="minorEastAsia" w:hAnsiTheme="minorHAnsi" w:cstheme="minorBidi"/>
          <w:noProof/>
          <w:szCs w:val="22"/>
          <w:lang w:val="en-NZ" w:eastAsia="en-NZ"/>
        </w:rPr>
        <w:tab/>
      </w:r>
      <w:r>
        <w:rPr>
          <w:noProof/>
        </w:rPr>
        <w:t>Australia Awards scholarships by priority sector, Intakes 2016 – 2019</w:t>
      </w:r>
      <w:r>
        <w:rPr>
          <w:noProof/>
        </w:rPr>
        <w:tab/>
      </w:r>
      <w:r>
        <w:rPr>
          <w:noProof/>
        </w:rPr>
        <w:fldChar w:fldCharType="begin"/>
      </w:r>
      <w:r>
        <w:rPr>
          <w:noProof/>
        </w:rPr>
        <w:instrText xml:space="preserve"> PAGEREF _Toc1729540 \h </w:instrText>
      </w:r>
      <w:r>
        <w:rPr>
          <w:noProof/>
        </w:rPr>
      </w:r>
      <w:r>
        <w:rPr>
          <w:noProof/>
        </w:rPr>
        <w:fldChar w:fldCharType="separate"/>
      </w:r>
      <w:r w:rsidR="00EC62DB">
        <w:rPr>
          <w:noProof/>
        </w:rPr>
        <w:t>13</w:t>
      </w:r>
      <w:r>
        <w:rPr>
          <w:noProof/>
        </w:rPr>
        <w:fldChar w:fldCharType="end"/>
      </w:r>
    </w:p>
    <w:p w14:paraId="6637A728" w14:textId="381D7D8B"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3</w:t>
      </w:r>
      <w:r>
        <w:rPr>
          <w:rFonts w:asciiTheme="minorHAnsi" w:eastAsiaTheme="minorEastAsia" w:hAnsiTheme="minorHAnsi" w:cstheme="minorBidi"/>
          <w:noProof/>
          <w:szCs w:val="22"/>
          <w:lang w:val="en-NZ" w:eastAsia="en-NZ"/>
        </w:rPr>
        <w:tab/>
      </w:r>
      <w:r>
        <w:rPr>
          <w:noProof/>
        </w:rPr>
        <w:t>Short courses by priority sector, 2016 – 2018</w:t>
      </w:r>
      <w:r>
        <w:rPr>
          <w:noProof/>
        </w:rPr>
        <w:tab/>
      </w:r>
      <w:r>
        <w:rPr>
          <w:noProof/>
        </w:rPr>
        <w:fldChar w:fldCharType="begin"/>
      </w:r>
      <w:r>
        <w:rPr>
          <w:noProof/>
        </w:rPr>
        <w:instrText xml:space="preserve"> PAGEREF _Toc1729541 \h </w:instrText>
      </w:r>
      <w:r>
        <w:rPr>
          <w:noProof/>
        </w:rPr>
      </w:r>
      <w:r>
        <w:rPr>
          <w:noProof/>
        </w:rPr>
        <w:fldChar w:fldCharType="separate"/>
      </w:r>
      <w:r w:rsidR="00EC62DB">
        <w:rPr>
          <w:noProof/>
        </w:rPr>
        <w:t>13</w:t>
      </w:r>
      <w:r>
        <w:rPr>
          <w:noProof/>
        </w:rPr>
        <w:fldChar w:fldCharType="end"/>
      </w:r>
    </w:p>
    <w:p w14:paraId="00149A14" w14:textId="0B91C753"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 xml:space="preserve">Table 4 </w:t>
      </w:r>
      <w:r>
        <w:rPr>
          <w:rFonts w:asciiTheme="minorHAnsi" w:eastAsiaTheme="minorEastAsia" w:hAnsiTheme="minorHAnsi" w:cstheme="minorBidi"/>
          <w:noProof/>
          <w:szCs w:val="22"/>
          <w:lang w:val="en-NZ" w:eastAsia="en-NZ"/>
        </w:rPr>
        <w:tab/>
      </w:r>
      <w:r>
        <w:rPr>
          <w:noProof/>
        </w:rPr>
        <w:t>Evaluation approach</w:t>
      </w:r>
      <w:r>
        <w:rPr>
          <w:noProof/>
        </w:rPr>
        <w:tab/>
      </w:r>
      <w:r>
        <w:rPr>
          <w:noProof/>
        </w:rPr>
        <w:fldChar w:fldCharType="begin"/>
      </w:r>
      <w:r>
        <w:rPr>
          <w:noProof/>
        </w:rPr>
        <w:instrText xml:space="preserve"> PAGEREF _Toc1729542 \h </w:instrText>
      </w:r>
      <w:r>
        <w:rPr>
          <w:noProof/>
        </w:rPr>
      </w:r>
      <w:r>
        <w:rPr>
          <w:noProof/>
        </w:rPr>
        <w:fldChar w:fldCharType="separate"/>
      </w:r>
      <w:r w:rsidR="00EC62DB">
        <w:rPr>
          <w:noProof/>
        </w:rPr>
        <w:t>34</w:t>
      </w:r>
      <w:r>
        <w:rPr>
          <w:noProof/>
        </w:rPr>
        <w:fldChar w:fldCharType="end"/>
      </w:r>
    </w:p>
    <w:p w14:paraId="31679E00" w14:textId="5F542B94"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5</w:t>
      </w:r>
      <w:r>
        <w:rPr>
          <w:rFonts w:asciiTheme="minorHAnsi" w:eastAsiaTheme="minorEastAsia" w:hAnsiTheme="minorHAnsi" w:cstheme="minorBidi"/>
          <w:noProof/>
          <w:szCs w:val="22"/>
          <w:lang w:val="en-NZ" w:eastAsia="en-NZ"/>
        </w:rPr>
        <w:tab/>
      </w:r>
      <w:r>
        <w:rPr>
          <w:noProof/>
        </w:rPr>
        <w:t>Progress towards results</w:t>
      </w:r>
      <w:r>
        <w:rPr>
          <w:noProof/>
        </w:rPr>
        <w:tab/>
      </w:r>
      <w:r>
        <w:rPr>
          <w:noProof/>
        </w:rPr>
        <w:fldChar w:fldCharType="begin"/>
      </w:r>
      <w:r>
        <w:rPr>
          <w:noProof/>
        </w:rPr>
        <w:instrText xml:space="preserve"> PAGEREF _Toc1729543 \h </w:instrText>
      </w:r>
      <w:r>
        <w:rPr>
          <w:noProof/>
        </w:rPr>
      </w:r>
      <w:r>
        <w:rPr>
          <w:noProof/>
        </w:rPr>
        <w:fldChar w:fldCharType="separate"/>
      </w:r>
      <w:r w:rsidR="00EC62DB">
        <w:rPr>
          <w:noProof/>
        </w:rPr>
        <w:t>42</w:t>
      </w:r>
      <w:r>
        <w:rPr>
          <w:noProof/>
        </w:rPr>
        <w:fldChar w:fldCharType="end"/>
      </w:r>
    </w:p>
    <w:p w14:paraId="6F252A55" w14:textId="3D2C496D"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6</w:t>
      </w:r>
      <w:r>
        <w:rPr>
          <w:rFonts w:asciiTheme="minorHAnsi" w:eastAsiaTheme="minorEastAsia" w:hAnsiTheme="minorHAnsi" w:cstheme="minorBidi"/>
          <w:noProof/>
          <w:szCs w:val="22"/>
          <w:lang w:val="en-NZ" w:eastAsia="en-NZ"/>
        </w:rPr>
        <w:tab/>
      </w:r>
      <w:r>
        <w:rPr>
          <w:noProof/>
        </w:rPr>
        <w:t>Australia Awards Scholarships by priority sector and gender, Intakes 2016 – 2019</w:t>
      </w:r>
      <w:r>
        <w:rPr>
          <w:noProof/>
        </w:rPr>
        <w:tab/>
      </w:r>
      <w:r>
        <w:rPr>
          <w:noProof/>
        </w:rPr>
        <w:fldChar w:fldCharType="begin"/>
      </w:r>
      <w:r>
        <w:rPr>
          <w:noProof/>
        </w:rPr>
        <w:instrText xml:space="preserve"> PAGEREF _Toc1729544 \h </w:instrText>
      </w:r>
      <w:r>
        <w:rPr>
          <w:noProof/>
        </w:rPr>
      </w:r>
      <w:r>
        <w:rPr>
          <w:noProof/>
        </w:rPr>
        <w:fldChar w:fldCharType="separate"/>
      </w:r>
      <w:r w:rsidR="00EC62DB">
        <w:rPr>
          <w:noProof/>
        </w:rPr>
        <w:t>45</w:t>
      </w:r>
      <w:r>
        <w:rPr>
          <w:noProof/>
        </w:rPr>
        <w:fldChar w:fldCharType="end"/>
      </w:r>
    </w:p>
    <w:p w14:paraId="7FD5FF87" w14:textId="7BBAAE94"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7</w:t>
      </w:r>
      <w:r>
        <w:rPr>
          <w:rFonts w:asciiTheme="minorHAnsi" w:eastAsiaTheme="minorEastAsia" w:hAnsiTheme="minorHAnsi" w:cstheme="minorBidi"/>
          <w:noProof/>
          <w:szCs w:val="22"/>
          <w:lang w:val="en-NZ" w:eastAsia="en-NZ"/>
        </w:rPr>
        <w:tab/>
      </w:r>
      <w:r>
        <w:rPr>
          <w:noProof/>
        </w:rPr>
        <w:t>Short Course Awards by priority sector and gender, Intakes 2016 – 2018</w:t>
      </w:r>
      <w:r>
        <w:rPr>
          <w:noProof/>
        </w:rPr>
        <w:tab/>
      </w:r>
      <w:r>
        <w:rPr>
          <w:noProof/>
        </w:rPr>
        <w:fldChar w:fldCharType="begin"/>
      </w:r>
      <w:r>
        <w:rPr>
          <w:noProof/>
        </w:rPr>
        <w:instrText xml:space="preserve"> PAGEREF _Toc1729545 \h </w:instrText>
      </w:r>
      <w:r>
        <w:rPr>
          <w:noProof/>
        </w:rPr>
      </w:r>
      <w:r>
        <w:rPr>
          <w:noProof/>
        </w:rPr>
        <w:fldChar w:fldCharType="separate"/>
      </w:r>
      <w:r w:rsidR="00EC62DB">
        <w:rPr>
          <w:noProof/>
        </w:rPr>
        <w:t>45</w:t>
      </w:r>
      <w:r>
        <w:rPr>
          <w:noProof/>
        </w:rPr>
        <w:fldChar w:fldCharType="end"/>
      </w:r>
    </w:p>
    <w:p w14:paraId="4FB8D999" w14:textId="79037A99"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8</w:t>
      </w:r>
      <w:r>
        <w:rPr>
          <w:rFonts w:asciiTheme="minorHAnsi" w:eastAsiaTheme="minorEastAsia" w:hAnsiTheme="minorHAnsi" w:cstheme="minorBidi"/>
          <w:noProof/>
          <w:szCs w:val="22"/>
          <w:lang w:val="en-NZ" w:eastAsia="en-NZ"/>
        </w:rPr>
        <w:tab/>
      </w:r>
      <w:r>
        <w:rPr>
          <w:noProof/>
        </w:rPr>
        <w:t>Small grants by country and grant type, 2016 – 2018</w:t>
      </w:r>
      <w:r>
        <w:rPr>
          <w:noProof/>
        </w:rPr>
        <w:tab/>
      </w:r>
      <w:r>
        <w:rPr>
          <w:noProof/>
        </w:rPr>
        <w:fldChar w:fldCharType="begin"/>
      </w:r>
      <w:r>
        <w:rPr>
          <w:noProof/>
        </w:rPr>
        <w:instrText xml:space="preserve"> PAGEREF _Toc1729546 \h </w:instrText>
      </w:r>
      <w:r>
        <w:rPr>
          <w:noProof/>
        </w:rPr>
      </w:r>
      <w:r>
        <w:rPr>
          <w:noProof/>
        </w:rPr>
        <w:fldChar w:fldCharType="separate"/>
      </w:r>
      <w:r w:rsidR="00EC62DB">
        <w:rPr>
          <w:noProof/>
        </w:rPr>
        <w:t>46</w:t>
      </w:r>
      <w:r>
        <w:rPr>
          <w:noProof/>
        </w:rPr>
        <w:fldChar w:fldCharType="end"/>
      </w:r>
    </w:p>
    <w:p w14:paraId="0180B0A8" w14:textId="64FC8D51"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9</w:t>
      </w:r>
      <w:r>
        <w:rPr>
          <w:rFonts w:asciiTheme="minorHAnsi" w:eastAsiaTheme="minorEastAsia" w:hAnsiTheme="minorHAnsi" w:cstheme="minorBidi"/>
          <w:noProof/>
          <w:szCs w:val="22"/>
          <w:lang w:val="en-NZ" w:eastAsia="en-NZ"/>
        </w:rPr>
        <w:tab/>
      </w:r>
      <w:r>
        <w:rPr>
          <w:noProof/>
        </w:rPr>
        <w:t>2017 participants in Strathmore Business School WIL training by country</w:t>
      </w:r>
      <w:r>
        <w:rPr>
          <w:noProof/>
        </w:rPr>
        <w:tab/>
      </w:r>
      <w:r>
        <w:rPr>
          <w:noProof/>
        </w:rPr>
        <w:fldChar w:fldCharType="begin"/>
      </w:r>
      <w:r>
        <w:rPr>
          <w:noProof/>
        </w:rPr>
        <w:instrText xml:space="preserve"> PAGEREF _Toc1729547 \h </w:instrText>
      </w:r>
      <w:r>
        <w:rPr>
          <w:noProof/>
        </w:rPr>
      </w:r>
      <w:r>
        <w:rPr>
          <w:noProof/>
        </w:rPr>
        <w:fldChar w:fldCharType="separate"/>
      </w:r>
      <w:r w:rsidR="00EC62DB">
        <w:rPr>
          <w:noProof/>
        </w:rPr>
        <w:t>47</w:t>
      </w:r>
      <w:r>
        <w:rPr>
          <w:noProof/>
        </w:rPr>
        <w:fldChar w:fldCharType="end"/>
      </w:r>
    </w:p>
    <w:p w14:paraId="4105C9FD" w14:textId="1D109E5D"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10</w:t>
      </w:r>
      <w:r>
        <w:rPr>
          <w:rFonts w:asciiTheme="minorHAnsi" w:eastAsiaTheme="minorEastAsia" w:hAnsiTheme="minorHAnsi" w:cstheme="minorBidi"/>
          <w:noProof/>
          <w:szCs w:val="22"/>
          <w:lang w:val="en-NZ" w:eastAsia="en-NZ"/>
        </w:rPr>
        <w:tab/>
      </w:r>
      <w:r>
        <w:rPr>
          <w:noProof/>
        </w:rPr>
        <w:t>2018 participants in Strathmore Business School WIL training by country</w:t>
      </w:r>
      <w:r>
        <w:rPr>
          <w:noProof/>
        </w:rPr>
        <w:tab/>
      </w:r>
      <w:r>
        <w:rPr>
          <w:noProof/>
        </w:rPr>
        <w:fldChar w:fldCharType="begin"/>
      </w:r>
      <w:r>
        <w:rPr>
          <w:noProof/>
        </w:rPr>
        <w:instrText xml:space="preserve"> PAGEREF _Toc1729548 \h </w:instrText>
      </w:r>
      <w:r>
        <w:rPr>
          <w:noProof/>
        </w:rPr>
      </w:r>
      <w:r>
        <w:rPr>
          <w:noProof/>
        </w:rPr>
        <w:fldChar w:fldCharType="separate"/>
      </w:r>
      <w:r w:rsidR="00EC62DB">
        <w:rPr>
          <w:noProof/>
        </w:rPr>
        <w:t>48</w:t>
      </w:r>
      <w:r>
        <w:rPr>
          <w:noProof/>
        </w:rPr>
        <w:fldChar w:fldCharType="end"/>
      </w:r>
    </w:p>
    <w:p w14:paraId="1622C827" w14:textId="64E3D041"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Table 11</w:t>
      </w:r>
      <w:r>
        <w:rPr>
          <w:rFonts w:asciiTheme="minorHAnsi" w:eastAsiaTheme="minorEastAsia" w:hAnsiTheme="minorHAnsi" w:cstheme="minorBidi"/>
          <w:noProof/>
          <w:szCs w:val="22"/>
          <w:lang w:val="en-NZ" w:eastAsia="en-NZ"/>
        </w:rPr>
        <w:tab/>
      </w:r>
      <w:r>
        <w:rPr>
          <w:noProof/>
        </w:rPr>
        <w:t>Post-doctoral fellows by gender, country and intake year</w:t>
      </w:r>
      <w:r>
        <w:rPr>
          <w:noProof/>
        </w:rPr>
        <w:tab/>
      </w:r>
      <w:r>
        <w:rPr>
          <w:noProof/>
        </w:rPr>
        <w:fldChar w:fldCharType="begin"/>
      </w:r>
      <w:r>
        <w:rPr>
          <w:noProof/>
        </w:rPr>
        <w:instrText xml:space="preserve"> PAGEREF _Toc1729549 \h </w:instrText>
      </w:r>
      <w:r>
        <w:rPr>
          <w:noProof/>
        </w:rPr>
      </w:r>
      <w:r>
        <w:rPr>
          <w:noProof/>
        </w:rPr>
        <w:fldChar w:fldCharType="separate"/>
      </w:r>
      <w:r w:rsidR="00EC62DB">
        <w:rPr>
          <w:noProof/>
        </w:rPr>
        <w:t>51</w:t>
      </w:r>
      <w:r>
        <w:rPr>
          <w:noProof/>
        </w:rPr>
        <w:fldChar w:fldCharType="end"/>
      </w:r>
    </w:p>
    <w:p w14:paraId="678997FB" w14:textId="3177EAF1" w:rsidR="00D20FD9" w:rsidRDefault="007B6376" w:rsidP="00BC5EEA">
      <w:pPr>
        <w:pStyle w:val="Heading3a"/>
        <w:numPr>
          <w:ilvl w:val="0"/>
          <w:numId w:val="0"/>
        </w:numPr>
      </w:pPr>
      <w:r w:rsidRPr="007754ED">
        <w:fldChar w:fldCharType="end"/>
      </w:r>
      <w:r w:rsidR="0048295D">
        <w:t>Figures</w:t>
      </w:r>
    </w:p>
    <w:p w14:paraId="3B04FE65" w14:textId="66FCDE5A" w:rsidR="00EC527D" w:rsidRDefault="00AC2FB8">
      <w:pPr>
        <w:pStyle w:val="TableofFigures"/>
        <w:ind w:left="990" w:hanging="990"/>
        <w:rPr>
          <w:rFonts w:asciiTheme="minorHAnsi" w:eastAsiaTheme="minorEastAsia" w:hAnsiTheme="minorHAnsi" w:cstheme="minorBidi"/>
          <w:noProof/>
          <w:szCs w:val="22"/>
          <w:lang w:val="en-NZ" w:eastAsia="en-NZ"/>
        </w:rPr>
      </w:pPr>
      <w:r>
        <w:fldChar w:fldCharType="begin"/>
      </w:r>
      <w:r>
        <w:instrText xml:space="preserve"> TOC \t "FigureName" \c </w:instrText>
      </w:r>
      <w:r>
        <w:fldChar w:fldCharType="separate"/>
      </w:r>
      <w:r w:rsidR="00EC527D">
        <w:rPr>
          <w:noProof/>
        </w:rPr>
        <w:t xml:space="preserve">Figure 1 </w:t>
      </w:r>
      <w:r w:rsidR="00EC527D">
        <w:rPr>
          <w:rFonts w:asciiTheme="minorHAnsi" w:eastAsiaTheme="minorEastAsia" w:hAnsiTheme="minorHAnsi" w:cstheme="minorBidi"/>
          <w:noProof/>
          <w:szCs w:val="22"/>
          <w:lang w:val="en-NZ" w:eastAsia="en-NZ"/>
        </w:rPr>
        <w:tab/>
      </w:r>
      <w:r w:rsidR="00EC527D">
        <w:rPr>
          <w:noProof/>
        </w:rPr>
        <w:t>Participation of women and men in Australia Awards scholarships (2016-2019) and short courses (2016-2018)</w:t>
      </w:r>
      <w:r w:rsidR="00EC527D">
        <w:rPr>
          <w:noProof/>
        </w:rPr>
        <w:tab/>
      </w:r>
      <w:r w:rsidR="00EC527D">
        <w:rPr>
          <w:noProof/>
        </w:rPr>
        <w:fldChar w:fldCharType="begin"/>
      </w:r>
      <w:r w:rsidR="00EC527D">
        <w:rPr>
          <w:noProof/>
        </w:rPr>
        <w:instrText xml:space="preserve"> PAGEREF _Toc1729550 \h </w:instrText>
      </w:r>
      <w:r w:rsidR="00EC527D">
        <w:rPr>
          <w:noProof/>
        </w:rPr>
      </w:r>
      <w:r w:rsidR="00EC527D">
        <w:rPr>
          <w:noProof/>
        </w:rPr>
        <w:fldChar w:fldCharType="separate"/>
      </w:r>
      <w:r w:rsidR="00EC62DB">
        <w:rPr>
          <w:noProof/>
        </w:rPr>
        <w:t>27</w:t>
      </w:r>
      <w:r w:rsidR="00EC527D">
        <w:rPr>
          <w:noProof/>
        </w:rPr>
        <w:fldChar w:fldCharType="end"/>
      </w:r>
    </w:p>
    <w:p w14:paraId="49A04288" w14:textId="0B0C43C4"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 xml:space="preserve">Figure 2 </w:t>
      </w:r>
      <w:r>
        <w:rPr>
          <w:rFonts w:asciiTheme="minorHAnsi" w:eastAsiaTheme="minorEastAsia" w:hAnsiTheme="minorHAnsi" w:cstheme="minorBidi"/>
          <w:noProof/>
          <w:szCs w:val="22"/>
          <w:lang w:val="en-NZ" w:eastAsia="en-NZ"/>
        </w:rPr>
        <w:tab/>
      </w:r>
      <w:r>
        <w:rPr>
          <w:noProof/>
        </w:rPr>
        <w:t>Participation of people with disability, 2016 - 2018</w:t>
      </w:r>
      <w:r>
        <w:rPr>
          <w:noProof/>
        </w:rPr>
        <w:tab/>
      </w:r>
      <w:r>
        <w:rPr>
          <w:noProof/>
        </w:rPr>
        <w:fldChar w:fldCharType="begin"/>
      </w:r>
      <w:r>
        <w:rPr>
          <w:noProof/>
        </w:rPr>
        <w:instrText xml:space="preserve"> PAGEREF _Toc1729551 \h </w:instrText>
      </w:r>
      <w:r>
        <w:rPr>
          <w:noProof/>
        </w:rPr>
      </w:r>
      <w:r>
        <w:rPr>
          <w:noProof/>
        </w:rPr>
        <w:fldChar w:fldCharType="separate"/>
      </w:r>
      <w:r w:rsidR="00EC62DB">
        <w:rPr>
          <w:noProof/>
        </w:rPr>
        <w:t>27</w:t>
      </w:r>
      <w:r>
        <w:rPr>
          <w:noProof/>
        </w:rPr>
        <w:fldChar w:fldCharType="end"/>
      </w:r>
    </w:p>
    <w:p w14:paraId="24252D15" w14:textId="6CDA44E9"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 xml:space="preserve">Figure 3 </w:t>
      </w:r>
      <w:r>
        <w:rPr>
          <w:rFonts w:asciiTheme="minorHAnsi" w:eastAsiaTheme="minorEastAsia" w:hAnsiTheme="minorHAnsi" w:cstheme="minorBidi"/>
          <w:noProof/>
          <w:szCs w:val="22"/>
          <w:lang w:val="en-NZ" w:eastAsia="en-NZ"/>
        </w:rPr>
        <w:tab/>
      </w:r>
      <w:r>
        <w:rPr>
          <w:noProof/>
        </w:rPr>
        <w:t>Participation of people with disability, and disability-related courses, 2011 - 2018</w:t>
      </w:r>
      <w:r>
        <w:rPr>
          <w:noProof/>
        </w:rPr>
        <w:tab/>
      </w:r>
      <w:r>
        <w:rPr>
          <w:noProof/>
        </w:rPr>
        <w:fldChar w:fldCharType="begin"/>
      </w:r>
      <w:r>
        <w:rPr>
          <w:noProof/>
        </w:rPr>
        <w:instrText xml:space="preserve"> PAGEREF _Toc1729552 \h </w:instrText>
      </w:r>
      <w:r>
        <w:rPr>
          <w:noProof/>
        </w:rPr>
      </w:r>
      <w:r>
        <w:rPr>
          <w:noProof/>
        </w:rPr>
        <w:fldChar w:fldCharType="separate"/>
      </w:r>
      <w:r w:rsidR="00EC62DB">
        <w:rPr>
          <w:noProof/>
        </w:rPr>
        <w:t>44</w:t>
      </w:r>
      <w:r>
        <w:rPr>
          <w:noProof/>
        </w:rPr>
        <w:fldChar w:fldCharType="end"/>
      </w:r>
    </w:p>
    <w:p w14:paraId="413F31A8" w14:textId="6CAEA190"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Figure 4</w:t>
      </w:r>
      <w:r>
        <w:rPr>
          <w:rFonts w:asciiTheme="minorHAnsi" w:eastAsiaTheme="minorEastAsia" w:hAnsiTheme="minorHAnsi" w:cstheme="minorBidi"/>
          <w:noProof/>
          <w:szCs w:val="22"/>
          <w:lang w:val="en-NZ" w:eastAsia="en-NZ"/>
        </w:rPr>
        <w:tab/>
      </w:r>
      <w:r>
        <w:rPr>
          <w:noProof/>
        </w:rPr>
        <w:t>Australia Awards Scholarship scholars by country of citizenship, 2016 -2019</w:t>
      </w:r>
      <w:r>
        <w:rPr>
          <w:noProof/>
        </w:rPr>
        <w:tab/>
      </w:r>
      <w:r>
        <w:rPr>
          <w:noProof/>
        </w:rPr>
        <w:fldChar w:fldCharType="begin"/>
      </w:r>
      <w:r>
        <w:rPr>
          <w:noProof/>
        </w:rPr>
        <w:instrText xml:space="preserve"> PAGEREF _Toc1729553 \h </w:instrText>
      </w:r>
      <w:r>
        <w:rPr>
          <w:noProof/>
        </w:rPr>
      </w:r>
      <w:r>
        <w:rPr>
          <w:noProof/>
        </w:rPr>
        <w:fldChar w:fldCharType="separate"/>
      </w:r>
      <w:r w:rsidR="00EC62DB">
        <w:rPr>
          <w:noProof/>
        </w:rPr>
        <w:t>44</w:t>
      </w:r>
      <w:r>
        <w:rPr>
          <w:noProof/>
        </w:rPr>
        <w:fldChar w:fldCharType="end"/>
      </w:r>
    </w:p>
    <w:p w14:paraId="3060C842" w14:textId="7903ADBC"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Figure 5</w:t>
      </w:r>
      <w:r>
        <w:rPr>
          <w:rFonts w:asciiTheme="minorHAnsi" w:eastAsiaTheme="minorEastAsia" w:hAnsiTheme="minorHAnsi" w:cstheme="minorBidi"/>
          <w:noProof/>
          <w:szCs w:val="22"/>
          <w:lang w:val="en-NZ" w:eastAsia="en-NZ"/>
        </w:rPr>
        <w:tab/>
      </w:r>
      <w:r>
        <w:rPr>
          <w:noProof/>
        </w:rPr>
        <w:t>Short course participants by country of citizenship, 2016 -2018</w:t>
      </w:r>
      <w:r>
        <w:rPr>
          <w:noProof/>
        </w:rPr>
        <w:tab/>
      </w:r>
      <w:r>
        <w:rPr>
          <w:noProof/>
        </w:rPr>
        <w:fldChar w:fldCharType="begin"/>
      </w:r>
      <w:r>
        <w:rPr>
          <w:noProof/>
        </w:rPr>
        <w:instrText xml:space="preserve"> PAGEREF _Toc1729554 \h </w:instrText>
      </w:r>
      <w:r>
        <w:rPr>
          <w:noProof/>
        </w:rPr>
      </w:r>
      <w:r>
        <w:rPr>
          <w:noProof/>
        </w:rPr>
        <w:fldChar w:fldCharType="separate"/>
      </w:r>
      <w:r w:rsidR="00EC62DB">
        <w:rPr>
          <w:noProof/>
        </w:rPr>
        <w:t>45</w:t>
      </w:r>
      <w:r>
        <w:rPr>
          <w:noProof/>
        </w:rPr>
        <w:fldChar w:fldCharType="end"/>
      </w:r>
    </w:p>
    <w:p w14:paraId="0BEF57BC" w14:textId="62A08F1A"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Figure 6</w:t>
      </w:r>
      <w:r>
        <w:rPr>
          <w:rFonts w:asciiTheme="minorHAnsi" w:eastAsiaTheme="minorEastAsia" w:hAnsiTheme="minorHAnsi" w:cstheme="minorBidi"/>
          <w:noProof/>
          <w:szCs w:val="22"/>
          <w:lang w:val="en-NZ" w:eastAsia="en-NZ"/>
        </w:rPr>
        <w:tab/>
      </w:r>
      <w:r>
        <w:rPr>
          <w:noProof/>
        </w:rPr>
        <w:t>Number of Awards to Private Sector by Award Type, Country and Gender, 2016-2019</w:t>
      </w:r>
      <w:r>
        <w:rPr>
          <w:noProof/>
        </w:rPr>
        <w:tab/>
      </w:r>
      <w:r>
        <w:rPr>
          <w:noProof/>
        </w:rPr>
        <w:fldChar w:fldCharType="begin"/>
      </w:r>
      <w:r>
        <w:rPr>
          <w:noProof/>
        </w:rPr>
        <w:instrText xml:space="preserve"> PAGEREF _Toc1729555 \h </w:instrText>
      </w:r>
      <w:r>
        <w:rPr>
          <w:noProof/>
        </w:rPr>
      </w:r>
      <w:r>
        <w:rPr>
          <w:noProof/>
        </w:rPr>
        <w:fldChar w:fldCharType="separate"/>
      </w:r>
      <w:r w:rsidR="00EC62DB">
        <w:rPr>
          <w:noProof/>
        </w:rPr>
        <w:t>49</w:t>
      </w:r>
      <w:r>
        <w:rPr>
          <w:noProof/>
        </w:rPr>
        <w:fldChar w:fldCharType="end"/>
      </w:r>
    </w:p>
    <w:p w14:paraId="78056CE8" w14:textId="1AC522AE"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Figure 7</w:t>
      </w:r>
      <w:r>
        <w:rPr>
          <w:rFonts w:asciiTheme="minorHAnsi" w:eastAsiaTheme="minorEastAsia" w:hAnsiTheme="minorHAnsi" w:cstheme="minorBidi"/>
          <w:noProof/>
          <w:szCs w:val="22"/>
          <w:lang w:val="en-NZ" w:eastAsia="en-NZ"/>
        </w:rPr>
        <w:tab/>
      </w:r>
      <w:r>
        <w:rPr>
          <w:noProof/>
        </w:rPr>
        <w:t>Number of awards to private sector applicants by award type, priority sector and gender, 2016-2019</w:t>
      </w:r>
      <w:r>
        <w:rPr>
          <w:noProof/>
        </w:rPr>
        <w:tab/>
      </w:r>
      <w:r>
        <w:rPr>
          <w:noProof/>
        </w:rPr>
        <w:fldChar w:fldCharType="begin"/>
      </w:r>
      <w:r>
        <w:rPr>
          <w:noProof/>
        </w:rPr>
        <w:instrText xml:space="preserve"> PAGEREF _Toc1729556 \h </w:instrText>
      </w:r>
      <w:r>
        <w:rPr>
          <w:noProof/>
        </w:rPr>
      </w:r>
      <w:r>
        <w:rPr>
          <w:noProof/>
        </w:rPr>
        <w:fldChar w:fldCharType="separate"/>
      </w:r>
      <w:r w:rsidR="00EC62DB">
        <w:rPr>
          <w:noProof/>
        </w:rPr>
        <w:t>50</w:t>
      </w:r>
      <w:r>
        <w:rPr>
          <w:noProof/>
        </w:rPr>
        <w:fldChar w:fldCharType="end"/>
      </w:r>
    </w:p>
    <w:p w14:paraId="03300788" w14:textId="296B501E"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Figure 8</w:t>
      </w:r>
      <w:r>
        <w:rPr>
          <w:rFonts w:asciiTheme="minorHAnsi" w:eastAsiaTheme="minorEastAsia" w:hAnsiTheme="minorHAnsi" w:cstheme="minorBidi"/>
          <w:noProof/>
          <w:szCs w:val="22"/>
          <w:lang w:val="en-NZ" w:eastAsia="en-NZ"/>
        </w:rPr>
        <w:tab/>
      </w:r>
      <w:r>
        <w:rPr>
          <w:noProof/>
        </w:rPr>
        <w:t>Field trips to the private sector</w:t>
      </w:r>
      <w:r>
        <w:rPr>
          <w:noProof/>
        </w:rPr>
        <w:tab/>
      </w:r>
      <w:r>
        <w:rPr>
          <w:noProof/>
        </w:rPr>
        <w:fldChar w:fldCharType="begin"/>
      </w:r>
      <w:r>
        <w:rPr>
          <w:noProof/>
        </w:rPr>
        <w:instrText xml:space="preserve"> PAGEREF _Toc1729557 \h </w:instrText>
      </w:r>
      <w:r>
        <w:rPr>
          <w:noProof/>
        </w:rPr>
      </w:r>
      <w:r>
        <w:rPr>
          <w:noProof/>
        </w:rPr>
        <w:fldChar w:fldCharType="separate"/>
      </w:r>
      <w:r w:rsidR="00EC62DB">
        <w:rPr>
          <w:noProof/>
        </w:rPr>
        <w:t>56</w:t>
      </w:r>
      <w:r>
        <w:rPr>
          <w:noProof/>
        </w:rPr>
        <w:fldChar w:fldCharType="end"/>
      </w:r>
    </w:p>
    <w:p w14:paraId="649D9AA3" w14:textId="6E0C838D"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Figure 9</w:t>
      </w:r>
      <w:r>
        <w:rPr>
          <w:rFonts w:asciiTheme="minorHAnsi" w:eastAsiaTheme="minorEastAsia" w:hAnsiTheme="minorHAnsi" w:cstheme="minorBidi"/>
          <w:noProof/>
          <w:szCs w:val="22"/>
          <w:lang w:val="en-NZ" w:eastAsia="en-NZ"/>
        </w:rPr>
        <w:tab/>
      </w:r>
      <w:r>
        <w:rPr>
          <w:noProof/>
        </w:rPr>
        <w:t>Guest lecturers on short courses</w:t>
      </w:r>
      <w:r>
        <w:rPr>
          <w:noProof/>
        </w:rPr>
        <w:tab/>
      </w:r>
      <w:r>
        <w:rPr>
          <w:noProof/>
        </w:rPr>
        <w:fldChar w:fldCharType="begin"/>
      </w:r>
      <w:r>
        <w:rPr>
          <w:noProof/>
        </w:rPr>
        <w:instrText xml:space="preserve"> PAGEREF _Toc1729558 \h </w:instrText>
      </w:r>
      <w:r>
        <w:rPr>
          <w:noProof/>
        </w:rPr>
      </w:r>
      <w:r>
        <w:rPr>
          <w:noProof/>
        </w:rPr>
        <w:fldChar w:fldCharType="separate"/>
      </w:r>
      <w:r w:rsidR="00EC62DB">
        <w:rPr>
          <w:noProof/>
        </w:rPr>
        <w:t>57</w:t>
      </w:r>
      <w:r>
        <w:rPr>
          <w:noProof/>
        </w:rPr>
        <w:fldChar w:fldCharType="end"/>
      </w:r>
    </w:p>
    <w:p w14:paraId="0D423BD5" w14:textId="682128DC" w:rsidR="00EC527D" w:rsidRDefault="00EC527D">
      <w:pPr>
        <w:pStyle w:val="TableofFigures"/>
        <w:ind w:left="990" w:hanging="990"/>
        <w:rPr>
          <w:rFonts w:asciiTheme="minorHAnsi" w:eastAsiaTheme="minorEastAsia" w:hAnsiTheme="minorHAnsi" w:cstheme="minorBidi"/>
          <w:noProof/>
          <w:szCs w:val="22"/>
          <w:lang w:val="en-NZ" w:eastAsia="en-NZ"/>
        </w:rPr>
      </w:pPr>
      <w:r>
        <w:rPr>
          <w:noProof/>
        </w:rPr>
        <w:t>Figure 10</w:t>
      </w:r>
      <w:r>
        <w:rPr>
          <w:rFonts w:asciiTheme="minorHAnsi" w:eastAsiaTheme="minorEastAsia" w:hAnsiTheme="minorHAnsi" w:cstheme="minorBidi"/>
          <w:noProof/>
          <w:szCs w:val="22"/>
          <w:lang w:val="en-NZ" w:eastAsia="en-NZ"/>
        </w:rPr>
        <w:tab/>
      </w:r>
      <w:r>
        <w:rPr>
          <w:noProof/>
        </w:rPr>
        <w:t xml:space="preserve"> Actual and projectect expenditure, 2016 - 2020</w:t>
      </w:r>
      <w:r>
        <w:rPr>
          <w:noProof/>
        </w:rPr>
        <w:tab/>
      </w:r>
      <w:r>
        <w:rPr>
          <w:noProof/>
        </w:rPr>
        <w:fldChar w:fldCharType="begin"/>
      </w:r>
      <w:r>
        <w:rPr>
          <w:noProof/>
        </w:rPr>
        <w:instrText xml:space="preserve"> PAGEREF _Toc1729559 \h </w:instrText>
      </w:r>
      <w:r>
        <w:rPr>
          <w:noProof/>
        </w:rPr>
      </w:r>
      <w:r>
        <w:rPr>
          <w:noProof/>
        </w:rPr>
        <w:fldChar w:fldCharType="separate"/>
      </w:r>
      <w:r w:rsidR="00EC62DB">
        <w:rPr>
          <w:noProof/>
        </w:rPr>
        <w:t>59</w:t>
      </w:r>
      <w:r>
        <w:rPr>
          <w:noProof/>
        </w:rPr>
        <w:fldChar w:fldCharType="end"/>
      </w:r>
    </w:p>
    <w:p w14:paraId="59BD21C5" w14:textId="73B327A6" w:rsidR="00D20FD9" w:rsidRDefault="00AC2FB8" w:rsidP="004D23EE">
      <w:pPr>
        <w:pStyle w:val="SectionTitle"/>
      </w:pPr>
      <w:r>
        <w:lastRenderedPageBreak/>
        <w:fldChar w:fldCharType="end"/>
      </w:r>
      <w:bookmarkStart w:id="2" w:name="_Toc1729507"/>
      <w:r w:rsidR="00795B53">
        <w:t>Acknowledgments</w:t>
      </w:r>
      <w:bookmarkEnd w:id="2"/>
      <w:r w:rsidR="00C15DB3">
        <w:t xml:space="preserve"> </w:t>
      </w:r>
    </w:p>
    <w:p w14:paraId="47C5785B" w14:textId="3643C81B" w:rsidR="00CD40AB" w:rsidRPr="000E53D7" w:rsidRDefault="00A41045" w:rsidP="00EF1D45">
      <w:r w:rsidRPr="00EF1D45">
        <w:rPr>
          <w:szCs w:val="21"/>
        </w:rPr>
        <w:t>This mid-</w:t>
      </w:r>
      <w:r w:rsidRPr="00EF1D45">
        <w:t>term</w:t>
      </w:r>
      <w:r w:rsidRPr="00EF1D45">
        <w:rPr>
          <w:szCs w:val="21"/>
        </w:rPr>
        <w:t xml:space="preserve"> </w:t>
      </w:r>
      <w:r w:rsidR="008A01B1">
        <w:rPr>
          <w:szCs w:val="21"/>
        </w:rPr>
        <w:t xml:space="preserve">evaluation </w:t>
      </w:r>
      <w:r w:rsidRPr="00EF1D45">
        <w:rPr>
          <w:szCs w:val="21"/>
        </w:rPr>
        <w:t xml:space="preserve">was undertaken by </w:t>
      </w:r>
      <w:r w:rsidR="008A01B1">
        <w:rPr>
          <w:szCs w:val="21"/>
        </w:rPr>
        <w:t xml:space="preserve">an independent </w:t>
      </w:r>
      <w:r w:rsidRPr="00EF1D45">
        <w:rPr>
          <w:szCs w:val="21"/>
        </w:rPr>
        <w:t xml:space="preserve">evaluator, </w:t>
      </w:r>
      <w:r w:rsidR="00CD40AB">
        <w:rPr>
          <w:szCs w:val="21"/>
        </w:rPr>
        <w:t xml:space="preserve">Ms </w:t>
      </w:r>
      <w:r w:rsidRPr="00EF1D45">
        <w:rPr>
          <w:szCs w:val="21"/>
        </w:rPr>
        <w:t xml:space="preserve">Stacey Tennant. </w:t>
      </w:r>
      <w:r w:rsidR="008A01B1">
        <w:rPr>
          <w:szCs w:val="21"/>
        </w:rPr>
        <w:t>The evaluator was accompanied by</w:t>
      </w:r>
      <w:r w:rsidR="00A00B8E">
        <w:rPr>
          <w:szCs w:val="21"/>
        </w:rPr>
        <w:t xml:space="preserve"> </w:t>
      </w:r>
      <w:r w:rsidR="00CD40AB">
        <w:rPr>
          <w:szCs w:val="21"/>
        </w:rPr>
        <w:t xml:space="preserve">Ms </w:t>
      </w:r>
      <w:r w:rsidR="00A00B8E">
        <w:rPr>
          <w:szCs w:val="21"/>
        </w:rPr>
        <w:t xml:space="preserve">Gnari Michael, Assistant Director, </w:t>
      </w:r>
      <w:r w:rsidR="00CD40AB" w:rsidRPr="000C3AD7">
        <w:t>Pan Africa and Effectiveness Section</w:t>
      </w:r>
      <w:r w:rsidR="00CD40AB">
        <w:t xml:space="preserve"> of the Department of Foreign Affairs and Trade</w:t>
      </w:r>
      <w:r w:rsidR="00CD40AB">
        <w:rPr>
          <w:szCs w:val="21"/>
        </w:rPr>
        <w:t xml:space="preserve"> (DFAT) </w:t>
      </w:r>
      <w:r w:rsidR="008A01B1">
        <w:rPr>
          <w:szCs w:val="21"/>
        </w:rPr>
        <w:t xml:space="preserve">for the consultations in South Africa, </w:t>
      </w:r>
      <w:proofErr w:type="gramStart"/>
      <w:r w:rsidR="008A01B1">
        <w:rPr>
          <w:szCs w:val="21"/>
        </w:rPr>
        <w:t>Ghana</w:t>
      </w:r>
      <w:proofErr w:type="gramEnd"/>
      <w:r w:rsidR="008A01B1">
        <w:rPr>
          <w:szCs w:val="21"/>
        </w:rPr>
        <w:t xml:space="preserve"> and Kenya. </w:t>
      </w:r>
      <w:r w:rsidR="00CD40AB">
        <w:t xml:space="preserve">The evaluator would like to </w:t>
      </w:r>
      <w:r w:rsidR="00CD40AB" w:rsidRPr="00EF1D45">
        <w:t xml:space="preserve">thank </w:t>
      </w:r>
      <w:r w:rsidR="00CD40AB">
        <w:t xml:space="preserve">Ms Michael, DFAT staff in South Africa, Ghana and Kenya, and Palladium staff in Pretoria and Nairobi </w:t>
      </w:r>
      <w:r w:rsidR="000443B2">
        <w:t xml:space="preserve">for </w:t>
      </w:r>
      <w:r w:rsidR="002F6F16">
        <w:t xml:space="preserve">their generous assistance in </w:t>
      </w:r>
      <w:r w:rsidR="00CD40AB">
        <w:t>arranging interviews and coordinating arrangements across the three countries.</w:t>
      </w:r>
    </w:p>
    <w:p w14:paraId="7DA70336" w14:textId="77777777" w:rsidR="008A01B1" w:rsidRPr="000E53D7" w:rsidRDefault="00CD40AB" w:rsidP="00EF1D45">
      <w:r w:rsidRPr="000E53D7">
        <w:t xml:space="preserve">The evaluator is </w:t>
      </w:r>
      <w:r w:rsidR="007D1C94" w:rsidRPr="000E53D7">
        <w:t>grateful to the many interviewees</w:t>
      </w:r>
      <w:r w:rsidR="000E53D7" w:rsidRPr="000E53D7">
        <w:t xml:space="preserve">, including national </w:t>
      </w:r>
      <w:r w:rsidR="002F6F16">
        <w:t>c</w:t>
      </w:r>
      <w:r w:rsidR="000E53D7" w:rsidRPr="000E53D7">
        <w:t xml:space="preserve">oordinating </w:t>
      </w:r>
      <w:r w:rsidR="002F6F16">
        <w:t>a</w:t>
      </w:r>
      <w:r w:rsidR="000E53D7" w:rsidRPr="000E53D7">
        <w:t>uthorities, alumni, scholars, Palladium staff</w:t>
      </w:r>
      <w:r w:rsidR="000E53D7">
        <w:t>,</w:t>
      </w:r>
      <w:r w:rsidR="000E53D7" w:rsidRPr="000E53D7">
        <w:t xml:space="preserve"> DFAT staff</w:t>
      </w:r>
      <w:r w:rsidR="007D1C94" w:rsidRPr="000E53D7">
        <w:t xml:space="preserve"> </w:t>
      </w:r>
      <w:r w:rsidR="000E53D7">
        <w:t xml:space="preserve">and staff from Universities in Australia and on the African continent </w:t>
      </w:r>
      <w:r w:rsidR="007D1C94" w:rsidRPr="000E53D7">
        <w:t>who gave generously of their time</w:t>
      </w:r>
      <w:r w:rsidR="000E53D7">
        <w:t xml:space="preserve"> </w:t>
      </w:r>
      <w:r w:rsidR="000E53D7" w:rsidRPr="000E53D7">
        <w:t xml:space="preserve">to participate in the evaluation. </w:t>
      </w:r>
      <w:r w:rsidR="007D1C94" w:rsidRPr="000E53D7">
        <w:t xml:space="preserve"> </w:t>
      </w:r>
      <w:r w:rsidR="000E53D7" w:rsidRPr="000E53D7">
        <w:t xml:space="preserve">The clarity, openness and constructive approach with which stakeholders engaged with this evaluation is very much appreciated, and it is hoped </w:t>
      </w:r>
      <w:r w:rsidR="00D92E7A" w:rsidRPr="000E53D7">
        <w:t xml:space="preserve">this report </w:t>
      </w:r>
      <w:r w:rsidR="000E53D7" w:rsidRPr="000E53D7">
        <w:t xml:space="preserve">accurately </w:t>
      </w:r>
      <w:r w:rsidR="00D92E7A" w:rsidRPr="000E53D7">
        <w:t xml:space="preserve">reflects your </w:t>
      </w:r>
      <w:r w:rsidR="000E53D7" w:rsidRPr="000E53D7">
        <w:t xml:space="preserve">insights and views. </w:t>
      </w:r>
      <w:r w:rsidR="00D92E7A" w:rsidRPr="000E53D7">
        <w:t xml:space="preserve"> </w:t>
      </w:r>
    </w:p>
    <w:p w14:paraId="0B332BC0" w14:textId="77777777" w:rsidR="007D1C94" w:rsidRPr="00EF1D45" w:rsidRDefault="007D1C94" w:rsidP="00EF1D45"/>
    <w:p w14:paraId="4522256A" w14:textId="77777777" w:rsidR="00A41045" w:rsidRPr="00A41045" w:rsidRDefault="00A41045" w:rsidP="00D1616E">
      <w:pPr>
        <w:pStyle w:val="Heading3"/>
        <w:numPr>
          <w:ilvl w:val="0"/>
          <w:numId w:val="0"/>
        </w:numPr>
      </w:pPr>
      <w:r w:rsidRPr="00A41045">
        <w:t>Disclaimer</w:t>
      </w:r>
    </w:p>
    <w:p w14:paraId="4A0223FB" w14:textId="77777777" w:rsidR="00A41045" w:rsidRDefault="00A41045" w:rsidP="00EF1D45">
      <w:r w:rsidRPr="00A41045">
        <w:t>This publication has been funded by the Australian Government through the Department of Foreign Affairs and Trade. The views expressed in this publication are the author</w:t>
      </w:r>
      <w:r w:rsidR="00274F2B">
        <w:t>’</w:t>
      </w:r>
      <w:r w:rsidRPr="00A41045">
        <w:t>s alone and are not necessarily the views of the Australian Government.</w:t>
      </w:r>
    </w:p>
    <w:p w14:paraId="4F2B312B" w14:textId="77777777" w:rsidR="00E059C2" w:rsidRDefault="00E059C2" w:rsidP="0019576E"/>
    <w:p w14:paraId="470A286B" w14:textId="77777777" w:rsidR="00E059C2" w:rsidRDefault="00E059C2">
      <w:pPr>
        <w:spacing w:before="0" w:after="0" w:line="240" w:lineRule="auto"/>
        <w:rPr>
          <w:highlight w:val="yellow"/>
        </w:rPr>
      </w:pPr>
      <w:r>
        <w:br w:type="page"/>
      </w:r>
    </w:p>
    <w:p w14:paraId="6BBD7CFE" w14:textId="77777777" w:rsidR="00E059C2" w:rsidRPr="00127531" w:rsidRDefault="00E059C2" w:rsidP="00E059C2">
      <w:pPr>
        <w:pStyle w:val="SectionTitle"/>
      </w:pPr>
      <w:bookmarkStart w:id="3" w:name="_Toc361402805"/>
      <w:bookmarkStart w:id="4" w:name="_Toc1729508"/>
      <w:r w:rsidRPr="00127531">
        <w:lastRenderedPageBreak/>
        <w:t>Abbreviations</w:t>
      </w:r>
      <w:bookmarkEnd w:id="3"/>
      <w:bookmarkEnd w:id="4"/>
      <w:r>
        <w:t xml:space="preserve"> </w:t>
      </w:r>
    </w:p>
    <w:p w14:paraId="5F70FA3B" w14:textId="77777777" w:rsidR="003D1AE3" w:rsidRPr="004143FC" w:rsidRDefault="003D1AE3" w:rsidP="003D1AE3">
      <w:r w:rsidRPr="004143FC">
        <w:t>DFAT</w:t>
      </w:r>
      <w:r w:rsidRPr="004143FC">
        <w:tab/>
      </w:r>
      <w:r w:rsidRPr="004143FC">
        <w:tab/>
        <w:t>Department of Foreign Affairs and Trade (Australia)</w:t>
      </w:r>
    </w:p>
    <w:p w14:paraId="0C3CA13F" w14:textId="77777777" w:rsidR="003D1AE3" w:rsidRPr="004143FC" w:rsidRDefault="003D1AE3" w:rsidP="003D1AE3">
      <w:r w:rsidRPr="004143FC">
        <w:t>GESI</w:t>
      </w:r>
      <w:r w:rsidRPr="004143FC">
        <w:tab/>
      </w:r>
      <w:r w:rsidRPr="004143FC">
        <w:tab/>
        <w:t>Gender equality</w:t>
      </w:r>
      <w:r w:rsidR="000C607A">
        <w:t xml:space="preserve"> </w:t>
      </w:r>
      <w:r w:rsidRPr="004143FC">
        <w:t xml:space="preserve">and social inclusion </w:t>
      </w:r>
    </w:p>
    <w:p w14:paraId="0D02B260" w14:textId="77777777" w:rsidR="003D1AE3" w:rsidRDefault="003D1AE3" w:rsidP="003D1AE3">
      <w:r w:rsidRPr="004143FC">
        <w:t>M&amp;E</w:t>
      </w:r>
      <w:r w:rsidRPr="004143FC">
        <w:tab/>
      </w:r>
      <w:r w:rsidRPr="004143FC">
        <w:tab/>
        <w:t>Monitoring and Evaluation</w:t>
      </w:r>
    </w:p>
    <w:p w14:paraId="3B81C11A" w14:textId="77777777" w:rsidR="003D1AE3" w:rsidRDefault="003D1AE3" w:rsidP="003D1AE3">
      <w:r>
        <w:t>MEF</w:t>
      </w:r>
      <w:r>
        <w:tab/>
      </w:r>
      <w:r>
        <w:tab/>
        <w:t xml:space="preserve">Monitoring and Evaluation Framework </w:t>
      </w:r>
    </w:p>
    <w:p w14:paraId="7BD9CD12" w14:textId="77777777" w:rsidR="003D1AE3" w:rsidRDefault="003D1AE3" w:rsidP="003D1AE3">
      <w:r>
        <w:t>PWD</w:t>
      </w:r>
      <w:r>
        <w:tab/>
      </w:r>
      <w:r>
        <w:tab/>
        <w:t>People with disabilit</w:t>
      </w:r>
      <w:r w:rsidR="00FB27B3">
        <w:t>ies</w:t>
      </w:r>
      <w:r>
        <w:t xml:space="preserve"> </w:t>
      </w:r>
    </w:p>
    <w:p w14:paraId="6D9D2871" w14:textId="77777777" w:rsidR="002E591C" w:rsidRPr="00055CE4" w:rsidRDefault="002E591C" w:rsidP="003D1AE3">
      <w:r>
        <w:t>TVET</w:t>
      </w:r>
      <w:r>
        <w:tab/>
      </w:r>
      <w:r>
        <w:tab/>
        <w:t xml:space="preserve">Technical </w:t>
      </w:r>
      <w:r w:rsidRPr="00055CE4">
        <w:t>and vocational education and training</w:t>
      </w:r>
    </w:p>
    <w:p w14:paraId="41256F76" w14:textId="51DA96B8" w:rsidR="00E059C2" w:rsidRPr="00055CE4" w:rsidRDefault="00B73319" w:rsidP="0019576E">
      <w:r w:rsidRPr="00055CE4">
        <w:t>WILN</w:t>
      </w:r>
      <w:r w:rsidRPr="00055CE4">
        <w:tab/>
      </w:r>
      <w:r w:rsidR="00055CE4">
        <w:tab/>
        <w:t>Women in leadership network</w:t>
      </w:r>
    </w:p>
    <w:p w14:paraId="5431D7CF" w14:textId="77777777" w:rsidR="00F53447" w:rsidRDefault="00F53447" w:rsidP="0019576E">
      <w:pPr>
        <w:rPr>
          <w:highlight w:val="yellow"/>
        </w:rPr>
      </w:pPr>
    </w:p>
    <w:p w14:paraId="17310727" w14:textId="77777777" w:rsidR="00F53447" w:rsidRDefault="00F53447" w:rsidP="0019576E">
      <w:pPr>
        <w:rPr>
          <w:highlight w:val="yellow"/>
        </w:rPr>
        <w:sectPr w:rsidR="00F53447" w:rsidSect="00314635">
          <w:footerReference w:type="first" r:id="rId12"/>
          <w:pgSz w:w="11906" w:h="16838" w:code="9"/>
          <w:pgMar w:top="1440" w:right="1440" w:bottom="1440" w:left="1440" w:header="576" w:footer="576" w:gutter="0"/>
          <w:pgNumType w:fmt="lowerRoman" w:start="1"/>
          <w:cols w:space="720"/>
          <w:titlePg/>
        </w:sectPr>
      </w:pPr>
    </w:p>
    <w:bookmarkStart w:id="5" w:name="_Toc1729509"/>
    <w:p w14:paraId="4EEC2CAC" w14:textId="77777777" w:rsidR="00D20FD9" w:rsidRDefault="0098333F" w:rsidP="009040ED">
      <w:pPr>
        <w:pStyle w:val="Heading1"/>
        <w:numPr>
          <w:ilvl w:val="0"/>
          <w:numId w:val="0"/>
        </w:numPr>
        <w:spacing w:after="1440"/>
      </w:pPr>
      <w:r>
        <w:rPr>
          <w:noProof/>
        </w:rPr>
        <w:lastRenderedPageBreak/>
        <mc:AlternateContent>
          <mc:Choice Requires="wps">
            <w:drawing>
              <wp:anchor distT="0" distB="0" distL="114300" distR="114300" simplePos="0" relativeHeight="251614720" behindDoc="1" locked="0" layoutInCell="1" allowOverlap="1" wp14:anchorId="1F6961A5" wp14:editId="28D3C458">
                <wp:simplePos x="0" y="0"/>
                <wp:positionH relativeFrom="page">
                  <wp:posOffset>0</wp:posOffset>
                </wp:positionH>
                <wp:positionV relativeFrom="paragraph">
                  <wp:posOffset>-334645</wp:posOffset>
                </wp:positionV>
                <wp:extent cx="7610400" cy="1468800"/>
                <wp:effectExtent l="0" t="0" r="0" b="0"/>
                <wp:wrapNone/>
                <wp:docPr id="9" name="Rectangle 9"/>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D7CDD" id="Rectangle 9" o:spid="_x0000_s1026" style="position:absolute;margin-left:0;margin-top:-26.35pt;width:599.25pt;height:115.6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gIAAIY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" fillcolor="#124486" stroked="f" strokeweight="2pt">
                <w10:wrap anchorx="page"/>
              </v:rect>
            </w:pict>
          </mc:Fallback>
        </mc:AlternateContent>
      </w:r>
      <w:r w:rsidR="007D1C94">
        <w:t xml:space="preserve">Executive </w:t>
      </w:r>
      <w:r w:rsidR="0048295D">
        <w:t>Summary</w:t>
      </w:r>
      <w:bookmarkEnd w:id="5"/>
      <w:r w:rsidR="00976D59">
        <w:t xml:space="preserve"> </w:t>
      </w:r>
    </w:p>
    <w:p w14:paraId="557AA397" w14:textId="77777777" w:rsidR="006516B8" w:rsidRDefault="0078554B" w:rsidP="009040ED">
      <w:pPr>
        <w:spacing w:before="0"/>
      </w:pPr>
      <w:r>
        <w:t>The Department of Foreign Affairs and Trade</w:t>
      </w:r>
      <w:r>
        <w:rPr>
          <w:szCs w:val="21"/>
        </w:rPr>
        <w:t xml:space="preserve"> (DFAT)</w:t>
      </w:r>
      <w:r w:rsidR="00262F0F">
        <w:t xml:space="preserve"> commissioned </w:t>
      </w:r>
      <w:r w:rsidR="006516B8">
        <w:t>the</w:t>
      </w:r>
      <w:r w:rsidR="00647C97">
        <w:t xml:space="preserve"> </w:t>
      </w:r>
      <w:r w:rsidR="00B915F5">
        <w:t>Australia Awards in Africa</w:t>
      </w:r>
      <w:r w:rsidR="00647C97">
        <w:t xml:space="preserve"> mid-term evaluation</w:t>
      </w:r>
      <w:r w:rsidR="006516B8" w:rsidRPr="006F388C">
        <w:t xml:space="preserve"> </w:t>
      </w:r>
      <w:r w:rsidR="00262F0F">
        <w:t xml:space="preserve">(the </w:t>
      </w:r>
      <w:r w:rsidR="00647C97">
        <w:t>evaluation</w:t>
      </w:r>
      <w:r w:rsidR="00262F0F">
        <w:t>)</w:t>
      </w:r>
      <w:r w:rsidR="006516B8" w:rsidRPr="006F388C">
        <w:t xml:space="preserve"> </w:t>
      </w:r>
      <w:r w:rsidR="0091213E" w:rsidRPr="00880005">
        <w:t xml:space="preserve">to review the design and operations of </w:t>
      </w:r>
      <w:r w:rsidR="0091213E">
        <w:t xml:space="preserve">Australia Awards in Africa </w:t>
      </w:r>
      <w:r w:rsidR="0091213E" w:rsidRPr="00880005">
        <w:t xml:space="preserve">to ensure it remains a well targeted, fit-for-purpose </w:t>
      </w:r>
      <w:r w:rsidR="0091213E">
        <w:t>investment for the remainder of this current phase.</w:t>
      </w:r>
    </w:p>
    <w:p w14:paraId="5CE2C147" w14:textId="466C3482" w:rsidR="009A0940" w:rsidRDefault="00262F0F" w:rsidP="009040ED">
      <w:pPr>
        <w:pStyle w:val="Heading2"/>
        <w:numPr>
          <w:ilvl w:val="0"/>
          <w:numId w:val="0"/>
        </w:numPr>
        <w:spacing w:before="240"/>
        <w:ind w:left="578" w:hanging="578"/>
        <w:rPr>
          <w:noProof/>
        </w:rPr>
      </w:pPr>
      <w:bookmarkStart w:id="6" w:name="_Toc1729510"/>
      <w:r>
        <w:rPr>
          <w:noProof/>
        </w:rPr>
        <w:t>Overall c</w:t>
      </w:r>
      <w:r w:rsidR="009A0940">
        <w:rPr>
          <w:noProof/>
        </w:rPr>
        <w:t>onclusions</w:t>
      </w:r>
      <w:bookmarkEnd w:id="6"/>
    </w:p>
    <w:p w14:paraId="3D9C7DA3" w14:textId="77777777" w:rsidR="000F6B3C" w:rsidRDefault="000F6B3C" w:rsidP="000F6B3C">
      <w:r w:rsidRPr="00916C4C">
        <w:t xml:space="preserve">The evaluation finds </w:t>
      </w:r>
      <w:r>
        <w:t xml:space="preserve">Australia Awards in Africa is being effectively delivered and is on-track to meet its end-of-program outcomes. The managing contractor, Palladium, has developed strong relationships with stakeholders and strives to demonstrate flexibility and responsiveness in meeting DFAT’s expectations of program delivery.  </w:t>
      </w:r>
    </w:p>
    <w:p w14:paraId="378CBE4B" w14:textId="77777777" w:rsidR="000F6B3C" w:rsidRDefault="000F6B3C" w:rsidP="000F6B3C">
      <w:r>
        <w:t xml:space="preserve">Australia Awards in Africa is proving to be a valuable mechanism for Australia to build goodwill and contribute to skills development in African countries. There are vibrant, </w:t>
      </w:r>
      <w:proofErr w:type="gramStart"/>
      <w:r>
        <w:t>active</w:t>
      </w:r>
      <w:proofErr w:type="gramEnd"/>
      <w:r>
        <w:t xml:space="preserve"> and dynamic alumni across the African continent who are contributing to the success of Australia Awards in Africa. </w:t>
      </w:r>
    </w:p>
    <w:p w14:paraId="2D6D0230" w14:textId="77777777" w:rsidR="000F6B3C" w:rsidRDefault="000F6B3C" w:rsidP="000F6B3C">
      <w:r w:rsidRPr="00B44F31">
        <w:t xml:space="preserve">The </w:t>
      </w:r>
      <w:r>
        <w:t xml:space="preserve">evaluation heard from coordinating authorities and alumni alike that the </w:t>
      </w:r>
      <w:r w:rsidRPr="00B44F31">
        <w:t xml:space="preserve">merit-based, gender </w:t>
      </w:r>
      <w:r>
        <w:t xml:space="preserve">equality and </w:t>
      </w:r>
      <w:r w:rsidRPr="00B44F31">
        <w:t xml:space="preserve">disability-inclusive </w:t>
      </w:r>
      <w:r>
        <w:t xml:space="preserve">ethos of Australia Awards in Africa </w:t>
      </w:r>
      <w:r w:rsidRPr="00B44F31">
        <w:t>resonate</w:t>
      </w:r>
      <w:r>
        <w:t>s</w:t>
      </w:r>
      <w:r w:rsidRPr="00B44F31">
        <w:t xml:space="preserve"> strongly with </w:t>
      </w:r>
      <w:r>
        <w:t xml:space="preserve">them and distinguishes Australia Awards in Africa from other scholarship programs in their countries. </w:t>
      </w:r>
      <w:r w:rsidRPr="004D1621">
        <w:t>Australia’s appreciation of</w:t>
      </w:r>
      <w:r>
        <w:t>,</w:t>
      </w:r>
      <w:r w:rsidRPr="004D1621">
        <w:t xml:space="preserve"> and commitment to</w:t>
      </w:r>
      <w:r>
        <w:t>,</w:t>
      </w:r>
      <w:r w:rsidRPr="004D1621">
        <w:t xml:space="preserve"> alumni was also </w:t>
      </w:r>
      <w:r>
        <w:t>noted.</w:t>
      </w:r>
      <w:r w:rsidRPr="004D1621">
        <w:t xml:space="preserve">  </w:t>
      </w:r>
    </w:p>
    <w:p w14:paraId="49F9B517" w14:textId="77777777" w:rsidR="000F6B3C" w:rsidRDefault="000F6B3C" w:rsidP="000F6B3C">
      <w:r w:rsidRPr="00BC1CD0">
        <w:t xml:space="preserve">Posts </w:t>
      </w:r>
      <w:r>
        <w:t xml:space="preserve">expressed differing </w:t>
      </w:r>
      <w:r w:rsidRPr="00BC1CD0">
        <w:t xml:space="preserve">experiences </w:t>
      </w:r>
      <w:r>
        <w:t xml:space="preserve">of efficient and effective delivery </w:t>
      </w:r>
      <w:r w:rsidRPr="00BC1CD0">
        <w:t xml:space="preserve">of </w:t>
      </w:r>
      <w:r>
        <w:t>Australia Awards in Africa</w:t>
      </w:r>
      <w:r w:rsidRPr="00BC1CD0">
        <w:t xml:space="preserve">. </w:t>
      </w:r>
      <w:r>
        <w:t xml:space="preserve">The delivery of Australia Awards in some of their countries of accreditation is working well, while for others it is challenging. </w:t>
      </w:r>
      <w:r w:rsidRPr="00BC1CD0">
        <w:t xml:space="preserve">Variances in experiences across </w:t>
      </w:r>
      <w:r>
        <w:t xml:space="preserve">the countries </w:t>
      </w:r>
      <w:r w:rsidRPr="00BC1CD0">
        <w:t>may be due in some part to different operating contexts</w:t>
      </w:r>
      <w:r>
        <w:t xml:space="preserve"> and </w:t>
      </w:r>
      <w:r w:rsidRPr="00BC1CD0">
        <w:t>resource levels at Post</w:t>
      </w:r>
      <w:r>
        <w:t>.</w:t>
      </w:r>
      <w:r w:rsidRPr="00BC1CD0">
        <w:t xml:space="preserve"> </w:t>
      </w:r>
      <w:r>
        <w:t>There are also</w:t>
      </w:r>
      <w:r w:rsidRPr="00BC1CD0">
        <w:t xml:space="preserve"> </w:t>
      </w:r>
      <w:r>
        <w:t xml:space="preserve">different </w:t>
      </w:r>
      <w:r w:rsidRPr="00BC1CD0">
        <w:t xml:space="preserve">levels of understanding and experience of </w:t>
      </w:r>
      <w:r>
        <w:t xml:space="preserve">Post </w:t>
      </w:r>
      <w:r w:rsidRPr="00BC1CD0">
        <w:t>staff with the scholarship modality of aid delivery</w:t>
      </w:r>
      <w:r>
        <w:t xml:space="preserve">. Four of the posts consulted expressed a need for greater support from DFAT’s Africa Branch and Palladium </w:t>
      </w:r>
      <w:proofErr w:type="gramStart"/>
      <w:r>
        <w:t>in order to</w:t>
      </w:r>
      <w:proofErr w:type="gramEnd"/>
      <w:r>
        <w:t xml:space="preserve"> efficiently and effectively fulfil their roles</w:t>
      </w:r>
      <w:r w:rsidRPr="00BC1CD0">
        <w:t xml:space="preserve">. Increased coordination between </w:t>
      </w:r>
      <w:r>
        <w:t xml:space="preserve">Africa Branch </w:t>
      </w:r>
      <w:r w:rsidRPr="00BC1CD0">
        <w:t>and Post</w:t>
      </w:r>
      <w:r>
        <w:t>s</w:t>
      </w:r>
      <w:r w:rsidRPr="00BC1CD0">
        <w:t xml:space="preserve"> </w:t>
      </w:r>
      <w:r>
        <w:t xml:space="preserve">and improved understanding of roles and responsibilities may assist </w:t>
      </w:r>
      <w:r w:rsidRPr="00BC1CD0">
        <w:t xml:space="preserve">the consistency of Posts’ experiences in </w:t>
      </w:r>
      <w:r>
        <w:t xml:space="preserve">supporting </w:t>
      </w:r>
      <w:r w:rsidRPr="00BC1CD0">
        <w:t xml:space="preserve">the </w:t>
      </w:r>
      <w:r>
        <w:t xml:space="preserve">delivery </w:t>
      </w:r>
      <w:r w:rsidRPr="00BC1CD0">
        <w:t xml:space="preserve">of </w:t>
      </w:r>
      <w:r>
        <w:t>Australia Awards in Africa</w:t>
      </w:r>
      <w:r w:rsidRPr="00BC1CD0">
        <w:t xml:space="preserve">. </w:t>
      </w:r>
    </w:p>
    <w:p w14:paraId="0BA52267" w14:textId="77777777" w:rsidR="000F6B3C" w:rsidRDefault="000F6B3C" w:rsidP="000F6B3C">
      <w:r>
        <w:t xml:space="preserve">Significant learning is being generated through feasibility studies and pilots, including on private sector engagement. It is important for Africa Branch to document, and disseminate, reasons behind deciding to progress, or not, with any feasibility study or pilot. </w:t>
      </w:r>
      <w:r w:rsidRPr="00916C4C">
        <w:t>This</w:t>
      </w:r>
      <w:r>
        <w:t xml:space="preserve"> is valuable information for the next design phase. With the current phase of Australia Awards in Africa scheduled for completion in March 2020, an efficient use of Palladium resources may be to consolidate implementation and monitoring of existing successful elements of the program, rather than establish new pilots or new areas of thematic research.</w:t>
      </w:r>
    </w:p>
    <w:p w14:paraId="5925843C" w14:textId="77777777" w:rsidR="000F6B3C" w:rsidRDefault="000F6B3C" w:rsidP="000F6B3C">
      <w:r>
        <w:t xml:space="preserve">The Australia Awards in Africa design preceded the Australia Awards Global Strategy (which is currently under evaluation) and Australia’s Global Alumni Engagement Strategy. Palladium and DFAT Canberra have demonstrated an ability to adapt the implementation of the Australia Awards in Africa design to fit the current strategic and practical realities of Australia’s aid program in Africa. It is timely to update the program logic (namely Outcome 2) to bring it in line with the relevant global strategies and enable DFAT and Palladium to better measure Australia Awards in Africa outcomes. </w:t>
      </w:r>
    </w:p>
    <w:p w14:paraId="0F4EE231" w14:textId="77777777" w:rsidR="000F6B3C" w:rsidRDefault="000F6B3C" w:rsidP="000F6B3C">
      <w:r>
        <w:lastRenderedPageBreak/>
        <w:t>It is also timely to consider the investment design process and timing for Australia Awards in Africa post-completion of the current design in 2020. Several considerations relevant to the design process emerged during the evaluation consultations. To allow sufficient time</w:t>
      </w:r>
      <w:r>
        <w:rPr>
          <w:rStyle w:val="FootnoteReference"/>
        </w:rPr>
        <w:footnoteReference w:id="2"/>
      </w:r>
      <w:r>
        <w:t xml:space="preserve"> for the necessary design process and procurement arrangements to be completed prior to the end of this current phase of Australia Awards in Africa, it is suggested that DFAT and Palladium utilise the option period end date included in the contract term to extend the current contract arrangements to 31 March 2022.</w:t>
      </w:r>
    </w:p>
    <w:p w14:paraId="31C9B19A" w14:textId="77777777" w:rsidR="00262F0F" w:rsidRDefault="00262F0F" w:rsidP="009040ED">
      <w:pPr>
        <w:pStyle w:val="Heading2"/>
        <w:numPr>
          <w:ilvl w:val="0"/>
          <w:numId w:val="0"/>
        </w:numPr>
        <w:spacing w:before="240"/>
        <w:ind w:left="578" w:hanging="578"/>
        <w:rPr>
          <w:noProof/>
        </w:rPr>
      </w:pPr>
      <w:bookmarkStart w:id="7" w:name="_Toc1729511"/>
      <w:r>
        <w:rPr>
          <w:noProof/>
        </w:rPr>
        <w:t>Findings</w:t>
      </w:r>
      <w:bookmarkEnd w:id="7"/>
    </w:p>
    <w:p w14:paraId="7468308A" w14:textId="77777777" w:rsidR="000F6B3C" w:rsidRDefault="000F6B3C" w:rsidP="009040ED">
      <w:pPr>
        <w:pStyle w:val="Bullet"/>
      </w:pPr>
      <w:r>
        <w:t xml:space="preserve">The evaluation finds that Australia Awards in Africa </w:t>
      </w:r>
      <w:r w:rsidRPr="00A751E7">
        <w:t xml:space="preserve">is </w:t>
      </w:r>
      <w:r>
        <w:t xml:space="preserve">on track to meet its end of program </w:t>
      </w:r>
      <w:r w:rsidRPr="00A751E7">
        <w:t xml:space="preserve">outcomes. </w:t>
      </w:r>
      <w:r w:rsidRPr="00FE05C7">
        <w:t xml:space="preserve">There is evidence of alumni using skills, </w:t>
      </w:r>
      <w:proofErr w:type="gramStart"/>
      <w:r w:rsidRPr="00FE05C7">
        <w:t>knowledge</w:t>
      </w:r>
      <w:proofErr w:type="gramEnd"/>
      <w:r w:rsidRPr="00FE05C7">
        <w:t xml:space="preserve"> and networks to contribute to sustainable development (Outcome 1). The evaluation heard emerging evidence of African countries viewing Australia as a valued partner (Outcome 2), with stronger evidence from DFAT staff of the high strategic value of Australia Awards to Australia’s relationships with countries across the African continent. </w:t>
      </w:r>
      <w:r>
        <w:t xml:space="preserve">Evidence of Alumni having positive on-going links with Australia (Outcome 3) is more variable with </w:t>
      </w:r>
      <w:r w:rsidRPr="00D66942">
        <w:t>low ongoing linkages with Australia and Australians</w:t>
      </w:r>
      <w:r>
        <w:t xml:space="preserve"> met while studying in Australia. </w:t>
      </w:r>
      <w:r w:rsidRPr="00D66942">
        <w:rPr>
          <w:highlight w:val="yellow"/>
        </w:rPr>
        <w:t xml:space="preserve">  </w:t>
      </w:r>
    </w:p>
    <w:p w14:paraId="5C1B0768" w14:textId="77777777" w:rsidR="000F6B3C" w:rsidRPr="00FE05C7" w:rsidRDefault="000F6B3C" w:rsidP="009040ED">
      <w:pPr>
        <w:pStyle w:val="Bullet"/>
      </w:pPr>
      <w:r>
        <w:t>T</w:t>
      </w:r>
      <w:r w:rsidRPr="00FE05C7">
        <w:t xml:space="preserve">he </w:t>
      </w:r>
      <w:r>
        <w:t>expected results from Australia Awards in Africa</w:t>
      </w:r>
      <w:r w:rsidRPr="00FE05C7">
        <w:t xml:space="preserve"> are </w:t>
      </w:r>
      <w:r>
        <w:t xml:space="preserve">likely </w:t>
      </w:r>
      <w:r w:rsidRPr="00FE05C7">
        <w:t>to be achieved or exceeded</w:t>
      </w:r>
      <w:r>
        <w:t xml:space="preserve"> – except for </w:t>
      </w:r>
      <w:r w:rsidRPr="00FE05C7">
        <w:t xml:space="preserve">the participation of people with disabilities which remains low compared to </w:t>
      </w:r>
      <w:r>
        <w:t>Australia Awards in Africa</w:t>
      </w:r>
      <w:r w:rsidRPr="00FE05C7">
        <w:t>’s informal target.</w:t>
      </w:r>
    </w:p>
    <w:p w14:paraId="13F80291" w14:textId="77777777" w:rsidR="000F6B3C" w:rsidRPr="00FE05C7" w:rsidRDefault="000F6B3C" w:rsidP="009040ED">
      <w:pPr>
        <w:pStyle w:val="Bullet"/>
      </w:pPr>
      <w:r w:rsidRPr="00FE05C7">
        <w:t>The mix of Australia Awards modalities is serving DFAT and target countries well. Small differences in participating countries’ preference</w:t>
      </w:r>
      <w:r>
        <w:t>s</w:t>
      </w:r>
      <w:r w:rsidRPr="00FE05C7">
        <w:t xml:space="preserve"> for </w:t>
      </w:r>
      <w:r>
        <w:t xml:space="preserve">Australia Awards scholarships </w:t>
      </w:r>
      <w:r w:rsidRPr="00FE05C7">
        <w:t>or short course</w:t>
      </w:r>
      <w:r>
        <w:t>s</w:t>
      </w:r>
      <w:r w:rsidRPr="00FE05C7">
        <w:t xml:space="preserve"> are noted, though these are not of a magnitude that would warrant a change in the composition of the modalities on offer under </w:t>
      </w:r>
      <w:r>
        <w:t>Australia Awards in Africa</w:t>
      </w:r>
      <w:r w:rsidRPr="00FE05C7">
        <w:t>.</w:t>
      </w:r>
      <w:r>
        <w:t xml:space="preserve"> The postdoctoral fellowship pilot is showing benefits for fellows and African Universities. Discussion about inclusion of </w:t>
      </w:r>
      <w:r w:rsidRPr="00881BBD">
        <w:rPr>
          <w:lang w:eastAsia="en-NZ"/>
        </w:rPr>
        <w:t xml:space="preserve">postdoctoral fellowships as a permanent modality for the next design of Australia Awards in Africa </w:t>
      </w:r>
      <w:r>
        <w:rPr>
          <w:lang w:eastAsia="en-NZ"/>
        </w:rPr>
        <w:t xml:space="preserve">is </w:t>
      </w:r>
      <w:r>
        <w:t xml:space="preserve">warranted. </w:t>
      </w:r>
    </w:p>
    <w:p w14:paraId="2C8729BA" w14:textId="77777777" w:rsidR="000F6B3C" w:rsidRPr="00FE05C7" w:rsidRDefault="000F6B3C" w:rsidP="009040ED">
      <w:pPr>
        <w:pStyle w:val="Bullet"/>
      </w:pPr>
      <w:r w:rsidRPr="00FE05C7">
        <w:t xml:space="preserve">There is evidence that alumni engagement activities undertaken by Palladium are assisting DFAT to meet its alumni engagement objectives. DFAT posts are </w:t>
      </w:r>
      <w:r>
        <w:t xml:space="preserve">responsible for </w:t>
      </w:r>
      <w:r w:rsidRPr="00FE05C7">
        <w:t xml:space="preserve">taking the lead in </w:t>
      </w:r>
      <w:r>
        <w:t xml:space="preserve">alumni engagement </w:t>
      </w:r>
      <w:r w:rsidRPr="00FE05C7">
        <w:t xml:space="preserve">and </w:t>
      </w:r>
      <w:r>
        <w:t xml:space="preserve">are </w:t>
      </w:r>
      <w:r w:rsidRPr="00FE05C7">
        <w:t>getting some good results.</w:t>
      </w:r>
      <w:r w:rsidRPr="00E76DF6">
        <w:t xml:space="preserve"> </w:t>
      </w:r>
      <w:r w:rsidRPr="00FE05C7">
        <w:t>The evaluation heard tangible, consistent examples of the public diplomacy benefits for Australia from engaging with alumni, as well as sporadic economic diplomacy benefits.</w:t>
      </w:r>
    </w:p>
    <w:p w14:paraId="58588F1F" w14:textId="77777777" w:rsidR="000F6B3C" w:rsidRPr="00FE05C7" w:rsidRDefault="000F6B3C" w:rsidP="009040ED">
      <w:pPr>
        <w:pStyle w:val="Bullet"/>
      </w:pPr>
      <w:r w:rsidRPr="009A1A73">
        <w:t xml:space="preserve">Posts and coordinating authorities alike noted that the annual country profile process is a useful mechanism to discuss priority sectors for Australia Awards scholarships and short courses with each of the participating countries. </w:t>
      </w:r>
      <w:r w:rsidRPr="00FE05C7">
        <w:t xml:space="preserve">Stakeholders put forward suggestions for additional sectors; though they noted the current sectors are also meeting skills needs.  </w:t>
      </w:r>
      <w:r>
        <w:t xml:space="preserve"> </w:t>
      </w:r>
    </w:p>
    <w:p w14:paraId="58778E33" w14:textId="77777777" w:rsidR="000F6B3C" w:rsidRPr="00FE05C7" w:rsidRDefault="000F6B3C" w:rsidP="009040ED">
      <w:pPr>
        <w:pStyle w:val="Bullet"/>
      </w:pPr>
      <w:r>
        <w:t>Australia Awards in Africa</w:t>
      </w:r>
      <w:r w:rsidRPr="00FE05C7">
        <w:t xml:space="preserve"> has tried various approaches to engage with the private sector, some of which have successfully seen private sector engagement in the delivery of short courses. There </w:t>
      </w:r>
      <w:proofErr w:type="gramStart"/>
      <w:r w:rsidRPr="00FE05C7">
        <w:t>is</w:t>
      </w:r>
      <w:proofErr w:type="gramEnd"/>
      <w:r w:rsidRPr="00FE05C7">
        <w:t xml:space="preserve"> however, a lack of clarity on both the strategic and functional intent of engaging with the private sector beyond seeking their assistance with promotions and participation in short course delivery. </w:t>
      </w:r>
    </w:p>
    <w:p w14:paraId="7D97109E" w14:textId="77777777" w:rsidR="000F6B3C" w:rsidRPr="00FE05C7" w:rsidRDefault="000F6B3C" w:rsidP="009040ED">
      <w:pPr>
        <w:pStyle w:val="Bullet"/>
      </w:pPr>
      <w:r w:rsidRPr="00FE05C7">
        <w:t xml:space="preserve">Improved internal DFAT coordination and information-sharing, as well as improved coordination and information-sharing between DFAT and Palladium would further enhance the effectiveness of </w:t>
      </w:r>
      <w:r>
        <w:t>Australia Awards in Africa</w:t>
      </w:r>
      <w:r w:rsidRPr="00FE05C7">
        <w:t xml:space="preserve">. </w:t>
      </w:r>
    </w:p>
    <w:p w14:paraId="3133B124" w14:textId="77777777" w:rsidR="000F6B3C" w:rsidRPr="004223AB" w:rsidRDefault="000F6B3C" w:rsidP="009040ED">
      <w:pPr>
        <w:pStyle w:val="Bullet"/>
      </w:pPr>
      <w:r w:rsidRPr="004223AB">
        <w:lastRenderedPageBreak/>
        <w:t xml:space="preserve">The key elements of the scope of services are well covered, with Palladium meeting key deadlines around planning, selection, mobilisation, </w:t>
      </w:r>
      <w:proofErr w:type="gramStart"/>
      <w:r w:rsidRPr="004223AB">
        <w:t>reintegration</w:t>
      </w:r>
      <w:proofErr w:type="gramEnd"/>
      <w:r w:rsidRPr="004223AB">
        <w:t xml:space="preserve"> and alumni engagement (including the small grants scheme). </w:t>
      </w:r>
    </w:p>
    <w:p w14:paraId="271F8673" w14:textId="77777777" w:rsidR="000F6B3C" w:rsidRPr="004223AB" w:rsidRDefault="000F6B3C" w:rsidP="009040ED">
      <w:pPr>
        <w:pStyle w:val="Bullet"/>
      </w:pPr>
      <w:r w:rsidRPr="004223AB">
        <w:t xml:space="preserve">Overall financial management of </w:t>
      </w:r>
      <w:r>
        <w:t xml:space="preserve">Australia Awards in Africa is solid, and expenditure is tracking well at this mid-point in the contract. </w:t>
      </w:r>
      <w:r w:rsidRPr="004223AB">
        <w:t>Palladium has demonstrated flexibility to assist DFAT’s budget management across financial years</w:t>
      </w:r>
      <w:r>
        <w:t xml:space="preserve"> and </w:t>
      </w:r>
      <w:r w:rsidRPr="004223AB">
        <w:t xml:space="preserve">responsiveness to meet DFAT’s expectations of program delivery.  </w:t>
      </w:r>
    </w:p>
    <w:p w14:paraId="7F75B17B" w14:textId="77777777" w:rsidR="000F6B3C" w:rsidRPr="009040ED" w:rsidRDefault="000F6B3C" w:rsidP="009040ED">
      <w:pPr>
        <w:pStyle w:val="Bullet"/>
      </w:pPr>
      <w:r>
        <w:t xml:space="preserve">Palladium has efficiently delivered a higher number of awards under Australia Awards in Africa in a timely manner with restricted </w:t>
      </w:r>
      <w:r w:rsidRPr="009040ED">
        <w:t>human and financial resources. One key area for improving efficiency is clarifying roles and responsibilities across Posts and Palladium, particularly in relation to promotions, including the development of promotions materials.</w:t>
      </w:r>
      <w:r w:rsidRPr="009040ED">
        <w:rPr>
          <w:highlight w:val="yellow"/>
        </w:rPr>
        <w:t xml:space="preserve"> </w:t>
      </w:r>
    </w:p>
    <w:p w14:paraId="5FE1FD64" w14:textId="77777777" w:rsidR="000F6B3C" w:rsidRPr="009040ED" w:rsidRDefault="000F6B3C" w:rsidP="009040ED">
      <w:pPr>
        <w:pStyle w:val="Bullet"/>
      </w:pPr>
      <w:r w:rsidRPr="009040ED">
        <w:t xml:space="preserve">Palladium is providing the necessary planning and reporting documents to inform decision-making and meet DFAT’s accountability obligations. The evaluation notes DFAT and Palladium are working constructively to improve the clarity and quality of reporting to meet DFAT’s information needs. </w:t>
      </w:r>
    </w:p>
    <w:p w14:paraId="7BC2D6EB" w14:textId="77777777" w:rsidR="000F6B3C" w:rsidRPr="009040ED" w:rsidRDefault="000F6B3C" w:rsidP="009040ED">
      <w:pPr>
        <w:pStyle w:val="Bullet"/>
      </w:pPr>
      <w:r w:rsidRPr="009040ED">
        <w:t xml:space="preserve">Australia Awards in Africa is undertaking an impressive variety of M&amp;E activities which are generating quantitative and qualitative data sets. Approaching data analysis and reporting on a multi-year basis would add depth to the current M&amp;E arrangements by building a body of evidence of impact over the life of the program. </w:t>
      </w:r>
    </w:p>
    <w:p w14:paraId="7CBBDD4B" w14:textId="77777777" w:rsidR="000F6B3C" w:rsidRPr="009040ED" w:rsidRDefault="000F6B3C" w:rsidP="009040ED">
      <w:pPr>
        <w:pStyle w:val="Bullet"/>
      </w:pPr>
      <w:r w:rsidRPr="009040ED">
        <w:t xml:space="preserve">While DFAT is the primary audience for Palladium’s program reports, there is benefit in DFAT and Palladium considering how to package information and distribute reports to ensure that information needs/interests of a larger group of stakeholders (for example, short course providers, alumni and coordinating authorities) are being met. This would add to the accountability of Australia Awards in Africa.   </w:t>
      </w:r>
    </w:p>
    <w:p w14:paraId="6778173F" w14:textId="17E5F283" w:rsidR="000F6B3C" w:rsidRPr="009040ED" w:rsidRDefault="000F6B3C" w:rsidP="009040ED">
      <w:pPr>
        <w:pStyle w:val="Bullet"/>
      </w:pPr>
      <w:r w:rsidRPr="009040ED">
        <w:t>For the most part Palladium’s engagement with Post</w:t>
      </w:r>
      <w:r w:rsidR="00777F6F">
        <w:t>s</w:t>
      </w:r>
      <w:r w:rsidRPr="009040ED">
        <w:t xml:space="preserve"> is highly valued, with many noting the support provided by Palladium alleviates the administrative burden of tasks such as managing selections processes and alumni small grants. </w:t>
      </w:r>
    </w:p>
    <w:p w14:paraId="0520BBFC" w14:textId="77777777" w:rsidR="000F6B3C" w:rsidRPr="009040ED" w:rsidRDefault="000F6B3C" w:rsidP="009040ED">
      <w:pPr>
        <w:pStyle w:val="Bullet"/>
      </w:pPr>
      <w:r w:rsidRPr="009040ED">
        <w:t xml:space="preserve">The evaluation heard that different Posts want different levels of engagement with, and support from, Palladium on various aspects of the program. The largest variances across </w:t>
      </w:r>
      <w:proofErr w:type="gramStart"/>
      <w:r w:rsidRPr="009040ED">
        <w:t>Posts</w:t>
      </w:r>
      <w:proofErr w:type="gramEnd"/>
      <w:r w:rsidRPr="009040ED">
        <w:t xml:space="preserve"> expectations relate to communications and public diplomacy support required from Palladium, and the level of detail and notice required for activities scheduled in the annual work plan. </w:t>
      </w:r>
    </w:p>
    <w:p w14:paraId="53D85BD5" w14:textId="77777777" w:rsidR="000F6B3C" w:rsidRPr="009040ED" w:rsidRDefault="000F6B3C" w:rsidP="009040ED">
      <w:pPr>
        <w:pStyle w:val="Bullet"/>
      </w:pPr>
      <w:r w:rsidRPr="009040ED">
        <w:t xml:space="preserve">Meeting these varied expectations requires strong planning processes, coordinated communication between Desk, Post and Palladium, and clear decision-making accountabilities. </w:t>
      </w:r>
    </w:p>
    <w:p w14:paraId="73599969" w14:textId="77777777" w:rsidR="000F6B3C" w:rsidRPr="009040ED" w:rsidRDefault="000F6B3C" w:rsidP="009040ED">
      <w:pPr>
        <w:pStyle w:val="Bullet"/>
      </w:pPr>
      <w:r w:rsidRPr="009040ED">
        <w:t>DFAT’s Africa Branch and Palladium have demonstrated an ability to adapt the implementation of the design to fit the current strategic and practical realities of Australia’s aid program in Africa. It is timely to update Outcome 2 to bring it in line with the relevant global strategies and allow both DFAT and Palladium to better measure the outcomes.</w:t>
      </w:r>
    </w:p>
    <w:p w14:paraId="4F5F4548" w14:textId="77777777" w:rsidR="000F6B3C" w:rsidRPr="009040ED" w:rsidRDefault="000F6B3C" w:rsidP="009040ED">
      <w:pPr>
        <w:pStyle w:val="Bullet"/>
      </w:pPr>
      <w:r w:rsidRPr="009040ED">
        <w:t xml:space="preserve">The mix of Australia Awards scholarships and short courses appears sound for developing a cadre of alumni that fit with the intentions of the Foreign Policy White Paper.  </w:t>
      </w:r>
    </w:p>
    <w:p w14:paraId="14F1C9FA" w14:textId="77777777" w:rsidR="000F6B3C" w:rsidRPr="009040ED" w:rsidRDefault="000F6B3C" w:rsidP="009040ED">
      <w:pPr>
        <w:pStyle w:val="Bullet"/>
      </w:pPr>
      <w:r w:rsidRPr="009040ED">
        <w:t>It is timely to consider the investment design process for Australia Awards in Africa post-completion of the current design in 2020.</w:t>
      </w:r>
    </w:p>
    <w:p w14:paraId="75AA1065" w14:textId="3C1E9287" w:rsidR="000F6B3C" w:rsidRPr="009040ED" w:rsidRDefault="000F6B3C" w:rsidP="009040ED">
      <w:pPr>
        <w:pStyle w:val="Bullet"/>
      </w:pPr>
      <w:r w:rsidRPr="009040ED">
        <w:t xml:space="preserve">An on-going challenge for Australia Awards in Africa is to increase the number of applications from eligible female candidates and people with disabilities. While a continued focus on increasing the number of applications is warranted, it is noted that </w:t>
      </w:r>
      <w:r w:rsidR="00055CE4">
        <w:t xml:space="preserve">separate consideration of applications from women and men </w:t>
      </w:r>
      <w:r w:rsidRPr="009040ED">
        <w:t>at the selection and interview stages is pivotal to achieving gender balance in Australia Awards in Africa. Participation of people with disabilities is variable from year to year.</w:t>
      </w:r>
    </w:p>
    <w:p w14:paraId="1843D9CC" w14:textId="075C33E5" w:rsidR="000F6B3C" w:rsidRPr="009040ED" w:rsidRDefault="00B055E8" w:rsidP="009040ED">
      <w:pPr>
        <w:pStyle w:val="Bullet"/>
      </w:pPr>
      <w:r w:rsidRPr="00D80AAD">
        <w:lastRenderedPageBreak/>
        <w:t xml:space="preserve">DFAT and Palladium are </w:t>
      </w:r>
      <w:r>
        <w:t xml:space="preserve">actively engaging to mitigate negative impacts from </w:t>
      </w:r>
      <w:r w:rsidRPr="00D80AAD">
        <w:t xml:space="preserve">structural barriers beyond the control of Australia Awards in Africa that affect the participation of women, </w:t>
      </w:r>
      <w:r>
        <w:t>PWD</w:t>
      </w:r>
      <w:r w:rsidRPr="00D80AAD">
        <w:t xml:space="preserve"> and sufferers of chronic illness</w:t>
      </w:r>
      <w:r w:rsidR="000F6B3C" w:rsidRPr="009040ED">
        <w:t xml:space="preserve">. </w:t>
      </w:r>
    </w:p>
    <w:p w14:paraId="7E07182F" w14:textId="77777777" w:rsidR="000F6B3C" w:rsidRPr="009040ED" w:rsidRDefault="000F6B3C" w:rsidP="009040ED">
      <w:pPr>
        <w:pStyle w:val="Bullet"/>
        <w:rPr>
          <w:rStyle w:val="Strong"/>
          <w:b w:val="0"/>
          <w:bCs w:val="0"/>
        </w:rPr>
      </w:pPr>
      <w:r w:rsidRPr="009040ED">
        <w:t xml:space="preserve">Palladium’s GESI strategy includes considerations of gender equality and disability-inclusion. Broadening the concept of social inclusion to address geographic barriers to women, men and PWD participating in Australia Awards in Africa is warranted. </w:t>
      </w:r>
    </w:p>
    <w:p w14:paraId="6ED7B4C2" w14:textId="5E3E3717" w:rsidR="009A0940" w:rsidRDefault="009A0940" w:rsidP="009040ED">
      <w:pPr>
        <w:pStyle w:val="Heading2"/>
        <w:numPr>
          <w:ilvl w:val="0"/>
          <w:numId w:val="0"/>
        </w:numPr>
        <w:spacing w:before="240"/>
        <w:ind w:left="578" w:hanging="578"/>
        <w:rPr>
          <w:noProof/>
        </w:rPr>
      </w:pPr>
      <w:bookmarkStart w:id="8" w:name="_Toc1729512"/>
      <w:r>
        <w:rPr>
          <w:noProof/>
        </w:rPr>
        <w:t>Recommendations</w:t>
      </w:r>
      <w:bookmarkEnd w:id="8"/>
    </w:p>
    <w:p w14:paraId="55FAA9F3" w14:textId="77777777" w:rsidR="009040ED" w:rsidRDefault="009040ED" w:rsidP="009040ED">
      <w:pPr>
        <w:spacing w:after="40"/>
        <w:rPr>
          <w:i/>
        </w:rPr>
      </w:pPr>
      <w:r>
        <w:rPr>
          <w:i/>
        </w:rPr>
        <w:t>Strategic</w:t>
      </w:r>
    </w:p>
    <w:p w14:paraId="07612143" w14:textId="28DCB10D" w:rsidR="00235388" w:rsidRPr="00235388" w:rsidRDefault="00235388" w:rsidP="009040ED">
      <w:pPr>
        <w:pStyle w:val="ListParagraph"/>
        <w:numPr>
          <w:ilvl w:val="0"/>
          <w:numId w:val="22"/>
        </w:numPr>
        <w:ind w:left="0" w:firstLine="0"/>
        <w:rPr>
          <w:lang w:eastAsia="en-NZ"/>
        </w:rPr>
      </w:pPr>
      <w:r>
        <w:rPr>
          <w:lang w:val="en-AU" w:eastAsia="en-NZ"/>
        </w:rPr>
        <w:t xml:space="preserve">DFAT to use the option in the Scope of Services Agreement with the </w:t>
      </w:r>
      <w:r w:rsidR="00B055E8">
        <w:rPr>
          <w:lang w:val="en-AU" w:eastAsia="en-NZ"/>
        </w:rPr>
        <w:t>m</w:t>
      </w:r>
      <w:r>
        <w:rPr>
          <w:lang w:val="en-AU" w:eastAsia="en-NZ"/>
        </w:rPr>
        <w:t xml:space="preserve">anaging </w:t>
      </w:r>
      <w:r w:rsidR="00B055E8">
        <w:rPr>
          <w:lang w:val="en-AU" w:eastAsia="en-NZ"/>
        </w:rPr>
        <w:t>c</w:t>
      </w:r>
      <w:r>
        <w:rPr>
          <w:lang w:val="en-AU" w:eastAsia="en-NZ"/>
        </w:rPr>
        <w:t xml:space="preserve">ontactor to extend the end date of the contract by two years, from 31 March </w:t>
      </w:r>
      <w:r w:rsidR="0047280E">
        <w:rPr>
          <w:lang w:val="en-AU" w:eastAsia="en-NZ"/>
        </w:rPr>
        <w:t xml:space="preserve">2020 to </w:t>
      </w:r>
      <w:r>
        <w:rPr>
          <w:lang w:val="en-AU" w:eastAsia="en-NZ"/>
        </w:rPr>
        <w:t xml:space="preserve">31 March 2022. </w:t>
      </w:r>
    </w:p>
    <w:p w14:paraId="2A891A41" w14:textId="7120C4A8" w:rsidR="00235388" w:rsidRPr="00235388" w:rsidRDefault="00235388" w:rsidP="009040ED">
      <w:pPr>
        <w:pStyle w:val="ListParagraph"/>
        <w:numPr>
          <w:ilvl w:val="0"/>
          <w:numId w:val="22"/>
        </w:numPr>
        <w:ind w:left="0" w:firstLine="0"/>
        <w:rPr>
          <w:lang w:eastAsia="en-NZ"/>
        </w:rPr>
      </w:pPr>
      <w:r>
        <w:rPr>
          <w:lang w:val="en-AU" w:eastAsia="en-NZ"/>
        </w:rPr>
        <w:t xml:space="preserve">Africa Branch lead a strategic discussion about the outcomes of the </w:t>
      </w:r>
      <w:r w:rsidR="0022752D">
        <w:rPr>
          <w:lang w:val="en-AU" w:eastAsia="en-NZ"/>
        </w:rPr>
        <w:t>p</w:t>
      </w:r>
      <w:r>
        <w:rPr>
          <w:lang w:val="en-AU" w:eastAsia="en-NZ"/>
        </w:rPr>
        <w:t>ostdoctoral</w:t>
      </w:r>
      <w:r w:rsidR="0022752D">
        <w:rPr>
          <w:lang w:val="en-AU" w:eastAsia="en-NZ"/>
        </w:rPr>
        <w:t xml:space="preserve"> fellowship p</w:t>
      </w:r>
      <w:r>
        <w:rPr>
          <w:lang w:val="en-AU" w:eastAsia="en-NZ"/>
        </w:rPr>
        <w:t xml:space="preserve">ilot at the September 2019 Program Management Group meeting to inform the design of the next phase of Australia Awards in Africa. </w:t>
      </w:r>
    </w:p>
    <w:p w14:paraId="2C670BDD" w14:textId="3D131B33" w:rsidR="00235388" w:rsidRDefault="00235388" w:rsidP="00235388">
      <w:pPr>
        <w:pStyle w:val="ListParagraph"/>
        <w:numPr>
          <w:ilvl w:val="0"/>
          <w:numId w:val="22"/>
        </w:numPr>
        <w:ind w:left="0" w:firstLine="0"/>
        <w:rPr>
          <w:i/>
        </w:rPr>
      </w:pPr>
      <w:r>
        <w:t xml:space="preserve">Africa Branch </w:t>
      </w:r>
      <w:r w:rsidR="009040ED">
        <w:t xml:space="preserve">to clarify the strategic and functional intent </w:t>
      </w:r>
      <w:r w:rsidR="009040ED">
        <w:rPr>
          <w:lang w:eastAsia="en-NZ"/>
        </w:rPr>
        <w:t>of</w:t>
      </w:r>
      <w:r w:rsidR="009040ED">
        <w:t xml:space="preserve"> private sector engagement and development </w:t>
      </w:r>
      <w:r>
        <w:rPr>
          <w:lang w:val="en-AU"/>
        </w:rPr>
        <w:t>to inform the design of the next phase of Australia Award in Africa.</w:t>
      </w:r>
    </w:p>
    <w:p w14:paraId="1A256101" w14:textId="5CC268B4" w:rsidR="009040ED" w:rsidRPr="00235388" w:rsidRDefault="009040ED" w:rsidP="00235388">
      <w:pPr>
        <w:spacing w:after="40"/>
        <w:rPr>
          <w:i/>
        </w:rPr>
      </w:pPr>
      <w:r w:rsidRPr="00235388">
        <w:rPr>
          <w:i/>
        </w:rPr>
        <w:t>Operational</w:t>
      </w:r>
    </w:p>
    <w:p w14:paraId="27073663" w14:textId="77777777" w:rsidR="009040ED" w:rsidRPr="00B71BCF" w:rsidRDefault="009040ED" w:rsidP="009040ED">
      <w:pPr>
        <w:pStyle w:val="ListParagraph"/>
        <w:numPr>
          <w:ilvl w:val="0"/>
          <w:numId w:val="22"/>
        </w:numPr>
        <w:ind w:left="0" w:firstLine="0"/>
        <w:rPr>
          <w:lang w:eastAsia="en-NZ"/>
        </w:rPr>
      </w:pPr>
      <w:r w:rsidRPr="00FD7A5C">
        <w:t xml:space="preserve">Palladium and </w:t>
      </w:r>
      <w:r w:rsidRPr="00FD7A5C">
        <w:rPr>
          <w:lang w:eastAsia="en-NZ"/>
        </w:rPr>
        <w:t>Posts</w:t>
      </w:r>
      <w:r w:rsidRPr="00FD7A5C">
        <w:t xml:space="preserve"> </w:t>
      </w:r>
      <w:r>
        <w:t xml:space="preserve">use the </w:t>
      </w:r>
      <w:r w:rsidRPr="00FD7A5C">
        <w:t xml:space="preserve">annual work plan </w:t>
      </w:r>
      <w:r>
        <w:t xml:space="preserve">process to further strengthen alignment of </w:t>
      </w:r>
      <w:r w:rsidRPr="00FD7A5C">
        <w:t>alumni engagement activities delivered by Palladium with</w:t>
      </w:r>
      <w:r>
        <w:t>:</w:t>
      </w:r>
      <w:r w:rsidRPr="00FD7A5C">
        <w:t xml:space="preserve"> </w:t>
      </w:r>
      <w:r>
        <w:t>(</w:t>
      </w:r>
      <w:proofErr w:type="spellStart"/>
      <w:r>
        <w:t>i</w:t>
      </w:r>
      <w:proofErr w:type="spellEnd"/>
      <w:r>
        <w:t xml:space="preserve">) </w:t>
      </w:r>
      <w:r w:rsidRPr="00FD7A5C">
        <w:t>the Australia Awards in Africa Alumni Engagement Strategy</w:t>
      </w:r>
      <w:r>
        <w:t>;</w:t>
      </w:r>
      <w:r w:rsidRPr="00FD7A5C">
        <w:t xml:space="preserve"> </w:t>
      </w:r>
      <w:r w:rsidRPr="00B71BCF">
        <w:t>and</w:t>
      </w:r>
      <w:r>
        <w:t>,</w:t>
      </w:r>
      <w:r w:rsidRPr="00B71BCF">
        <w:t xml:space="preserve"> </w:t>
      </w:r>
      <w:r>
        <w:t xml:space="preserve">(ii) </w:t>
      </w:r>
      <w:r w:rsidRPr="00B71BCF">
        <w:t xml:space="preserve">Posts </w:t>
      </w:r>
      <w:r w:rsidRPr="00B71BCF">
        <w:rPr>
          <w:lang w:eastAsia="en-NZ"/>
        </w:rPr>
        <w:t xml:space="preserve">economic and public diplomacy strategies. </w:t>
      </w:r>
    </w:p>
    <w:p w14:paraId="5ABE3154" w14:textId="77777777" w:rsidR="009040ED" w:rsidRDefault="009040ED" w:rsidP="009040ED">
      <w:pPr>
        <w:pStyle w:val="ListParagraph"/>
        <w:numPr>
          <w:ilvl w:val="0"/>
          <w:numId w:val="22"/>
        </w:numPr>
        <w:ind w:left="0" w:firstLine="0"/>
        <w:rPr>
          <w:lang w:eastAsia="en-NZ"/>
        </w:rPr>
      </w:pPr>
      <w:r w:rsidRPr="00B71BCF">
        <w:rPr>
          <w:lang w:eastAsia="en-NZ"/>
        </w:rPr>
        <w:t xml:space="preserve">Africa Branch </w:t>
      </w:r>
      <w:r>
        <w:rPr>
          <w:lang w:eastAsia="en-NZ"/>
        </w:rPr>
        <w:t xml:space="preserve">increase its </w:t>
      </w:r>
      <w:r w:rsidRPr="00B71BCF">
        <w:rPr>
          <w:lang w:eastAsia="en-NZ"/>
        </w:rPr>
        <w:t>coordinati</w:t>
      </w:r>
      <w:r>
        <w:rPr>
          <w:lang w:eastAsia="en-NZ"/>
        </w:rPr>
        <w:t>o</w:t>
      </w:r>
      <w:r w:rsidRPr="00B71BCF">
        <w:rPr>
          <w:lang w:eastAsia="en-NZ"/>
        </w:rPr>
        <w:t>n</w:t>
      </w:r>
      <w:r>
        <w:rPr>
          <w:lang w:eastAsia="en-NZ"/>
        </w:rPr>
        <w:t xml:space="preserve"> of</w:t>
      </w:r>
      <w:r w:rsidRPr="00B71BCF">
        <w:rPr>
          <w:lang w:eastAsia="en-NZ"/>
        </w:rPr>
        <w:t xml:space="preserve"> information sharing between relevant sections in Canberra, Palladium and Posts</w:t>
      </w:r>
      <w:r>
        <w:rPr>
          <w:lang w:eastAsia="en-NZ"/>
        </w:rPr>
        <w:t xml:space="preserve"> to (</w:t>
      </w:r>
      <w:proofErr w:type="spellStart"/>
      <w:r>
        <w:rPr>
          <w:lang w:eastAsia="en-NZ"/>
        </w:rPr>
        <w:t>i</w:t>
      </w:r>
      <w:proofErr w:type="spellEnd"/>
      <w:r>
        <w:rPr>
          <w:lang w:eastAsia="en-NZ"/>
        </w:rPr>
        <w:t>) ensure policy and operational decisions are communicated to all stakeholders; and (ii) create regular opportunities for shared learning</w:t>
      </w:r>
      <w:r w:rsidRPr="00B71BCF">
        <w:rPr>
          <w:lang w:eastAsia="en-NZ"/>
        </w:rPr>
        <w:t>.</w:t>
      </w:r>
    </w:p>
    <w:p w14:paraId="4D775AA7" w14:textId="77777777" w:rsidR="009040ED" w:rsidRPr="003D05AD" w:rsidRDefault="009040ED" w:rsidP="009040ED">
      <w:pPr>
        <w:pStyle w:val="ListParagraph"/>
        <w:numPr>
          <w:ilvl w:val="0"/>
          <w:numId w:val="22"/>
        </w:numPr>
        <w:ind w:left="0" w:firstLine="0"/>
        <w:rPr>
          <w:lang w:eastAsia="en-NZ"/>
        </w:rPr>
      </w:pPr>
      <w:r>
        <w:rPr>
          <w:lang w:eastAsia="en-NZ"/>
        </w:rPr>
        <w:t>Africa Branch</w:t>
      </w:r>
      <w:r w:rsidRPr="002F6950">
        <w:rPr>
          <w:lang w:eastAsia="en-NZ"/>
        </w:rPr>
        <w:t xml:space="preserve">, Posts and Palladium management team to </w:t>
      </w:r>
      <w:r>
        <w:rPr>
          <w:lang w:eastAsia="en-NZ"/>
        </w:rPr>
        <w:t xml:space="preserve">review </w:t>
      </w:r>
      <w:r w:rsidRPr="002F6950">
        <w:rPr>
          <w:lang w:eastAsia="en-NZ"/>
        </w:rPr>
        <w:t xml:space="preserve">the current documented roles and responsibilities, discuss any changed expectations and </w:t>
      </w:r>
      <w:r>
        <w:rPr>
          <w:lang w:eastAsia="en-NZ"/>
        </w:rPr>
        <w:t xml:space="preserve">revise the document </w:t>
      </w:r>
      <w:r w:rsidRPr="002F6950">
        <w:rPr>
          <w:lang w:eastAsia="en-NZ"/>
        </w:rPr>
        <w:t>accordingly.</w:t>
      </w:r>
      <w:r w:rsidRPr="003D05AD">
        <w:rPr>
          <w:lang w:eastAsia="en-NZ"/>
        </w:rPr>
        <w:t xml:space="preserve">  </w:t>
      </w:r>
    </w:p>
    <w:p w14:paraId="76DD8B29" w14:textId="77777777" w:rsidR="009040ED" w:rsidRDefault="009040ED" w:rsidP="009040ED">
      <w:pPr>
        <w:pStyle w:val="ListParagraph"/>
        <w:numPr>
          <w:ilvl w:val="0"/>
          <w:numId w:val="22"/>
        </w:numPr>
        <w:ind w:left="0" w:firstLine="0"/>
        <w:rPr>
          <w:lang w:eastAsia="en-NZ"/>
        </w:rPr>
      </w:pPr>
      <w:r>
        <w:rPr>
          <w:lang w:eastAsia="en-NZ"/>
        </w:rPr>
        <w:t>Africa Branch consider stakeholder suggestions for improvements as summarised in Appendix H and discuss with Palladium.</w:t>
      </w:r>
    </w:p>
    <w:p w14:paraId="2C30A393" w14:textId="77777777" w:rsidR="009040ED" w:rsidRDefault="009040ED" w:rsidP="009040ED">
      <w:pPr>
        <w:spacing w:after="40"/>
        <w:rPr>
          <w:i/>
        </w:rPr>
      </w:pPr>
      <w:r>
        <w:rPr>
          <w:i/>
        </w:rPr>
        <w:t xml:space="preserve">Monitoring, </w:t>
      </w:r>
      <w:proofErr w:type="gramStart"/>
      <w:r>
        <w:rPr>
          <w:i/>
        </w:rPr>
        <w:t>evaluation</w:t>
      </w:r>
      <w:proofErr w:type="gramEnd"/>
      <w:r>
        <w:rPr>
          <w:i/>
        </w:rPr>
        <w:t xml:space="preserve"> and communications</w:t>
      </w:r>
    </w:p>
    <w:p w14:paraId="610005A8" w14:textId="77777777" w:rsidR="009040ED" w:rsidRDefault="009040ED" w:rsidP="009040ED">
      <w:pPr>
        <w:pStyle w:val="ListParagraph"/>
        <w:numPr>
          <w:ilvl w:val="0"/>
          <w:numId w:val="22"/>
        </w:numPr>
        <w:ind w:left="0" w:firstLine="0"/>
        <w:rPr>
          <w:lang w:eastAsia="en-NZ"/>
        </w:rPr>
      </w:pPr>
      <w:r>
        <w:t xml:space="preserve">DFAT and Palladium </w:t>
      </w:r>
      <w:r>
        <w:rPr>
          <w:lang w:eastAsia="en-NZ"/>
        </w:rPr>
        <w:t xml:space="preserve">consider the suggested modifications to the MEF and progress reports included at Appendix I. </w:t>
      </w:r>
    </w:p>
    <w:p w14:paraId="58E5F444" w14:textId="77777777" w:rsidR="009040ED" w:rsidRDefault="009040ED" w:rsidP="009040ED">
      <w:pPr>
        <w:pStyle w:val="ListParagraph"/>
        <w:numPr>
          <w:ilvl w:val="0"/>
          <w:numId w:val="22"/>
        </w:numPr>
        <w:ind w:left="0" w:firstLine="0"/>
        <w:rPr>
          <w:lang w:eastAsia="en-NZ"/>
        </w:rPr>
      </w:pPr>
      <w:r>
        <w:rPr>
          <w:lang w:eastAsia="en-NZ"/>
        </w:rPr>
        <w:t>DFAT and Palladium agree on distribution plans for each of the key reporting and evaluation products.</w:t>
      </w:r>
    </w:p>
    <w:p w14:paraId="08D8C6AC" w14:textId="69A09CC5" w:rsidR="009040ED" w:rsidRDefault="009040ED" w:rsidP="009040ED">
      <w:pPr>
        <w:pStyle w:val="ListParagraph"/>
        <w:numPr>
          <w:ilvl w:val="0"/>
          <w:numId w:val="22"/>
        </w:numPr>
        <w:ind w:left="0" w:firstLine="0"/>
        <w:rPr>
          <w:lang w:eastAsia="en-NZ"/>
        </w:rPr>
      </w:pPr>
      <w:r>
        <w:rPr>
          <w:lang w:eastAsia="en-NZ"/>
        </w:rPr>
        <w:t xml:space="preserve">DFAT and Palladium use the annual planning process to clarify: timing and content of specific communications products to be developed for each Post (in conjunction with the promotions plans); level of assistance required for each Post to maintain </w:t>
      </w:r>
      <w:r w:rsidR="00B055E8">
        <w:rPr>
          <w:lang w:val="en-NZ" w:eastAsia="en-NZ"/>
        </w:rPr>
        <w:t xml:space="preserve">any </w:t>
      </w:r>
      <w:r>
        <w:rPr>
          <w:lang w:eastAsia="en-NZ"/>
        </w:rPr>
        <w:t xml:space="preserve">alumni contact </w:t>
      </w:r>
      <w:r w:rsidR="00B055E8">
        <w:rPr>
          <w:lang w:val="en-NZ" w:eastAsia="en-NZ"/>
        </w:rPr>
        <w:t>register</w:t>
      </w:r>
      <w:r>
        <w:rPr>
          <w:lang w:eastAsia="en-NZ"/>
        </w:rPr>
        <w:t xml:space="preserve">; and, other issues as raised by Post with the Africa Branch.  </w:t>
      </w:r>
    </w:p>
    <w:p w14:paraId="7F4A7285" w14:textId="5C6A05D5" w:rsidR="009040ED" w:rsidRPr="003D05AD" w:rsidRDefault="009040ED" w:rsidP="009040ED">
      <w:pPr>
        <w:pStyle w:val="ListParagraph"/>
        <w:numPr>
          <w:ilvl w:val="0"/>
          <w:numId w:val="22"/>
        </w:numPr>
        <w:ind w:left="0" w:firstLine="0"/>
        <w:rPr>
          <w:lang w:eastAsia="en-NZ"/>
        </w:rPr>
      </w:pPr>
      <w:r>
        <w:rPr>
          <w:lang w:eastAsia="en-NZ"/>
        </w:rPr>
        <w:t>Amend the Outcome 2 wording to read ‘</w:t>
      </w:r>
      <w:r w:rsidRPr="003D05AD">
        <w:rPr>
          <w:lang w:eastAsia="en-NZ"/>
        </w:rPr>
        <w:t>Alumni view Australia, Australians and Australian expertise positively’</w:t>
      </w:r>
      <w:r>
        <w:rPr>
          <w:lang w:val="en-NZ" w:eastAsia="en-NZ"/>
        </w:rPr>
        <w:t>.</w:t>
      </w:r>
      <w:r>
        <w:rPr>
          <w:noProof/>
        </w:rPr>
        <w:t xml:space="preserve"> </w:t>
      </w:r>
    </w:p>
    <w:p w14:paraId="13D46385" w14:textId="5F2566A5" w:rsidR="009040ED" w:rsidRPr="009040ED" w:rsidRDefault="009040ED" w:rsidP="00983A21">
      <w:pPr>
        <w:pStyle w:val="ListParagraph"/>
        <w:numPr>
          <w:ilvl w:val="0"/>
          <w:numId w:val="22"/>
        </w:numPr>
        <w:ind w:left="0" w:firstLine="0"/>
      </w:pPr>
      <w:r>
        <w:rPr>
          <w:lang w:eastAsia="en-NZ"/>
        </w:rPr>
        <w:t xml:space="preserve">Palladium adjust how it reports on disability-inclusion to give a clearer indication of the participation of PWD in Australia Awards in Africa. </w:t>
      </w:r>
    </w:p>
    <w:p w14:paraId="407BCF5F" w14:textId="77777777" w:rsidR="006F6C17" w:rsidRDefault="006F6C17" w:rsidP="008C698F"/>
    <w:bookmarkStart w:id="9" w:name="_Toc1729513"/>
    <w:p w14:paraId="78D62903" w14:textId="77777777" w:rsidR="00D1616E" w:rsidRDefault="007D1C94" w:rsidP="00B74CD9">
      <w:pPr>
        <w:pStyle w:val="Heading1"/>
        <w:numPr>
          <w:ilvl w:val="0"/>
          <w:numId w:val="15"/>
        </w:numPr>
      </w:pPr>
      <w:r>
        <w:rPr>
          <w:noProof/>
        </w:rPr>
        <w:lastRenderedPageBreak/>
        <mc:AlternateContent>
          <mc:Choice Requires="wps">
            <w:drawing>
              <wp:anchor distT="0" distB="0" distL="114300" distR="114300" simplePos="0" relativeHeight="251665920" behindDoc="1" locked="0" layoutInCell="1" allowOverlap="1" wp14:anchorId="5F202FCB" wp14:editId="70D6780D">
                <wp:simplePos x="0" y="0"/>
                <wp:positionH relativeFrom="page">
                  <wp:posOffset>0</wp:posOffset>
                </wp:positionH>
                <wp:positionV relativeFrom="paragraph">
                  <wp:posOffset>-467995</wp:posOffset>
                </wp:positionV>
                <wp:extent cx="7610400" cy="1468800"/>
                <wp:effectExtent l="0" t="0" r="0" b="0"/>
                <wp:wrapNone/>
                <wp:docPr id="7" name="Rectangle 7"/>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08250" id="Rectangle 7" o:spid="_x0000_s1026" style="position:absolute;margin-left:0;margin-top:-36.85pt;width:599.25pt;height:115.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" fillcolor="#124486" stroked="f" strokeweight="2pt">
                <w10:wrap anchorx="page"/>
              </v:rect>
            </w:pict>
          </mc:Fallback>
        </mc:AlternateContent>
      </w:r>
      <w:r>
        <w:t>Introduction</w:t>
      </w:r>
      <w:bookmarkEnd w:id="9"/>
    </w:p>
    <w:p w14:paraId="4AF04902" w14:textId="77777777" w:rsidR="00943E09" w:rsidRPr="00F458D8" w:rsidRDefault="00943E09" w:rsidP="00943E09">
      <w:r>
        <w:t xml:space="preserve">Chapter 1 (Introduction) provides background information on </w:t>
      </w:r>
      <w:r w:rsidR="00B915F5">
        <w:t>Australia Awards in Africa</w:t>
      </w:r>
      <w:r w:rsidR="00E57870" w:rsidRPr="00880005">
        <w:t xml:space="preserve"> </w:t>
      </w:r>
      <w:r>
        <w:t xml:space="preserve">and the context in which it operates. Chapter 2 (Methodology) details the key evaluations questions </w:t>
      </w:r>
      <w:r w:rsidR="001712C6">
        <w:t xml:space="preserve">and approach </w:t>
      </w:r>
      <w:r>
        <w:t xml:space="preserve">which guided the </w:t>
      </w:r>
      <w:r w:rsidR="00647C97">
        <w:t>evaluation</w:t>
      </w:r>
      <w:r>
        <w:t xml:space="preserve">. Chapter 3 (Findings) </w:t>
      </w:r>
      <w:r w:rsidRPr="006E2372">
        <w:t>examine</w:t>
      </w:r>
      <w:r>
        <w:t>s</w:t>
      </w:r>
      <w:r w:rsidRPr="006E2372">
        <w:t xml:space="preserve"> each </w:t>
      </w:r>
      <w:r>
        <w:t xml:space="preserve">key evaluation question </w:t>
      </w:r>
      <w:r w:rsidRPr="00CD75EF">
        <w:t>in turn providing an assessment</w:t>
      </w:r>
      <w:r>
        <w:t>, findings and proposing recommendations.</w:t>
      </w:r>
      <w:r w:rsidRPr="00CD75EF">
        <w:t xml:space="preserve"> </w:t>
      </w:r>
      <w:r>
        <w:t xml:space="preserve">Chapter 4 (Conclusions) contains concluding remarks. Chapter 5 (Recommendations) </w:t>
      </w:r>
      <w:r w:rsidR="00B43019">
        <w:t xml:space="preserve">summarises </w:t>
      </w:r>
      <w:r>
        <w:t xml:space="preserve">the recommendations presented </w:t>
      </w:r>
      <w:r w:rsidR="00B43019">
        <w:t xml:space="preserve">throughout </w:t>
      </w:r>
      <w:r>
        <w:t xml:space="preserve">Chapter 3. </w:t>
      </w:r>
    </w:p>
    <w:p w14:paraId="7F2DA15F" w14:textId="77777777" w:rsidR="00D1616E" w:rsidRDefault="00B915F5" w:rsidP="00D1616E">
      <w:pPr>
        <w:pStyle w:val="Heading2"/>
      </w:pPr>
      <w:bookmarkStart w:id="10" w:name="_Toc1729514"/>
      <w:r>
        <w:t>Australia Awards in Africa</w:t>
      </w:r>
      <w:bookmarkEnd w:id="10"/>
      <w:r w:rsidR="00647C97">
        <w:t xml:space="preserve"> </w:t>
      </w:r>
    </w:p>
    <w:p w14:paraId="1494BCF0" w14:textId="77777777" w:rsidR="00CE3F1A" w:rsidRPr="00880005" w:rsidRDefault="00B915F5" w:rsidP="00CE3F1A">
      <w:r>
        <w:t>Australia Awards in Africa</w:t>
      </w:r>
      <w:r w:rsidR="00CE3F1A" w:rsidRPr="00880005">
        <w:t xml:space="preserve"> is a four-year (2016-2020) investment of over $100 million</w:t>
      </w:r>
      <w:r w:rsidR="00D50AE0" w:rsidRPr="00D50AE0">
        <w:t xml:space="preserve"> </w:t>
      </w:r>
      <w:r w:rsidR="00D50AE0">
        <w:t xml:space="preserve">which </w:t>
      </w:r>
      <w:r w:rsidR="00D50AE0" w:rsidRPr="00880005">
        <w:t>contribute</w:t>
      </w:r>
      <w:r w:rsidR="00D50AE0">
        <w:t>s</w:t>
      </w:r>
      <w:r w:rsidR="00D50AE0" w:rsidRPr="00880005">
        <w:t xml:space="preserve"> to African leadership and human capacity development in areas of critical skills shortages specifically extractives, </w:t>
      </w:r>
      <w:proofErr w:type="gramStart"/>
      <w:r w:rsidR="00D50AE0" w:rsidRPr="00880005">
        <w:t>agriculture</w:t>
      </w:r>
      <w:proofErr w:type="gramEnd"/>
      <w:r w:rsidR="00D50AE0" w:rsidRPr="00880005">
        <w:t xml:space="preserve"> and public policy</w:t>
      </w:r>
      <w:r w:rsidR="00E57870">
        <w:t xml:space="preserve"> </w:t>
      </w:r>
      <w:r w:rsidR="00D50AE0">
        <w:t>(</w:t>
      </w:r>
      <w:r w:rsidR="00CE3F1A" w:rsidRPr="00880005">
        <w:t xml:space="preserve">objective one of </w:t>
      </w:r>
      <w:r w:rsidR="00D50AE0">
        <w:t xml:space="preserve">Australia’s </w:t>
      </w:r>
      <w:r w:rsidR="00CE3F1A" w:rsidRPr="00880005">
        <w:t>Sub-Saharan Africa Aid Investment Plan</w:t>
      </w:r>
      <w:r w:rsidR="00D50AE0">
        <w:t xml:space="preserve">).  </w:t>
      </w:r>
    </w:p>
    <w:p w14:paraId="29210DBE" w14:textId="77777777" w:rsidR="00CE3F1A" w:rsidRPr="00880005" w:rsidRDefault="00B915F5" w:rsidP="00CE3F1A">
      <w:r>
        <w:t>Australia Awards in Africa</w:t>
      </w:r>
      <w:r w:rsidR="00E57870">
        <w:t>’s</w:t>
      </w:r>
      <w:r w:rsidR="00E57870" w:rsidRPr="00880005">
        <w:t xml:space="preserve"> </w:t>
      </w:r>
      <w:r w:rsidR="00CE3F1A" w:rsidRPr="00880005">
        <w:t>end of program outcomes are:</w:t>
      </w:r>
    </w:p>
    <w:p w14:paraId="74190198" w14:textId="77777777" w:rsidR="00CE3F1A" w:rsidRPr="00880005" w:rsidRDefault="00CE3F1A" w:rsidP="00CE3F1A">
      <w:pPr>
        <w:pStyle w:val="Bullet"/>
      </w:pPr>
      <w:r w:rsidRPr="00880005">
        <w:t xml:space="preserve">alumni are using their skills, </w:t>
      </w:r>
      <w:proofErr w:type="gramStart"/>
      <w:r w:rsidRPr="00880005">
        <w:t>knowledge</w:t>
      </w:r>
      <w:proofErr w:type="gramEnd"/>
      <w:r w:rsidRPr="00880005">
        <w:t xml:space="preserve"> and networks to contribute to sustainable development</w:t>
      </w:r>
      <w:r w:rsidR="00D50AE0">
        <w:t>.</w:t>
      </w:r>
    </w:p>
    <w:p w14:paraId="7E5F20AC" w14:textId="77777777" w:rsidR="00CE3F1A" w:rsidRPr="00880005" w:rsidRDefault="00CE3F1A" w:rsidP="00CE3F1A">
      <w:pPr>
        <w:pStyle w:val="Bullet"/>
      </w:pPr>
      <w:r w:rsidRPr="00880005">
        <w:t>targeted countries in Africa view Australia as a valued partner</w:t>
      </w:r>
      <w:r w:rsidR="00D50AE0">
        <w:t>.</w:t>
      </w:r>
    </w:p>
    <w:p w14:paraId="22755B73" w14:textId="77777777" w:rsidR="00CE3F1A" w:rsidRPr="00880005" w:rsidRDefault="00CE3F1A" w:rsidP="001712C6">
      <w:pPr>
        <w:pStyle w:val="Bullet"/>
      </w:pPr>
      <w:r w:rsidRPr="00880005">
        <w:t>alumni have positive ongoing links with Australia.</w:t>
      </w:r>
    </w:p>
    <w:p w14:paraId="0B421316" w14:textId="56B84964" w:rsidR="00CE3F1A" w:rsidRPr="00880005" w:rsidRDefault="00B915F5" w:rsidP="00CE3F1A">
      <w:r>
        <w:t>Australia Awards in Africa</w:t>
      </w:r>
      <w:r w:rsidR="00E57870" w:rsidRPr="00880005">
        <w:t xml:space="preserve"> </w:t>
      </w:r>
      <w:r w:rsidR="00CE3F1A" w:rsidRPr="00880005">
        <w:t>comprises</w:t>
      </w:r>
      <w:r w:rsidR="001712C6">
        <w:t xml:space="preserve"> Australia Awards scholarships (at</w:t>
      </w:r>
      <w:r w:rsidR="00CE3F1A" w:rsidRPr="00880005">
        <w:t xml:space="preserve"> </w:t>
      </w:r>
      <w:r w:rsidR="001712C6" w:rsidRPr="00880005">
        <w:t>master’s</w:t>
      </w:r>
      <w:r w:rsidR="001712C6">
        <w:t xml:space="preserve"> level)</w:t>
      </w:r>
      <w:r w:rsidR="00CE3F1A" w:rsidRPr="00880005">
        <w:t xml:space="preserve">, short course awards, </w:t>
      </w:r>
      <w:r w:rsidR="00D50AE0" w:rsidRPr="00880005">
        <w:t>Australia Award</w:t>
      </w:r>
      <w:r w:rsidR="001712C6">
        <w:t>s</w:t>
      </w:r>
      <w:r w:rsidR="00D50AE0" w:rsidRPr="00880005">
        <w:t xml:space="preserve"> </w:t>
      </w:r>
      <w:r w:rsidR="001712C6">
        <w:t>f</w:t>
      </w:r>
      <w:r w:rsidR="00D50AE0" w:rsidRPr="00880005">
        <w:t>ellowships</w:t>
      </w:r>
      <w:r w:rsidR="00D50AE0">
        <w:rPr>
          <w:rStyle w:val="FootnoteReference"/>
        </w:rPr>
        <w:footnoteReference w:id="3"/>
      </w:r>
      <w:r w:rsidR="00D50AE0">
        <w:t xml:space="preserve"> and </w:t>
      </w:r>
      <w:r w:rsidR="00CE3F1A" w:rsidRPr="00880005">
        <w:t xml:space="preserve">a pilot program of </w:t>
      </w:r>
      <w:r w:rsidR="001712C6">
        <w:t xml:space="preserve">postdoctoral </w:t>
      </w:r>
      <w:r w:rsidR="00E57870">
        <w:t>f</w:t>
      </w:r>
      <w:r w:rsidR="00CE3F1A" w:rsidRPr="00880005">
        <w:t xml:space="preserve">ellowships. </w:t>
      </w:r>
      <w:r w:rsidR="00570B3C">
        <w:t xml:space="preserve">Based on current funding for financial year 2018-19, DFAT expects to offer up to </w:t>
      </w:r>
      <w:r w:rsidR="00FD5E80">
        <w:t xml:space="preserve">450 </w:t>
      </w:r>
      <w:r w:rsidR="00570B3C">
        <w:t>awards across Sub-Saharan Africa including, 155 master</w:t>
      </w:r>
      <w:r w:rsidR="009E516B">
        <w:t>’</w:t>
      </w:r>
      <w:r w:rsidR="00570B3C">
        <w:t xml:space="preserve">s, 260 short courses and 10 </w:t>
      </w:r>
      <w:r w:rsidR="001712C6">
        <w:t>postdoctoral</w:t>
      </w:r>
      <w:r w:rsidR="00570B3C">
        <w:t xml:space="preserve"> fellowships. </w:t>
      </w:r>
      <w:r w:rsidR="00CE3F1A">
        <w:t>DFAT a</w:t>
      </w:r>
      <w:r w:rsidR="00CE3F1A" w:rsidRPr="00880005">
        <w:t>im</w:t>
      </w:r>
      <w:r w:rsidR="00CE3F1A">
        <w:t>s</w:t>
      </w:r>
      <w:r w:rsidR="00CE3F1A" w:rsidRPr="00880005">
        <w:t xml:space="preserve"> to offer 50 </w:t>
      </w:r>
      <w:r w:rsidR="006B4EF3">
        <w:t>per cent</w:t>
      </w:r>
      <w:r w:rsidR="00CE3F1A" w:rsidRPr="00880005">
        <w:t xml:space="preserve"> of awards to women. </w:t>
      </w:r>
    </w:p>
    <w:p w14:paraId="00E2F156" w14:textId="77777777" w:rsidR="00CE3F1A" w:rsidRDefault="00CE3F1A" w:rsidP="00CE3F1A">
      <w:r w:rsidRPr="00880005">
        <w:t xml:space="preserve">Geographic focus:  </w:t>
      </w:r>
    </w:p>
    <w:p w14:paraId="1D512884" w14:textId="77777777" w:rsidR="00CE3F1A" w:rsidRPr="00880005" w:rsidRDefault="00CE3F1A" w:rsidP="00CE3F1A">
      <w:pPr>
        <w:pStyle w:val="Bullet"/>
      </w:pPr>
      <w:r w:rsidRPr="00880005">
        <w:t>Applications for masters’ scholarships and short courses are accepted from 11 African countries</w:t>
      </w:r>
      <w:r w:rsidR="00150997">
        <w:t>:</w:t>
      </w:r>
      <w:r w:rsidRPr="00880005">
        <w:t xml:space="preserve"> Botswana, Ghana, Kenya, Madagascar, Malawi, Mauritius, Mozambique, Nigeria, South Africa, </w:t>
      </w:r>
      <w:proofErr w:type="gramStart"/>
      <w:r w:rsidRPr="00880005">
        <w:t>Tanzania</w:t>
      </w:r>
      <w:proofErr w:type="gramEnd"/>
      <w:r w:rsidRPr="00880005">
        <w:t xml:space="preserve"> and Zambia.  </w:t>
      </w:r>
    </w:p>
    <w:p w14:paraId="4D8C133D" w14:textId="77777777" w:rsidR="00CE3F1A" w:rsidRPr="00880005" w:rsidRDefault="00CE3F1A" w:rsidP="00CE3F1A">
      <w:pPr>
        <w:pStyle w:val="Bullet"/>
      </w:pPr>
      <w:r w:rsidRPr="00880005">
        <w:t>Applications for short courses are accepted from another 10 countries</w:t>
      </w:r>
      <w:r w:rsidR="00150997">
        <w:t>:</w:t>
      </w:r>
      <w:r w:rsidRPr="00880005">
        <w:t xml:space="preserve"> Cameroon, Cote d’Ivoire, Ethiopia, Namibia, Rwanda, Senegal, Somalia, South Sudan, Uganda, and Zimbabwe.</w:t>
      </w:r>
    </w:p>
    <w:p w14:paraId="11CAF4DA" w14:textId="77777777" w:rsidR="00CE3F1A" w:rsidRPr="00880005" w:rsidRDefault="00CE3F1A" w:rsidP="00CE3F1A">
      <w:pPr>
        <w:pStyle w:val="Bullet"/>
      </w:pPr>
      <w:r w:rsidRPr="00880005">
        <w:t xml:space="preserve">Applicants from Ethiopia, Rwanda, </w:t>
      </w:r>
      <w:proofErr w:type="gramStart"/>
      <w:r w:rsidRPr="00880005">
        <w:t>Somalia</w:t>
      </w:r>
      <w:proofErr w:type="gramEnd"/>
      <w:r w:rsidRPr="00880005">
        <w:t xml:space="preserve"> and South Sudan are eligible for courses offered wholly in Africa. </w:t>
      </w:r>
    </w:p>
    <w:p w14:paraId="321FF75C" w14:textId="68E557E2" w:rsidR="00CE3F1A" w:rsidRDefault="00CE3F1A" w:rsidP="006414A0">
      <w:pPr>
        <w:pStyle w:val="BulletLast"/>
      </w:pPr>
      <w:r w:rsidRPr="00880005">
        <w:t>Applications from other African countries may be considered on the recommendation of Heads of Mission</w:t>
      </w:r>
      <w:r w:rsidR="00685EC8">
        <w:t xml:space="preserve"> at </w:t>
      </w:r>
      <w:r w:rsidR="00685EC8">
        <w:rPr>
          <w:lang w:val="en-US"/>
        </w:rPr>
        <w:t>Australia</w:t>
      </w:r>
      <w:r w:rsidR="00101CB5">
        <w:rPr>
          <w:lang w:val="en-US"/>
        </w:rPr>
        <w:t xml:space="preserve">’s diplomatic missions </w:t>
      </w:r>
      <w:r w:rsidR="00685EC8">
        <w:t>on the African continent.</w:t>
      </w:r>
    </w:p>
    <w:p w14:paraId="41695D81" w14:textId="48EF44D5" w:rsidR="006414A0" w:rsidRPr="00880005" w:rsidRDefault="006414A0" w:rsidP="006414A0">
      <w:r>
        <w:lastRenderedPageBreak/>
        <w:t xml:space="preserve">A restructure within DFAT in late 2018 resulted in Africa Branch acquiring responsibilities for two Australian diplomatic missions in North African (Cairo and Rabat) each with countries of accreditation that may be considered for Australia Awards in a future phase of the program. </w:t>
      </w:r>
    </w:p>
    <w:p w14:paraId="0F6145B0" w14:textId="6DE555F4" w:rsidR="00C01961" w:rsidRDefault="00CE3F1A" w:rsidP="00C01961">
      <w:r w:rsidRPr="00880005">
        <w:t xml:space="preserve">The managing contractor, Palladium, is responsible for managing promotion, selection, mobilisation, monitoring, evaluation, alumni </w:t>
      </w:r>
      <w:proofErr w:type="gramStart"/>
      <w:r w:rsidRPr="00880005">
        <w:t>engagement</w:t>
      </w:r>
      <w:proofErr w:type="gramEnd"/>
      <w:r w:rsidRPr="00880005">
        <w:t xml:space="preserve"> and reporting required under </w:t>
      </w:r>
      <w:r w:rsidR="00B915F5">
        <w:t>Australia Awards in Africa</w:t>
      </w:r>
      <w:r w:rsidR="00E57870">
        <w:t xml:space="preserve"> </w:t>
      </w:r>
      <w:r w:rsidRPr="00880005">
        <w:t>for an initial four years (from 1 April 2016 to 31 March 2020)</w:t>
      </w:r>
      <w:r w:rsidR="00F125B5">
        <w:t>.</w:t>
      </w:r>
      <w:r w:rsidR="002B6840">
        <w:rPr>
          <w:rStyle w:val="FootnoteReference"/>
        </w:rPr>
        <w:footnoteReference w:id="4"/>
      </w:r>
      <w:r w:rsidRPr="00880005">
        <w:t xml:space="preserve"> An option to extend the Agreement for up to two years is available pending the findings of this evaluation. </w:t>
      </w:r>
      <w:r w:rsidR="00C01961">
        <w:t>Palladium has staff located across t</w:t>
      </w:r>
      <w:r w:rsidR="00154694">
        <w:t xml:space="preserve">hree </w:t>
      </w:r>
      <w:r w:rsidR="00C01961">
        <w:t>offices in Pretoria</w:t>
      </w:r>
      <w:r w:rsidR="00154694">
        <w:t xml:space="preserve"> (South Africa), </w:t>
      </w:r>
      <w:r w:rsidR="00C01961">
        <w:t>Nairobi</w:t>
      </w:r>
      <w:r w:rsidR="00154694">
        <w:t xml:space="preserve"> (Kenya) and </w:t>
      </w:r>
      <w:r w:rsidR="00C01961">
        <w:t>Brisbane</w:t>
      </w:r>
      <w:r w:rsidR="00154694">
        <w:t xml:space="preserve"> (Australia)</w:t>
      </w:r>
      <w:r w:rsidR="00C01961">
        <w:t xml:space="preserve">.  </w:t>
      </w:r>
    </w:p>
    <w:p w14:paraId="21BB2C6F" w14:textId="77777777" w:rsidR="00CE3F1A" w:rsidRPr="00880005" w:rsidRDefault="00B915F5" w:rsidP="00CE3F1A">
      <w:r>
        <w:t>Australia Awards in Africa</w:t>
      </w:r>
      <w:r w:rsidR="00E57870">
        <w:t xml:space="preserve"> </w:t>
      </w:r>
      <w:r w:rsidR="00CE3F1A" w:rsidRPr="00880005">
        <w:t>is a regional program with the financial delegations managed by</w:t>
      </w:r>
      <w:r w:rsidR="00CE3F1A">
        <w:t xml:space="preserve"> DFAT’s</w:t>
      </w:r>
      <w:r w:rsidR="00CE3F1A" w:rsidRPr="00880005">
        <w:t xml:space="preserve"> Africa Branch</w:t>
      </w:r>
      <w:r w:rsidR="00101CB5">
        <w:t xml:space="preserve"> in Canberra</w:t>
      </w:r>
      <w:r w:rsidR="00CE3F1A" w:rsidRPr="00880005">
        <w:t>. The governance arrangements include</w:t>
      </w:r>
      <w:r w:rsidR="00325266">
        <w:t>:</w:t>
      </w:r>
      <w:r w:rsidR="00CE3F1A" w:rsidRPr="00880005">
        <w:t xml:space="preserve"> a biannual Program Management Group meeting with Palladium senior managers, the Assistant Secretary Africa Branch, </w:t>
      </w:r>
      <w:r w:rsidR="009E516B">
        <w:t xml:space="preserve">the </w:t>
      </w:r>
      <w:r w:rsidR="00CE3F1A" w:rsidRPr="00880005">
        <w:t xml:space="preserve">Director, Pan Africa and Effectiveness section, </w:t>
      </w:r>
      <w:r w:rsidR="009E516B">
        <w:t xml:space="preserve">and </w:t>
      </w:r>
      <w:r w:rsidR="00CE3F1A" w:rsidRPr="00880005">
        <w:t xml:space="preserve">the </w:t>
      </w:r>
      <w:r>
        <w:t>Australia Awards in Africa</w:t>
      </w:r>
      <w:r w:rsidR="00E57870">
        <w:t xml:space="preserve"> </w:t>
      </w:r>
      <w:r w:rsidR="00CE3F1A" w:rsidRPr="00880005">
        <w:t xml:space="preserve">Program Manager; an annual planning meeting with Palladium, </w:t>
      </w:r>
      <w:r w:rsidR="00101CB5">
        <w:t xml:space="preserve">Africa </w:t>
      </w:r>
      <w:proofErr w:type="gramStart"/>
      <w:r w:rsidR="00101CB5">
        <w:t>Branch</w:t>
      </w:r>
      <w:proofErr w:type="gramEnd"/>
      <w:r w:rsidR="00101CB5">
        <w:t xml:space="preserve"> </w:t>
      </w:r>
      <w:r w:rsidR="00CE3F1A" w:rsidRPr="00880005">
        <w:t>and representation from</w:t>
      </w:r>
      <w:r w:rsidR="00101CB5">
        <w:t xml:space="preserve"> Australia’s </w:t>
      </w:r>
      <w:r w:rsidR="00CE3F1A" w:rsidRPr="00880005">
        <w:t xml:space="preserve">seven </w:t>
      </w:r>
      <w:r w:rsidR="00101CB5">
        <w:t xml:space="preserve">diplomatic missions in </w:t>
      </w:r>
      <w:r w:rsidR="00CE3F1A" w:rsidRPr="00880005">
        <w:t>Africa</w:t>
      </w:r>
      <w:r w:rsidR="00CF12D1">
        <w:t xml:space="preserve"> (herein referred to as Posts)</w:t>
      </w:r>
      <w:r w:rsidR="00CE3F1A" w:rsidRPr="00880005">
        <w:t xml:space="preserve">; and monthly meetings between Palladium and </w:t>
      </w:r>
      <w:r w:rsidR="00101CB5">
        <w:t>Africa Branch</w:t>
      </w:r>
      <w:r w:rsidR="00CE3F1A" w:rsidRPr="00880005">
        <w:t xml:space="preserve">.  </w:t>
      </w:r>
    </w:p>
    <w:p w14:paraId="24A45A58" w14:textId="77777777" w:rsidR="000F2C13" w:rsidRDefault="00E87B80" w:rsidP="00F74DB5">
      <w:pPr>
        <w:pStyle w:val="Heading3"/>
      </w:pPr>
      <w:r>
        <w:t xml:space="preserve">Australian Government </w:t>
      </w:r>
      <w:r w:rsidR="000F2C13">
        <w:t>Policy Context</w:t>
      </w:r>
    </w:p>
    <w:p w14:paraId="502AA867" w14:textId="77777777" w:rsidR="00F74DB5" w:rsidRPr="00880005" w:rsidRDefault="00F74DB5" w:rsidP="00F74DB5">
      <w:r w:rsidRPr="00880005">
        <w:t xml:space="preserve">Policy issues driving change across scholarships </w:t>
      </w:r>
      <w:r>
        <w:t>investments</w:t>
      </w:r>
      <w:r w:rsidRPr="00880005">
        <w:t xml:space="preserve"> include the whole-of-government Foreign Policy White Paper and a </w:t>
      </w:r>
      <w:r w:rsidR="00D64F47">
        <w:t>DFAT-</w:t>
      </w:r>
      <w:r w:rsidRPr="00880005">
        <w:t xml:space="preserve">wide commitment to more consistent scholarships policy implementation.  Key elements of the Foreign Policy White Paper pertinent to </w:t>
      </w:r>
      <w:r w:rsidR="00B915F5">
        <w:t>Australia Awards in Africa</w:t>
      </w:r>
      <w:r w:rsidRPr="00880005">
        <w:t xml:space="preserve"> include leveraging the soft power potential of Australia’s higher education system to build people-to-people links in Sub-Saharan Africa to broaden Australia’s global influence, promoting private sector engagement and supporting Australian commercial interests. </w:t>
      </w:r>
    </w:p>
    <w:p w14:paraId="0F8B475F" w14:textId="77777777" w:rsidR="00F74DB5" w:rsidRPr="00880005" w:rsidRDefault="00F74DB5" w:rsidP="00F74DB5">
      <w:r w:rsidRPr="00880005">
        <w:t xml:space="preserve">The Soft Power, Communications and </w:t>
      </w:r>
      <w:r>
        <w:t>Scholarships</w:t>
      </w:r>
      <w:r w:rsidRPr="00880005">
        <w:t xml:space="preserve"> Division </w:t>
      </w:r>
      <w:r>
        <w:t>has and</w:t>
      </w:r>
      <w:r w:rsidRPr="00880005">
        <w:t xml:space="preserve"> is developing </w:t>
      </w:r>
      <w:r w:rsidR="00B43019" w:rsidRPr="00880005">
        <w:t>several</w:t>
      </w:r>
      <w:r w:rsidRPr="00880005">
        <w:t xml:space="preserve"> global awards policies including the Australia Awards Linkages Framework, Private Sector Engagement, Short Course Governance Framework, the Awards Selection Policy</w:t>
      </w:r>
      <w:r>
        <w:t xml:space="preserve">, </w:t>
      </w:r>
      <w:r w:rsidRPr="00880005">
        <w:t>the Reintegration Framework</w:t>
      </w:r>
      <w:r w:rsidR="00D64F47">
        <w:t>, the</w:t>
      </w:r>
      <w:r w:rsidRPr="00F73B4A">
        <w:t xml:space="preserve"> </w:t>
      </w:r>
      <w:r>
        <w:t>Australia Global Alumni Engagement Strategy and the Australia Global Alumni Engagement Monitoring and Evaluation Framework</w:t>
      </w:r>
      <w:r w:rsidRPr="00880005">
        <w:t xml:space="preserve">. </w:t>
      </w:r>
      <w:r w:rsidR="00357F4B">
        <w:t>Where available, the evaluation report draws on these documents.</w:t>
      </w:r>
    </w:p>
    <w:p w14:paraId="6D3DB3B8" w14:textId="625E9AC9" w:rsidR="007D1C94" w:rsidRDefault="00136E8F" w:rsidP="00136E8F">
      <w:pPr>
        <w:rPr>
          <w:rFonts w:ascii="Arial" w:hAnsi="Arial" w:cs="Arial"/>
          <w:bCs/>
          <w:iCs/>
          <w:noProof/>
          <w:color w:val="124486"/>
          <w:sz w:val="28"/>
          <w:szCs w:val="28"/>
        </w:rPr>
      </w:pPr>
      <w:r>
        <w:t xml:space="preserve">The design document for </w:t>
      </w:r>
      <w:r w:rsidR="00B915F5">
        <w:t>Australia Awards in Africa</w:t>
      </w:r>
      <w:r w:rsidR="00711A30">
        <w:t xml:space="preserve"> </w:t>
      </w:r>
      <w:r>
        <w:t xml:space="preserve">was developed prior to the development of </w:t>
      </w:r>
      <w:r w:rsidR="00B43019">
        <w:t>all</w:t>
      </w:r>
      <w:r>
        <w:t xml:space="preserve"> the </w:t>
      </w:r>
      <w:r w:rsidR="00551E64">
        <w:t>above-mentioned</w:t>
      </w:r>
      <w:r>
        <w:t xml:space="preserve"> global Awards policies and frameworks. As such, Australia Awards in Africa has had to be flexible and responsive to ensure its implementation, and strategic focus, is consistent with the global </w:t>
      </w:r>
      <w:r w:rsidR="00B43019">
        <w:t xml:space="preserve">Australia </w:t>
      </w:r>
      <w:r>
        <w:t xml:space="preserve">Awards directions set in Canberra. </w:t>
      </w:r>
    </w:p>
    <w:bookmarkStart w:id="11" w:name="_Toc1729515"/>
    <w:p w14:paraId="73247A20" w14:textId="77777777" w:rsidR="007D1C94" w:rsidRDefault="007D1C94" w:rsidP="007D1C94">
      <w:pPr>
        <w:pStyle w:val="Heading1"/>
      </w:pPr>
      <w:r>
        <w:rPr>
          <w:noProof/>
        </w:rPr>
        <w:lastRenderedPageBreak/>
        <mc:AlternateContent>
          <mc:Choice Requires="wps">
            <w:drawing>
              <wp:anchor distT="0" distB="0" distL="114300" distR="114300" simplePos="0" relativeHeight="251677184" behindDoc="1" locked="0" layoutInCell="1" allowOverlap="1" wp14:anchorId="6EC88DD8" wp14:editId="1EF692E1">
                <wp:simplePos x="0" y="0"/>
                <wp:positionH relativeFrom="page">
                  <wp:posOffset>0</wp:posOffset>
                </wp:positionH>
                <wp:positionV relativeFrom="paragraph">
                  <wp:posOffset>-458470</wp:posOffset>
                </wp:positionV>
                <wp:extent cx="7610400" cy="1468800"/>
                <wp:effectExtent l="0" t="0" r="0" b="0"/>
                <wp:wrapNone/>
                <wp:docPr id="8" name="Rectangle 8"/>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7C9C" id="Rectangle 8" o:spid="_x0000_s1026" style="position:absolute;margin-left:0;margin-top:-36.1pt;width:599.25pt;height:115.6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" fillcolor="#124486" stroked="f" strokeweight="2pt">
                <w10:wrap anchorx="page"/>
              </v:rect>
            </w:pict>
          </mc:Fallback>
        </mc:AlternateContent>
      </w:r>
      <w:r>
        <w:t>Methodology</w:t>
      </w:r>
      <w:bookmarkEnd w:id="11"/>
      <w:r>
        <w:t xml:space="preserve"> </w:t>
      </w:r>
    </w:p>
    <w:p w14:paraId="596E0733" w14:textId="77777777" w:rsidR="004F52A5" w:rsidRDefault="00D1616E" w:rsidP="00D1616E">
      <w:pPr>
        <w:pStyle w:val="Heading2"/>
      </w:pPr>
      <w:bookmarkStart w:id="12" w:name="_Toc1729516"/>
      <w:r>
        <w:t>Purpose</w:t>
      </w:r>
      <w:bookmarkEnd w:id="12"/>
    </w:p>
    <w:p w14:paraId="6D1706D1" w14:textId="77777777" w:rsidR="00602CF1" w:rsidRDefault="00602CF1" w:rsidP="004F52A5">
      <w:r w:rsidRPr="00880005">
        <w:t xml:space="preserve">The evaluation is an opportunity to review the design and operations of </w:t>
      </w:r>
      <w:r w:rsidR="00B915F5">
        <w:t>Australia Awards in Africa</w:t>
      </w:r>
      <w:r>
        <w:t xml:space="preserve"> </w:t>
      </w:r>
      <w:r w:rsidRPr="00880005">
        <w:t>to ensure it remains a well</w:t>
      </w:r>
      <w:r w:rsidR="009E516B">
        <w:t>-</w:t>
      </w:r>
      <w:r w:rsidRPr="00880005">
        <w:t xml:space="preserve">targeted, fit-for-purpose </w:t>
      </w:r>
      <w:r>
        <w:t>investment</w:t>
      </w:r>
      <w:r w:rsidR="00B43019">
        <w:t xml:space="preserve"> for the remainder of this current phase</w:t>
      </w:r>
      <w:r>
        <w:t xml:space="preserve">. </w:t>
      </w:r>
      <w:r w:rsidR="005500D7">
        <w:t xml:space="preserve">The evaluation </w:t>
      </w:r>
      <w:r w:rsidR="00136E8F">
        <w:t xml:space="preserve">considers </w:t>
      </w:r>
      <w:r w:rsidR="004F52A5" w:rsidRPr="00880005">
        <w:t>progress against objectives, assess</w:t>
      </w:r>
      <w:r>
        <w:t>es</w:t>
      </w:r>
      <w:r w:rsidR="004F52A5" w:rsidRPr="00880005">
        <w:t xml:space="preserve"> the performance of the managing contractor, review</w:t>
      </w:r>
      <w:r>
        <w:t>s</w:t>
      </w:r>
      <w:r w:rsidR="004F52A5" w:rsidRPr="00880005">
        <w:t xml:space="preserve"> the design </w:t>
      </w:r>
      <w:r>
        <w:t xml:space="preserve">and implementation </w:t>
      </w:r>
      <w:r w:rsidR="004F52A5" w:rsidRPr="00880005">
        <w:t>approach to ensure strategic focus</w:t>
      </w:r>
      <w:r>
        <w:t xml:space="preserve">, </w:t>
      </w:r>
      <w:r w:rsidR="004F52A5" w:rsidRPr="00880005">
        <w:t xml:space="preserve">efficiency of implementation and </w:t>
      </w:r>
      <w:r w:rsidRPr="00880005">
        <w:t>continuing alignment with foreign policy and program objectives</w:t>
      </w:r>
      <w:r>
        <w:t>.</w:t>
      </w:r>
    </w:p>
    <w:p w14:paraId="276D7138" w14:textId="77777777" w:rsidR="007310C0" w:rsidRDefault="007310C0" w:rsidP="007310C0">
      <w:pPr>
        <w:pStyle w:val="Heading3"/>
      </w:pPr>
      <w:r>
        <w:t>Audience</w:t>
      </w:r>
    </w:p>
    <w:p w14:paraId="2C9D3D66" w14:textId="77777777" w:rsidR="004F52A5" w:rsidRDefault="004F52A5" w:rsidP="004F52A5">
      <w:pPr>
        <w:rPr>
          <w:lang w:val="en-GB"/>
        </w:rPr>
      </w:pPr>
      <w:r w:rsidRPr="0088285B">
        <w:rPr>
          <w:lang w:val="en-GB"/>
        </w:rPr>
        <w:t>The</w:t>
      </w:r>
      <w:r>
        <w:rPr>
          <w:lang w:val="en-GB"/>
        </w:rPr>
        <w:t xml:space="preserve"> evaluation </w:t>
      </w:r>
      <w:r w:rsidRPr="0088285B">
        <w:rPr>
          <w:lang w:val="en-GB"/>
        </w:rPr>
        <w:t xml:space="preserve">has a broad intended audience, ranging from senior decision makers within </w:t>
      </w:r>
      <w:r w:rsidR="00136E8F">
        <w:rPr>
          <w:lang w:val="en-GB"/>
        </w:rPr>
        <w:t>DFAT</w:t>
      </w:r>
      <w:r w:rsidRPr="0088285B">
        <w:rPr>
          <w:lang w:val="en-GB"/>
        </w:rPr>
        <w:t xml:space="preserve">, to implementers of </w:t>
      </w:r>
      <w:r w:rsidR="00B915F5">
        <w:rPr>
          <w:lang w:val="en-GB"/>
        </w:rPr>
        <w:t>Australia Awards in Africa</w:t>
      </w:r>
      <w:r>
        <w:rPr>
          <w:lang w:val="en-GB"/>
        </w:rPr>
        <w:t xml:space="preserve"> </w:t>
      </w:r>
      <w:r w:rsidRPr="0088285B">
        <w:rPr>
          <w:lang w:val="en-GB"/>
        </w:rPr>
        <w:t xml:space="preserve">in Australia and </w:t>
      </w:r>
      <w:r>
        <w:rPr>
          <w:lang w:val="en-GB"/>
        </w:rPr>
        <w:t xml:space="preserve">across </w:t>
      </w:r>
      <w:r w:rsidR="00F605E0">
        <w:rPr>
          <w:lang w:val="en-GB"/>
        </w:rPr>
        <w:t xml:space="preserve">the </w:t>
      </w:r>
      <w:r>
        <w:rPr>
          <w:lang w:val="en-GB"/>
        </w:rPr>
        <w:t>Africa</w:t>
      </w:r>
      <w:r w:rsidR="00F605E0">
        <w:rPr>
          <w:lang w:val="en-GB"/>
        </w:rPr>
        <w:t>n continent</w:t>
      </w:r>
      <w:r w:rsidRPr="0088285B">
        <w:rPr>
          <w:lang w:val="en-GB"/>
        </w:rPr>
        <w:t xml:space="preserve">. </w:t>
      </w:r>
      <w:r w:rsidRPr="0088285B">
        <w:t xml:space="preserve">The </w:t>
      </w:r>
      <w:r>
        <w:t xml:space="preserve">evaluation </w:t>
      </w:r>
      <w:r w:rsidRPr="0088285B">
        <w:t xml:space="preserve">will be used to </w:t>
      </w:r>
      <w:r w:rsidRPr="00880005">
        <w:t xml:space="preserve">inform DFAT’s considerations to either extend the current contract for a further two years (2020-2022) with minor changes to the </w:t>
      </w:r>
      <w:r w:rsidR="00BD5822">
        <w:t>s</w:t>
      </w:r>
      <w:r w:rsidRPr="00880005">
        <w:t xml:space="preserve">cope of </w:t>
      </w:r>
      <w:r w:rsidR="00BD5822">
        <w:t>s</w:t>
      </w:r>
      <w:r w:rsidRPr="00880005">
        <w:t>ervices or to</w:t>
      </w:r>
      <w:r>
        <w:t xml:space="preserve"> design </w:t>
      </w:r>
      <w:r w:rsidRPr="00880005">
        <w:t xml:space="preserve">a new five-year phase of </w:t>
      </w:r>
      <w:r w:rsidR="00136E8F">
        <w:t xml:space="preserve">Australia Awards in Africa </w:t>
      </w:r>
      <w:r w:rsidRPr="00880005">
        <w:t xml:space="preserve">(1 April 2020 to 31 March 2025).   </w:t>
      </w:r>
    </w:p>
    <w:p w14:paraId="2749338B" w14:textId="77777777" w:rsidR="00B848EE" w:rsidRDefault="00B848EE" w:rsidP="00B848EE">
      <w:pPr>
        <w:pStyle w:val="Heading2"/>
      </w:pPr>
      <w:bookmarkStart w:id="13" w:name="_Toc522891859"/>
      <w:bookmarkStart w:id="14" w:name="_Toc1729517"/>
      <w:r>
        <w:t>Evaluation questions</w:t>
      </w:r>
      <w:bookmarkEnd w:id="13"/>
      <w:bookmarkEnd w:id="14"/>
    </w:p>
    <w:p w14:paraId="3E4B2BE5" w14:textId="77777777" w:rsidR="002D0043" w:rsidRPr="0035638C" w:rsidRDefault="002D0043" w:rsidP="002D0043">
      <w:pPr>
        <w:pStyle w:val="Heading3"/>
      </w:pPr>
      <w:r w:rsidRPr="0035638C">
        <w:t xml:space="preserve">Effectiveness of </w:t>
      </w:r>
      <w:r>
        <w:t xml:space="preserve">the </w:t>
      </w:r>
      <w:r w:rsidRPr="0035638C">
        <w:t xml:space="preserve">program </w:t>
      </w:r>
    </w:p>
    <w:p w14:paraId="64DFC635" w14:textId="77777777" w:rsidR="002D0043" w:rsidRPr="0035638C" w:rsidRDefault="002D0043" w:rsidP="00136E8F">
      <w:pPr>
        <w:pStyle w:val="Bullet"/>
      </w:pPr>
      <w:r w:rsidRPr="0035638C">
        <w:t xml:space="preserve">To what extent are </w:t>
      </w:r>
      <w:r w:rsidR="00136E8F">
        <w:t xml:space="preserve">the three Australia Awards in Africa </w:t>
      </w:r>
      <w:r w:rsidRPr="0035638C">
        <w:t>outcomes being achieved or are likely to be achieved?</w:t>
      </w:r>
    </w:p>
    <w:p w14:paraId="77C3CD2C" w14:textId="77777777" w:rsidR="002D0043" w:rsidRDefault="002D0043" w:rsidP="006E313F">
      <w:pPr>
        <w:pStyle w:val="Dash"/>
      </w:pPr>
      <w:r w:rsidRPr="0035638C">
        <w:t xml:space="preserve">Is the program targeting the </w:t>
      </w:r>
      <w:r>
        <w:t xml:space="preserve">highest priority </w:t>
      </w:r>
      <w:r w:rsidRPr="0035638C">
        <w:t>countries and sectors?</w:t>
      </w:r>
    </w:p>
    <w:p w14:paraId="2DA2FCBC" w14:textId="3DB9A294" w:rsidR="002D0043" w:rsidRPr="0035638C" w:rsidRDefault="002D0043" w:rsidP="006E313F">
      <w:pPr>
        <w:pStyle w:val="Dash"/>
      </w:pPr>
      <w:r w:rsidRPr="00BA2A6B">
        <w:t xml:space="preserve">Is the program engaging with </w:t>
      </w:r>
      <w:r w:rsidR="002E591C">
        <w:t>Australia Awards in Africa</w:t>
      </w:r>
      <w:r w:rsidRPr="00BA2A6B">
        <w:t xml:space="preserve"> </w:t>
      </w:r>
      <w:r w:rsidR="00AB7FF1">
        <w:t>scholar</w:t>
      </w:r>
      <w:r w:rsidRPr="00BA2A6B">
        <w:t>s and alumni to maximise program outcomes around public diplomacy and people-to-people links</w:t>
      </w:r>
      <w:r>
        <w:t>?</w:t>
      </w:r>
    </w:p>
    <w:p w14:paraId="60C67390" w14:textId="77777777" w:rsidR="002D0043" w:rsidRDefault="002D0043" w:rsidP="006E313F">
      <w:pPr>
        <w:pStyle w:val="Dash"/>
      </w:pPr>
      <w:r w:rsidRPr="0035638C">
        <w:t xml:space="preserve">Is the </w:t>
      </w:r>
      <w:r>
        <w:t xml:space="preserve">balance </w:t>
      </w:r>
      <w:r w:rsidRPr="0035638C">
        <w:t>of award types</w:t>
      </w:r>
      <w:r w:rsidRPr="002247A3">
        <w:rPr>
          <w:vertAlign w:val="superscript"/>
        </w:rPr>
        <w:footnoteReference w:id="5"/>
      </w:r>
      <w:r w:rsidRPr="0035638C">
        <w:t xml:space="preserve"> </w:t>
      </w:r>
      <w:r>
        <w:t>optimal</w:t>
      </w:r>
      <w:r w:rsidRPr="0035638C">
        <w:t xml:space="preserve">? </w:t>
      </w:r>
    </w:p>
    <w:p w14:paraId="384C4F27" w14:textId="77777777" w:rsidR="002D0043" w:rsidRDefault="002D0043" w:rsidP="006E313F">
      <w:pPr>
        <w:pStyle w:val="Dash"/>
      </w:pPr>
      <w:r w:rsidRPr="007639F1">
        <w:t>To what extent are private sector engagement objectives being achieved?</w:t>
      </w:r>
      <w:r w:rsidRPr="001234C9">
        <w:t xml:space="preserve"> </w:t>
      </w:r>
      <w:r w:rsidRPr="007639F1">
        <w:t xml:space="preserve"> </w:t>
      </w:r>
      <w:r w:rsidRPr="001234C9">
        <w:t xml:space="preserve"> </w:t>
      </w:r>
    </w:p>
    <w:p w14:paraId="62855DF6" w14:textId="77777777" w:rsidR="00817DD5" w:rsidRPr="0035638C" w:rsidRDefault="00817DD5" w:rsidP="00817DD5">
      <w:pPr>
        <w:pStyle w:val="Dash"/>
      </w:pPr>
      <w:r w:rsidRPr="0035638C">
        <w:t>What are the major factors influencing the achievement or non-achievement of the o</w:t>
      </w:r>
      <w:r>
        <w:t>utput</w:t>
      </w:r>
      <w:r w:rsidRPr="0035638C">
        <w:t>s</w:t>
      </w:r>
      <w:r>
        <w:t xml:space="preserve"> and/or outcomes</w:t>
      </w:r>
      <w:r w:rsidRPr="0035638C">
        <w:t>?</w:t>
      </w:r>
    </w:p>
    <w:p w14:paraId="31729B8E" w14:textId="77777777" w:rsidR="002D0043" w:rsidRDefault="002D0043" w:rsidP="002D0043">
      <w:pPr>
        <w:pStyle w:val="Heading3"/>
      </w:pPr>
      <w:r w:rsidRPr="0035638C">
        <w:t>Efficiency of program implementation</w:t>
      </w:r>
    </w:p>
    <w:p w14:paraId="14C673BA" w14:textId="77777777" w:rsidR="002D0043" w:rsidRPr="00EE4447" w:rsidRDefault="002D0043" w:rsidP="002D0043">
      <w:pPr>
        <w:pStyle w:val="Bullet"/>
      </w:pPr>
      <w:r w:rsidRPr="00EE4447">
        <w:t>Is the managing contractor delivering efficiently on all aspects of the scope of services, including timelines and budget?</w:t>
      </w:r>
    </w:p>
    <w:p w14:paraId="1C525195" w14:textId="77777777" w:rsidR="002D0043" w:rsidRDefault="002D0043" w:rsidP="002D0043">
      <w:pPr>
        <w:pStyle w:val="Bullet"/>
      </w:pPr>
      <w:r w:rsidRPr="00947BBD">
        <w:t xml:space="preserve">Are the </w:t>
      </w:r>
      <w:r>
        <w:t xml:space="preserve">managing contractor’s </w:t>
      </w:r>
      <w:r w:rsidRPr="00947BBD">
        <w:t xml:space="preserve">program reports of good quality, </w:t>
      </w:r>
      <w:r>
        <w:t xml:space="preserve">providing </w:t>
      </w:r>
      <w:r w:rsidRPr="00947BBD">
        <w:t xml:space="preserve">fit-for-purpose </w:t>
      </w:r>
      <w:r>
        <w:t xml:space="preserve">program data and information that is </w:t>
      </w:r>
      <w:r w:rsidRPr="00947BBD">
        <w:t>well targeted to DFAT’s accountability and program decision-making requirements?</w:t>
      </w:r>
    </w:p>
    <w:p w14:paraId="1D107EA6" w14:textId="77777777" w:rsidR="002D0043" w:rsidRDefault="002D0043" w:rsidP="00136E8F">
      <w:pPr>
        <w:pStyle w:val="Bullet"/>
      </w:pPr>
      <w:r>
        <w:lastRenderedPageBreak/>
        <w:t xml:space="preserve">Is the managing contractor’s </w:t>
      </w:r>
      <w:r w:rsidRPr="00880005">
        <w:t xml:space="preserve">engagement with Africa posts </w:t>
      </w:r>
      <w:r>
        <w:t xml:space="preserve">done in such a way as </w:t>
      </w:r>
      <w:r w:rsidRPr="00880005">
        <w:t>to minimise administrative burden and maximise public and economic diplomacy opportunities</w:t>
      </w:r>
      <w:r>
        <w:t>? Are there options to streamline processes?</w:t>
      </w:r>
    </w:p>
    <w:p w14:paraId="1CD75EA7" w14:textId="77777777" w:rsidR="006E313F" w:rsidRDefault="006E313F" w:rsidP="006E313F">
      <w:pPr>
        <w:pStyle w:val="Heading3"/>
      </w:pPr>
      <w:r w:rsidRPr="0035638C">
        <w:t>Relevance and alignment with new policy and aid priorities</w:t>
      </w:r>
    </w:p>
    <w:p w14:paraId="0D56F6ED" w14:textId="77777777" w:rsidR="006E313F" w:rsidRDefault="006E313F" w:rsidP="00136E8F">
      <w:pPr>
        <w:pStyle w:val="Bullet"/>
      </w:pPr>
      <w:r>
        <w:t>Is</w:t>
      </w:r>
      <w:r w:rsidRPr="0035638C">
        <w:t xml:space="preserve"> the </w:t>
      </w:r>
      <w:r w:rsidR="002E591C">
        <w:t>Australia Awards in Africa</w:t>
      </w:r>
      <w:r w:rsidRPr="0035638C">
        <w:t xml:space="preserve"> design and </w:t>
      </w:r>
      <w:r w:rsidR="00BD5822">
        <w:t>MEF</w:t>
      </w:r>
      <w:r w:rsidRPr="0035638C">
        <w:t xml:space="preserve"> fit-for-purpose and targeting the right outcomes and modalities to best support achievement of the Foreign Policy White Paper priorities?</w:t>
      </w:r>
    </w:p>
    <w:p w14:paraId="5C4B95CC" w14:textId="77777777" w:rsidR="006E313F" w:rsidRPr="0035638C" w:rsidRDefault="006E313F" w:rsidP="007041B9">
      <w:pPr>
        <w:pStyle w:val="Dash"/>
      </w:pPr>
      <w:r w:rsidRPr="00BA2A6B">
        <w:t xml:space="preserve">Does the current approach to private sector engagement have clear realistic objectives? </w:t>
      </w:r>
    </w:p>
    <w:p w14:paraId="5ABE99AF" w14:textId="77777777" w:rsidR="002D0043" w:rsidRPr="006F388C" w:rsidRDefault="002D0043" w:rsidP="002D0043">
      <w:pPr>
        <w:pStyle w:val="Heading3"/>
      </w:pPr>
      <w:r w:rsidRPr="006F388C">
        <w:t xml:space="preserve">Gender equality and social </w:t>
      </w:r>
      <w:r w:rsidRPr="00CF4221">
        <w:t>inclusion</w:t>
      </w:r>
      <w:r w:rsidRPr="006F388C">
        <w:t xml:space="preserve"> (GESI) </w:t>
      </w:r>
    </w:p>
    <w:p w14:paraId="5D1AC1F6" w14:textId="77777777" w:rsidR="002D0043" w:rsidRPr="00F9777D" w:rsidRDefault="00136E8F" w:rsidP="002D0043">
      <w:pPr>
        <w:rPr>
          <w:rFonts w:eastAsia="Calibri"/>
        </w:rPr>
      </w:pPr>
      <w:r>
        <w:rPr>
          <w:rFonts w:eastAsia="Calibri"/>
        </w:rPr>
        <w:t xml:space="preserve">Assessment of </w:t>
      </w:r>
      <w:r w:rsidR="002D0043">
        <w:rPr>
          <w:rFonts w:eastAsia="Calibri"/>
        </w:rPr>
        <w:t xml:space="preserve">the </w:t>
      </w:r>
      <w:r w:rsidR="002D0043" w:rsidRPr="00315401">
        <w:rPr>
          <w:rFonts w:eastAsia="Calibri"/>
        </w:rPr>
        <w:t xml:space="preserve">steps taken by </w:t>
      </w:r>
      <w:r>
        <w:rPr>
          <w:rFonts w:eastAsia="Calibri"/>
        </w:rPr>
        <w:t xml:space="preserve">Australia Awards in Africa </w:t>
      </w:r>
      <w:r w:rsidR="002D0043" w:rsidRPr="00315401">
        <w:rPr>
          <w:rFonts w:eastAsia="Calibri"/>
        </w:rPr>
        <w:t>to</w:t>
      </w:r>
      <w:r w:rsidR="002D0043">
        <w:rPr>
          <w:rFonts w:eastAsia="Calibri"/>
        </w:rPr>
        <w:t xml:space="preserve"> identify and</w:t>
      </w:r>
      <w:r w:rsidR="002D0043" w:rsidRPr="00315401">
        <w:rPr>
          <w:rFonts w:eastAsia="Calibri"/>
        </w:rPr>
        <w:t xml:space="preserve"> reduce barriers to inclusion</w:t>
      </w:r>
      <w:r w:rsidR="002D0043">
        <w:rPr>
          <w:rFonts w:eastAsia="Calibri"/>
        </w:rPr>
        <w:t>,</w:t>
      </w:r>
      <w:r w:rsidR="002D0043" w:rsidRPr="00315401">
        <w:rPr>
          <w:rFonts w:eastAsia="Calibri"/>
        </w:rPr>
        <w:t xml:space="preserve"> and </w:t>
      </w:r>
      <w:r w:rsidR="002D0043">
        <w:rPr>
          <w:rFonts w:eastAsia="Calibri"/>
        </w:rPr>
        <w:t xml:space="preserve">whether they </w:t>
      </w:r>
      <w:r w:rsidR="002D0043" w:rsidRPr="00315401">
        <w:rPr>
          <w:rFonts w:eastAsia="Calibri"/>
        </w:rPr>
        <w:t>have been successful</w:t>
      </w:r>
      <w:r w:rsidR="002D0043">
        <w:rPr>
          <w:rFonts w:eastAsia="Calibri"/>
        </w:rPr>
        <w:t xml:space="preserve">. </w:t>
      </w:r>
      <w:r w:rsidR="002D0043" w:rsidRPr="00315401">
        <w:rPr>
          <w:rFonts w:eastAsia="Calibri"/>
        </w:rPr>
        <w:t xml:space="preserve"> </w:t>
      </w:r>
      <w:r w:rsidR="002D0043">
        <w:rPr>
          <w:rFonts w:eastAsia="Calibri"/>
        </w:rPr>
        <w:t xml:space="preserve"> </w:t>
      </w:r>
    </w:p>
    <w:p w14:paraId="668FF014" w14:textId="77777777" w:rsidR="00D1616E" w:rsidRDefault="00D1616E" w:rsidP="00D1616E">
      <w:pPr>
        <w:pStyle w:val="Heading2"/>
      </w:pPr>
      <w:bookmarkStart w:id="15" w:name="_Toc1729518"/>
      <w:r>
        <w:t>Approach</w:t>
      </w:r>
      <w:bookmarkEnd w:id="15"/>
    </w:p>
    <w:p w14:paraId="3AFA16D1" w14:textId="77777777" w:rsidR="00756EC4" w:rsidRDefault="00756EC4" w:rsidP="00733958">
      <w:r w:rsidRPr="002A7500">
        <w:t xml:space="preserve">The evaluation </w:t>
      </w:r>
      <w:r>
        <w:t xml:space="preserve">used </w:t>
      </w:r>
      <w:r w:rsidRPr="002A7500">
        <w:t xml:space="preserve">a mixed methods </w:t>
      </w:r>
      <w:r w:rsidR="00F84450" w:rsidRPr="002A7500">
        <w:t>metho</w:t>
      </w:r>
      <w:r w:rsidR="00F84450">
        <w:t xml:space="preserve">dology, with </w:t>
      </w:r>
      <w:r w:rsidRPr="002A7500">
        <w:t>qualitative data collected during consultations</w:t>
      </w:r>
      <w:r w:rsidR="00733958">
        <w:t xml:space="preserve"> supplemented with </w:t>
      </w:r>
      <w:r w:rsidRPr="002A7500">
        <w:t>quantitative data from existing sources</w:t>
      </w:r>
      <w:r w:rsidR="00F157A4">
        <w:t xml:space="preserve"> </w:t>
      </w:r>
      <w:r w:rsidR="00733958" w:rsidRPr="002A7500">
        <w:t>(</w:t>
      </w:r>
      <w:r w:rsidR="00733958">
        <w:t>scholar and alumni data provided by Palladium</w:t>
      </w:r>
      <w:r w:rsidR="00733958" w:rsidRPr="002A7500">
        <w:t xml:space="preserve">, Australia Awards tracer studies, </w:t>
      </w:r>
      <w:r w:rsidR="00733958">
        <w:t xml:space="preserve">Australia </w:t>
      </w:r>
      <w:r w:rsidR="00BD5822">
        <w:t xml:space="preserve">Awards </w:t>
      </w:r>
      <w:r w:rsidR="00733958">
        <w:t>in Africa outcomes study reports).</w:t>
      </w:r>
    </w:p>
    <w:p w14:paraId="274A2AD1" w14:textId="77777777" w:rsidR="00756EC4" w:rsidRDefault="00733958" w:rsidP="00756EC4">
      <w:pPr>
        <w:rPr>
          <w:noProof/>
          <w:lang w:eastAsia="en-NZ"/>
        </w:rPr>
      </w:pPr>
      <w:r>
        <w:t xml:space="preserve">The evaluation </w:t>
      </w:r>
      <w:r w:rsidR="00375036">
        <w:t xml:space="preserve">process followed included: evaluation planning with DFAT in Canberra and Posts, culminating in an evaluation plan; a literature and data review; data collection, including in-country consultations in South Africa, Ghana and Kenya; </w:t>
      </w:r>
      <w:r w:rsidR="00037F87" w:rsidRPr="002A7500">
        <w:t>analysis of qualitative data collected during consultations, and quantitative data from existing sources</w:t>
      </w:r>
      <w:r w:rsidR="00375036">
        <w:t xml:space="preserve">; testing out recommendations (via the aide memoire) with DFAT and Palladium to add a level of contestability to any proposed changes going forward; and reporting writing. </w:t>
      </w:r>
      <w:r w:rsidR="00756EC4" w:rsidRPr="00CB4BA9">
        <w:rPr>
          <w:lang w:eastAsia="en-NZ"/>
        </w:rPr>
        <w:t xml:space="preserve">Appendix </w:t>
      </w:r>
      <w:r w:rsidR="00A528E6">
        <w:rPr>
          <w:lang w:eastAsia="en-NZ"/>
        </w:rPr>
        <w:t>A</w:t>
      </w:r>
      <w:r w:rsidR="00756EC4" w:rsidRPr="00CB4BA9">
        <w:t xml:space="preserve"> </w:t>
      </w:r>
      <w:r w:rsidR="00FD40E5">
        <w:t xml:space="preserve">further </w:t>
      </w:r>
      <w:r w:rsidR="007041B9">
        <w:t xml:space="preserve">details </w:t>
      </w:r>
      <w:r w:rsidR="00756EC4" w:rsidRPr="00936102">
        <w:rPr>
          <w:noProof/>
          <w:lang w:eastAsia="en-NZ"/>
        </w:rPr>
        <w:t xml:space="preserve">the evaluation </w:t>
      </w:r>
      <w:r w:rsidR="00FD40E5">
        <w:rPr>
          <w:noProof/>
          <w:lang w:eastAsia="en-NZ"/>
        </w:rPr>
        <w:t>approach</w:t>
      </w:r>
      <w:r w:rsidR="001F2BDC">
        <w:rPr>
          <w:noProof/>
          <w:lang w:eastAsia="en-NZ"/>
        </w:rPr>
        <w:t xml:space="preserve"> and process</w:t>
      </w:r>
      <w:r w:rsidR="00FD40E5">
        <w:rPr>
          <w:noProof/>
          <w:lang w:eastAsia="en-NZ"/>
        </w:rPr>
        <w:t xml:space="preserve">. </w:t>
      </w:r>
      <w:r w:rsidR="00C149F8">
        <w:rPr>
          <w:noProof/>
          <w:lang w:eastAsia="en-NZ"/>
        </w:rPr>
        <w:t>A</w:t>
      </w:r>
      <w:r w:rsidR="00756EC4">
        <w:rPr>
          <w:noProof/>
          <w:lang w:eastAsia="en-NZ"/>
        </w:rPr>
        <w:t xml:space="preserve"> list of stakeholders consulted is at Appendix </w:t>
      </w:r>
      <w:r w:rsidR="00647A8C">
        <w:rPr>
          <w:noProof/>
          <w:lang w:eastAsia="en-NZ"/>
        </w:rPr>
        <w:t>B</w:t>
      </w:r>
      <w:r w:rsidR="00756EC4">
        <w:rPr>
          <w:noProof/>
          <w:lang w:eastAsia="en-NZ"/>
        </w:rPr>
        <w:t>.</w:t>
      </w:r>
    </w:p>
    <w:p w14:paraId="63595410" w14:textId="77777777" w:rsidR="00D1616E" w:rsidRDefault="00D1616E" w:rsidP="00D1616E">
      <w:pPr>
        <w:pStyle w:val="Heading2"/>
      </w:pPr>
      <w:bookmarkStart w:id="16" w:name="_Toc1729519"/>
      <w:r>
        <w:t>Limitations</w:t>
      </w:r>
      <w:bookmarkEnd w:id="16"/>
    </w:p>
    <w:p w14:paraId="74FAD63B" w14:textId="77777777" w:rsidR="00AB6873" w:rsidRDefault="00565C3D" w:rsidP="00565C3D">
      <w:pPr>
        <w:rPr>
          <w:noProof/>
        </w:rPr>
      </w:pPr>
      <w:r>
        <w:rPr>
          <w:noProof/>
        </w:rPr>
        <w:t>Not all interviews were conducted confidentially with the independent evaluator.</w:t>
      </w:r>
      <w:r>
        <w:rPr>
          <w:rStyle w:val="FootnoteReference"/>
          <w:noProof/>
        </w:rPr>
        <w:footnoteReference w:id="6"/>
      </w:r>
      <w:r>
        <w:rPr>
          <w:noProof/>
        </w:rPr>
        <w:t xml:space="preserve">  </w:t>
      </w:r>
      <w:r w:rsidR="004514B6" w:rsidRPr="00AB6873">
        <w:t xml:space="preserve">The non-confidential nature of the discussions </w:t>
      </w:r>
      <w:r w:rsidR="004514B6">
        <w:t xml:space="preserve">however </w:t>
      </w:r>
      <w:r w:rsidR="004514B6" w:rsidRPr="00AB6873">
        <w:t xml:space="preserve">did not appear to unduly influence stakeholders’ responses </w:t>
      </w:r>
      <w:r w:rsidR="004514B6">
        <w:t xml:space="preserve">which appeared frank and constructive. </w:t>
      </w:r>
      <w:r w:rsidR="00B43019">
        <w:t>S</w:t>
      </w:r>
      <w:r w:rsidR="004514B6" w:rsidRPr="00AB6873">
        <w:t>ome consideration to the non-confidential nature of these conversations has been</w:t>
      </w:r>
      <w:r w:rsidR="004514B6">
        <w:t xml:space="preserve"> </w:t>
      </w:r>
      <w:proofErr w:type="gramStart"/>
      <w:r w:rsidR="004514B6">
        <w:t xml:space="preserve">taken into </w:t>
      </w:r>
      <w:r w:rsidR="004514B6" w:rsidRPr="00AB6873">
        <w:t>account</w:t>
      </w:r>
      <w:proofErr w:type="gramEnd"/>
      <w:r w:rsidR="004514B6">
        <w:t xml:space="preserve"> in the data collection phase</w:t>
      </w:r>
      <w:r w:rsidR="004514B6" w:rsidRPr="00AB6873">
        <w:t xml:space="preserve">, with the </w:t>
      </w:r>
      <w:r w:rsidR="004514B6">
        <w:t xml:space="preserve">evaluator </w:t>
      </w:r>
      <w:r w:rsidR="004514B6" w:rsidRPr="00AB6873">
        <w:t>seeking</w:t>
      </w:r>
      <w:r w:rsidR="004514B6" w:rsidRPr="00AB6873">
        <w:rPr>
          <w:noProof/>
        </w:rPr>
        <w:t xml:space="preserve"> additional evidence to verify positive claims</w:t>
      </w:r>
      <w:r w:rsidR="004514B6">
        <w:rPr>
          <w:noProof/>
        </w:rPr>
        <w:t>.</w:t>
      </w:r>
      <w:r w:rsidR="00AB6873" w:rsidRPr="00AB6873">
        <w:rPr>
          <w:noProof/>
        </w:rPr>
        <w:t xml:space="preserve">   </w:t>
      </w:r>
    </w:p>
    <w:p w14:paraId="55F98F44" w14:textId="77777777" w:rsidR="00495981" w:rsidRDefault="005E6D67" w:rsidP="005E6D67">
      <w:pPr>
        <w:rPr>
          <w:noProof/>
        </w:rPr>
      </w:pPr>
      <w:r w:rsidRPr="005E6D67">
        <w:rPr>
          <w:noProof/>
        </w:rPr>
        <w:t>Over the course of the evaluation, it became apparent there were d</w:t>
      </w:r>
      <w:r w:rsidR="00495981" w:rsidRPr="005E6D67">
        <w:rPr>
          <w:noProof/>
        </w:rPr>
        <w:t xml:space="preserve">iffering views across DFAT </w:t>
      </w:r>
      <w:r w:rsidR="001548B9">
        <w:rPr>
          <w:noProof/>
        </w:rPr>
        <w:t>regarding</w:t>
      </w:r>
      <w:r w:rsidR="00495981" w:rsidRPr="005E6D67">
        <w:rPr>
          <w:noProof/>
        </w:rPr>
        <w:t xml:space="preserve"> the utility and value-for-money of undertaking this </w:t>
      </w:r>
      <w:r w:rsidRPr="005E6D67">
        <w:rPr>
          <w:noProof/>
        </w:rPr>
        <w:t>e</w:t>
      </w:r>
      <w:r w:rsidR="00495981" w:rsidRPr="005E6D67">
        <w:rPr>
          <w:noProof/>
        </w:rPr>
        <w:t>valuation</w:t>
      </w:r>
      <w:r w:rsidR="00551994">
        <w:rPr>
          <w:noProof/>
        </w:rPr>
        <w:t>.</w:t>
      </w:r>
      <w:r w:rsidRPr="005E6D67">
        <w:rPr>
          <w:noProof/>
        </w:rPr>
        <w:t xml:space="preserve"> The evaluator </w:t>
      </w:r>
      <w:r w:rsidR="009970EB">
        <w:rPr>
          <w:noProof/>
        </w:rPr>
        <w:t xml:space="preserve">has </w:t>
      </w:r>
      <w:r w:rsidRPr="005E6D67">
        <w:rPr>
          <w:noProof/>
        </w:rPr>
        <w:t>tried to f</w:t>
      </w:r>
      <w:r w:rsidR="00495981" w:rsidRPr="005E6D67">
        <w:rPr>
          <w:noProof/>
        </w:rPr>
        <w:t>ocus the evaluation</w:t>
      </w:r>
      <w:r w:rsidR="001548B9">
        <w:rPr>
          <w:noProof/>
        </w:rPr>
        <w:t xml:space="preserve"> process and report</w:t>
      </w:r>
      <w:r w:rsidR="00495981" w:rsidRPr="005E6D67">
        <w:rPr>
          <w:noProof/>
        </w:rPr>
        <w:t xml:space="preserve"> on</w:t>
      </w:r>
      <w:r w:rsidR="00B43019">
        <w:rPr>
          <w:noProof/>
        </w:rPr>
        <w:t xml:space="preserve"> capturing divergent views and sharing </w:t>
      </w:r>
      <w:r w:rsidRPr="005E6D67">
        <w:rPr>
          <w:noProof/>
        </w:rPr>
        <w:t xml:space="preserve">information </w:t>
      </w:r>
      <w:r w:rsidR="009970EB">
        <w:rPr>
          <w:noProof/>
        </w:rPr>
        <w:t xml:space="preserve">that can be </w:t>
      </w:r>
      <w:r w:rsidR="00B43019">
        <w:rPr>
          <w:noProof/>
        </w:rPr>
        <w:t xml:space="preserve">of </w:t>
      </w:r>
      <w:r w:rsidR="009970EB">
        <w:rPr>
          <w:noProof/>
        </w:rPr>
        <w:t>use</w:t>
      </w:r>
      <w:r w:rsidR="00B43019">
        <w:rPr>
          <w:noProof/>
        </w:rPr>
        <w:t xml:space="preserve"> to a variety of audiences.</w:t>
      </w:r>
      <w:r w:rsidR="00495981" w:rsidRPr="005E6D67">
        <w:rPr>
          <w:noProof/>
        </w:rPr>
        <w:t xml:space="preserve"> </w:t>
      </w:r>
    </w:p>
    <w:p w14:paraId="61FA0B07" w14:textId="4F8BBCE5" w:rsidR="007D1C94" w:rsidRDefault="00F157A4" w:rsidP="009970EB">
      <w:pPr>
        <w:rPr>
          <w:noProof/>
        </w:rPr>
      </w:pPr>
      <w:r>
        <w:rPr>
          <w:noProof/>
        </w:rPr>
        <w:t>Whilst not a limitation per se, it is important to note the d</w:t>
      </w:r>
      <w:r w:rsidR="008C5C80">
        <w:rPr>
          <w:noProof/>
        </w:rPr>
        <w:t xml:space="preserve">ata </w:t>
      </w:r>
      <w:r>
        <w:rPr>
          <w:noProof/>
        </w:rPr>
        <w:t xml:space="preserve">reported in this document </w:t>
      </w:r>
      <w:r w:rsidR="008C5C80">
        <w:rPr>
          <w:noProof/>
        </w:rPr>
        <w:t xml:space="preserve">differs from that </w:t>
      </w:r>
      <w:r>
        <w:rPr>
          <w:noProof/>
        </w:rPr>
        <w:t xml:space="preserve">reported </w:t>
      </w:r>
      <w:r w:rsidR="008C5C80">
        <w:rPr>
          <w:noProof/>
        </w:rPr>
        <w:t>in the literature and data review</w:t>
      </w:r>
      <w:r w:rsidR="00F125B5">
        <w:rPr>
          <w:noProof/>
        </w:rPr>
        <w:t>.</w:t>
      </w:r>
      <w:r w:rsidR="008C5C80">
        <w:rPr>
          <w:rStyle w:val="FootnoteReference"/>
          <w:noProof/>
        </w:rPr>
        <w:footnoteReference w:id="7"/>
      </w:r>
      <w:r>
        <w:rPr>
          <w:noProof/>
        </w:rPr>
        <w:t xml:space="preserve"> </w:t>
      </w:r>
      <w:r w:rsidR="008C5C80">
        <w:rPr>
          <w:noProof/>
        </w:rPr>
        <w:t xml:space="preserve"> </w:t>
      </w:r>
    </w:p>
    <w:bookmarkStart w:id="17" w:name="_Toc1729520"/>
    <w:p w14:paraId="5085F7E3" w14:textId="77777777" w:rsidR="007D1C94" w:rsidRDefault="007D1C94" w:rsidP="007D1C94">
      <w:pPr>
        <w:pStyle w:val="Heading1"/>
      </w:pPr>
      <w:r>
        <w:rPr>
          <w:noProof/>
        </w:rPr>
        <w:lastRenderedPageBreak/>
        <mc:AlternateContent>
          <mc:Choice Requires="wps">
            <w:drawing>
              <wp:anchor distT="0" distB="0" distL="114300" distR="114300" simplePos="0" relativeHeight="251691520" behindDoc="1" locked="0" layoutInCell="1" allowOverlap="1" wp14:anchorId="746D7B81" wp14:editId="4E4A3BDB">
                <wp:simplePos x="0" y="0"/>
                <wp:positionH relativeFrom="page">
                  <wp:posOffset>0</wp:posOffset>
                </wp:positionH>
                <wp:positionV relativeFrom="paragraph">
                  <wp:posOffset>-467995</wp:posOffset>
                </wp:positionV>
                <wp:extent cx="7610400" cy="1468800"/>
                <wp:effectExtent l="0" t="0" r="0" b="0"/>
                <wp:wrapNone/>
                <wp:docPr id="10" name="Rectangle 10"/>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9A692" id="Rectangle 10" o:spid="_x0000_s1026" style="position:absolute;margin-left:0;margin-top:-36.85pt;width:599.25pt;height:115.6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" fillcolor="#124486" stroked="f" strokeweight="2pt">
                <w10:wrap anchorx="page"/>
              </v:rect>
            </w:pict>
          </mc:Fallback>
        </mc:AlternateContent>
      </w:r>
      <w:r w:rsidR="009E6E9F">
        <w:t>Findings</w:t>
      </w:r>
      <w:bookmarkEnd w:id="17"/>
    </w:p>
    <w:p w14:paraId="3E83B255" w14:textId="77777777" w:rsidR="00BA2E37" w:rsidRDefault="009E6E9F" w:rsidP="009E6E9F">
      <w:pPr>
        <w:pStyle w:val="Heading2"/>
      </w:pPr>
      <w:bookmarkStart w:id="18" w:name="_Toc1729521"/>
      <w:r>
        <w:t>Effectiveness</w:t>
      </w:r>
      <w:bookmarkEnd w:id="18"/>
    </w:p>
    <w:p w14:paraId="5D5D2BD0" w14:textId="77777777" w:rsidR="000D6B89" w:rsidRDefault="000D6B89" w:rsidP="000D6B89">
      <w:pPr>
        <w:pStyle w:val="Heading3"/>
      </w:pPr>
      <w:r w:rsidRPr="000D6B89">
        <w:t xml:space="preserve">To what extent are the three </w:t>
      </w:r>
      <w:r w:rsidR="00B915F5">
        <w:t>Australia Awards in Africa</w:t>
      </w:r>
      <w:r w:rsidR="00711A30">
        <w:t xml:space="preserve"> </w:t>
      </w:r>
      <w:r w:rsidRPr="000D6B89">
        <w:t>outcomes being achieved or are likely to be achieved?</w:t>
      </w:r>
    </w:p>
    <w:p w14:paraId="5A66A899" w14:textId="77777777" w:rsidR="00D37584" w:rsidRPr="00F01F2A" w:rsidRDefault="00D37584" w:rsidP="00E13B46">
      <w:pPr>
        <w:pStyle w:val="NormalBeforeBullet"/>
      </w:pPr>
      <w:r w:rsidRPr="00F01F2A">
        <w:t>Australia</w:t>
      </w:r>
      <w:r w:rsidR="00FB27B3">
        <w:t xml:space="preserve"> </w:t>
      </w:r>
      <w:r w:rsidRPr="00F01F2A">
        <w:t xml:space="preserve">Awards </w:t>
      </w:r>
      <w:r w:rsidR="00FB27B3">
        <w:t xml:space="preserve">in </w:t>
      </w:r>
      <w:r w:rsidRPr="00F01F2A">
        <w:t xml:space="preserve">Africa </w:t>
      </w:r>
      <w:r w:rsidR="00AF5DA3" w:rsidRPr="00F01F2A">
        <w:t xml:space="preserve">is </w:t>
      </w:r>
      <w:r w:rsidRPr="00F01F2A">
        <w:t xml:space="preserve">performing well against its </w:t>
      </w:r>
      <w:r w:rsidR="006A44A3">
        <w:t xml:space="preserve">intended </w:t>
      </w:r>
      <w:r w:rsidRPr="00F01F2A">
        <w:t xml:space="preserve">outcomes, as </w:t>
      </w:r>
      <w:r w:rsidR="006A44A3">
        <w:t xml:space="preserve">evidenced </w:t>
      </w:r>
      <w:r w:rsidRPr="00F01F2A">
        <w:t>by:</w:t>
      </w:r>
    </w:p>
    <w:p w14:paraId="2F5ECDD9" w14:textId="5E73130C" w:rsidR="005E2050" w:rsidRPr="00F01F2A" w:rsidRDefault="00F01F2A" w:rsidP="00F01F2A">
      <w:pPr>
        <w:pStyle w:val="Bullet"/>
        <w:rPr>
          <w:rStyle w:val="Strong"/>
          <w:b w:val="0"/>
        </w:rPr>
      </w:pPr>
      <w:r w:rsidRPr="00F01F2A">
        <w:rPr>
          <w:rStyle w:val="Strong"/>
        </w:rPr>
        <w:t>A</w:t>
      </w:r>
      <w:r w:rsidR="008D2F62" w:rsidRPr="00F01F2A">
        <w:rPr>
          <w:rStyle w:val="Strong"/>
        </w:rPr>
        <w:t xml:space="preserve">lumni using skills, </w:t>
      </w:r>
      <w:proofErr w:type="gramStart"/>
      <w:r w:rsidR="008D2F62" w:rsidRPr="00F01F2A">
        <w:rPr>
          <w:rStyle w:val="Strong"/>
        </w:rPr>
        <w:t>knowledge</w:t>
      </w:r>
      <w:proofErr w:type="gramEnd"/>
      <w:r w:rsidR="008D2F62" w:rsidRPr="00F01F2A">
        <w:rPr>
          <w:rStyle w:val="Strong"/>
        </w:rPr>
        <w:t xml:space="preserve"> and networks to contribute to sustainable development </w:t>
      </w:r>
      <w:r w:rsidR="008D2F62" w:rsidRPr="00F01F2A">
        <w:rPr>
          <w:rStyle w:val="Strong"/>
          <w:b w:val="0"/>
        </w:rPr>
        <w:t>(</w:t>
      </w:r>
      <w:r w:rsidR="00B055E8">
        <w:rPr>
          <w:rStyle w:val="Strong"/>
          <w:b w:val="0"/>
        </w:rPr>
        <w:t>O</w:t>
      </w:r>
      <w:r w:rsidR="008D2F62" w:rsidRPr="00F01F2A">
        <w:rPr>
          <w:rStyle w:val="Strong"/>
          <w:b w:val="0"/>
        </w:rPr>
        <w:t xml:space="preserve">utcome 1) in the following ways: </w:t>
      </w:r>
    </w:p>
    <w:p w14:paraId="630BD69F" w14:textId="754504D6" w:rsidR="00F01F2A" w:rsidRPr="00F01F2A" w:rsidRDefault="0062776E" w:rsidP="00F01F2A">
      <w:pPr>
        <w:pStyle w:val="Dash"/>
      </w:pPr>
      <w:proofErr w:type="gramStart"/>
      <w:r>
        <w:t>The vast majority of</w:t>
      </w:r>
      <w:proofErr w:type="gramEnd"/>
      <w:r>
        <w:t xml:space="preserve"> alumni </w:t>
      </w:r>
      <w:r w:rsidR="00F7637A">
        <w:t xml:space="preserve">who responded to the </w:t>
      </w:r>
      <w:r w:rsidR="00F01F2A" w:rsidRPr="00F01F2A">
        <w:t xml:space="preserve">survey </w:t>
      </w:r>
      <w:r>
        <w:t xml:space="preserve">for the 2017 and 2018 outcomes studies </w:t>
      </w:r>
      <w:r w:rsidR="00F7637A">
        <w:t xml:space="preserve">reported making </w:t>
      </w:r>
      <w:r w:rsidR="000526A4">
        <w:t xml:space="preserve">some kind of </w:t>
      </w:r>
      <w:r w:rsidR="00872442" w:rsidRPr="00F01F2A">
        <w:t>development contribution</w:t>
      </w:r>
      <w:r w:rsidR="000526A4">
        <w:t>,</w:t>
      </w:r>
      <w:r w:rsidR="00872442" w:rsidRPr="00F01F2A">
        <w:t xml:space="preserve"> with </w:t>
      </w:r>
      <w:r>
        <w:t>nearly all</w:t>
      </w:r>
      <w:r w:rsidR="00872442" w:rsidRPr="00F01F2A">
        <w:t xml:space="preserve"> attributing th</w:t>
      </w:r>
      <w:r w:rsidR="002F4668">
        <w:t>at</w:t>
      </w:r>
      <w:r w:rsidR="00872442" w:rsidRPr="00F01F2A">
        <w:t xml:space="preserve"> contribution to a great or certain extent to </w:t>
      </w:r>
      <w:r w:rsidR="00F01F2A" w:rsidRPr="00F01F2A">
        <w:t xml:space="preserve">skills acquired during their </w:t>
      </w:r>
      <w:r w:rsidR="00872442" w:rsidRPr="00F01F2A">
        <w:t>award.</w:t>
      </w:r>
      <w:r w:rsidRPr="00F01F2A">
        <w:rPr>
          <w:rStyle w:val="FootnoteReference"/>
        </w:rPr>
        <w:footnoteReference w:id="8"/>
      </w:r>
      <w:r w:rsidR="00F01F2A" w:rsidRPr="00F01F2A">
        <w:t xml:space="preserve"> </w:t>
      </w:r>
    </w:p>
    <w:p w14:paraId="583574F7" w14:textId="5F20938D" w:rsidR="00872442" w:rsidRDefault="001F2BDC" w:rsidP="00F01F2A">
      <w:pPr>
        <w:pStyle w:val="Dash"/>
      </w:pPr>
      <w:r>
        <w:t xml:space="preserve">Most </w:t>
      </w:r>
      <w:r w:rsidR="00C41100">
        <w:t xml:space="preserve">of </w:t>
      </w:r>
      <w:r w:rsidR="00F01F2A" w:rsidRPr="00F01F2A">
        <w:t xml:space="preserve">these </w:t>
      </w:r>
      <w:r w:rsidR="00872442" w:rsidRPr="00F01F2A">
        <w:t xml:space="preserve">development contributions are </w:t>
      </w:r>
      <w:r w:rsidR="00F01F2A" w:rsidRPr="00F01F2A">
        <w:t xml:space="preserve">occurring </w:t>
      </w:r>
      <w:r w:rsidR="00872442" w:rsidRPr="00F01F2A">
        <w:t>at the organisational level</w:t>
      </w:r>
      <w:r w:rsidR="00F01F2A" w:rsidRPr="00F01F2A">
        <w:t xml:space="preserve"> in alumni’s workplaces, with n</w:t>
      </w:r>
      <w:r w:rsidR="00872442" w:rsidRPr="00F01F2A">
        <w:t>early two thirds</w:t>
      </w:r>
      <w:r w:rsidR="00F01F2A" w:rsidRPr="00F01F2A">
        <w:t xml:space="preserve"> relating to </w:t>
      </w:r>
      <w:r w:rsidR="00872442" w:rsidRPr="00F01F2A">
        <w:t xml:space="preserve">changes to </w:t>
      </w:r>
      <w:r w:rsidR="00F01F2A" w:rsidRPr="00F01F2A">
        <w:t xml:space="preserve">workplace </w:t>
      </w:r>
      <w:r w:rsidR="00872442" w:rsidRPr="00F01F2A">
        <w:t>practice</w:t>
      </w:r>
      <w:r w:rsidR="00F01F2A" w:rsidRPr="00F01F2A">
        <w:t>s</w:t>
      </w:r>
      <w:r w:rsidR="00C41100">
        <w:t xml:space="preserve"> (that is</w:t>
      </w:r>
      <w:r w:rsidR="00F01F2A" w:rsidRPr="00F01F2A">
        <w:t xml:space="preserve">, </w:t>
      </w:r>
      <w:r w:rsidR="00872442" w:rsidRPr="00F01F2A">
        <w:t>operational approach</w:t>
      </w:r>
      <w:r w:rsidR="00F01F2A" w:rsidRPr="00F01F2A">
        <w:t>es</w:t>
      </w:r>
      <w:r w:rsidR="00872442" w:rsidRPr="00F01F2A">
        <w:t xml:space="preserve"> or techniques used in </w:t>
      </w:r>
      <w:r w:rsidR="00F01F2A" w:rsidRPr="00F01F2A">
        <w:t xml:space="preserve">the </w:t>
      </w:r>
      <w:r w:rsidR="00872442" w:rsidRPr="00F01F2A">
        <w:t>work</w:t>
      </w:r>
      <w:r w:rsidR="00F01F2A">
        <w:t>place</w:t>
      </w:r>
      <w:r w:rsidR="00C41100">
        <w:t>)</w:t>
      </w:r>
      <w:r w:rsidR="00F125B5">
        <w:t>.</w:t>
      </w:r>
      <w:r w:rsidR="008B53A2">
        <w:rPr>
          <w:rStyle w:val="FootnoteReference"/>
        </w:rPr>
        <w:footnoteReference w:id="9"/>
      </w:r>
      <w:r w:rsidR="001229FD">
        <w:t xml:space="preserve"> </w:t>
      </w:r>
      <w:r w:rsidR="00C766CE">
        <w:t xml:space="preserve">The </w:t>
      </w:r>
      <w:r w:rsidR="00FC2AC9">
        <w:t xml:space="preserve">2017 and 2018 </w:t>
      </w:r>
      <w:r w:rsidR="00C766CE">
        <w:t>outcomes studies note r</w:t>
      </w:r>
      <w:r w:rsidR="00872442" w:rsidRPr="00F01F2A">
        <w:t xml:space="preserve">ecent returnees (12-18 months) are most likely to contribute through skills transfer; alumni are passing on award acquired skills and knowledge on return to work and are supported in their workplace to do so. However, policy contributions take longer to emerge, with </w:t>
      </w:r>
      <w:r w:rsidR="00C766CE">
        <w:t xml:space="preserve">those returnees in the </w:t>
      </w:r>
      <w:r w:rsidR="00872442" w:rsidRPr="00F01F2A">
        <w:t>24-30 months cohort most likely to make policy contributions</w:t>
      </w:r>
      <w:r w:rsidR="00872442">
        <w:t xml:space="preserve">. </w:t>
      </w:r>
      <w:r w:rsidR="00FC2AC9">
        <w:t xml:space="preserve">The outcomes studies rightly conclude </w:t>
      </w:r>
      <w:r w:rsidR="00872442">
        <w:t xml:space="preserve">the type of development contribution </w:t>
      </w:r>
      <w:r w:rsidR="00FC2AC9">
        <w:t>a</w:t>
      </w:r>
      <w:r w:rsidR="00872442">
        <w:t xml:space="preserve">lumni make is not static and will change over time. </w:t>
      </w:r>
    </w:p>
    <w:p w14:paraId="15D51474" w14:textId="73562472" w:rsidR="00872442" w:rsidRDefault="00352C62" w:rsidP="00F01F2A">
      <w:pPr>
        <w:pStyle w:val="Dash"/>
      </w:pPr>
      <w:r>
        <w:t xml:space="preserve">The 2017 </w:t>
      </w:r>
      <w:r w:rsidR="006B4EF3">
        <w:t>o</w:t>
      </w:r>
      <w:r>
        <w:t xml:space="preserve">utcomes </w:t>
      </w:r>
      <w:r w:rsidR="006B4EF3">
        <w:t>s</w:t>
      </w:r>
      <w:r>
        <w:t>tudy notes p</w:t>
      </w:r>
      <w:r w:rsidR="00872442" w:rsidRPr="00F01F2A">
        <w:t>ractice contributions are from all fields of study, although some sectors, for example agriculture and health, are more likely to result in more immediate development contributions through skills transfer. Policy contributions are most likely to be made by</w:t>
      </w:r>
      <w:r w:rsidR="00FC2AC9">
        <w:t xml:space="preserve"> alumni working in </w:t>
      </w:r>
      <w:r w:rsidR="00872442" w:rsidRPr="00F01F2A">
        <w:t xml:space="preserve">education and </w:t>
      </w:r>
      <w:r w:rsidR="00FC2AC9">
        <w:t xml:space="preserve">or areas related to </w:t>
      </w:r>
      <w:r w:rsidR="00872442" w:rsidRPr="00F01F2A">
        <w:t>public policy</w:t>
      </w:r>
      <w:r w:rsidR="00872442">
        <w:t>.</w:t>
      </w:r>
    </w:p>
    <w:p w14:paraId="2A7E6F1F" w14:textId="6E0D73A9" w:rsidR="006C1354" w:rsidRDefault="006C1354" w:rsidP="00E246CF">
      <w:pPr>
        <w:pStyle w:val="Dash"/>
      </w:pPr>
      <w:r>
        <w:t xml:space="preserve">Although </w:t>
      </w:r>
      <w:r w:rsidR="00FC2AC9">
        <w:t xml:space="preserve">the </w:t>
      </w:r>
      <w:r>
        <w:t xml:space="preserve">outcomes </w:t>
      </w:r>
      <w:r w:rsidR="00E33A40">
        <w:t>studie</w:t>
      </w:r>
      <w:r>
        <w:t>s show</w:t>
      </w:r>
      <w:r w:rsidR="001B067C">
        <w:t xml:space="preserve"> </w:t>
      </w:r>
      <w:r>
        <w:t xml:space="preserve">high </w:t>
      </w:r>
      <w:r w:rsidR="001B067C">
        <w:t>percentages</w:t>
      </w:r>
      <w:r w:rsidR="001B067C">
        <w:rPr>
          <w:rStyle w:val="FootnoteReference"/>
        </w:rPr>
        <w:footnoteReference w:id="10"/>
      </w:r>
      <w:r w:rsidR="001B067C">
        <w:t xml:space="preserve"> of alumni reporting that they are using </w:t>
      </w:r>
      <w:r w:rsidR="00107E6F">
        <w:t>a</w:t>
      </w:r>
      <w:r w:rsidR="001B067C">
        <w:t>wards-acquired knowledge and skill</w:t>
      </w:r>
      <w:r w:rsidR="00FC2AC9">
        <w:t>s</w:t>
      </w:r>
      <w:r w:rsidR="001B067C">
        <w:t xml:space="preserve"> to promote </w:t>
      </w:r>
      <w:r w:rsidR="00107E6F">
        <w:t>g</w:t>
      </w:r>
      <w:r w:rsidR="001B067C">
        <w:t xml:space="preserve">ender </w:t>
      </w:r>
      <w:r w:rsidR="00107E6F">
        <w:t>e</w:t>
      </w:r>
      <w:r w:rsidR="001B067C">
        <w:t xml:space="preserve">quality and </w:t>
      </w:r>
      <w:r w:rsidR="00107E6F">
        <w:t>s</w:t>
      </w:r>
      <w:r w:rsidR="001B067C">
        <w:t xml:space="preserve">ocial </w:t>
      </w:r>
      <w:r w:rsidR="00107E6F">
        <w:t>i</w:t>
      </w:r>
      <w:r w:rsidR="001B067C">
        <w:t xml:space="preserve">nclusion, it is noted </w:t>
      </w:r>
      <w:r>
        <w:t xml:space="preserve">many examples provided relate to what </w:t>
      </w:r>
      <w:r w:rsidR="00E069DD">
        <w:t xml:space="preserve">alumni </w:t>
      </w:r>
      <w:r>
        <w:t>say the</w:t>
      </w:r>
      <w:r w:rsidR="001B067C">
        <w:t>y</w:t>
      </w:r>
      <w:r>
        <w:t xml:space="preserve"> will do or hope to change rather than what has been achieved.</w:t>
      </w:r>
      <w:r w:rsidR="001B067C">
        <w:t xml:space="preserve"> This </w:t>
      </w:r>
      <w:r w:rsidR="001F2BDC">
        <w:t>contrasts with</w:t>
      </w:r>
      <w:r w:rsidR="001B067C">
        <w:t xml:space="preserve"> the more </w:t>
      </w:r>
      <w:r w:rsidR="00642DFE">
        <w:t>substantial changes</w:t>
      </w:r>
      <w:r w:rsidR="00C41100">
        <w:t xml:space="preserve"> described</w:t>
      </w:r>
      <w:r w:rsidR="001B067C">
        <w:t xml:space="preserve"> </w:t>
      </w:r>
      <w:r w:rsidR="00C41100">
        <w:t xml:space="preserve">by alumni in Palladium’s case studies and </w:t>
      </w:r>
      <w:r w:rsidR="00642DFE">
        <w:t>during the evaluation consultations.</w:t>
      </w:r>
      <w:r w:rsidR="00107E6F">
        <w:rPr>
          <w:rStyle w:val="FootnoteReference"/>
        </w:rPr>
        <w:footnoteReference w:id="11"/>
      </w:r>
      <w:r w:rsidR="00642DFE">
        <w:t xml:space="preserve"> </w:t>
      </w:r>
    </w:p>
    <w:p w14:paraId="4F79CEF4" w14:textId="77777777" w:rsidR="00107305" w:rsidRPr="00107305" w:rsidRDefault="005E2A24" w:rsidP="00CC580A">
      <w:pPr>
        <w:pStyle w:val="Bullet"/>
        <w:rPr>
          <w:b/>
          <w:bCs/>
        </w:rPr>
      </w:pPr>
      <w:r>
        <w:rPr>
          <w:b/>
        </w:rPr>
        <w:t>T</w:t>
      </w:r>
      <w:r w:rsidR="00107305" w:rsidRPr="005E2A24">
        <w:rPr>
          <w:b/>
        </w:rPr>
        <w:t>argeted countries in Africa</w:t>
      </w:r>
      <w:r w:rsidR="00107305">
        <w:t xml:space="preserve"> </w:t>
      </w:r>
      <w:r w:rsidR="00107305" w:rsidRPr="00107305">
        <w:rPr>
          <w:b/>
        </w:rPr>
        <w:t>view</w:t>
      </w:r>
      <w:r>
        <w:rPr>
          <w:b/>
        </w:rPr>
        <w:t>ing</w:t>
      </w:r>
      <w:r w:rsidR="00107305" w:rsidRPr="00107305">
        <w:rPr>
          <w:b/>
        </w:rPr>
        <w:t xml:space="preserve"> Australia as a valued partner</w:t>
      </w:r>
      <w:r w:rsidR="00107305">
        <w:t xml:space="preserve"> (</w:t>
      </w:r>
      <w:r w:rsidR="006B4EF3">
        <w:t>O</w:t>
      </w:r>
      <w:r w:rsidR="00107305">
        <w:t xml:space="preserve">utcome 2): </w:t>
      </w:r>
    </w:p>
    <w:p w14:paraId="0F05468D" w14:textId="57DBA70F" w:rsidR="00732E2A" w:rsidRDefault="00732E2A" w:rsidP="00CB10E3">
      <w:pPr>
        <w:pStyle w:val="Dash"/>
      </w:pPr>
      <w:r>
        <w:lastRenderedPageBreak/>
        <w:t xml:space="preserve">In the absence of </w:t>
      </w:r>
      <w:r w:rsidR="00107305">
        <w:t xml:space="preserve">substantive </w:t>
      </w:r>
      <w:r>
        <w:t>bilateral aid programs</w:t>
      </w:r>
      <w:r>
        <w:rPr>
          <w:rStyle w:val="FootnoteReference"/>
        </w:rPr>
        <w:footnoteReference w:id="12"/>
      </w:r>
      <w:r>
        <w:t xml:space="preserve"> in</w:t>
      </w:r>
      <w:r w:rsidR="00107305">
        <w:t xml:space="preserve"> African </w:t>
      </w:r>
      <w:r>
        <w:t xml:space="preserve">countries, </w:t>
      </w:r>
      <w:r w:rsidR="00770EC6">
        <w:t xml:space="preserve">Posts </w:t>
      </w:r>
      <w:r>
        <w:t xml:space="preserve">noted </w:t>
      </w:r>
      <w:r w:rsidR="005E2A24">
        <w:t xml:space="preserve">the </w:t>
      </w:r>
      <w:r w:rsidR="005E2A24" w:rsidRPr="005E2A24">
        <w:t xml:space="preserve">strategic value of Australia Awards in Africa in advancing Australia’s interests in select African countries. </w:t>
      </w:r>
      <w:r w:rsidR="0001515C">
        <w:t>Some Posts acknowledged that factors</w:t>
      </w:r>
      <w:r w:rsidR="0001515C">
        <w:rPr>
          <w:rStyle w:val="FootnoteReference"/>
        </w:rPr>
        <w:footnoteReference w:id="13"/>
      </w:r>
      <w:r w:rsidR="0001515C">
        <w:t xml:space="preserve"> outside the control of Australia Awards in Africa</w:t>
      </w:r>
      <w:r w:rsidR="003969C7">
        <w:t xml:space="preserve"> may negatively affect how African countries view Australia as a partner. </w:t>
      </w:r>
      <w:r w:rsidR="0054017B">
        <w:t>The s</w:t>
      </w:r>
      <w:r w:rsidR="003969C7">
        <w:t xml:space="preserve">ix </w:t>
      </w:r>
      <w:r w:rsidR="003969C7" w:rsidRPr="005E2A24">
        <w:t xml:space="preserve">Posts </w:t>
      </w:r>
      <w:r w:rsidR="003969C7">
        <w:t xml:space="preserve">consulted </w:t>
      </w:r>
      <w:r w:rsidR="003969C7" w:rsidRPr="005E2A24">
        <w:t xml:space="preserve">noted </w:t>
      </w:r>
      <w:r w:rsidR="003969C7">
        <w:t xml:space="preserve">that </w:t>
      </w:r>
      <w:r w:rsidR="003969C7" w:rsidRPr="005E2A24">
        <w:t>Australia</w:t>
      </w:r>
      <w:r w:rsidR="003969C7">
        <w:t xml:space="preserve"> Awards scholarships and short courses are creating greater visibility of Australia (particularly through public diplomacy opportunities to showcase Australian expertise</w:t>
      </w:r>
      <w:r w:rsidR="0054017B">
        <w:t xml:space="preserve">). They described </w:t>
      </w:r>
      <w:r w:rsidR="003969C7">
        <w:t xml:space="preserve">tremendous goodwill towards Australia </w:t>
      </w:r>
      <w:r w:rsidR="001F2BDC">
        <w:t>because of</w:t>
      </w:r>
      <w:r w:rsidR="00075DE2">
        <w:t xml:space="preserve"> its long-running scholarship program in Africa. </w:t>
      </w:r>
      <w:r w:rsidR="00FE54FB">
        <w:t xml:space="preserve">Palladium and </w:t>
      </w:r>
      <w:r w:rsidR="00716F8A">
        <w:t xml:space="preserve">Posts are actively working to extend and capitalise on this goodwill (see further below for discussion on alumni engagement).  </w:t>
      </w:r>
    </w:p>
    <w:p w14:paraId="587055E1" w14:textId="6D446E75" w:rsidR="002C5318" w:rsidRDefault="002C5318" w:rsidP="0020347E">
      <w:pPr>
        <w:pStyle w:val="Dash"/>
      </w:pPr>
      <w:r w:rsidRPr="00B44F31">
        <w:t xml:space="preserve">The </w:t>
      </w:r>
      <w:r>
        <w:t>evaluation heard from coordinating authorities</w:t>
      </w:r>
      <w:r>
        <w:rPr>
          <w:rStyle w:val="FootnoteReference"/>
        </w:rPr>
        <w:footnoteReference w:id="14"/>
      </w:r>
      <w:r>
        <w:t xml:space="preserve"> and alumni alike that the </w:t>
      </w:r>
      <w:r w:rsidRPr="00B44F31">
        <w:t xml:space="preserve">merit-based, gender </w:t>
      </w:r>
      <w:r>
        <w:t xml:space="preserve">equality and </w:t>
      </w:r>
      <w:r w:rsidRPr="00B44F31">
        <w:t xml:space="preserve">disability-inclusive </w:t>
      </w:r>
      <w:r>
        <w:t xml:space="preserve">ethos of Australia Awards in Africa </w:t>
      </w:r>
      <w:r w:rsidRPr="00B44F31">
        <w:t>resonate</w:t>
      </w:r>
      <w:r>
        <w:t>s</w:t>
      </w:r>
      <w:r w:rsidRPr="00B44F31">
        <w:t xml:space="preserve"> strongly with </w:t>
      </w:r>
      <w:r>
        <w:t xml:space="preserve">them and distinguishes Australia Awards in Africa from other scholarship programs in their countries. </w:t>
      </w:r>
      <w:r w:rsidR="007C70C2">
        <w:t xml:space="preserve">Alumni also positively noted </w:t>
      </w:r>
      <w:r w:rsidR="00D94943">
        <w:t>A</w:t>
      </w:r>
      <w:r w:rsidR="00D94943" w:rsidRPr="004D1621">
        <w:t xml:space="preserve">ustralia’s appreciation of and commitment to alumni </w:t>
      </w:r>
      <w:r w:rsidR="00D94943">
        <w:t xml:space="preserve">on return to their home countries. </w:t>
      </w:r>
      <w:r w:rsidR="00E44799">
        <w:t xml:space="preserve">Comments from coordinating authorities and alumni alike </w:t>
      </w:r>
      <w:r w:rsidR="00075DE2">
        <w:t>confirmed</w:t>
      </w:r>
      <w:r w:rsidR="00E44799">
        <w:t xml:space="preserve"> that Australia Awards in Africa is generating goodwill towards Australia.</w:t>
      </w:r>
      <w:r w:rsidRPr="004D1621">
        <w:t xml:space="preserve">  </w:t>
      </w:r>
    </w:p>
    <w:p w14:paraId="689B7D97" w14:textId="5B3B074C" w:rsidR="00716F8A" w:rsidRDefault="00D26D91" w:rsidP="00716F8A">
      <w:pPr>
        <w:pStyle w:val="Dash"/>
      </w:pPr>
      <w:r>
        <w:t xml:space="preserve">The evaluation notes </w:t>
      </w:r>
      <w:r w:rsidR="00FE54FB">
        <w:t xml:space="preserve">the </w:t>
      </w:r>
      <w:r>
        <w:t xml:space="preserve">wording </w:t>
      </w:r>
      <w:r w:rsidR="00FE54FB">
        <w:t xml:space="preserve">for this outcome </w:t>
      </w:r>
      <w:r>
        <w:t xml:space="preserve">could be refined to better align with global </w:t>
      </w:r>
      <w:r w:rsidR="00FE54FB">
        <w:t>a</w:t>
      </w:r>
      <w:r>
        <w:t>wards and alumni strategies (</w:t>
      </w:r>
      <w:r w:rsidRPr="00075DE2">
        <w:t xml:space="preserve">see section </w:t>
      </w:r>
      <w:r w:rsidR="00075DE2" w:rsidRPr="00075DE2">
        <w:t>3.3.1</w:t>
      </w:r>
      <w:r>
        <w:t xml:space="preserve"> for further discussion on this point)</w:t>
      </w:r>
      <w:r w:rsidR="00716F8A">
        <w:t>.</w:t>
      </w:r>
      <w:r>
        <w:t xml:space="preserve"> </w:t>
      </w:r>
    </w:p>
    <w:p w14:paraId="302DF66E" w14:textId="77777777" w:rsidR="00872442" w:rsidRPr="002A436A" w:rsidRDefault="00017B3B" w:rsidP="00D26D91">
      <w:pPr>
        <w:pStyle w:val="Bullet"/>
        <w:rPr>
          <w:rStyle w:val="Strong"/>
        </w:rPr>
      </w:pPr>
      <w:r w:rsidRPr="00017B3B">
        <w:rPr>
          <w:rStyle w:val="Strong"/>
          <w:b w:val="0"/>
        </w:rPr>
        <w:t>There is</w:t>
      </w:r>
      <w:r>
        <w:rPr>
          <w:rStyle w:val="Strong"/>
        </w:rPr>
        <w:t xml:space="preserve"> </w:t>
      </w:r>
      <w:r>
        <w:rPr>
          <w:rStyle w:val="Strong"/>
          <w:b w:val="0"/>
        </w:rPr>
        <w:t xml:space="preserve">variable evidence regarding </w:t>
      </w:r>
      <w:r w:rsidRPr="0020347E">
        <w:rPr>
          <w:rStyle w:val="Strong"/>
        </w:rPr>
        <w:t>a</w:t>
      </w:r>
      <w:r w:rsidR="00107305">
        <w:rPr>
          <w:rStyle w:val="Strong"/>
        </w:rPr>
        <w:t>lumni</w:t>
      </w:r>
      <w:r>
        <w:rPr>
          <w:rStyle w:val="Strong"/>
        </w:rPr>
        <w:t>’s</w:t>
      </w:r>
      <w:r w:rsidR="00107305">
        <w:rPr>
          <w:rStyle w:val="Strong"/>
        </w:rPr>
        <w:t xml:space="preserve"> </w:t>
      </w:r>
      <w:r w:rsidR="00872442" w:rsidRPr="002A436A">
        <w:rPr>
          <w:rStyle w:val="Strong"/>
        </w:rPr>
        <w:t xml:space="preserve">positive on-going links with Australia </w:t>
      </w:r>
      <w:r w:rsidR="00D26D91">
        <w:rPr>
          <w:rStyle w:val="Strong"/>
          <w:b w:val="0"/>
        </w:rPr>
        <w:t>(</w:t>
      </w:r>
      <w:r w:rsidR="006B4EF3">
        <w:rPr>
          <w:rStyle w:val="Strong"/>
          <w:b w:val="0"/>
        </w:rPr>
        <w:t>O</w:t>
      </w:r>
      <w:r w:rsidR="00D26D91">
        <w:rPr>
          <w:rStyle w:val="Strong"/>
          <w:b w:val="0"/>
        </w:rPr>
        <w:t>utcome 3)</w:t>
      </w:r>
      <w:r w:rsidR="00107305">
        <w:rPr>
          <w:rStyle w:val="Strong"/>
          <w:b w:val="0"/>
        </w:rPr>
        <w:t xml:space="preserve">. </w:t>
      </w:r>
    </w:p>
    <w:p w14:paraId="11D6B89A" w14:textId="77777777" w:rsidR="00DD372C" w:rsidRPr="00DD372C" w:rsidRDefault="00817DD5" w:rsidP="00983A21">
      <w:pPr>
        <w:pStyle w:val="Dash"/>
        <w:rPr>
          <w:lang w:val="en-NZ"/>
        </w:rPr>
      </w:pPr>
      <w:r w:rsidRPr="00DD372C">
        <w:rPr>
          <w:rStyle w:val="Strong"/>
          <w:b w:val="0"/>
        </w:rPr>
        <w:t>On the one hand,</w:t>
      </w:r>
      <w:r w:rsidR="0054017B" w:rsidRPr="00DD372C">
        <w:rPr>
          <w:rStyle w:val="Strong"/>
          <w:b w:val="0"/>
        </w:rPr>
        <w:t xml:space="preserve"> </w:t>
      </w:r>
      <w:r w:rsidR="00B915F5" w:rsidRPr="00DD372C">
        <w:rPr>
          <w:bCs/>
        </w:rPr>
        <w:t>Australia Awards in Africa</w:t>
      </w:r>
      <w:r w:rsidR="001229FD" w:rsidRPr="00DD372C">
        <w:rPr>
          <w:bCs/>
        </w:rPr>
        <w:t xml:space="preserve"> outcome</w:t>
      </w:r>
      <w:r w:rsidR="006B4EF3" w:rsidRPr="00DD372C">
        <w:rPr>
          <w:bCs/>
        </w:rPr>
        <w:t>s</w:t>
      </w:r>
      <w:r w:rsidR="001229FD" w:rsidRPr="00DD372C">
        <w:rPr>
          <w:bCs/>
        </w:rPr>
        <w:t xml:space="preserve"> </w:t>
      </w:r>
      <w:r w:rsidR="00107305" w:rsidRPr="00DD372C">
        <w:rPr>
          <w:bCs/>
        </w:rPr>
        <w:t xml:space="preserve">studies </w:t>
      </w:r>
      <w:r w:rsidR="001229FD" w:rsidRPr="00DD372C">
        <w:rPr>
          <w:bCs/>
        </w:rPr>
        <w:t xml:space="preserve">show alumni reporting </w:t>
      </w:r>
      <w:r w:rsidR="00810ECD">
        <w:t>low levels of on-going links between alumni and Australian students or Australian organisations</w:t>
      </w:r>
      <w:r w:rsidR="005270D6">
        <w:t xml:space="preserve"> (around one third of alumni</w:t>
      </w:r>
      <w:r w:rsidR="0054017B">
        <w:t xml:space="preserve"> who responded to the survey</w:t>
      </w:r>
      <w:r w:rsidR="005270D6" w:rsidRPr="005270D6">
        <w:t>)</w:t>
      </w:r>
      <w:r w:rsidR="00F125B5">
        <w:t>.</w:t>
      </w:r>
      <w:r w:rsidR="005270D6">
        <w:rPr>
          <w:rStyle w:val="FootnoteReference"/>
        </w:rPr>
        <w:footnoteReference w:id="15"/>
      </w:r>
      <w:r w:rsidR="005270D6" w:rsidRPr="005270D6">
        <w:t xml:space="preserve"> </w:t>
      </w:r>
      <w:r w:rsidR="005270D6" w:rsidRPr="00DD372C">
        <w:rPr>
          <w:lang w:val="en-NZ"/>
        </w:rPr>
        <w:t>Organisational links between alumni’s home institutions and Australian organisations were even lower (less than a quarter of alumni</w:t>
      </w:r>
      <w:r w:rsidR="0054017B" w:rsidRPr="00DD372C">
        <w:rPr>
          <w:lang w:val="en-NZ"/>
        </w:rPr>
        <w:t xml:space="preserve"> who responded to the survey</w:t>
      </w:r>
      <w:r w:rsidR="005270D6" w:rsidRPr="00DD372C">
        <w:rPr>
          <w:lang w:val="en-NZ"/>
        </w:rPr>
        <w:t>).</w:t>
      </w:r>
      <w:r w:rsidR="00810ECD">
        <w:rPr>
          <w:rStyle w:val="FootnoteReference"/>
        </w:rPr>
        <w:footnoteReference w:id="16"/>
      </w:r>
      <w:r w:rsidR="005270D6">
        <w:t xml:space="preserve"> </w:t>
      </w:r>
      <w:r w:rsidR="000845EA">
        <w:t xml:space="preserve">The Australia Awards Global Tracer Facility survey of 2016-2010 alumni </w:t>
      </w:r>
      <w:r w:rsidR="00A71144">
        <w:t xml:space="preserve">shows </w:t>
      </w:r>
      <w:r w:rsidR="0078237E">
        <w:t>lower proportion</w:t>
      </w:r>
      <w:r w:rsidR="00A71144">
        <w:t>s</w:t>
      </w:r>
      <w:r w:rsidR="0078237E">
        <w:t xml:space="preserve"> of respondents from Africa have developed a professional link (35 per cent</w:t>
      </w:r>
      <w:r w:rsidR="008F5F12">
        <w:rPr>
          <w:rStyle w:val="FootnoteReference"/>
        </w:rPr>
        <w:footnoteReference w:id="17"/>
      </w:r>
      <w:r w:rsidR="0078237E">
        <w:t xml:space="preserve">) when compared with those from South and West Asia (49 per cent) and East Asia (57 per cent). These differences are </w:t>
      </w:r>
      <w:r w:rsidR="00A71144">
        <w:t>“</w:t>
      </w:r>
      <w:r w:rsidR="0078237E">
        <w:t xml:space="preserve">statistically significant and offer some interesting insights into the potentially different circumstances that alumni face in terms of making professional connections with Australia. Interestingly, among these regions the </w:t>
      </w:r>
      <w:r w:rsidR="0078237E" w:rsidRPr="000845EA">
        <w:t xml:space="preserve">further geographically from Australia they are, the less likely </w:t>
      </w:r>
      <w:r w:rsidR="000845EA" w:rsidRPr="000845EA">
        <w:t>an alumnus</w:t>
      </w:r>
      <w:r w:rsidR="0078237E" w:rsidRPr="000845EA">
        <w:t xml:space="preserve"> is to have established a professional link</w:t>
      </w:r>
      <w:r w:rsidR="0078237E">
        <w:t xml:space="preserve"> with Australia.</w:t>
      </w:r>
      <w:r w:rsidR="00A71144">
        <w:t>”</w:t>
      </w:r>
      <w:r w:rsidR="000845EA">
        <w:rPr>
          <w:rStyle w:val="FootnoteReference"/>
        </w:rPr>
        <w:footnoteReference w:id="18"/>
      </w:r>
    </w:p>
    <w:p w14:paraId="1788264D" w14:textId="718EE43C" w:rsidR="00A75F5D" w:rsidRPr="00DD372C" w:rsidRDefault="000845EA" w:rsidP="00983A21">
      <w:pPr>
        <w:pStyle w:val="Dash"/>
        <w:rPr>
          <w:lang w:val="en-NZ"/>
        </w:rPr>
      </w:pPr>
      <w:r>
        <w:t xml:space="preserve">By contrast, linkages </w:t>
      </w:r>
      <w:r w:rsidRPr="00810ECD">
        <w:t>with Australian academics and institutions</w:t>
      </w:r>
      <w:r>
        <w:t xml:space="preserve"> and with other </w:t>
      </w:r>
      <w:r w:rsidRPr="00810ECD">
        <w:t xml:space="preserve">African </w:t>
      </w:r>
      <w:r>
        <w:t xml:space="preserve">or </w:t>
      </w:r>
      <w:r w:rsidRPr="00810ECD">
        <w:t xml:space="preserve">international students </w:t>
      </w:r>
      <w:r>
        <w:t>are much higher (up to three-quarters of alumni)</w:t>
      </w:r>
      <w:r w:rsidR="00F125B5">
        <w:t>.</w:t>
      </w:r>
      <w:r>
        <w:rPr>
          <w:rStyle w:val="FootnoteReference"/>
        </w:rPr>
        <w:footnoteReference w:id="19"/>
      </w:r>
      <w:r w:rsidRPr="0078237E">
        <w:t xml:space="preserve"> </w:t>
      </w:r>
      <w:r w:rsidR="00562A71">
        <w:t xml:space="preserve">The evaluation </w:t>
      </w:r>
      <w:r w:rsidR="00562A71">
        <w:lastRenderedPageBreak/>
        <w:t xml:space="preserve">notes there is perhaps more complexity to relationships, </w:t>
      </w:r>
      <w:proofErr w:type="gramStart"/>
      <w:r w:rsidR="00562A71">
        <w:t>networks</w:t>
      </w:r>
      <w:proofErr w:type="gramEnd"/>
      <w:r w:rsidR="00562A71">
        <w:t xml:space="preserve"> and linkages than the global tracer and outcome </w:t>
      </w:r>
      <w:r w:rsidR="00856AAE">
        <w:t xml:space="preserve">study </w:t>
      </w:r>
      <w:r w:rsidR="00562A71">
        <w:t xml:space="preserve">survey questions may be capturing. </w:t>
      </w:r>
      <w:r w:rsidR="00542101" w:rsidRPr="00DD372C">
        <w:rPr>
          <w:lang w:val="en-NZ"/>
        </w:rPr>
        <w:t xml:space="preserve">In the words of one scholar at the pre-departure briefing “we go to Australia to meet the world”. This was a sentiment echoed by </w:t>
      </w:r>
      <w:r w:rsidR="00A75F5D" w:rsidRPr="00DD372C">
        <w:rPr>
          <w:lang w:val="en-NZ"/>
        </w:rPr>
        <w:t xml:space="preserve">many </w:t>
      </w:r>
      <w:r w:rsidR="00542101" w:rsidRPr="00DD372C">
        <w:rPr>
          <w:lang w:val="en-NZ"/>
        </w:rPr>
        <w:t>alumni (master</w:t>
      </w:r>
      <w:r w:rsidR="006B4EF3" w:rsidRPr="00DD372C">
        <w:rPr>
          <w:lang w:val="en-NZ"/>
        </w:rPr>
        <w:t>’</w:t>
      </w:r>
      <w:r w:rsidR="00542101" w:rsidRPr="00DD372C">
        <w:rPr>
          <w:lang w:val="en-NZ"/>
        </w:rPr>
        <w:t xml:space="preserve">s and </w:t>
      </w:r>
      <w:r w:rsidR="00161B37" w:rsidRPr="00DD372C">
        <w:rPr>
          <w:lang w:val="en-NZ"/>
        </w:rPr>
        <w:t>short course</w:t>
      </w:r>
      <w:r w:rsidR="00542101" w:rsidRPr="00DD372C">
        <w:rPr>
          <w:lang w:val="en-NZ"/>
        </w:rPr>
        <w:t>) consulted during the evaluation.</w:t>
      </w:r>
      <w:r w:rsidR="00A75F5D" w:rsidRPr="00DD372C">
        <w:rPr>
          <w:lang w:val="en-NZ"/>
        </w:rPr>
        <w:t xml:space="preserve"> Alumni </w:t>
      </w:r>
      <w:r w:rsidR="00542101" w:rsidRPr="00DD372C">
        <w:rPr>
          <w:lang w:val="en-NZ"/>
        </w:rPr>
        <w:t>interviewed felt a strong connection to Australia</w:t>
      </w:r>
      <w:r w:rsidR="00856AAE">
        <w:rPr>
          <w:rStyle w:val="FootnoteReference"/>
          <w:lang w:val="en-NZ"/>
        </w:rPr>
        <w:footnoteReference w:id="20"/>
      </w:r>
      <w:r w:rsidR="00A75F5D" w:rsidRPr="00DD372C">
        <w:rPr>
          <w:lang w:val="en-NZ"/>
        </w:rPr>
        <w:t xml:space="preserve">, and a strong </w:t>
      </w:r>
      <w:r w:rsidR="00A75F5D" w:rsidRPr="00D26D91">
        <w:t>appreciation</w:t>
      </w:r>
      <w:r w:rsidR="00A75F5D" w:rsidRPr="00DD372C">
        <w:rPr>
          <w:lang w:val="en-NZ"/>
        </w:rPr>
        <w:t xml:space="preserve"> for the networks and linkages created within their country and across the region – with a clear recognition of the roles </w:t>
      </w:r>
      <w:r w:rsidR="00856AAE" w:rsidRPr="00DD372C">
        <w:rPr>
          <w:lang w:val="en-NZ"/>
        </w:rPr>
        <w:t xml:space="preserve">Palladium </w:t>
      </w:r>
      <w:r w:rsidR="00A75F5D" w:rsidRPr="00DD372C">
        <w:rPr>
          <w:lang w:val="en-NZ"/>
        </w:rPr>
        <w:t xml:space="preserve">and </w:t>
      </w:r>
      <w:r w:rsidR="00856AAE" w:rsidRPr="00DD372C">
        <w:rPr>
          <w:lang w:val="en-NZ"/>
        </w:rPr>
        <w:t xml:space="preserve">Posts </w:t>
      </w:r>
      <w:r w:rsidR="00A75F5D" w:rsidRPr="00DD372C">
        <w:rPr>
          <w:lang w:val="en-NZ"/>
        </w:rPr>
        <w:t xml:space="preserve">are playing in facilitating those linkages. </w:t>
      </w:r>
      <w:r w:rsidR="00A71144" w:rsidRPr="00DD372C">
        <w:rPr>
          <w:lang w:val="en-NZ"/>
        </w:rPr>
        <w:t xml:space="preserve"> </w:t>
      </w:r>
    </w:p>
    <w:p w14:paraId="5D3210D7" w14:textId="6D6E6426" w:rsidR="00542101" w:rsidRPr="00336545" w:rsidRDefault="00CA0E3D" w:rsidP="00CA0E3D">
      <w:pPr>
        <w:pStyle w:val="Dash"/>
        <w:spacing w:after="160"/>
        <w:ind w:left="641" w:hanging="357"/>
        <w:rPr>
          <w:lang w:val="en-NZ"/>
        </w:rPr>
      </w:pPr>
      <w:r>
        <w:rPr>
          <w:lang w:val="en-NZ"/>
        </w:rPr>
        <w:t xml:space="preserve">DFAT’s </w:t>
      </w:r>
      <w:r w:rsidR="006943CA" w:rsidRPr="00336545">
        <w:rPr>
          <w:lang w:val="en-NZ"/>
        </w:rPr>
        <w:t xml:space="preserve">Australia Awards Linkages Framework (under development) </w:t>
      </w:r>
      <w:r>
        <w:rPr>
          <w:lang w:val="en-NZ"/>
        </w:rPr>
        <w:t>is a</w:t>
      </w:r>
      <w:r w:rsidR="00A71144" w:rsidRPr="00336545">
        <w:rPr>
          <w:lang w:val="en-NZ"/>
        </w:rPr>
        <w:t xml:space="preserve">imed at developing a coordinated and coherent approach to help Australia Awards scholars establish personal and professional links </w:t>
      </w:r>
      <w:r>
        <w:rPr>
          <w:lang w:val="en-NZ"/>
        </w:rPr>
        <w:t xml:space="preserve">(including connecting scholars </w:t>
      </w:r>
      <w:r w:rsidRPr="00336545">
        <w:rPr>
          <w:lang w:val="en-NZ"/>
        </w:rPr>
        <w:t>to Australian leaders in the private sector and government</w:t>
      </w:r>
      <w:r>
        <w:rPr>
          <w:lang w:val="en-NZ"/>
        </w:rPr>
        <w:t xml:space="preserve">) while studying </w:t>
      </w:r>
      <w:r w:rsidR="00A71144" w:rsidRPr="00336545">
        <w:rPr>
          <w:lang w:val="en-NZ"/>
        </w:rPr>
        <w:t>in Australia</w:t>
      </w:r>
      <w:r>
        <w:rPr>
          <w:lang w:val="en-NZ"/>
        </w:rPr>
        <w:t>.</w:t>
      </w:r>
      <w:r w:rsidR="00A71144" w:rsidRPr="00336545">
        <w:rPr>
          <w:lang w:val="en-NZ"/>
        </w:rPr>
        <w:t xml:space="preserve"> </w:t>
      </w:r>
      <w:r>
        <w:rPr>
          <w:lang w:val="en-NZ"/>
        </w:rPr>
        <w:t xml:space="preserve">The Australia Awards Linkages Framework will be </w:t>
      </w:r>
      <w:r w:rsidR="006943CA" w:rsidRPr="00336545">
        <w:rPr>
          <w:lang w:val="en-NZ"/>
        </w:rPr>
        <w:t>an important</w:t>
      </w:r>
      <w:r>
        <w:rPr>
          <w:lang w:val="en-NZ"/>
        </w:rPr>
        <w:t xml:space="preserve"> global awards</w:t>
      </w:r>
      <w:r w:rsidR="006943CA" w:rsidRPr="00336545">
        <w:rPr>
          <w:lang w:val="en-NZ"/>
        </w:rPr>
        <w:t xml:space="preserve"> </w:t>
      </w:r>
      <w:r>
        <w:rPr>
          <w:lang w:val="en-NZ"/>
        </w:rPr>
        <w:t xml:space="preserve">influence </w:t>
      </w:r>
      <w:r w:rsidR="006943CA" w:rsidRPr="00336545">
        <w:rPr>
          <w:lang w:val="en-NZ"/>
        </w:rPr>
        <w:t xml:space="preserve">in future </w:t>
      </w:r>
      <w:r w:rsidR="006943CA" w:rsidRPr="00D26D91">
        <w:t>implementation</w:t>
      </w:r>
      <w:r w:rsidR="006943CA" w:rsidRPr="00336545">
        <w:rPr>
          <w:lang w:val="en-NZ"/>
        </w:rPr>
        <w:t xml:space="preserve"> of Australia Awards in Africa</w:t>
      </w:r>
      <w:r>
        <w:rPr>
          <w:lang w:val="en-NZ"/>
        </w:rPr>
        <w:t xml:space="preserve"> and the achievement of this </w:t>
      </w:r>
      <w:r w:rsidR="006B4EF3">
        <w:rPr>
          <w:lang w:val="en-NZ"/>
        </w:rPr>
        <w:t>O</w:t>
      </w:r>
      <w:r>
        <w:rPr>
          <w:lang w:val="en-NZ"/>
        </w:rPr>
        <w:t xml:space="preserve">utcome 3. It </w:t>
      </w:r>
      <w:r w:rsidR="00336545">
        <w:rPr>
          <w:lang w:val="en-NZ"/>
        </w:rPr>
        <w:t xml:space="preserve">is likely to </w:t>
      </w:r>
      <w:r w:rsidR="00FA62B3">
        <w:rPr>
          <w:lang w:val="en-NZ"/>
        </w:rPr>
        <w:t xml:space="preserve">change how enrichment </w:t>
      </w:r>
      <w:r w:rsidR="00FA62B3">
        <w:t>activities are offered, with the possibility of a shared platform and a shared resourcing basis to all scholars throughout their time in Australia being pursued</w:t>
      </w:r>
      <w:r w:rsidR="00F125B5">
        <w:t>.</w:t>
      </w:r>
      <w:r w:rsidR="00FA62B3">
        <w:rPr>
          <w:rStyle w:val="FootnoteReference"/>
        </w:rPr>
        <w:footnoteReference w:id="21"/>
      </w:r>
      <w:r w:rsidR="00566495" w:rsidRPr="00566495">
        <w:t xml:space="preserve"> </w:t>
      </w:r>
      <w:r w:rsidR="00566495">
        <w:t>The extent to which this Linkages Framework may require expanded responsibilities for Palladium (and other Australia Awards</w:t>
      </w:r>
      <w:r w:rsidR="00B055E8">
        <w:t xml:space="preserve"> m</w:t>
      </w:r>
      <w:r w:rsidR="00566495">
        <w:t xml:space="preserve">anaging </w:t>
      </w:r>
      <w:r w:rsidR="00B055E8">
        <w:t>c</w:t>
      </w:r>
      <w:r w:rsidR="00566495">
        <w:t xml:space="preserve">ontractors) </w:t>
      </w:r>
      <w:r w:rsidR="006B4EF3">
        <w:t>wa</w:t>
      </w:r>
      <w:r w:rsidR="00566495">
        <w:t xml:space="preserve">s not fully clear at the time of writing this report. </w:t>
      </w:r>
    </w:p>
    <w:p w14:paraId="64BD0323" w14:textId="52E0CAB3" w:rsidR="006958B0" w:rsidRDefault="00872442" w:rsidP="00872442">
      <w:r w:rsidRPr="00336545">
        <w:rPr>
          <w:lang w:val="en-NZ"/>
        </w:rPr>
        <w:t>The</w:t>
      </w:r>
      <w:r w:rsidR="00DA765B" w:rsidRPr="00336545">
        <w:rPr>
          <w:lang w:val="en-NZ"/>
        </w:rPr>
        <w:t xml:space="preserve"> </w:t>
      </w:r>
      <w:r w:rsidR="00B915F5" w:rsidRPr="00336545">
        <w:rPr>
          <w:lang w:val="en-NZ"/>
        </w:rPr>
        <w:t>Australia Awards in Africa</w:t>
      </w:r>
      <w:r w:rsidRPr="00336545">
        <w:rPr>
          <w:lang w:val="en-NZ"/>
        </w:rPr>
        <w:t xml:space="preserve"> design includes a set of results the program is expected to achieve </w:t>
      </w:r>
      <w:r w:rsidR="004A7D6A" w:rsidRPr="00336545">
        <w:rPr>
          <w:lang w:val="en-NZ"/>
        </w:rPr>
        <w:t>by 2020</w:t>
      </w:r>
      <w:r w:rsidRPr="00336545">
        <w:rPr>
          <w:lang w:val="en-NZ"/>
        </w:rPr>
        <w:t>.</w:t>
      </w:r>
      <w:r>
        <w:t xml:space="preserve"> The results statements </w:t>
      </w:r>
      <w:r w:rsidR="00161B37">
        <w:t xml:space="preserve">were subsequently updated in </w:t>
      </w:r>
      <w:r>
        <w:t>the</w:t>
      </w:r>
      <w:r w:rsidR="0064324E">
        <w:t xml:space="preserve"> 2018-2019 Annual Work Plan.</w:t>
      </w:r>
      <w:r w:rsidR="00E11F77">
        <w:t xml:space="preserve"> </w:t>
      </w:r>
      <w:r w:rsidR="00161B37">
        <w:t xml:space="preserve">For the most part, the results statements are numerical targets that have either been </w:t>
      </w:r>
      <w:r w:rsidR="0064324E">
        <w:t>achieved or</w:t>
      </w:r>
      <w:r w:rsidR="00161B37">
        <w:t xml:space="preserve"> look on track to be achieved (see Appendix</w:t>
      </w:r>
      <w:r w:rsidR="00455140">
        <w:t xml:space="preserve"> C</w:t>
      </w:r>
      <w:r w:rsidR="00161B37">
        <w:t xml:space="preserve"> for results statements and data as </w:t>
      </w:r>
      <w:proofErr w:type="gramStart"/>
      <w:r w:rsidR="00161B37">
        <w:t>at</w:t>
      </w:r>
      <w:proofErr w:type="gramEnd"/>
      <w:r w:rsidR="00161B37">
        <w:t xml:space="preserve"> </w:t>
      </w:r>
      <w:r w:rsidR="00075DE2">
        <w:t xml:space="preserve">November </w:t>
      </w:r>
      <w:r w:rsidR="0064324E">
        <w:t>2018</w:t>
      </w:r>
      <w:r w:rsidR="00161B37">
        <w:t>).  The exception relates to the participation of people with disabilities</w:t>
      </w:r>
      <w:r w:rsidR="006958B0">
        <w:t xml:space="preserve"> </w:t>
      </w:r>
      <w:r w:rsidR="00B227F1">
        <w:t xml:space="preserve">in Australia Awards scholarships and short course awards </w:t>
      </w:r>
      <w:r w:rsidR="006958B0">
        <w:t xml:space="preserve">which remains low compared to the </w:t>
      </w:r>
      <w:r w:rsidR="006958B0" w:rsidRPr="008700A0">
        <w:t>informal</w:t>
      </w:r>
      <w:r w:rsidR="006958B0">
        <w:t xml:space="preserve"> target.</w:t>
      </w:r>
      <w:r w:rsidR="00B227F1">
        <w:t xml:space="preserve"> </w:t>
      </w:r>
      <w:r w:rsidR="00B227F1" w:rsidRPr="00075DE2">
        <w:t>See section 3.4 of this</w:t>
      </w:r>
      <w:r w:rsidR="00B227F1">
        <w:t xml:space="preserve"> report for further discussion on participation of people with disabilities. </w:t>
      </w:r>
    </w:p>
    <w:p w14:paraId="422E394B" w14:textId="77777777" w:rsidR="00AF5DA3" w:rsidRPr="00AF5DA3" w:rsidRDefault="00891A8A" w:rsidP="00AF5DA3">
      <w:pPr>
        <w:rPr>
          <w:rStyle w:val="Strong"/>
        </w:rPr>
      </w:pPr>
      <w:r>
        <w:rPr>
          <w:rStyle w:val="Strong"/>
        </w:rPr>
        <w:t>G</w:t>
      </w:r>
      <w:r w:rsidR="00AF5DA3" w:rsidRPr="00AF5DA3">
        <w:rPr>
          <w:rStyle w:val="Strong"/>
        </w:rPr>
        <w:t xml:space="preserve">eographical focus, </w:t>
      </w:r>
      <w:proofErr w:type="gramStart"/>
      <w:r w:rsidR="00AF5DA3" w:rsidRPr="00AF5DA3">
        <w:rPr>
          <w:rStyle w:val="Strong"/>
        </w:rPr>
        <w:t>sectors</w:t>
      </w:r>
      <w:proofErr w:type="gramEnd"/>
      <w:r w:rsidR="00AF5DA3" w:rsidRPr="00AF5DA3">
        <w:rPr>
          <w:rStyle w:val="Strong"/>
        </w:rPr>
        <w:t xml:space="preserve"> and </w:t>
      </w:r>
      <w:r w:rsidR="0052721D">
        <w:rPr>
          <w:rStyle w:val="Strong"/>
        </w:rPr>
        <w:t>award types</w:t>
      </w:r>
      <w:r w:rsidR="0052721D" w:rsidRPr="0052721D">
        <w:rPr>
          <w:rStyle w:val="Strong"/>
          <w:vertAlign w:val="superscript"/>
        </w:rPr>
        <w:footnoteReference w:id="22"/>
      </w:r>
      <w:r w:rsidR="0052721D">
        <w:rPr>
          <w:rStyle w:val="Strong"/>
        </w:rPr>
        <w:t xml:space="preserve"> </w:t>
      </w:r>
    </w:p>
    <w:p w14:paraId="0258DB73" w14:textId="7466310C" w:rsidR="00D96A5C" w:rsidRPr="009A1A73" w:rsidRDefault="00B055E8" w:rsidP="00D96A5C">
      <w:pPr>
        <w:spacing w:before="160"/>
      </w:pPr>
      <w:r>
        <w:t>The highest number of recipients o</w:t>
      </w:r>
      <w:r w:rsidR="007118FF">
        <w:t>ver the past three</w:t>
      </w:r>
      <w:r w:rsidR="005948E2">
        <w:t xml:space="preserve"> </w:t>
      </w:r>
      <w:r w:rsidR="00BB0A8B">
        <w:t xml:space="preserve">years </w:t>
      </w:r>
      <w:r w:rsidR="007118FF">
        <w:t xml:space="preserve">across </w:t>
      </w:r>
      <w:r w:rsidR="000900F7">
        <w:t xml:space="preserve">both </w:t>
      </w:r>
      <w:r w:rsidR="00891A8A">
        <w:t xml:space="preserve">Australia Awards scholarships </w:t>
      </w:r>
      <w:r w:rsidR="007118FF">
        <w:t xml:space="preserve">and </w:t>
      </w:r>
      <w:r w:rsidR="00891A8A">
        <w:t xml:space="preserve">short courses </w:t>
      </w:r>
      <w:r w:rsidR="007118FF">
        <w:t xml:space="preserve">(Table </w:t>
      </w:r>
      <w:r w:rsidR="00BB0A8B">
        <w:t>1</w:t>
      </w:r>
      <w:r w:rsidR="007118FF">
        <w:t>)</w:t>
      </w:r>
      <w:r>
        <w:t xml:space="preserve"> have come from Kenya, </w:t>
      </w:r>
      <w:proofErr w:type="gramStart"/>
      <w:r>
        <w:t>Nigeria</w:t>
      </w:r>
      <w:proofErr w:type="gramEnd"/>
      <w:r>
        <w:t xml:space="preserve"> and Ghana</w:t>
      </w:r>
      <w:r w:rsidR="007118FF">
        <w:t xml:space="preserve">. Appendix </w:t>
      </w:r>
      <w:r w:rsidR="006533F9">
        <w:t>D</w:t>
      </w:r>
      <w:r w:rsidR="007118FF">
        <w:t xml:space="preserve"> shows comparative figures for all countries, by award type.</w:t>
      </w:r>
      <w:r w:rsidR="00D96A5C">
        <w:t xml:space="preserve"> The evaluation notes questions within some Posts around how decisions are made regarding the inclusion of more countries for the master</w:t>
      </w:r>
      <w:r w:rsidR="006B4EF3">
        <w:t>’</w:t>
      </w:r>
      <w:r w:rsidR="00D96A5C">
        <w:t>s level scholarships given the lack of documented criteria on this issue</w:t>
      </w:r>
      <w:r w:rsidR="00F125B5">
        <w:t>.</w:t>
      </w:r>
      <w:r w:rsidR="00D96A5C">
        <w:rPr>
          <w:rStyle w:val="FootnoteReference"/>
        </w:rPr>
        <w:footnoteReference w:id="23"/>
      </w:r>
      <w:r w:rsidR="00D96A5C">
        <w:t xml:space="preserve"> This is an important issue for consideration in the lead-up to the design of any next phase of Australia Awards in Africa. In the meantime, the flexibility offered by the Post allocation for exceptional candidates</w:t>
      </w:r>
      <w:r w:rsidR="00D96A5C">
        <w:rPr>
          <w:rStyle w:val="FootnoteReference"/>
        </w:rPr>
        <w:footnoteReference w:id="24"/>
      </w:r>
      <w:r w:rsidR="00D96A5C">
        <w:t xml:space="preserve"> is welcome. Although the implementation of this mechanism has been inconsistent across Posts in the past, greater clarity is emerging on how to administer it</w:t>
      </w:r>
      <w:r w:rsidR="00D96A5C">
        <w:rPr>
          <w:rStyle w:val="FootnoteReference"/>
        </w:rPr>
        <w:footnoteReference w:id="25"/>
      </w:r>
      <w:r w:rsidR="00D96A5C">
        <w:t xml:space="preserve"> and Post staff </w:t>
      </w:r>
      <w:r w:rsidR="00D96A5C" w:rsidRPr="009A1A73">
        <w:t xml:space="preserve">consistently noted it is a valuable </w:t>
      </w:r>
      <w:r w:rsidR="00D96A5C" w:rsidRPr="009A1A73">
        <w:lastRenderedPageBreak/>
        <w:t xml:space="preserve">mechanism for Australia to engage with African countries whose citizens are otherwise </w:t>
      </w:r>
      <w:r w:rsidR="00D96A5C">
        <w:t xml:space="preserve">not </w:t>
      </w:r>
      <w:r w:rsidR="00D96A5C" w:rsidRPr="009A1A73">
        <w:t>eligible to apply for Australia Awards.</w:t>
      </w:r>
    </w:p>
    <w:p w14:paraId="25E77F27" w14:textId="44E21368" w:rsidR="007118FF" w:rsidRDefault="007118FF" w:rsidP="007118FF">
      <w:pPr>
        <w:pStyle w:val="TableName"/>
      </w:pPr>
      <w:bookmarkStart w:id="19" w:name="_Toc527411607"/>
      <w:bookmarkStart w:id="20" w:name="_Toc1729539"/>
      <w:r>
        <w:t xml:space="preserve">Table </w:t>
      </w:r>
      <w:r w:rsidR="00BB0A8B">
        <w:t>1</w:t>
      </w:r>
      <w:r>
        <w:tab/>
      </w:r>
      <w:r w:rsidR="00B055E8">
        <w:t xml:space="preserve">Countries (in order of number of Awards received) </w:t>
      </w:r>
      <w:r>
        <w:t>fo</w:t>
      </w:r>
      <w:r w:rsidR="005948E2">
        <w:t>r</w:t>
      </w:r>
      <w:r>
        <w:t xml:space="preserve"> A</w:t>
      </w:r>
      <w:r w:rsidR="00891A8A">
        <w:t xml:space="preserve">ustralia </w:t>
      </w:r>
      <w:r>
        <w:t>A</w:t>
      </w:r>
      <w:r w:rsidR="00891A8A">
        <w:t>wards scholarships</w:t>
      </w:r>
      <w:r>
        <w:t xml:space="preserve"> </w:t>
      </w:r>
      <w:r w:rsidR="00FB7C6C">
        <w:t xml:space="preserve">(2016-2019) </w:t>
      </w:r>
      <w:r>
        <w:t xml:space="preserve">and </w:t>
      </w:r>
      <w:r w:rsidR="00891A8A">
        <w:t>short courses</w:t>
      </w:r>
      <w:r>
        <w:t xml:space="preserve"> </w:t>
      </w:r>
      <w:bookmarkEnd w:id="19"/>
      <w:r w:rsidR="00FB7C6C">
        <w:t>(2016-2018)</w:t>
      </w:r>
      <w:bookmarkEnd w:id="20"/>
    </w:p>
    <w:tbl>
      <w:tblPr>
        <w:tblStyle w:val="TableGrid"/>
        <w:tblW w:w="5000" w:type="pct"/>
        <w:tblLook w:val="04A0" w:firstRow="1" w:lastRow="0" w:firstColumn="1" w:lastColumn="0" w:noHBand="0" w:noVBand="1"/>
      </w:tblPr>
      <w:tblGrid>
        <w:gridCol w:w="531"/>
        <w:gridCol w:w="2921"/>
        <w:gridCol w:w="1859"/>
        <w:gridCol w:w="1859"/>
        <w:gridCol w:w="1856"/>
      </w:tblGrid>
      <w:tr w:rsidR="00686367" w:rsidRPr="006533F9" w14:paraId="103DFEAB" w14:textId="77777777" w:rsidTr="00BF2048">
        <w:trPr>
          <w:cnfStyle w:val="100000000000" w:firstRow="1" w:lastRow="0" w:firstColumn="0" w:lastColumn="0" w:oddVBand="0" w:evenVBand="0" w:oddHBand="0" w:evenHBand="0" w:firstRowFirstColumn="0" w:firstRowLastColumn="0" w:lastRowFirstColumn="0" w:lastRowLastColumn="0"/>
          <w:trHeight w:val="20"/>
          <w:tblHeader/>
        </w:trPr>
        <w:tc>
          <w:tcPr>
            <w:tcW w:w="1912" w:type="pct"/>
            <w:gridSpan w:val="2"/>
            <w:vMerge w:val="restart"/>
            <w:tcBorders>
              <w:top w:val="nil"/>
            </w:tcBorders>
          </w:tcPr>
          <w:p w14:paraId="41EB3487" w14:textId="77777777" w:rsidR="00686367" w:rsidRPr="006533F9" w:rsidRDefault="00686367" w:rsidP="00BF2048">
            <w:pPr>
              <w:pStyle w:val="TableHeading"/>
              <w:spacing w:before="0" w:after="0" w:line="240" w:lineRule="auto"/>
              <w:rPr>
                <w:rFonts w:ascii="Franklin Gothic Book" w:hAnsi="Franklin Gothic Book"/>
                <w:szCs w:val="20"/>
              </w:rPr>
            </w:pPr>
            <w:r w:rsidRPr="006533F9">
              <w:rPr>
                <w:rFonts w:ascii="Franklin Gothic Book" w:hAnsi="Franklin Gothic Book"/>
                <w:szCs w:val="20"/>
              </w:rPr>
              <w:t>Country</w:t>
            </w:r>
          </w:p>
        </w:tc>
        <w:tc>
          <w:tcPr>
            <w:tcW w:w="3088" w:type="pct"/>
            <w:gridSpan w:val="3"/>
          </w:tcPr>
          <w:p w14:paraId="774AEB9E" w14:textId="77777777" w:rsidR="00686367" w:rsidRPr="006533F9" w:rsidRDefault="00686367" w:rsidP="00BF2048">
            <w:pPr>
              <w:pStyle w:val="TableHeading"/>
              <w:spacing w:before="0" w:after="0" w:line="240" w:lineRule="auto"/>
              <w:jc w:val="center"/>
              <w:rPr>
                <w:rFonts w:ascii="Franklin Gothic Book" w:hAnsi="Franklin Gothic Book"/>
                <w:szCs w:val="20"/>
              </w:rPr>
            </w:pPr>
            <w:r w:rsidRPr="006533F9">
              <w:rPr>
                <w:rFonts w:ascii="Franklin Gothic Book" w:hAnsi="Franklin Gothic Book"/>
                <w:szCs w:val="20"/>
              </w:rPr>
              <w:t xml:space="preserve">Number of </w:t>
            </w:r>
            <w:r>
              <w:rPr>
                <w:rFonts w:ascii="Franklin Gothic Book" w:hAnsi="Franklin Gothic Book"/>
                <w:szCs w:val="20"/>
              </w:rPr>
              <w:t>recipients</w:t>
            </w:r>
          </w:p>
        </w:tc>
      </w:tr>
      <w:tr w:rsidR="00686367" w:rsidRPr="006533F9" w14:paraId="0F0EF259" w14:textId="77777777" w:rsidTr="00BF2048">
        <w:trPr>
          <w:cnfStyle w:val="100000000000" w:firstRow="1" w:lastRow="0" w:firstColumn="0" w:lastColumn="0" w:oddVBand="0" w:evenVBand="0" w:oddHBand="0" w:evenHBand="0" w:firstRowFirstColumn="0" w:firstRowLastColumn="0" w:lastRowFirstColumn="0" w:lastRowLastColumn="0"/>
          <w:trHeight w:val="20"/>
          <w:tblHeader/>
        </w:trPr>
        <w:tc>
          <w:tcPr>
            <w:tcW w:w="1912" w:type="pct"/>
            <w:gridSpan w:val="2"/>
            <w:vMerge/>
            <w:tcBorders>
              <w:bottom w:val="nil"/>
            </w:tcBorders>
          </w:tcPr>
          <w:p w14:paraId="355F99BF" w14:textId="77777777" w:rsidR="00686367" w:rsidRPr="006533F9" w:rsidRDefault="00686367" w:rsidP="00BF2048">
            <w:pPr>
              <w:pStyle w:val="TableHeading"/>
              <w:spacing w:before="0" w:after="0" w:line="240" w:lineRule="auto"/>
              <w:rPr>
                <w:rFonts w:ascii="Franklin Gothic Book" w:hAnsi="Franklin Gothic Book"/>
                <w:szCs w:val="20"/>
              </w:rPr>
            </w:pPr>
          </w:p>
        </w:tc>
        <w:tc>
          <w:tcPr>
            <w:tcW w:w="1030" w:type="pct"/>
          </w:tcPr>
          <w:p w14:paraId="2F9A13FF" w14:textId="77777777" w:rsidR="00686367" w:rsidRPr="006533F9" w:rsidRDefault="00686367" w:rsidP="00BF2048">
            <w:pPr>
              <w:pStyle w:val="TableHeading"/>
              <w:spacing w:before="0" w:after="0" w:line="240" w:lineRule="auto"/>
              <w:rPr>
                <w:rFonts w:ascii="Franklin Gothic Book" w:hAnsi="Franklin Gothic Book"/>
                <w:i/>
                <w:szCs w:val="20"/>
              </w:rPr>
            </w:pPr>
            <w:r w:rsidRPr="006533F9">
              <w:rPr>
                <w:rFonts w:ascii="Franklin Gothic Book" w:hAnsi="Franklin Gothic Book"/>
                <w:i/>
                <w:szCs w:val="20"/>
              </w:rPr>
              <w:t xml:space="preserve">Female </w:t>
            </w:r>
          </w:p>
        </w:tc>
        <w:tc>
          <w:tcPr>
            <w:tcW w:w="1030" w:type="pct"/>
          </w:tcPr>
          <w:p w14:paraId="44FDEEC9" w14:textId="77777777" w:rsidR="00686367" w:rsidRPr="006533F9" w:rsidRDefault="00686367" w:rsidP="00BF2048">
            <w:pPr>
              <w:pStyle w:val="TableHeading"/>
              <w:spacing w:before="0" w:after="0" w:line="240" w:lineRule="auto"/>
              <w:rPr>
                <w:rFonts w:ascii="Franklin Gothic Book" w:hAnsi="Franklin Gothic Book"/>
                <w:i/>
                <w:szCs w:val="20"/>
              </w:rPr>
            </w:pPr>
            <w:r w:rsidRPr="006533F9">
              <w:rPr>
                <w:rFonts w:ascii="Franklin Gothic Book" w:hAnsi="Franklin Gothic Book"/>
                <w:i/>
                <w:szCs w:val="20"/>
              </w:rPr>
              <w:t>Male</w:t>
            </w:r>
          </w:p>
        </w:tc>
        <w:tc>
          <w:tcPr>
            <w:tcW w:w="1028" w:type="pct"/>
          </w:tcPr>
          <w:p w14:paraId="5CBE63FE" w14:textId="77777777" w:rsidR="00686367" w:rsidRPr="006533F9" w:rsidRDefault="00686367" w:rsidP="00BF2048">
            <w:pPr>
              <w:pStyle w:val="TableHeading"/>
              <w:spacing w:before="0" w:after="0" w:line="240" w:lineRule="auto"/>
              <w:rPr>
                <w:rFonts w:ascii="Franklin Gothic Book" w:hAnsi="Franklin Gothic Book"/>
                <w:szCs w:val="20"/>
              </w:rPr>
            </w:pPr>
            <w:r w:rsidRPr="006533F9">
              <w:rPr>
                <w:rFonts w:ascii="Franklin Gothic Book" w:hAnsi="Franklin Gothic Book"/>
                <w:szCs w:val="20"/>
              </w:rPr>
              <w:t>Total</w:t>
            </w:r>
          </w:p>
        </w:tc>
      </w:tr>
      <w:tr w:rsidR="00686367" w:rsidRPr="006533F9" w14:paraId="3D9BD87F" w14:textId="77777777" w:rsidTr="00BF2048">
        <w:trPr>
          <w:trHeight w:val="20"/>
        </w:trPr>
        <w:tc>
          <w:tcPr>
            <w:tcW w:w="5000" w:type="pct"/>
            <w:gridSpan w:val="5"/>
          </w:tcPr>
          <w:p w14:paraId="4B740976" w14:textId="77777777" w:rsidR="00686367" w:rsidRPr="006533F9" w:rsidRDefault="00686367" w:rsidP="00BF2048">
            <w:pPr>
              <w:spacing w:before="0" w:after="0" w:line="240" w:lineRule="auto"/>
              <w:rPr>
                <w:rFonts w:cs="Arial"/>
                <w:sz w:val="20"/>
              </w:rPr>
            </w:pPr>
            <w:r w:rsidRPr="006533F9">
              <w:rPr>
                <w:rFonts w:cs="Arial"/>
                <w:b/>
                <w:bCs/>
                <w:color w:val="000000"/>
                <w:sz w:val="20"/>
              </w:rPr>
              <w:t>Australia Awards scholarships, 2016-2019 </w:t>
            </w:r>
          </w:p>
        </w:tc>
      </w:tr>
      <w:tr w:rsidR="00686367" w:rsidRPr="00346F1D" w14:paraId="1DE2452A" w14:textId="77777777" w:rsidTr="00BF2048">
        <w:trPr>
          <w:trHeight w:val="20"/>
        </w:trPr>
        <w:tc>
          <w:tcPr>
            <w:tcW w:w="294" w:type="pct"/>
          </w:tcPr>
          <w:p w14:paraId="1ECD57CE" w14:textId="77777777" w:rsidR="00686367" w:rsidRPr="006533F9" w:rsidRDefault="00686367" w:rsidP="00BF2048">
            <w:pPr>
              <w:spacing w:before="0" w:after="0" w:line="240" w:lineRule="auto"/>
              <w:rPr>
                <w:rFonts w:cs="Arial"/>
                <w:sz w:val="20"/>
              </w:rPr>
            </w:pPr>
            <w:r w:rsidRPr="006533F9">
              <w:rPr>
                <w:rFonts w:cs="Arial"/>
                <w:sz w:val="20"/>
              </w:rPr>
              <w:t>1</w:t>
            </w:r>
          </w:p>
        </w:tc>
        <w:tc>
          <w:tcPr>
            <w:tcW w:w="1618" w:type="pct"/>
            <w:noWrap/>
          </w:tcPr>
          <w:p w14:paraId="46AE413E" w14:textId="77777777" w:rsidR="00686367" w:rsidRPr="00346F1D" w:rsidRDefault="00686367" w:rsidP="00BF2048">
            <w:pPr>
              <w:spacing w:before="0" w:after="0" w:line="240" w:lineRule="auto"/>
              <w:rPr>
                <w:rFonts w:cs="Arial"/>
                <w:sz w:val="20"/>
              </w:rPr>
            </w:pPr>
            <w:r w:rsidRPr="00346F1D">
              <w:rPr>
                <w:rFonts w:cs="Arial"/>
                <w:sz w:val="20"/>
              </w:rPr>
              <w:t>Kenya</w:t>
            </w:r>
          </w:p>
        </w:tc>
        <w:tc>
          <w:tcPr>
            <w:tcW w:w="1030" w:type="pct"/>
          </w:tcPr>
          <w:p w14:paraId="2609C556" w14:textId="77777777" w:rsidR="00686367" w:rsidRPr="00346F1D" w:rsidRDefault="00686367" w:rsidP="00BF2048">
            <w:pPr>
              <w:spacing w:before="0" w:after="0" w:line="240" w:lineRule="auto"/>
              <w:rPr>
                <w:i/>
                <w:color w:val="000000"/>
                <w:sz w:val="20"/>
              </w:rPr>
            </w:pPr>
            <w:r w:rsidRPr="00346F1D">
              <w:rPr>
                <w:i/>
                <w:color w:val="000000"/>
                <w:sz w:val="20"/>
              </w:rPr>
              <w:t>37</w:t>
            </w:r>
          </w:p>
        </w:tc>
        <w:tc>
          <w:tcPr>
            <w:tcW w:w="1030" w:type="pct"/>
          </w:tcPr>
          <w:p w14:paraId="5FE4379A" w14:textId="77777777" w:rsidR="00686367" w:rsidRPr="00346F1D" w:rsidRDefault="00686367" w:rsidP="00BF2048">
            <w:pPr>
              <w:spacing w:before="0" w:after="0" w:line="240" w:lineRule="auto"/>
              <w:rPr>
                <w:i/>
                <w:color w:val="000000"/>
                <w:sz w:val="20"/>
              </w:rPr>
            </w:pPr>
            <w:r w:rsidRPr="00346F1D">
              <w:rPr>
                <w:i/>
                <w:color w:val="000000"/>
                <w:sz w:val="20"/>
              </w:rPr>
              <w:t>34</w:t>
            </w:r>
          </w:p>
        </w:tc>
        <w:tc>
          <w:tcPr>
            <w:tcW w:w="1028" w:type="pct"/>
            <w:noWrap/>
            <w:vAlign w:val="bottom"/>
          </w:tcPr>
          <w:p w14:paraId="5135F419" w14:textId="77777777" w:rsidR="00686367" w:rsidRPr="00346F1D" w:rsidRDefault="00686367" w:rsidP="00BF2048">
            <w:pPr>
              <w:spacing w:before="0" w:after="0" w:line="240" w:lineRule="auto"/>
              <w:rPr>
                <w:color w:val="000000"/>
                <w:sz w:val="20"/>
              </w:rPr>
            </w:pPr>
            <w:r w:rsidRPr="00346F1D">
              <w:rPr>
                <w:color w:val="000000"/>
                <w:sz w:val="20"/>
              </w:rPr>
              <w:t>71</w:t>
            </w:r>
          </w:p>
        </w:tc>
      </w:tr>
      <w:tr w:rsidR="00686367" w:rsidRPr="00346F1D" w14:paraId="01F14C49" w14:textId="77777777" w:rsidTr="00BF2048">
        <w:trPr>
          <w:trHeight w:val="20"/>
        </w:trPr>
        <w:tc>
          <w:tcPr>
            <w:tcW w:w="294" w:type="pct"/>
          </w:tcPr>
          <w:p w14:paraId="0C842D2F" w14:textId="77777777" w:rsidR="00686367" w:rsidRPr="006533F9" w:rsidRDefault="00686367" w:rsidP="00BF2048">
            <w:pPr>
              <w:spacing w:before="0" w:after="0" w:line="240" w:lineRule="auto"/>
              <w:rPr>
                <w:rFonts w:cs="Arial"/>
                <w:sz w:val="20"/>
              </w:rPr>
            </w:pPr>
            <w:r w:rsidRPr="006533F9">
              <w:rPr>
                <w:rFonts w:cs="Arial"/>
                <w:sz w:val="20"/>
              </w:rPr>
              <w:t>2</w:t>
            </w:r>
          </w:p>
        </w:tc>
        <w:tc>
          <w:tcPr>
            <w:tcW w:w="1618" w:type="pct"/>
            <w:noWrap/>
          </w:tcPr>
          <w:p w14:paraId="45C61E25" w14:textId="77777777" w:rsidR="00686367" w:rsidRPr="00346F1D" w:rsidRDefault="00686367" w:rsidP="00BF2048">
            <w:pPr>
              <w:spacing w:before="0" w:after="0" w:line="240" w:lineRule="auto"/>
              <w:rPr>
                <w:rFonts w:cs="Arial"/>
                <w:sz w:val="20"/>
              </w:rPr>
            </w:pPr>
            <w:r w:rsidRPr="00346F1D">
              <w:rPr>
                <w:rFonts w:cs="Arial"/>
                <w:sz w:val="20"/>
              </w:rPr>
              <w:t>Ghana</w:t>
            </w:r>
          </w:p>
        </w:tc>
        <w:tc>
          <w:tcPr>
            <w:tcW w:w="1030" w:type="pct"/>
          </w:tcPr>
          <w:p w14:paraId="5C7F4283" w14:textId="77777777" w:rsidR="00686367" w:rsidRPr="00346F1D" w:rsidRDefault="00686367" w:rsidP="00BF2048">
            <w:pPr>
              <w:spacing w:before="0" w:after="0" w:line="240" w:lineRule="auto"/>
              <w:rPr>
                <w:i/>
                <w:color w:val="000000"/>
                <w:sz w:val="20"/>
              </w:rPr>
            </w:pPr>
            <w:r w:rsidRPr="00346F1D">
              <w:rPr>
                <w:i/>
                <w:color w:val="000000"/>
                <w:sz w:val="20"/>
              </w:rPr>
              <w:t>25</w:t>
            </w:r>
          </w:p>
        </w:tc>
        <w:tc>
          <w:tcPr>
            <w:tcW w:w="1030" w:type="pct"/>
          </w:tcPr>
          <w:p w14:paraId="192789F6" w14:textId="77777777" w:rsidR="00686367" w:rsidRPr="00346F1D" w:rsidRDefault="00686367" w:rsidP="00BF2048">
            <w:pPr>
              <w:spacing w:before="0" w:after="0" w:line="240" w:lineRule="auto"/>
              <w:rPr>
                <w:i/>
                <w:color w:val="000000"/>
                <w:sz w:val="20"/>
              </w:rPr>
            </w:pPr>
            <w:r w:rsidRPr="00346F1D">
              <w:rPr>
                <w:i/>
                <w:color w:val="000000"/>
                <w:sz w:val="20"/>
              </w:rPr>
              <w:t>33</w:t>
            </w:r>
          </w:p>
        </w:tc>
        <w:tc>
          <w:tcPr>
            <w:tcW w:w="1028" w:type="pct"/>
            <w:noWrap/>
            <w:vAlign w:val="bottom"/>
          </w:tcPr>
          <w:p w14:paraId="1CE46B33" w14:textId="77777777" w:rsidR="00686367" w:rsidRPr="00346F1D" w:rsidRDefault="00686367" w:rsidP="00BF2048">
            <w:pPr>
              <w:spacing w:before="0" w:after="0" w:line="240" w:lineRule="auto"/>
              <w:rPr>
                <w:color w:val="000000"/>
                <w:sz w:val="20"/>
              </w:rPr>
            </w:pPr>
            <w:r w:rsidRPr="00346F1D">
              <w:rPr>
                <w:color w:val="000000"/>
                <w:sz w:val="20"/>
              </w:rPr>
              <w:t>58</w:t>
            </w:r>
          </w:p>
        </w:tc>
      </w:tr>
      <w:tr w:rsidR="00686367" w:rsidRPr="00346F1D" w14:paraId="38209176" w14:textId="77777777" w:rsidTr="00BF2048">
        <w:trPr>
          <w:trHeight w:val="20"/>
        </w:trPr>
        <w:tc>
          <w:tcPr>
            <w:tcW w:w="294" w:type="pct"/>
          </w:tcPr>
          <w:p w14:paraId="21084E4F" w14:textId="77777777" w:rsidR="00686367" w:rsidRPr="006533F9" w:rsidRDefault="00686367" w:rsidP="00BF2048">
            <w:pPr>
              <w:spacing w:before="0" w:after="0" w:line="240" w:lineRule="auto"/>
              <w:rPr>
                <w:rFonts w:cs="Arial"/>
                <w:sz w:val="20"/>
              </w:rPr>
            </w:pPr>
            <w:r w:rsidRPr="006533F9">
              <w:rPr>
                <w:rFonts w:cs="Arial"/>
                <w:sz w:val="20"/>
              </w:rPr>
              <w:t>3</w:t>
            </w:r>
          </w:p>
        </w:tc>
        <w:tc>
          <w:tcPr>
            <w:tcW w:w="1618" w:type="pct"/>
            <w:noWrap/>
          </w:tcPr>
          <w:p w14:paraId="56B0F29C" w14:textId="77777777" w:rsidR="00686367" w:rsidRPr="00346F1D" w:rsidRDefault="00686367" w:rsidP="00BF2048">
            <w:pPr>
              <w:spacing w:before="0" w:after="0" w:line="240" w:lineRule="auto"/>
              <w:rPr>
                <w:rFonts w:cs="Arial"/>
                <w:sz w:val="20"/>
              </w:rPr>
            </w:pPr>
            <w:r w:rsidRPr="00346F1D">
              <w:rPr>
                <w:rFonts w:cs="Arial"/>
                <w:sz w:val="20"/>
              </w:rPr>
              <w:t>Zambia</w:t>
            </w:r>
          </w:p>
        </w:tc>
        <w:tc>
          <w:tcPr>
            <w:tcW w:w="1030" w:type="pct"/>
          </w:tcPr>
          <w:p w14:paraId="5D582735" w14:textId="77777777" w:rsidR="00686367" w:rsidRPr="00346F1D" w:rsidRDefault="00686367" w:rsidP="00BF2048">
            <w:pPr>
              <w:spacing w:before="0" w:after="0" w:line="240" w:lineRule="auto"/>
              <w:rPr>
                <w:i/>
                <w:color w:val="000000"/>
                <w:sz w:val="20"/>
              </w:rPr>
            </w:pPr>
            <w:r w:rsidRPr="00346F1D">
              <w:rPr>
                <w:i/>
                <w:color w:val="000000"/>
                <w:sz w:val="20"/>
              </w:rPr>
              <w:t>23</w:t>
            </w:r>
          </w:p>
        </w:tc>
        <w:tc>
          <w:tcPr>
            <w:tcW w:w="1030" w:type="pct"/>
          </w:tcPr>
          <w:p w14:paraId="19E5029C" w14:textId="77777777" w:rsidR="00686367" w:rsidRPr="00346F1D" w:rsidRDefault="00686367" w:rsidP="00BF2048">
            <w:pPr>
              <w:spacing w:before="0" w:after="0" w:line="240" w:lineRule="auto"/>
              <w:rPr>
                <w:i/>
                <w:color w:val="000000"/>
                <w:sz w:val="20"/>
              </w:rPr>
            </w:pPr>
            <w:r w:rsidRPr="00346F1D">
              <w:rPr>
                <w:i/>
                <w:color w:val="000000"/>
                <w:sz w:val="20"/>
              </w:rPr>
              <w:t>34</w:t>
            </w:r>
          </w:p>
        </w:tc>
        <w:tc>
          <w:tcPr>
            <w:tcW w:w="1028" w:type="pct"/>
            <w:noWrap/>
            <w:vAlign w:val="bottom"/>
          </w:tcPr>
          <w:p w14:paraId="01A1D2CC" w14:textId="77777777" w:rsidR="00686367" w:rsidRPr="00346F1D" w:rsidRDefault="00686367" w:rsidP="00BF2048">
            <w:pPr>
              <w:spacing w:before="0" w:after="0" w:line="240" w:lineRule="auto"/>
              <w:rPr>
                <w:color w:val="000000"/>
                <w:sz w:val="20"/>
              </w:rPr>
            </w:pPr>
            <w:r w:rsidRPr="00346F1D">
              <w:rPr>
                <w:color w:val="000000"/>
                <w:sz w:val="20"/>
              </w:rPr>
              <w:t>57</w:t>
            </w:r>
          </w:p>
        </w:tc>
      </w:tr>
      <w:tr w:rsidR="00686367" w:rsidRPr="00346F1D" w14:paraId="37C06936" w14:textId="77777777" w:rsidTr="00BF2048">
        <w:trPr>
          <w:trHeight w:val="20"/>
        </w:trPr>
        <w:tc>
          <w:tcPr>
            <w:tcW w:w="294" w:type="pct"/>
          </w:tcPr>
          <w:p w14:paraId="54791BEE" w14:textId="77777777" w:rsidR="00686367" w:rsidRPr="006533F9" w:rsidRDefault="00686367" w:rsidP="00BF2048">
            <w:pPr>
              <w:spacing w:before="0" w:after="0" w:line="240" w:lineRule="auto"/>
              <w:rPr>
                <w:rFonts w:cs="Arial"/>
                <w:sz w:val="20"/>
              </w:rPr>
            </w:pPr>
            <w:r w:rsidRPr="006533F9">
              <w:rPr>
                <w:rFonts w:cs="Arial"/>
                <w:sz w:val="20"/>
              </w:rPr>
              <w:t>4</w:t>
            </w:r>
          </w:p>
        </w:tc>
        <w:tc>
          <w:tcPr>
            <w:tcW w:w="1618" w:type="pct"/>
            <w:noWrap/>
          </w:tcPr>
          <w:p w14:paraId="45316A61" w14:textId="77777777" w:rsidR="00686367" w:rsidRPr="00346F1D" w:rsidRDefault="00686367" w:rsidP="00BF2048">
            <w:pPr>
              <w:spacing w:before="0" w:after="0" w:line="240" w:lineRule="auto"/>
              <w:rPr>
                <w:rFonts w:cs="Arial"/>
                <w:sz w:val="20"/>
              </w:rPr>
            </w:pPr>
            <w:r w:rsidRPr="00346F1D">
              <w:rPr>
                <w:rFonts w:cs="Arial"/>
                <w:sz w:val="20"/>
              </w:rPr>
              <w:t>Nigeria</w:t>
            </w:r>
          </w:p>
        </w:tc>
        <w:tc>
          <w:tcPr>
            <w:tcW w:w="1030" w:type="pct"/>
          </w:tcPr>
          <w:p w14:paraId="13CADAD1" w14:textId="77777777" w:rsidR="00686367" w:rsidRPr="00346F1D" w:rsidRDefault="00686367" w:rsidP="00BF2048">
            <w:pPr>
              <w:spacing w:before="0" w:after="0" w:line="240" w:lineRule="auto"/>
              <w:rPr>
                <w:i/>
                <w:color w:val="000000"/>
                <w:sz w:val="20"/>
              </w:rPr>
            </w:pPr>
            <w:r w:rsidRPr="00346F1D">
              <w:rPr>
                <w:i/>
                <w:color w:val="000000"/>
                <w:sz w:val="20"/>
              </w:rPr>
              <w:t>26</w:t>
            </w:r>
          </w:p>
        </w:tc>
        <w:tc>
          <w:tcPr>
            <w:tcW w:w="1030" w:type="pct"/>
          </w:tcPr>
          <w:p w14:paraId="683933A7" w14:textId="77777777" w:rsidR="00686367" w:rsidRPr="00346F1D" w:rsidRDefault="00686367" w:rsidP="00BF2048">
            <w:pPr>
              <w:spacing w:before="0" w:after="0" w:line="240" w:lineRule="auto"/>
              <w:rPr>
                <w:i/>
                <w:color w:val="000000"/>
                <w:sz w:val="20"/>
              </w:rPr>
            </w:pPr>
            <w:r w:rsidRPr="00346F1D">
              <w:rPr>
                <w:i/>
                <w:color w:val="000000"/>
                <w:sz w:val="20"/>
              </w:rPr>
              <w:t>27</w:t>
            </w:r>
          </w:p>
        </w:tc>
        <w:tc>
          <w:tcPr>
            <w:tcW w:w="1028" w:type="pct"/>
            <w:noWrap/>
            <w:vAlign w:val="bottom"/>
          </w:tcPr>
          <w:p w14:paraId="757F828E" w14:textId="77777777" w:rsidR="00686367" w:rsidRPr="00346F1D" w:rsidRDefault="00686367" w:rsidP="00BF2048">
            <w:pPr>
              <w:spacing w:before="0" w:after="0" w:line="240" w:lineRule="auto"/>
              <w:rPr>
                <w:color w:val="000000"/>
                <w:sz w:val="20"/>
              </w:rPr>
            </w:pPr>
            <w:r w:rsidRPr="00346F1D">
              <w:rPr>
                <w:color w:val="000000"/>
                <w:sz w:val="20"/>
              </w:rPr>
              <w:t>53</w:t>
            </w:r>
          </w:p>
        </w:tc>
      </w:tr>
      <w:tr w:rsidR="00686367" w:rsidRPr="00346F1D" w14:paraId="0974455E" w14:textId="77777777" w:rsidTr="00BF2048">
        <w:trPr>
          <w:trHeight w:val="20"/>
        </w:trPr>
        <w:tc>
          <w:tcPr>
            <w:tcW w:w="294" w:type="pct"/>
          </w:tcPr>
          <w:p w14:paraId="6B911E8C" w14:textId="77777777" w:rsidR="00686367" w:rsidRPr="006533F9" w:rsidRDefault="00686367" w:rsidP="00BF2048">
            <w:pPr>
              <w:spacing w:before="0" w:after="0" w:line="240" w:lineRule="auto"/>
              <w:rPr>
                <w:rFonts w:cs="Arial"/>
                <w:sz w:val="20"/>
              </w:rPr>
            </w:pPr>
            <w:r w:rsidRPr="006533F9">
              <w:rPr>
                <w:rFonts w:cs="Arial"/>
                <w:sz w:val="20"/>
              </w:rPr>
              <w:t>5</w:t>
            </w:r>
          </w:p>
        </w:tc>
        <w:tc>
          <w:tcPr>
            <w:tcW w:w="1618" w:type="pct"/>
            <w:noWrap/>
          </w:tcPr>
          <w:p w14:paraId="394DCA36" w14:textId="77777777" w:rsidR="00686367" w:rsidRPr="00346F1D" w:rsidRDefault="00686367" w:rsidP="00BF2048">
            <w:pPr>
              <w:spacing w:before="0" w:after="0" w:line="240" w:lineRule="auto"/>
              <w:rPr>
                <w:rFonts w:cs="Arial"/>
                <w:sz w:val="20"/>
              </w:rPr>
            </w:pPr>
            <w:r w:rsidRPr="00346F1D">
              <w:rPr>
                <w:rFonts w:cs="Arial"/>
                <w:sz w:val="20"/>
              </w:rPr>
              <w:t>Tanzania</w:t>
            </w:r>
          </w:p>
        </w:tc>
        <w:tc>
          <w:tcPr>
            <w:tcW w:w="1030" w:type="pct"/>
          </w:tcPr>
          <w:p w14:paraId="78533C13" w14:textId="77777777" w:rsidR="00686367" w:rsidRPr="00346F1D" w:rsidRDefault="00686367" w:rsidP="00BF2048">
            <w:pPr>
              <w:spacing w:before="0" w:after="0" w:line="240" w:lineRule="auto"/>
              <w:rPr>
                <w:i/>
                <w:color w:val="000000"/>
                <w:sz w:val="20"/>
              </w:rPr>
            </w:pPr>
            <w:r w:rsidRPr="00346F1D">
              <w:rPr>
                <w:i/>
                <w:color w:val="000000"/>
                <w:sz w:val="20"/>
              </w:rPr>
              <w:t>20</w:t>
            </w:r>
          </w:p>
        </w:tc>
        <w:tc>
          <w:tcPr>
            <w:tcW w:w="1030" w:type="pct"/>
          </w:tcPr>
          <w:p w14:paraId="2C34A987" w14:textId="77777777" w:rsidR="00686367" w:rsidRPr="00346F1D" w:rsidRDefault="00686367" w:rsidP="00BF2048">
            <w:pPr>
              <w:spacing w:before="0" w:after="0" w:line="240" w:lineRule="auto"/>
              <w:rPr>
                <w:i/>
                <w:color w:val="000000"/>
                <w:sz w:val="20"/>
              </w:rPr>
            </w:pPr>
            <w:r w:rsidRPr="00346F1D">
              <w:rPr>
                <w:i/>
                <w:color w:val="000000"/>
                <w:sz w:val="20"/>
              </w:rPr>
              <w:t>32</w:t>
            </w:r>
          </w:p>
        </w:tc>
        <w:tc>
          <w:tcPr>
            <w:tcW w:w="1028" w:type="pct"/>
            <w:noWrap/>
            <w:vAlign w:val="bottom"/>
          </w:tcPr>
          <w:p w14:paraId="7B5866FF" w14:textId="77777777" w:rsidR="00686367" w:rsidRPr="00346F1D" w:rsidRDefault="00686367" w:rsidP="00BF2048">
            <w:pPr>
              <w:spacing w:before="0" w:after="0" w:line="240" w:lineRule="auto"/>
              <w:rPr>
                <w:color w:val="000000"/>
                <w:sz w:val="20"/>
              </w:rPr>
            </w:pPr>
            <w:r w:rsidRPr="00346F1D">
              <w:rPr>
                <w:color w:val="000000"/>
                <w:sz w:val="20"/>
              </w:rPr>
              <w:t>52</w:t>
            </w:r>
          </w:p>
        </w:tc>
      </w:tr>
      <w:tr w:rsidR="00686367" w:rsidRPr="00346F1D" w14:paraId="162D3824" w14:textId="77777777" w:rsidTr="00BF2048">
        <w:trPr>
          <w:trHeight w:val="20"/>
        </w:trPr>
        <w:tc>
          <w:tcPr>
            <w:tcW w:w="294" w:type="pct"/>
          </w:tcPr>
          <w:p w14:paraId="4C95DD05" w14:textId="77777777" w:rsidR="00686367" w:rsidRPr="006533F9" w:rsidRDefault="00686367" w:rsidP="00BF2048">
            <w:pPr>
              <w:spacing w:before="0" w:after="0" w:line="240" w:lineRule="auto"/>
              <w:rPr>
                <w:rFonts w:cs="Arial"/>
                <w:sz w:val="20"/>
              </w:rPr>
            </w:pPr>
            <w:r>
              <w:rPr>
                <w:rFonts w:cs="Arial"/>
                <w:sz w:val="20"/>
              </w:rPr>
              <w:t>6</w:t>
            </w:r>
          </w:p>
        </w:tc>
        <w:tc>
          <w:tcPr>
            <w:tcW w:w="1618" w:type="pct"/>
            <w:noWrap/>
          </w:tcPr>
          <w:p w14:paraId="2C4CF9A9" w14:textId="77777777" w:rsidR="00686367" w:rsidRPr="00346F1D" w:rsidRDefault="00686367" w:rsidP="00BF2048">
            <w:pPr>
              <w:spacing w:before="0" w:after="0" w:line="240" w:lineRule="auto"/>
              <w:rPr>
                <w:rFonts w:cs="Arial"/>
                <w:sz w:val="20"/>
              </w:rPr>
            </w:pPr>
            <w:r w:rsidRPr="00346F1D">
              <w:rPr>
                <w:rFonts w:cs="Arial"/>
                <w:sz w:val="20"/>
              </w:rPr>
              <w:t>Malawi</w:t>
            </w:r>
          </w:p>
        </w:tc>
        <w:tc>
          <w:tcPr>
            <w:tcW w:w="1030" w:type="pct"/>
          </w:tcPr>
          <w:p w14:paraId="20129101" w14:textId="77777777" w:rsidR="00686367" w:rsidRPr="00346F1D" w:rsidRDefault="00686367" w:rsidP="00BF2048">
            <w:pPr>
              <w:spacing w:before="0" w:after="0" w:line="240" w:lineRule="auto"/>
              <w:rPr>
                <w:i/>
                <w:color w:val="000000"/>
                <w:sz w:val="20"/>
              </w:rPr>
            </w:pPr>
            <w:r w:rsidRPr="00346F1D">
              <w:rPr>
                <w:i/>
                <w:color w:val="000000"/>
                <w:sz w:val="20"/>
              </w:rPr>
              <w:t>22</w:t>
            </w:r>
          </w:p>
        </w:tc>
        <w:tc>
          <w:tcPr>
            <w:tcW w:w="1030" w:type="pct"/>
          </w:tcPr>
          <w:p w14:paraId="03518738" w14:textId="77777777" w:rsidR="00686367" w:rsidRPr="00346F1D" w:rsidRDefault="00686367" w:rsidP="00BF2048">
            <w:pPr>
              <w:spacing w:before="0" w:after="0" w:line="240" w:lineRule="auto"/>
              <w:rPr>
                <w:i/>
                <w:color w:val="000000"/>
                <w:sz w:val="20"/>
              </w:rPr>
            </w:pPr>
            <w:r w:rsidRPr="00346F1D">
              <w:rPr>
                <w:i/>
                <w:color w:val="000000"/>
                <w:sz w:val="20"/>
              </w:rPr>
              <w:t>23</w:t>
            </w:r>
          </w:p>
        </w:tc>
        <w:tc>
          <w:tcPr>
            <w:tcW w:w="1028" w:type="pct"/>
            <w:noWrap/>
            <w:vAlign w:val="bottom"/>
          </w:tcPr>
          <w:p w14:paraId="69BD1721" w14:textId="77777777" w:rsidR="00686367" w:rsidRPr="00346F1D" w:rsidRDefault="00686367" w:rsidP="00BF2048">
            <w:pPr>
              <w:spacing w:before="0" w:after="0" w:line="240" w:lineRule="auto"/>
              <w:rPr>
                <w:color w:val="000000"/>
                <w:sz w:val="20"/>
              </w:rPr>
            </w:pPr>
            <w:r w:rsidRPr="00346F1D">
              <w:rPr>
                <w:color w:val="000000"/>
                <w:sz w:val="20"/>
              </w:rPr>
              <w:t>45</w:t>
            </w:r>
          </w:p>
        </w:tc>
      </w:tr>
      <w:tr w:rsidR="00686367" w:rsidRPr="00346F1D" w14:paraId="0447B2E9" w14:textId="77777777" w:rsidTr="00BF2048">
        <w:trPr>
          <w:trHeight w:val="20"/>
        </w:trPr>
        <w:tc>
          <w:tcPr>
            <w:tcW w:w="294" w:type="pct"/>
          </w:tcPr>
          <w:p w14:paraId="5FCF7DD1" w14:textId="77777777" w:rsidR="00686367" w:rsidRPr="006533F9" w:rsidRDefault="00686367" w:rsidP="00BF2048">
            <w:pPr>
              <w:spacing w:before="0" w:after="0" w:line="240" w:lineRule="auto"/>
              <w:rPr>
                <w:rFonts w:cs="Arial"/>
                <w:sz w:val="20"/>
              </w:rPr>
            </w:pPr>
            <w:r>
              <w:rPr>
                <w:rFonts w:cs="Arial"/>
                <w:sz w:val="20"/>
              </w:rPr>
              <w:t>7</w:t>
            </w:r>
          </w:p>
        </w:tc>
        <w:tc>
          <w:tcPr>
            <w:tcW w:w="1618" w:type="pct"/>
            <w:noWrap/>
          </w:tcPr>
          <w:p w14:paraId="361A925E" w14:textId="77777777" w:rsidR="00686367" w:rsidRPr="00346F1D" w:rsidRDefault="00686367" w:rsidP="00BF2048">
            <w:pPr>
              <w:spacing w:before="0" w:after="0" w:line="240" w:lineRule="auto"/>
              <w:rPr>
                <w:rFonts w:cs="Arial"/>
                <w:sz w:val="20"/>
              </w:rPr>
            </w:pPr>
            <w:r w:rsidRPr="00346F1D">
              <w:rPr>
                <w:rFonts w:cs="Arial"/>
                <w:sz w:val="20"/>
              </w:rPr>
              <w:t>Botswana</w:t>
            </w:r>
          </w:p>
        </w:tc>
        <w:tc>
          <w:tcPr>
            <w:tcW w:w="1030" w:type="pct"/>
          </w:tcPr>
          <w:p w14:paraId="346DF904" w14:textId="77777777" w:rsidR="00686367" w:rsidRPr="00346F1D" w:rsidRDefault="00686367" w:rsidP="00BF2048">
            <w:pPr>
              <w:spacing w:before="0" w:after="0" w:line="240" w:lineRule="auto"/>
              <w:rPr>
                <w:i/>
                <w:color w:val="000000"/>
                <w:sz w:val="20"/>
              </w:rPr>
            </w:pPr>
            <w:r w:rsidRPr="00346F1D">
              <w:rPr>
                <w:i/>
                <w:color w:val="000000"/>
                <w:sz w:val="20"/>
              </w:rPr>
              <w:t>27</w:t>
            </w:r>
          </w:p>
        </w:tc>
        <w:tc>
          <w:tcPr>
            <w:tcW w:w="1030" w:type="pct"/>
          </w:tcPr>
          <w:p w14:paraId="79F6D243" w14:textId="77777777" w:rsidR="00686367" w:rsidRPr="00346F1D" w:rsidRDefault="00686367" w:rsidP="00BF2048">
            <w:pPr>
              <w:spacing w:before="0" w:after="0" w:line="240" w:lineRule="auto"/>
              <w:rPr>
                <w:i/>
                <w:color w:val="000000"/>
                <w:sz w:val="20"/>
              </w:rPr>
            </w:pPr>
            <w:r w:rsidRPr="00346F1D">
              <w:rPr>
                <w:i/>
                <w:color w:val="000000"/>
                <w:sz w:val="20"/>
              </w:rPr>
              <w:t>15</w:t>
            </w:r>
          </w:p>
        </w:tc>
        <w:tc>
          <w:tcPr>
            <w:tcW w:w="1028" w:type="pct"/>
            <w:noWrap/>
            <w:vAlign w:val="bottom"/>
          </w:tcPr>
          <w:p w14:paraId="0CED3CF1" w14:textId="77777777" w:rsidR="00686367" w:rsidRPr="00346F1D" w:rsidRDefault="00686367" w:rsidP="00BF2048">
            <w:pPr>
              <w:spacing w:before="0" w:after="0" w:line="240" w:lineRule="auto"/>
              <w:rPr>
                <w:color w:val="000000"/>
                <w:sz w:val="20"/>
              </w:rPr>
            </w:pPr>
            <w:r w:rsidRPr="00346F1D">
              <w:rPr>
                <w:color w:val="000000"/>
                <w:sz w:val="20"/>
              </w:rPr>
              <w:t>42</w:t>
            </w:r>
          </w:p>
        </w:tc>
      </w:tr>
      <w:tr w:rsidR="00686367" w:rsidRPr="00346F1D" w14:paraId="52B53B08" w14:textId="77777777" w:rsidTr="00BF2048">
        <w:trPr>
          <w:trHeight w:val="20"/>
        </w:trPr>
        <w:tc>
          <w:tcPr>
            <w:tcW w:w="294" w:type="pct"/>
          </w:tcPr>
          <w:p w14:paraId="4DA74173" w14:textId="77777777" w:rsidR="00686367" w:rsidRPr="006533F9" w:rsidRDefault="00686367" w:rsidP="00BF2048">
            <w:pPr>
              <w:spacing w:before="0" w:after="0" w:line="240" w:lineRule="auto"/>
              <w:rPr>
                <w:rFonts w:cs="Arial"/>
                <w:sz w:val="20"/>
              </w:rPr>
            </w:pPr>
            <w:r>
              <w:rPr>
                <w:rFonts w:cs="Arial"/>
                <w:sz w:val="20"/>
              </w:rPr>
              <w:t>8</w:t>
            </w:r>
          </w:p>
        </w:tc>
        <w:tc>
          <w:tcPr>
            <w:tcW w:w="1618" w:type="pct"/>
            <w:noWrap/>
          </w:tcPr>
          <w:p w14:paraId="2486CA72" w14:textId="77777777" w:rsidR="00686367" w:rsidRPr="00346F1D" w:rsidRDefault="00686367" w:rsidP="00BF2048">
            <w:pPr>
              <w:spacing w:before="0" w:after="0" w:line="240" w:lineRule="auto"/>
              <w:rPr>
                <w:rFonts w:cs="Arial"/>
                <w:sz w:val="20"/>
              </w:rPr>
            </w:pPr>
            <w:r w:rsidRPr="00346F1D">
              <w:rPr>
                <w:rFonts w:cs="Arial"/>
                <w:sz w:val="20"/>
              </w:rPr>
              <w:t>Mozambique</w:t>
            </w:r>
          </w:p>
        </w:tc>
        <w:tc>
          <w:tcPr>
            <w:tcW w:w="1030" w:type="pct"/>
          </w:tcPr>
          <w:p w14:paraId="62113FF1" w14:textId="77777777" w:rsidR="00686367" w:rsidRPr="00346F1D" w:rsidRDefault="00686367" w:rsidP="00BF2048">
            <w:pPr>
              <w:spacing w:before="0" w:after="0" w:line="240" w:lineRule="auto"/>
              <w:rPr>
                <w:i/>
                <w:color w:val="000000"/>
                <w:sz w:val="20"/>
              </w:rPr>
            </w:pPr>
            <w:r w:rsidRPr="00346F1D">
              <w:rPr>
                <w:i/>
                <w:color w:val="000000"/>
                <w:sz w:val="20"/>
              </w:rPr>
              <w:t>14</w:t>
            </w:r>
          </w:p>
        </w:tc>
        <w:tc>
          <w:tcPr>
            <w:tcW w:w="1030" w:type="pct"/>
          </w:tcPr>
          <w:p w14:paraId="4ACEFA29" w14:textId="77777777" w:rsidR="00686367" w:rsidRPr="00346F1D" w:rsidRDefault="00686367" w:rsidP="00BF2048">
            <w:pPr>
              <w:spacing w:before="0" w:after="0" w:line="240" w:lineRule="auto"/>
              <w:rPr>
                <w:i/>
                <w:color w:val="000000"/>
                <w:sz w:val="20"/>
              </w:rPr>
            </w:pPr>
            <w:r w:rsidRPr="00346F1D">
              <w:rPr>
                <w:i/>
                <w:color w:val="000000"/>
                <w:sz w:val="20"/>
              </w:rPr>
              <w:t>27</w:t>
            </w:r>
          </w:p>
        </w:tc>
        <w:tc>
          <w:tcPr>
            <w:tcW w:w="1028" w:type="pct"/>
            <w:noWrap/>
            <w:vAlign w:val="bottom"/>
          </w:tcPr>
          <w:p w14:paraId="015FC92C" w14:textId="77777777" w:rsidR="00686367" w:rsidRPr="00346F1D" w:rsidRDefault="00686367" w:rsidP="00BF2048">
            <w:pPr>
              <w:spacing w:before="0" w:after="0" w:line="240" w:lineRule="auto"/>
              <w:rPr>
                <w:color w:val="000000"/>
                <w:sz w:val="20"/>
              </w:rPr>
            </w:pPr>
            <w:r w:rsidRPr="00346F1D">
              <w:rPr>
                <w:color w:val="000000"/>
                <w:sz w:val="20"/>
              </w:rPr>
              <w:t>41</w:t>
            </w:r>
          </w:p>
        </w:tc>
      </w:tr>
      <w:tr w:rsidR="00686367" w:rsidRPr="00346F1D" w14:paraId="5B27CF20" w14:textId="77777777" w:rsidTr="00BF2048">
        <w:trPr>
          <w:trHeight w:val="20"/>
        </w:trPr>
        <w:tc>
          <w:tcPr>
            <w:tcW w:w="294" w:type="pct"/>
          </w:tcPr>
          <w:p w14:paraId="0DA67588" w14:textId="77777777" w:rsidR="00686367" w:rsidRPr="006533F9" w:rsidRDefault="00686367" w:rsidP="00BF2048">
            <w:pPr>
              <w:spacing w:before="0" w:after="0" w:line="240" w:lineRule="auto"/>
              <w:rPr>
                <w:rFonts w:cs="Arial"/>
                <w:sz w:val="20"/>
              </w:rPr>
            </w:pPr>
            <w:r>
              <w:rPr>
                <w:rFonts w:cs="Arial"/>
                <w:sz w:val="20"/>
              </w:rPr>
              <w:t>9</w:t>
            </w:r>
          </w:p>
        </w:tc>
        <w:tc>
          <w:tcPr>
            <w:tcW w:w="1618" w:type="pct"/>
            <w:noWrap/>
          </w:tcPr>
          <w:p w14:paraId="45F79642" w14:textId="77777777" w:rsidR="00686367" w:rsidRPr="00346F1D" w:rsidRDefault="00686367" w:rsidP="00BF2048">
            <w:pPr>
              <w:spacing w:before="0" w:after="0" w:line="240" w:lineRule="auto"/>
              <w:rPr>
                <w:rFonts w:cs="Arial"/>
                <w:sz w:val="20"/>
              </w:rPr>
            </w:pPr>
            <w:r w:rsidRPr="00346F1D">
              <w:rPr>
                <w:rFonts w:cs="Arial"/>
                <w:sz w:val="20"/>
              </w:rPr>
              <w:t>South Africa</w:t>
            </w:r>
          </w:p>
        </w:tc>
        <w:tc>
          <w:tcPr>
            <w:tcW w:w="1030" w:type="pct"/>
          </w:tcPr>
          <w:p w14:paraId="464C3020" w14:textId="77777777" w:rsidR="00686367" w:rsidRPr="00346F1D" w:rsidRDefault="00686367" w:rsidP="00BF2048">
            <w:pPr>
              <w:spacing w:before="0" w:after="0" w:line="240" w:lineRule="auto"/>
              <w:rPr>
                <w:i/>
                <w:color w:val="000000"/>
                <w:sz w:val="20"/>
              </w:rPr>
            </w:pPr>
            <w:r w:rsidRPr="00346F1D">
              <w:rPr>
                <w:i/>
                <w:color w:val="000000"/>
                <w:sz w:val="20"/>
              </w:rPr>
              <w:t>11</w:t>
            </w:r>
          </w:p>
        </w:tc>
        <w:tc>
          <w:tcPr>
            <w:tcW w:w="1030" w:type="pct"/>
          </w:tcPr>
          <w:p w14:paraId="73DF26C5" w14:textId="77777777" w:rsidR="00686367" w:rsidRPr="00346F1D" w:rsidRDefault="00686367" w:rsidP="00BF2048">
            <w:pPr>
              <w:spacing w:before="0" w:after="0" w:line="240" w:lineRule="auto"/>
              <w:rPr>
                <w:i/>
                <w:color w:val="000000"/>
                <w:sz w:val="20"/>
              </w:rPr>
            </w:pPr>
            <w:r w:rsidRPr="00346F1D">
              <w:rPr>
                <w:i/>
                <w:color w:val="000000"/>
                <w:sz w:val="20"/>
              </w:rPr>
              <w:t>14</w:t>
            </w:r>
          </w:p>
        </w:tc>
        <w:tc>
          <w:tcPr>
            <w:tcW w:w="1028" w:type="pct"/>
            <w:noWrap/>
            <w:vAlign w:val="bottom"/>
          </w:tcPr>
          <w:p w14:paraId="52DF4A07" w14:textId="77777777" w:rsidR="00686367" w:rsidRPr="00346F1D" w:rsidRDefault="00686367" w:rsidP="00BF2048">
            <w:pPr>
              <w:spacing w:before="0" w:after="0" w:line="240" w:lineRule="auto"/>
              <w:rPr>
                <w:color w:val="000000"/>
                <w:sz w:val="20"/>
              </w:rPr>
            </w:pPr>
            <w:r w:rsidRPr="00346F1D">
              <w:rPr>
                <w:color w:val="000000"/>
                <w:sz w:val="20"/>
              </w:rPr>
              <w:t>25</w:t>
            </w:r>
          </w:p>
        </w:tc>
      </w:tr>
      <w:tr w:rsidR="00686367" w:rsidRPr="00346F1D" w14:paraId="3A479B80" w14:textId="77777777" w:rsidTr="00BF2048">
        <w:trPr>
          <w:trHeight w:val="20"/>
        </w:trPr>
        <w:tc>
          <w:tcPr>
            <w:tcW w:w="294" w:type="pct"/>
          </w:tcPr>
          <w:p w14:paraId="2141DDA3" w14:textId="77777777" w:rsidR="00686367" w:rsidRPr="006533F9" w:rsidRDefault="00686367" w:rsidP="00BF2048">
            <w:pPr>
              <w:spacing w:before="0" w:after="0" w:line="240" w:lineRule="auto"/>
              <w:rPr>
                <w:rFonts w:cs="Arial"/>
                <w:sz w:val="20"/>
              </w:rPr>
            </w:pPr>
            <w:r>
              <w:rPr>
                <w:rFonts w:cs="Arial"/>
                <w:sz w:val="20"/>
              </w:rPr>
              <w:t>10</w:t>
            </w:r>
          </w:p>
        </w:tc>
        <w:tc>
          <w:tcPr>
            <w:tcW w:w="1618" w:type="pct"/>
            <w:noWrap/>
          </w:tcPr>
          <w:p w14:paraId="76E075FA" w14:textId="77777777" w:rsidR="00686367" w:rsidRPr="00346F1D" w:rsidRDefault="00686367" w:rsidP="00BF2048">
            <w:pPr>
              <w:spacing w:before="0" w:after="0" w:line="240" w:lineRule="auto"/>
              <w:rPr>
                <w:rFonts w:cs="Arial"/>
                <w:sz w:val="20"/>
              </w:rPr>
            </w:pPr>
            <w:r w:rsidRPr="00346F1D">
              <w:rPr>
                <w:rFonts w:cs="Arial"/>
                <w:sz w:val="20"/>
              </w:rPr>
              <w:t>Madagascar</w:t>
            </w:r>
          </w:p>
        </w:tc>
        <w:tc>
          <w:tcPr>
            <w:tcW w:w="1030" w:type="pct"/>
          </w:tcPr>
          <w:p w14:paraId="1C1AE7C4" w14:textId="77777777" w:rsidR="00686367" w:rsidRPr="00346F1D" w:rsidRDefault="00686367" w:rsidP="00BF2048">
            <w:pPr>
              <w:spacing w:before="0" w:after="0" w:line="240" w:lineRule="auto"/>
              <w:rPr>
                <w:i/>
                <w:color w:val="000000"/>
                <w:sz w:val="20"/>
              </w:rPr>
            </w:pPr>
            <w:r w:rsidRPr="00346F1D">
              <w:rPr>
                <w:i/>
                <w:color w:val="000000"/>
                <w:sz w:val="20"/>
              </w:rPr>
              <w:t>11</w:t>
            </w:r>
          </w:p>
        </w:tc>
        <w:tc>
          <w:tcPr>
            <w:tcW w:w="1030" w:type="pct"/>
          </w:tcPr>
          <w:p w14:paraId="4F3A0C11" w14:textId="77777777" w:rsidR="00686367" w:rsidRPr="00346F1D" w:rsidRDefault="00686367" w:rsidP="00BF2048">
            <w:pPr>
              <w:spacing w:before="0" w:after="0" w:line="240" w:lineRule="auto"/>
              <w:rPr>
                <w:i/>
                <w:color w:val="000000"/>
                <w:sz w:val="20"/>
              </w:rPr>
            </w:pPr>
            <w:r w:rsidRPr="00346F1D">
              <w:rPr>
                <w:i/>
                <w:color w:val="000000"/>
                <w:sz w:val="20"/>
              </w:rPr>
              <w:t>8</w:t>
            </w:r>
          </w:p>
        </w:tc>
        <w:tc>
          <w:tcPr>
            <w:tcW w:w="1028" w:type="pct"/>
            <w:noWrap/>
            <w:vAlign w:val="bottom"/>
          </w:tcPr>
          <w:p w14:paraId="00EDB50E" w14:textId="77777777" w:rsidR="00686367" w:rsidRPr="00346F1D" w:rsidRDefault="00686367" w:rsidP="00BF2048">
            <w:pPr>
              <w:spacing w:before="0" w:after="0" w:line="240" w:lineRule="auto"/>
              <w:rPr>
                <w:color w:val="000000"/>
                <w:sz w:val="20"/>
              </w:rPr>
            </w:pPr>
            <w:r w:rsidRPr="00346F1D">
              <w:rPr>
                <w:color w:val="000000"/>
                <w:sz w:val="20"/>
              </w:rPr>
              <w:t>19</w:t>
            </w:r>
          </w:p>
        </w:tc>
      </w:tr>
      <w:tr w:rsidR="00686367" w:rsidRPr="006533F9" w14:paraId="791EFE0F" w14:textId="77777777" w:rsidTr="00BF2048">
        <w:trPr>
          <w:trHeight w:val="20"/>
        </w:trPr>
        <w:tc>
          <w:tcPr>
            <w:tcW w:w="5000" w:type="pct"/>
            <w:gridSpan w:val="5"/>
          </w:tcPr>
          <w:p w14:paraId="682546EE" w14:textId="77777777" w:rsidR="00686367" w:rsidRPr="006533F9" w:rsidRDefault="00686367" w:rsidP="00BF2048">
            <w:pPr>
              <w:spacing w:before="0" w:after="0" w:line="240" w:lineRule="auto"/>
              <w:rPr>
                <w:rFonts w:cs="Arial"/>
                <w:sz w:val="20"/>
              </w:rPr>
            </w:pPr>
            <w:r w:rsidRPr="006533F9">
              <w:rPr>
                <w:rFonts w:cs="Arial"/>
                <w:b/>
                <w:bCs/>
                <w:color w:val="000000"/>
                <w:sz w:val="20"/>
              </w:rPr>
              <w:t>Short courses, 2016 -2018</w:t>
            </w:r>
          </w:p>
        </w:tc>
      </w:tr>
      <w:tr w:rsidR="00686367" w:rsidRPr="00346F1D" w14:paraId="6512F162" w14:textId="77777777" w:rsidTr="00BF2048">
        <w:trPr>
          <w:trHeight w:val="20"/>
        </w:trPr>
        <w:tc>
          <w:tcPr>
            <w:tcW w:w="294" w:type="pct"/>
          </w:tcPr>
          <w:p w14:paraId="35059157" w14:textId="77777777" w:rsidR="00686367" w:rsidRPr="006533F9" w:rsidRDefault="00686367" w:rsidP="00BF2048">
            <w:pPr>
              <w:spacing w:before="0" w:after="0" w:line="240" w:lineRule="auto"/>
              <w:rPr>
                <w:rFonts w:cs="Arial"/>
                <w:sz w:val="20"/>
              </w:rPr>
            </w:pPr>
            <w:r w:rsidRPr="006533F9">
              <w:rPr>
                <w:rFonts w:cs="Arial"/>
                <w:sz w:val="20"/>
              </w:rPr>
              <w:t>1</w:t>
            </w:r>
          </w:p>
        </w:tc>
        <w:tc>
          <w:tcPr>
            <w:tcW w:w="1618" w:type="pct"/>
            <w:noWrap/>
            <w:vAlign w:val="bottom"/>
          </w:tcPr>
          <w:p w14:paraId="31A5953E" w14:textId="77777777" w:rsidR="00686367" w:rsidRPr="00346F1D" w:rsidRDefault="00686367" w:rsidP="00BF2048">
            <w:pPr>
              <w:spacing w:before="0" w:after="0" w:line="240" w:lineRule="auto"/>
              <w:rPr>
                <w:rFonts w:cs="Arial"/>
                <w:sz w:val="20"/>
              </w:rPr>
            </w:pPr>
            <w:r w:rsidRPr="00346F1D">
              <w:rPr>
                <w:rFonts w:cs="Arial"/>
                <w:sz w:val="20"/>
              </w:rPr>
              <w:t>Kenya</w:t>
            </w:r>
          </w:p>
        </w:tc>
        <w:tc>
          <w:tcPr>
            <w:tcW w:w="1030" w:type="pct"/>
            <w:vAlign w:val="bottom"/>
          </w:tcPr>
          <w:p w14:paraId="385B2ECF" w14:textId="77777777" w:rsidR="00686367" w:rsidRPr="00346F1D" w:rsidRDefault="00686367" w:rsidP="00BF2048">
            <w:pPr>
              <w:spacing w:before="0" w:after="0" w:line="240" w:lineRule="auto"/>
              <w:rPr>
                <w:i/>
                <w:color w:val="000000"/>
                <w:sz w:val="20"/>
              </w:rPr>
            </w:pPr>
            <w:r w:rsidRPr="00346F1D">
              <w:rPr>
                <w:i/>
                <w:color w:val="000000"/>
                <w:sz w:val="20"/>
              </w:rPr>
              <w:t>55</w:t>
            </w:r>
          </w:p>
        </w:tc>
        <w:tc>
          <w:tcPr>
            <w:tcW w:w="1030" w:type="pct"/>
            <w:vAlign w:val="bottom"/>
          </w:tcPr>
          <w:p w14:paraId="1D1F9963" w14:textId="77777777" w:rsidR="00686367" w:rsidRPr="00346F1D" w:rsidRDefault="00686367" w:rsidP="00BF2048">
            <w:pPr>
              <w:spacing w:before="0" w:after="0" w:line="240" w:lineRule="auto"/>
              <w:rPr>
                <w:i/>
                <w:color w:val="000000"/>
                <w:sz w:val="20"/>
              </w:rPr>
            </w:pPr>
            <w:r w:rsidRPr="00346F1D">
              <w:rPr>
                <w:i/>
                <w:color w:val="000000"/>
                <w:sz w:val="20"/>
              </w:rPr>
              <w:t>36</w:t>
            </w:r>
          </w:p>
        </w:tc>
        <w:tc>
          <w:tcPr>
            <w:tcW w:w="1028" w:type="pct"/>
            <w:noWrap/>
            <w:vAlign w:val="bottom"/>
          </w:tcPr>
          <w:p w14:paraId="604C2ACD" w14:textId="77777777" w:rsidR="00686367" w:rsidRPr="00346F1D" w:rsidRDefault="00686367" w:rsidP="00BF2048">
            <w:pPr>
              <w:spacing w:before="0" w:after="0" w:line="240" w:lineRule="auto"/>
              <w:rPr>
                <w:color w:val="000000"/>
                <w:sz w:val="20"/>
              </w:rPr>
            </w:pPr>
            <w:r w:rsidRPr="00346F1D">
              <w:rPr>
                <w:color w:val="000000"/>
                <w:sz w:val="20"/>
              </w:rPr>
              <w:t>91</w:t>
            </w:r>
          </w:p>
        </w:tc>
      </w:tr>
      <w:tr w:rsidR="00686367" w:rsidRPr="00346F1D" w14:paraId="702E0022" w14:textId="77777777" w:rsidTr="00BF2048">
        <w:trPr>
          <w:trHeight w:val="20"/>
        </w:trPr>
        <w:tc>
          <w:tcPr>
            <w:tcW w:w="294" w:type="pct"/>
          </w:tcPr>
          <w:p w14:paraId="22C3208F" w14:textId="77777777" w:rsidR="00686367" w:rsidRPr="006533F9" w:rsidRDefault="00686367" w:rsidP="00BF2048">
            <w:pPr>
              <w:spacing w:before="0" w:after="0" w:line="240" w:lineRule="auto"/>
              <w:rPr>
                <w:rFonts w:cs="Arial"/>
                <w:sz w:val="20"/>
              </w:rPr>
            </w:pPr>
            <w:r w:rsidRPr="006533F9">
              <w:rPr>
                <w:rFonts w:cs="Arial"/>
                <w:sz w:val="20"/>
              </w:rPr>
              <w:t>2</w:t>
            </w:r>
          </w:p>
        </w:tc>
        <w:tc>
          <w:tcPr>
            <w:tcW w:w="1618" w:type="pct"/>
            <w:noWrap/>
            <w:vAlign w:val="bottom"/>
          </w:tcPr>
          <w:p w14:paraId="32C4CD44" w14:textId="77777777" w:rsidR="00686367" w:rsidRPr="00346F1D" w:rsidRDefault="00686367" w:rsidP="00BF2048">
            <w:pPr>
              <w:spacing w:before="0" w:after="0" w:line="240" w:lineRule="auto"/>
              <w:rPr>
                <w:rFonts w:cs="Arial"/>
                <w:sz w:val="20"/>
              </w:rPr>
            </w:pPr>
            <w:r w:rsidRPr="00346F1D">
              <w:rPr>
                <w:rFonts w:cs="Arial"/>
                <w:sz w:val="20"/>
              </w:rPr>
              <w:t>Nigeria</w:t>
            </w:r>
          </w:p>
        </w:tc>
        <w:tc>
          <w:tcPr>
            <w:tcW w:w="1030" w:type="pct"/>
            <w:vAlign w:val="bottom"/>
          </w:tcPr>
          <w:p w14:paraId="43036FD6" w14:textId="77777777" w:rsidR="00686367" w:rsidRPr="00346F1D" w:rsidRDefault="00686367" w:rsidP="00BF2048">
            <w:pPr>
              <w:spacing w:before="0" w:after="0" w:line="240" w:lineRule="auto"/>
              <w:rPr>
                <w:i/>
                <w:color w:val="000000"/>
                <w:sz w:val="20"/>
              </w:rPr>
            </w:pPr>
            <w:r w:rsidRPr="00346F1D">
              <w:rPr>
                <w:i/>
                <w:color w:val="000000"/>
                <w:sz w:val="20"/>
              </w:rPr>
              <w:t>44</w:t>
            </w:r>
          </w:p>
        </w:tc>
        <w:tc>
          <w:tcPr>
            <w:tcW w:w="1030" w:type="pct"/>
            <w:vAlign w:val="bottom"/>
          </w:tcPr>
          <w:p w14:paraId="75E63F2D" w14:textId="77777777" w:rsidR="00686367" w:rsidRPr="00346F1D" w:rsidRDefault="00686367" w:rsidP="00BF2048">
            <w:pPr>
              <w:spacing w:before="0" w:after="0" w:line="240" w:lineRule="auto"/>
              <w:rPr>
                <w:i/>
                <w:color w:val="000000"/>
                <w:sz w:val="20"/>
              </w:rPr>
            </w:pPr>
            <w:r w:rsidRPr="00346F1D">
              <w:rPr>
                <w:i/>
                <w:color w:val="000000"/>
                <w:sz w:val="20"/>
              </w:rPr>
              <w:t>43</w:t>
            </w:r>
          </w:p>
        </w:tc>
        <w:tc>
          <w:tcPr>
            <w:tcW w:w="1028" w:type="pct"/>
            <w:noWrap/>
            <w:vAlign w:val="bottom"/>
          </w:tcPr>
          <w:p w14:paraId="1D12AAC5" w14:textId="77777777" w:rsidR="00686367" w:rsidRPr="00346F1D" w:rsidRDefault="00686367" w:rsidP="00BF2048">
            <w:pPr>
              <w:spacing w:before="0" w:after="0" w:line="240" w:lineRule="auto"/>
              <w:rPr>
                <w:color w:val="000000"/>
                <w:sz w:val="20"/>
              </w:rPr>
            </w:pPr>
            <w:r w:rsidRPr="00346F1D">
              <w:rPr>
                <w:color w:val="000000"/>
                <w:sz w:val="20"/>
              </w:rPr>
              <w:t>87</w:t>
            </w:r>
          </w:p>
        </w:tc>
      </w:tr>
      <w:tr w:rsidR="00686367" w:rsidRPr="00346F1D" w14:paraId="6BC5358F" w14:textId="77777777" w:rsidTr="00BF2048">
        <w:trPr>
          <w:trHeight w:val="20"/>
        </w:trPr>
        <w:tc>
          <w:tcPr>
            <w:tcW w:w="294" w:type="pct"/>
          </w:tcPr>
          <w:p w14:paraId="2FC81DE0" w14:textId="77777777" w:rsidR="00686367" w:rsidRPr="006533F9" w:rsidRDefault="00686367" w:rsidP="00BF2048">
            <w:pPr>
              <w:spacing w:before="0" w:after="0" w:line="240" w:lineRule="auto"/>
              <w:rPr>
                <w:rFonts w:cs="Arial"/>
                <w:sz w:val="20"/>
              </w:rPr>
            </w:pPr>
            <w:r w:rsidRPr="006533F9">
              <w:rPr>
                <w:rFonts w:cs="Arial"/>
                <w:sz w:val="20"/>
              </w:rPr>
              <w:t>3</w:t>
            </w:r>
          </w:p>
        </w:tc>
        <w:tc>
          <w:tcPr>
            <w:tcW w:w="1618" w:type="pct"/>
            <w:noWrap/>
            <w:vAlign w:val="bottom"/>
          </w:tcPr>
          <w:p w14:paraId="2B2EE83A" w14:textId="77777777" w:rsidR="00686367" w:rsidRPr="00346F1D" w:rsidRDefault="00686367" w:rsidP="00BF2048">
            <w:pPr>
              <w:spacing w:before="0" w:after="0" w:line="240" w:lineRule="auto"/>
              <w:rPr>
                <w:rFonts w:cs="Arial"/>
                <w:sz w:val="20"/>
              </w:rPr>
            </w:pPr>
            <w:r w:rsidRPr="00346F1D">
              <w:rPr>
                <w:rFonts w:cs="Arial"/>
                <w:sz w:val="20"/>
              </w:rPr>
              <w:t>Ghana</w:t>
            </w:r>
          </w:p>
        </w:tc>
        <w:tc>
          <w:tcPr>
            <w:tcW w:w="1030" w:type="pct"/>
            <w:vAlign w:val="bottom"/>
          </w:tcPr>
          <w:p w14:paraId="418FC858" w14:textId="77777777" w:rsidR="00686367" w:rsidRPr="00346F1D" w:rsidRDefault="00686367" w:rsidP="00BF2048">
            <w:pPr>
              <w:spacing w:before="0" w:after="0" w:line="240" w:lineRule="auto"/>
              <w:rPr>
                <w:i/>
                <w:color w:val="000000"/>
                <w:sz w:val="20"/>
              </w:rPr>
            </w:pPr>
            <w:r w:rsidRPr="00346F1D">
              <w:rPr>
                <w:i/>
                <w:color w:val="000000"/>
                <w:sz w:val="20"/>
              </w:rPr>
              <w:t>23</w:t>
            </w:r>
          </w:p>
        </w:tc>
        <w:tc>
          <w:tcPr>
            <w:tcW w:w="1030" w:type="pct"/>
            <w:vAlign w:val="bottom"/>
          </w:tcPr>
          <w:p w14:paraId="4405B88D" w14:textId="77777777" w:rsidR="00686367" w:rsidRPr="00346F1D" w:rsidRDefault="00686367" w:rsidP="00BF2048">
            <w:pPr>
              <w:spacing w:before="0" w:after="0" w:line="240" w:lineRule="auto"/>
              <w:rPr>
                <w:i/>
                <w:color w:val="000000"/>
                <w:sz w:val="20"/>
              </w:rPr>
            </w:pPr>
            <w:r w:rsidRPr="00346F1D">
              <w:rPr>
                <w:i/>
                <w:color w:val="000000"/>
                <w:sz w:val="20"/>
              </w:rPr>
              <w:t>45</w:t>
            </w:r>
          </w:p>
        </w:tc>
        <w:tc>
          <w:tcPr>
            <w:tcW w:w="1028" w:type="pct"/>
            <w:noWrap/>
            <w:vAlign w:val="bottom"/>
          </w:tcPr>
          <w:p w14:paraId="2A85D83C" w14:textId="77777777" w:rsidR="00686367" w:rsidRPr="00346F1D" w:rsidRDefault="00686367" w:rsidP="00BF2048">
            <w:pPr>
              <w:spacing w:before="0" w:after="0" w:line="240" w:lineRule="auto"/>
              <w:rPr>
                <w:color w:val="000000"/>
                <w:sz w:val="20"/>
              </w:rPr>
            </w:pPr>
            <w:r w:rsidRPr="00346F1D">
              <w:rPr>
                <w:color w:val="000000"/>
                <w:sz w:val="20"/>
              </w:rPr>
              <w:t>68</w:t>
            </w:r>
          </w:p>
        </w:tc>
      </w:tr>
      <w:tr w:rsidR="00686367" w:rsidRPr="00346F1D" w14:paraId="0387B828" w14:textId="77777777" w:rsidTr="00BF2048">
        <w:trPr>
          <w:trHeight w:val="20"/>
        </w:trPr>
        <w:tc>
          <w:tcPr>
            <w:tcW w:w="294" w:type="pct"/>
          </w:tcPr>
          <w:p w14:paraId="07A49EE5" w14:textId="77777777" w:rsidR="00686367" w:rsidRPr="006533F9" w:rsidRDefault="00686367" w:rsidP="00BF2048">
            <w:pPr>
              <w:spacing w:before="0" w:after="0" w:line="240" w:lineRule="auto"/>
              <w:rPr>
                <w:rFonts w:cs="Arial"/>
                <w:sz w:val="20"/>
              </w:rPr>
            </w:pPr>
            <w:r w:rsidRPr="006533F9">
              <w:rPr>
                <w:rFonts w:cs="Arial"/>
                <w:sz w:val="20"/>
              </w:rPr>
              <w:t>4</w:t>
            </w:r>
          </w:p>
        </w:tc>
        <w:tc>
          <w:tcPr>
            <w:tcW w:w="1618" w:type="pct"/>
            <w:noWrap/>
            <w:vAlign w:val="bottom"/>
          </w:tcPr>
          <w:p w14:paraId="5170790D" w14:textId="77777777" w:rsidR="00686367" w:rsidRPr="00346F1D" w:rsidRDefault="00686367" w:rsidP="00BF2048">
            <w:pPr>
              <w:spacing w:before="0" w:after="0" w:line="240" w:lineRule="auto"/>
              <w:rPr>
                <w:rFonts w:cs="Arial"/>
                <w:sz w:val="20"/>
              </w:rPr>
            </w:pPr>
            <w:r w:rsidRPr="00346F1D">
              <w:rPr>
                <w:rFonts w:cs="Arial"/>
                <w:sz w:val="20"/>
              </w:rPr>
              <w:t>Zimbabwe</w:t>
            </w:r>
          </w:p>
        </w:tc>
        <w:tc>
          <w:tcPr>
            <w:tcW w:w="1030" w:type="pct"/>
            <w:vAlign w:val="bottom"/>
          </w:tcPr>
          <w:p w14:paraId="62E0DAF6" w14:textId="77777777" w:rsidR="00686367" w:rsidRPr="00346F1D" w:rsidRDefault="00686367" w:rsidP="00BF2048">
            <w:pPr>
              <w:spacing w:before="0" w:after="0" w:line="240" w:lineRule="auto"/>
              <w:rPr>
                <w:i/>
                <w:color w:val="000000"/>
                <w:sz w:val="20"/>
              </w:rPr>
            </w:pPr>
            <w:r w:rsidRPr="00346F1D">
              <w:rPr>
                <w:i/>
                <w:color w:val="000000"/>
                <w:sz w:val="20"/>
              </w:rPr>
              <w:t>21</w:t>
            </w:r>
          </w:p>
        </w:tc>
        <w:tc>
          <w:tcPr>
            <w:tcW w:w="1030" w:type="pct"/>
            <w:vAlign w:val="bottom"/>
          </w:tcPr>
          <w:p w14:paraId="673CF724" w14:textId="77777777" w:rsidR="00686367" w:rsidRPr="00346F1D" w:rsidRDefault="00686367" w:rsidP="00BF2048">
            <w:pPr>
              <w:spacing w:before="0" w:after="0" w:line="240" w:lineRule="auto"/>
              <w:rPr>
                <w:i/>
                <w:color w:val="000000"/>
                <w:sz w:val="20"/>
              </w:rPr>
            </w:pPr>
            <w:r w:rsidRPr="00346F1D">
              <w:rPr>
                <w:i/>
                <w:color w:val="000000"/>
                <w:sz w:val="20"/>
              </w:rPr>
              <w:t>39</w:t>
            </w:r>
          </w:p>
        </w:tc>
        <w:tc>
          <w:tcPr>
            <w:tcW w:w="1028" w:type="pct"/>
            <w:noWrap/>
            <w:vAlign w:val="bottom"/>
          </w:tcPr>
          <w:p w14:paraId="28E20FDF" w14:textId="77777777" w:rsidR="00686367" w:rsidRPr="00346F1D" w:rsidRDefault="00686367" w:rsidP="00BF2048">
            <w:pPr>
              <w:spacing w:before="0" w:after="0" w:line="240" w:lineRule="auto"/>
              <w:rPr>
                <w:color w:val="000000"/>
                <w:sz w:val="20"/>
              </w:rPr>
            </w:pPr>
            <w:r w:rsidRPr="00346F1D">
              <w:rPr>
                <w:color w:val="000000"/>
                <w:sz w:val="20"/>
              </w:rPr>
              <w:t>60</w:t>
            </w:r>
          </w:p>
        </w:tc>
      </w:tr>
      <w:tr w:rsidR="00686367" w:rsidRPr="00346F1D" w14:paraId="720A1D26" w14:textId="77777777" w:rsidTr="00BF2048">
        <w:trPr>
          <w:trHeight w:val="20"/>
        </w:trPr>
        <w:tc>
          <w:tcPr>
            <w:tcW w:w="294" w:type="pct"/>
          </w:tcPr>
          <w:p w14:paraId="08B0775B" w14:textId="77777777" w:rsidR="00686367" w:rsidRPr="006533F9" w:rsidRDefault="00686367" w:rsidP="00BF2048">
            <w:pPr>
              <w:spacing w:before="0" w:after="0" w:line="240" w:lineRule="auto"/>
              <w:rPr>
                <w:rFonts w:cs="Arial"/>
                <w:sz w:val="20"/>
              </w:rPr>
            </w:pPr>
            <w:r w:rsidRPr="006533F9">
              <w:rPr>
                <w:rFonts w:cs="Arial"/>
                <w:sz w:val="20"/>
              </w:rPr>
              <w:t>5</w:t>
            </w:r>
          </w:p>
        </w:tc>
        <w:tc>
          <w:tcPr>
            <w:tcW w:w="1618" w:type="pct"/>
            <w:noWrap/>
            <w:vAlign w:val="bottom"/>
          </w:tcPr>
          <w:p w14:paraId="74DF8099" w14:textId="77777777" w:rsidR="00686367" w:rsidRPr="00346F1D" w:rsidRDefault="00686367" w:rsidP="00BF2048">
            <w:pPr>
              <w:spacing w:before="0" w:after="0" w:line="240" w:lineRule="auto"/>
              <w:rPr>
                <w:rFonts w:cs="Arial"/>
                <w:sz w:val="20"/>
              </w:rPr>
            </w:pPr>
            <w:r w:rsidRPr="00346F1D">
              <w:rPr>
                <w:rFonts w:cs="Arial"/>
                <w:sz w:val="20"/>
              </w:rPr>
              <w:t>Uganda</w:t>
            </w:r>
          </w:p>
        </w:tc>
        <w:tc>
          <w:tcPr>
            <w:tcW w:w="1030" w:type="pct"/>
            <w:vAlign w:val="bottom"/>
          </w:tcPr>
          <w:p w14:paraId="3D5563AB" w14:textId="77777777" w:rsidR="00686367" w:rsidRPr="00346F1D" w:rsidRDefault="00686367" w:rsidP="00BF2048">
            <w:pPr>
              <w:spacing w:before="0" w:after="0" w:line="240" w:lineRule="auto"/>
              <w:rPr>
                <w:i/>
                <w:color w:val="000000"/>
                <w:sz w:val="20"/>
              </w:rPr>
            </w:pPr>
            <w:r w:rsidRPr="00346F1D">
              <w:rPr>
                <w:i/>
                <w:color w:val="000000"/>
                <w:sz w:val="20"/>
              </w:rPr>
              <w:t>23</w:t>
            </w:r>
          </w:p>
        </w:tc>
        <w:tc>
          <w:tcPr>
            <w:tcW w:w="1030" w:type="pct"/>
            <w:vAlign w:val="bottom"/>
          </w:tcPr>
          <w:p w14:paraId="0FDD7B27" w14:textId="77777777" w:rsidR="00686367" w:rsidRPr="00346F1D" w:rsidRDefault="00686367" w:rsidP="00BF2048">
            <w:pPr>
              <w:spacing w:before="0" w:after="0" w:line="240" w:lineRule="auto"/>
              <w:rPr>
                <w:i/>
                <w:color w:val="000000"/>
                <w:sz w:val="20"/>
              </w:rPr>
            </w:pPr>
            <w:r w:rsidRPr="00346F1D">
              <w:rPr>
                <w:i/>
                <w:color w:val="000000"/>
                <w:sz w:val="20"/>
              </w:rPr>
              <w:t>32</w:t>
            </w:r>
          </w:p>
        </w:tc>
        <w:tc>
          <w:tcPr>
            <w:tcW w:w="1028" w:type="pct"/>
            <w:noWrap/>
            <w:vAlign w:val="bottom"/>
          </w:tcPr>
          <w:p w14:paraId="3ECA4D73" w14:textId="77777777" w:rsidR="00686367" w:rsidRPr="00346F1D" w:rsidRDefault="00686367" w:rsidP="00BF2048">
            <w:pPr>
              <w:spacing w:before="0" w:after="0" w:line="240" w:lineRule="auto"/>
              <w:rPr>
                <w:color w:val="000000"/>
                <w:sz w:val="20"/>
              </w:rPr>
            </w:pPr>
            <w:r w:rsidRPr="00346F1D">
              <w:rPr>
                <w:color w:val="000000"/>
                <w:sz w:val="20"/>
              </w:rPr>
              <w:t>55</w:t>
            </w:r>
          </w:p>
        </w:tc>
      </w:tr>
      <w:tr w:rsidR="00686367" w:rsidRPr="00346F1D" w14:paraId="407E73A4" w14:textId="77777777" w:rsidTr="00BF2048">
        <w:trPr>
          <w:trHeight w:val="20"/>
        </w:trPr>
        <w:tc>
          <w:tcPr>
            <w:tcW w:w="294" w:type="pct"/>
          </w:tcPr>
          <w:p w14:paraId="090D3BFC" w14:textId="77777777" w:rsidR="00686367" w:rsidRPr="006533F9" w:rsidRDefault="00686367" w:rsidP="00BF2048">
            <w:pPr>
              <w:spacing w:before="0" w:after="0" w:line="240" w:lineRule="auto"/>
              <w:rPr>
                <w:rFonts w:cs="Arial"/>
                <w:sz w:val="20"/>
              </w:rPr>
            </w:pPr>
            <w:r>
              <w:rPr>
                <w:rFonts w:cs="Arial"/>
                <w:sz w:val="20"/>
              </w:rPr>
              <w:t>6</w:t>
            </w:r>
          </w:p>
        </w:tc>
        <w:tc>
          <w:tcPr>
            <w:tcW w:w="1618" w:type="pct"/>
            <w:noWrap/>
            <w:vAlign w:val="bottom"/>
          </w:tcPr>
          <w:p w14:paraId="5BC2EBB7" w14:textId="77777777" w:rsidR="00686367" w:rsidRPr="00346F1D" w:rsidRDefault="00686367" w:rsidP="00BF2048">
            <w:pPr>
              <w:spacing w:before="0" w:after="0" w:line="240" w:lineRule="auto"/>
              <w:rPr>
                <w:rFonts w:cs="Arial"/>
                <w:sz w:val="20"/>
              </w:rPr>
            </w:pPr>
            <w:r w:rsidRPr="00346F1D">
              <w:rPr>
                <w:rFonts w:cs="Arial"/>
                <w:sz w:val="20"/>
              </w:rPr>
              <w:t>Tanzania</w:t>
            </w:r>
          </w:p>
        </w:tc>
        <w:tc>
          <w:tcPr>
            <w:tcW w:w="1030" w:type="pct"/>
            <w:vAlign w:val="bottom"/>
          </w:tcPr>
          <w:p w14:paraId="5FD9BC05" w14:textId="77777777" w:rsidR="00686367" w:rsidRPr="00346F1D" w:rsidRDefault="00686367" w:rsidP="00BF2048">
            <w:pPr>
              <w:spacing w:before="0" w:after="0" w:line="240" w:lineRule="auto"/>
              <w:rPr>
                <w:i/>
                <w:color w:val="000000"/>
                <w:sz w:val="20"/>
              </w:rPr>
            </w:pPr>
            <w:r w:rsidRPr="00346F1D">
              <w:rPr>
                <w:i/>
                <w:color w:val="000000"/>
                <w:sz w:val="20"/>
              </w:rPr>
              <w:t>16</w:t>
            </w:r>
          </w:p>
        </w:tc>
        <w:tc>
          <w:tcPr>
            <w:tcW w:w="1030" w:type="pct"/>
            <w:vAlign w:val="bottom"/>
          </w:tcPr>
          <w:p w14:paraId="3F0F0547" w14:textId="77777777" w:rsidR="00686367" w:rsidRPr="00346F1D" w:rsidRDefault="00686367" w:rsidP="00BF2048">
            <w:pPr>
              <w:spacing w:before="0" w:after="0" w:line="240" w:lineRule="auto"/>
              <w:rPr>
                <w:i/>
                <w:color w:val="000000"/>
                <w:sz w:val="20"/>
              </w:rPr>
            </w:pPr>
            <w:r w:rsidRPr="00346F1D">
              <w:rPr>
                <w:i/>
                <w:color w:val="000000"/>
                <w:sz w:val="20"/>
              </w:rPr>
              <w:t>34</w:t>
            </w:r>
          </w:p>
        </w:tc>
        <w:tc>
          <w:tcPr>
            <w:tcW w:w="1028" w:type="pct"/>
            <w:noWrap/>
            <w:vAlign w:val="bottom"/>
          </w:tcPr>
          <w:p w14:paraId="3E4A3921" w14:textId="77777777" w:rsidR="00686367" w:rsidRPr="00346F1D" w:rsidRDefault="00686367" w:rsidP="00BF2048">
            <w:pPr>
              <w:spacing w:before="0" w:after="0" w:line="240" w:lineRule="auto"/>
              <w:rPr>
                <w:color w:val="000000"/>
                <w:sz w:val="20"/>
              </w:rPr>
            </w:pPr>
            <w:r w:rsidRPr="00346F1D">
              <w:rPr>
                <w:color w:val="000000"/>
                <w:sz w:val="20"/>
              </w:rPr>
              <w:t>50</w:t>
            </w:r>
          </w:p>
        </w:tc>
      </w:tr>
      <w:tr w:rsidR="00686367" w:rsidRPr="00346F1D" w14:paraId="00B9C1C5" w14:textId="77777777" w:rsidTr="00BF2048">
        <w:trPr>
          <w:trHeight w:val="20"/>
        </w:trPr>
        <w:tc>
          <w:tcPr>
            <w:tcW w:w="294" w:type="pct"/>
          </w:tcPr>
          <w:p w14:paraId="4E272D73" w14:textId="77777777" w:rsidR="00686367" w:rsidRPr="006533F9" w:rsidRDefault="00686367" w:rsidP="00BF2048">
            <w:pPr>
              <w:spacing w:before="0" w:after="0" w:line="240" w:lineRule="auto"/>
              <w:rPr>
                <w:rFonts w:cs="Arial"/>
                <w:sz w:val="20"/>
              </w:rPr>
            </w:pPr>
            <w:r>
              <w:rPr>
                <w:rFonts w:cs="Arial"/>
                <w:sz w:val="20"/>
              </w:rPr>
              <w:t>7</w:t>
            </w:r>
          </w:p>
        </w:tc>
        <w:tc>
          <w:tcPr>
            <w:tcW w:w="1618" w:type="pct"/>
            <w:noWrap/>
            <w:vAlign w:val="bottom"/>
          </w:tcPr>
          <w:p w14:paraId="50076A92" w14:textId="77777777" w:rsidR="00686367" w:rsidRPr="00346F1D" w:rsidRDefault="00686367" w:rsidP="00BF2048">
            <w:pPr>
              <w:spacing w:before="0" w:after="0" w:line="240" w:lineRule="auto"/>
              <w:rPr>
                <w:rFonts w:cs="Arial"/>
                <w:sz w:val="20"/>
              </w:rPr>
            </w:pPr>
            <w:r w:rsidRPr="00346F1D">
              <w:rPr>
                <w:rFonts w:cs="Arial"/>
                <w:sz w:val="20"/>
              </w:rPr>
              <w:t>Cameroon</w:t>
            </w:r>
          </w:p>
        </w:tc>
        <w:tc>
          <w:tcPr>
            <w:tcW w:w="1030" w:type="pct"/>
            <w:vAlign w:val="bottom"/>
          </w:tcPr>
          <w:p w14:paraId="47903C0E" w14:textId="77777777" w:rsidR="00686367" w:rsidRPr="00346F1D" w:rsidRDefault="00686367" w:rsidP="00BF2048">
            <w:pPr>
              <w:spacing w:before="0" w:after="0" w:line="240" w:lineRule="auto"/>
              <w:rPr>
                <w:i/>
                <w:color w:val="000000"/>
                <w:sz w:val="20"/>
              </w:rPr>
            </w:pPr>
            <w:r w:rsidRPr="00346F1D">
              <w:rPr>
                <w:i/>
                <w:color w:val="000000"/>
                <w:sz w:val="20"/>
              </w:rPr>
              <w:t>18</w:t>
            </w:r>
          </w:p>
        </w:tc>
        <w:tc>
          <w:tcPr>
            <w:tcW w:w="1030" w:type="pct"/>
            <w:vAlign w:val="bottom"/>
          </w:tcPr>
          <w:p w14:paraId="035CB6D6" w14:textId="77777777" w:rsidR="00686367" w:rsidRPr="00346F1D" w:rsidRDefault="00686367" w:rsidP="00BF2048">
            <w:pPr>
              <w:spacing w:before="0" w:after="0" w:line="240" w:lineRule="auto"/>
              <w:rPr>
                <w:i/>
                <w:color w:val="000000"/>
                <w:sz w:val="20"/>
              </w:rPr>
            </w:pPr>
            <w:r w:rsidRPr="00346F1D">
              <w:rPr>
                <w:i/>
                <w:color w:val="000000"/>
                <w:sz w:val="20"/>
              </w:rPr>
              <w:t>30</w:t>
            </w:r>
          </w:p>
        </w:tc>
        <w:tc>
          <w:tcPr>
            <w:tcW w:w="1028" w:type="pct"/>
            <w:noWrap/>
            <w:vAlign w:val="bottom"/>
          </w:tcPr>
          <w:p w14:paraId="16DEE9BD" w14:textId="77777777" w:rsidR="00686367" w:rsidRPr="00346F1D" w:rsidRDefault="00686367" w:rsidP="00BF2048">
            <w:pPr>
              <w:spacing w:before="0" w:after="0" w:line="240" w:lineRule="auto"/>
              <w:rPr>
                <w:color w:val="000000"/>
                <w:sz w:val="20"/>
              </w:rPr>
            </w:pPr>
            <w:r w:rsidRPr="00346F1D">
              <w:rPr>
                <w:color w:val="000000"/>
                <w:sz w:val="20"/>
              </w:rPr>
              <w:t>48</w:t>
            </w:r>
          </w:p>
        </w:tc>
      </w:tr>
      <w:tr w:rsidR="00686367" w:rsidRPr="00346F1D" w14:paraId="0628B694" w14:textId="77777777" w:rsidTr="00BF2048">
        <w:trPr>
          <w:trHeight w:val="20"/>
        </w:trPr>
        <w:tc>
          <w:tcPr>
            <w:tcW w:w="294" w:type="pct"/>
          </w:tcPr>
          <w:p w14:paraId="714B4854" w14:textId="77777777" w:rsidR="00686367" w:rsidRPr="006533F9" w:rsidRDefault="00686367" w:rsidP="00BF2048">
            <w:pPr>
              <w:spacing w:before="0" w:after="0" w:line="240" w:lineRule="auto"/>
              <w:rPr>
                <w:rFonts w:cs="Arial"/>
                <w:sz w:val="20"/>
              </w:rPr>
            </w:pPr>
            <w:r>
              <w:rPr>
                <w:rFonts w:cs="Arial"/>
                <w:sz w:val="20"/>
              </w:rPr>
              <w:t>8</w:t>
            </w:r>
          </w:p>
        </w:tc>
        <w:tc>
          <w:tcPr>
            <w:tcW w:w="1618" w:type="pct"/>
            <w:noWrap/>
            <w:vAlign w:val="bottom"/>
          </w:tcPr>
          <w:p w14:paraId="7022AD55" w14:textId="77777777" w:rsidR="00686367" w:rsidRPr="00346F1D" w:rsidRDefault="00686367" w:rsidP="00BF2048">
            <w:pPr>
              <w:spacing w:before="0" w:after="0" w:line="240" w:lineRule="auto"/>
              <w:rPr>
                <w:rFonts w:cs="Arial"/>
                <w:sz w:val="20"/>
              </w:rPr>
            </w:pPr>
            <w:r w:rsidRPr="00346F1D">
              <w:rPr>
                <w:rFonts w:cs="Arial"/>
                <w:sz w:val="20"/>
              </w:rPr>
              <w:t>Madagascar</w:t>
            </w:r>
          </w:p>
        </w:tc>
        <w:tc>
          <w:tcPr>
            <w:tcW w:w="1030" w:type="pct"/>
            <w:vAlign w:val="bottom"/>
          </w:tcPr>
          <w:p w14:paraId="7D609421" w14:textId="77777777" w:rsidR="00686367" w:rsidRPr="00346F1D" w:rsidRDefault="00686367" w:rsidP="00BF2048">
            <w:pPr>
              <w:spacing w:before="0" w:after="0" w:line="240" w:lineRule="auto"/>
              <w:rPr>
                <w:i/>
                <w:color w:val="000000"/>
                <w:sz w:val="20"/>
              </w:rPr>
            </w:pPr>
            <w:r w:rsidRPr="00346F1D">
              <w:rPr>
                <w:i/>
                <w:color w:val="000000"/>
                <w:sz w:val="20"/>
              </w:rPr>
              <w:t>22</w:t>
            </w:r>
          </w:p>
        </w:tc>
        <w:tc>
          <w:tcPr>
            <w:tcW w:w="1030" w:type="pct"/>
            <w:vAlign w:val="bottom"/>
          </w:tcPr>
          <w:p w14:paraId="7D1FB8BC" w14:textId="77777777" w:rsidR="00686367" w:rsidRPr="00346F1D" w:rsidRDefault="00686367" w:rsidP="00BF2048">
            <w:pPr>
              <w:spacing w:before="0" w:after="0" w:line="240" w:lineRule="auto"/>
              <w:rPr>
                <w:i/>
                <w:color w:val="000000"/>
                <w:sz w:val="20"/>
              </w:rPr>
            </w:pPr>
            <w:r w:rsidRPr="00346F1D">
              <w:rPr>
                <w:i/>
                <w:color w:val="000000"/>
                <w:sz w:val="20"/>
              </w:rPr>
              <w:t>15</w:t>
            </w:r>
          </w:p>
        </w:tc>
        <w:tc>
          <w:tcPr>
            <w:tcW w:w="1028" w:type="pct"/>
            <w:noWrap/>
            <w:vAlign w:val="bottom"/>
          </w:tcPr>
          <w:p w14:paraId="44FF0327" w14:textId="77777777" w:rsidR="00686367" w:rsidRPr="00346F1D" w:rsidRDefault="00686367" w:rsidP="00BF2048">
            <w:pPr>
              <w:spacing w:before="0" w:after="0" w:line="240" w:lineRule="auto"/>
              <w:rPr>
                <w:color w:val="000000"/>
                <w:sz w:val="20"/>
              </w:rPr>
            </w:pPr>
            <w:r w:rsidRPr="00346F1D">
              <w:rPr>
                <w:color w:val="000000"/>
                <w:sz w:val="20"/>
              </w:rPr>
              <w:t>37</w:t>
            </w:r>
          </w:p>
        </w:tc>
      </w:tr>
      <w:tr w:rsidR="00686367" w:rsidRPr="00346F1D" w14:paraId="293C8352" w14:textId="77777777" w:rsidTr="00BF2048">
        <w:trPr>
          <w:trHeight w:val="20"/>
        </w:trPr>
        <w:tc>
          <w:tcPr>
            <w:tcW w:w="294" w:type="pct"/>
          </w:tcPr>
          <w:p w14:paraId="62F10336" w14:textId="77777777" w:rsidR="00686367" w:rsidRPr="006533F9" w:rsidRDefault="00686367" w:rsidP="00BF2048">
            <w:pPr>
              <w:spacing w:before="0" w:after="0" w:line="240" w:lineRule="auto"/>
              <w:rPr>
                <w:rFonts w:cs="Arial"/>
                <w:sz w:val="20"/>
              </w:rPr>
            </w:pPr>
            <w:r>
              <w:rPr>
                <w:rFonts w:cs="Arial"/>
                <w:sz w:val="20"/>
              </w:rPr>
              <w:t>9</w:t>
            </w:r>
          </w:p>
        </w:tc>
        <w:tc>
          <w:tcPr>
            <w:tcW w:w="1618" w:type="pct"/>
            <w:noWrap/>
            <w:vAlign w:val="bottom"/>
          </w:tcPr>
          <w:p w14:paraId="53151857" w14:textId="77777777" w:rsidR="00686367" w:rsidRPr="00346F1D" w:rsidRDefault="00686367" w:rsidP="00BF2048">
            <w:pPr>
              <w:spacing w:before="0" w:after="0" w:line="240" w:lineRule="auto"/>
              <w:rPr>
                <w:rFonts w:cs="Arial"/>
                <w:sz w:val="20"/>
              </w:rPr>
            </w:pPr>
            <w:r w:rsidRPr="00346F1D">
              <w:rPr>
                <w:rFonts w:cs="Arial"/>
                <w:sz w:val="20"/>
              </w:rPr>
              <w:t>Malawi</w:t>
            </w:r>
          </w:p>
        </w:tc>
        <w:tc>
          <w:tcPr>
            <w:tcW w:w="1030" w:type="pct"/>
            <w:vAlign w:val="bottom"/>
          </w:tcPr>
          <w:p w14:paraId="6B53A6C2" w14:textId="77777777" w:rsidR="00686367" w:rsidRPr="00346F1D" w:rsidRDefault="00686367" w:rsidP="00BF2048">
            <w:pPr>
              <w:spacing w:before="0" w:after="0" w:line="240" w:lineRule="auto"/>
              <w:rPr>
                <w:i/>
                <w:color w:val="000000"/>
                <w:sz w:val="20"/>
              </w:rPr>
            </w:pPr>
            <w:r w:rsidRPr="00346F1D">
              <w:rPr>
                <w:i/>
                <w:color w:val="000000"/>
                <w:sz w:val="20"/>
              </w:rPr>
              <w:t>7</w:t>
            </w:r>
          </w:p>
        </w:tc>
        <w:tc>
          <w:tcPr>
            <w:tcW w:w="1030" w:type="pct"/>
            <w:vAlign w:val="bottom"/>
          </w:tcPr>
          <w:p w14:paraId="03314290" w14:textId="77777777" w:rsidR="00686367" w:rsidRPr="00346F1D" w:rsidRDefault="00686367" w:rsidP="00BF2048">
            <w:pPr>
              <w:spacing w:before="0" w:after="0" w:line="240" w:lineRule="auto"/>
              <w:rPr>
                <w:i/>
                <w:color w:val="000000"/>
                <w:sz w:val="20"/>
              </w:rPr>
            </w:pPr>
            <w:r w:rsidRPr="00346F1D">
              <w:rPr>
                <w:i/>
                <w:color w:val="000000"/>
                <w:sz w:val="20"/>
              </w:rPr>
              <w:t>23</w:t>
            </w:r>
          </w:p>
        </w:tc>
        <w:tc>
          <w:tcPr>
            <w:tcW w:w="1028" w:type="pct"/>
            <w:noWrap/>
            <w:vAlign w:val="bottom"/>
          </w:tcPr>
          <w:p w14:paraId="13D338F3" w14:textId="77777777" w:rsidR="00686367" w:rsidRPr="00346F1D" w:rsidRDefault="00686367" w:rsidP="00BF2048">
            <w:pPr>
              <w:spacing w:before="0" w:after="0" w:line="240" w:lineRule="auto"/>
              <w:rPr>
                <w:color w:val="000000"/>
                <w:sz w:val="20"/>
              </w:rPr>
            </w:pPr>
            <w:r w:rsidRPr="00346F1D">
              <w:rPr>
                <w:color w:val="000000"/>
                <w:sz w:val="20"/>
              </w:rPr>
              <w:t>30</w:t>
            </w:r>
          </w:p>
        </w:tc>
      </w:tr>
      <w:tr w:rsidR="00686367" w:rsidRPr="00346F1D" w14:paraId="23FA707B" w14:textId="77777777" w:rsidTr="00BF2048">
        <w:trPr>
          <w:trHeight w:val="20"/>
        </w:trPr>
        <w:tc>
          <w:tcPr>
            <w:tcW w:w="294" w:type="pct"/>
          </w:tcPr>
          <w:p w14:paraId="11869E62" w14:textId="77777777" w:rsidR="00686367" w:rsidRPr="006533F9" w:rsidRDefault="00686367" w:rsidP="00BF2048">
            <w:pPr>
              <w:spacing w:before="0" w:after="0" w:line="240" w:lineRule="auto"/>
              <w:rPr>
                <w:rFonts w:cs="Arial"/>
                <w:sz w:val="20"/>
              </w:rPr>
            </w:pPr>
            <w:r>
              <w:rPr>
                <w:rFonts w:cs="Arial"/>
                <w:sz w:val="20"/>
              </w:rPr>
              <w:t>10</w:t>
            </w:r>
          </w:p>
        </w:tc>
        <w:tc>
          <w:tcPr>
            <w:tcW w:w="1618" w:type="pct"/>
            <w:noWrap/>
            <w:vAlign w:val="bottom"/>
          </w:tcPr>
          <w:p w14:paraId="7476D4EA" w14:textId="77777777" w:rsidR="00686367" w:rsidRPr="00346F1D" w:rsidRDefault="00686367" w:rsidP="00BF2048">
            <w:pPr>
              <w:spacing w:before="0" w:after="0" w:line="240" w:lineRule="auto"/>
              <w:rPr>
                <w:rFonts w:cs="Arial"/>
                <w:sz w:val="20"/>
              </w:rPr>
            </w:pPr>
            <w:r w:rsidRPr="00346F1D">
              <w:rPr>
                <w:rFonts w:cs="Arial"/>
                <w:sz w:val="20"/>
              </w:rPr>
              <w:t>Zambia</w:t>
            </w:r>
          </w:p>
        </w:tc>
        <w:tc>
          <w:tcPr>
            <w:tcW w:w="1030" w:type="pct"/>
            <w:vAlign w:val="bottom"/>
          </w:tcPr>
          <w:p w14:paraId="0DD30182" w14:textId="77777777" w:rsidR="00686367" w:rsidRPr="00346F1D" w:rsidRDefault="00686367" w:rsidP="00BF2048">
            <w:pPr>
              <w:spacing w:before="0" w:after="0" w:line="240" w:lineRule="auto"/>
              <w:rPr>
                <w:i/>
                <w:color w:val="000000"/>
                <w:sz w:val="20"/>
              </w:rPr>
            </w:pPr>
            <w:r w:rsidRPr="00346F1D">
              <w:rPr>
                <w:i/>
                <w:color w:val="000000"/>
                <w:sz w:val="20"/>
              </w:rPr>
              <w:t>6</w:t>
            </w:r>
          </w:p>
        </w:tc>
        <w:tc>
          <w:tcPr>
            <w:tcW w:w="1030" w:type="pct"/>
            <w:vAlign w:val="bottom"/>
          </w:tcPr>
          <w:p w14:paraId="72ED8C4D" w14:textId="77777777" w:rsidR="00686367" w:rsidRPr="00346F1D" w:rsidRDefault="00686367" w:rsidP="00BF2048">
            <w:pPr>
              <w:spacing w:before="0" w:after="0" w:line="240" w:lineRule="auto"/>
              <w:rPr>
                <w:i/>
                <w:color w:val="000000"/>
                <w:sz w:val="20"/>
              </w:rPr>
            </w:pPr>
            <w:r w:rsidRPr="00346F1D">
              <w:rPr>
                <w:i/>
                <w:color w:val="000000"/>
                <w:sz w:val="20"/>
              </w:rPr>
              <w:t>19</w:t>
            </w:r>
          </w:p>
        </w:tc>
        <w:tc>
          <w:tcPr>
            <w:tcW w:w="1028" w:type="pct"/>
            <w:noWrap/>
            <w:vAlign w:val="bottom"/>
          </w:tcPr>
          <w:p w14:paraId="1E2C4908" w14:textId="77777777" w:rsidR="00686367" w:rsidRPr="00346F1D" w:rsidRDefault="00686367" w:rsidP="00BF2048">
            <w:pPr>
              <w:spacing w:before="0" w:after="0" w:line="240" w:lineRule="auto"/>
              <w:rPr>
                <w:color w:val="000000"/>
                <w:sz w:val="20"/>
              </w:rPr>
            </w:pPr>
            <w:r w:rsidRPr="00346F1D">
              <w:rPr>
                <w:color w:val="000000"/>
                <w:sz w:val="20"/>
              </w:rPr>
              <w:t>25</w:t>
            </w:r>
          </w:p>
        </w:tc>
      </w:tr>
    </w:tbl>
    <w:p w14:paraId="122E5635" w14:textId="5917D515" w:rsidR="00D96A5C" w:rsidRDefault="009A1A73" w:rsidP="00D96A5C">
      <w:pPr>
        <w:spacing w:before="160"/>
      </w:pPr>
      <w:r w:rsidRPr="009A1A73">
        <w:t>Posts and c</w:t>
      </w:r>
      <w:r w:rsidR="001F70F6" w:rsidRPr="009A1A73">
        <w:t xml:space="preserve">oordinating authorities </w:t>
      </w:r>
      <w:r w:rsidRPr="009A1A73">
        <w:t xml:space="preserve">alike noted that the annual country profile process is a useful mechanism to discuss priority sectors for Australia Awards scholarships and short courses with each of the participating countries. </w:t>
      </w:r>
      <w:r w:rsidRPr="006922C8">
        <w:t xml:space="preserve">While </w:t>
      </w:r>
      <w:r w:rsidR="006922C8" w:rsidRPr="006922C8">
        <w:t xml:space="preserve">agriculture, </w:t>
      </w:r>
      <w:r w:rsidR="00FC617C" w:rsidRPr="006922C8">
        <w:t xml:space="preserve">extractives </w:t>
      </w:r>
      <w:r w:rsidR="006922C8" w:rsidRPr="006922C8">
        <w:t>and governance/public policy dominat</w:t>
      </w:r>
      <w:r w:rsidR="00DA1E1F">
        <w:t>e</w:t>
      </w:r>
      <w:r w:rsidR="006922C8" w:rsidRPr="006922C8">
        <w:t xml:space="preserve"> the priority sectors </w:t>
      </w:r>
      <w:r w:rsidRPr="006922C8">
        <w:t xml:space="preserve">(as per the design document), DFAT’s Africa Branch and Palladium are responding to </w:t>
      </w:r>
      <w:r w:rsidRPr="005934DF">
        <w:t>feedback from Posts and African countries about emerging priority sectors (as demonstrated in Table</w:t>
      </w:r>
      <w:r w:rsidR="00D96A5C">
        <w:t xml:space="preserve"> </w:t>
      </w:r>
      <w:r w:rsidR="00A002BF">
        <w:t>2</w:t>
      </w:r>
      <w:r w:rsidRPr="005934DF">
        <w:t xml:space="preserve">). </w:t>
      </w:r>
      <w:r w:rsidR="00714057" w:rsidRPr="005934DF">
        <w:t>It is noted</w:t>
      </w:r>
      <w:r w:rsidR="00714057">
        <w:t xml:space="preserve"> these sectors </w:t>
      </w:r>
      <w:r w:rsidR="00D96A5C">
        <w:t xml:space="preserve">are </w:t>
      </w:r>
      <w:r w:rsidR="00714057">
        <w:t>consistent with the global Awards sector priorities</w:t>
      </w:r>
      <w:r w:rsidR="0054017B">
        <w:t>.</w:t>
      </w:r>
      <w:r w:rsidR="00714057">
        <w:rPr>
          <w:rStyle w:val="FootnoteReference"/>
        </w:rPr>
        <w:footnoteReference w:id="26"/>
      </w:r>
      <w:r w:rsidR="00714057">
        <w:t xml:space="preserve"> </w:t>
      </w:r>
    </w:p>
    <w:p w14:paraId="16ADE68E" w14:textId="761397C0" w:rsidR="00D96A5C" w:rsidRPr="007E7BD0" w:rsidRDefault="00D96A5C" w:rsidP="00D96A5C">
      <w:pPr>
        <w:spacing w:before="160"/>
      </w:pPr>
      <w:r w:rsidRPr="007E7BD0">
        <w:lastRenderedPageBreak/>
        <w:t xml:space="preserve">This flexibility around additional sectors for Australia Awards scholarships and short courses </w:t>
      </w:r>
      <w:proofErr w:type="gramStart"/>
      <w:r w:rsidRPr="007E7BD0">
        <w:t>is</w:t>
      </w:r>
      <w:proofErr w:type="gramEnd"/>
      <w:r w:rsidRPr="007E7BD0">
        <w:t xml:space="preserve"> welcomed by coordinating authorities. The evaluation notes consistent messages from coordinating authorities around technical and vocational education and training (TVET) skills being important for the economic growth aspirations of African countries</w:t>
      </w:r>
      <w:r>
        <w:t>.</w:t>
      </w:r>
      <w:r>
        <w:rPr>
          <w:rStyle w:val="FootnoteReference"/>
        </w:rPr>
        <w:footnoteReference w:id="27"/>
      </w:r>
      <w:r w:rsidRPr="007E7BD0">
        <w:t xml:space="preserve"> Australia Awards in Africa </w:t>
      </w:r>
      <w:r>
        <w:t xml:space="preserve">has responded to this feedback by introducing </w:t>
      </w:r>
      <w:r w:rsidRPr="007E7BD0">
        <w:t>a TVET short course</w:t>
      </w:r>
      <w:r>
        <w:t xml:space="preserve"> in 2019</w:t>
      </w:r>
      <w:r w:rsidRPr="007E7BD0">
        <w:t xml:space="preserve">.  </w:t>
      </w:r>
    </w:p>
    <w:p w14:paraId="28728B03" w14:textId="77777777" w:rsidR="009A1A73" w:rsidRPr="006922C8" w:rsidRDefault="00D96A5C" w:rsidP="009A1A73">
      <w:pPr>
        <w:spacing w:before="160"/>
      </w:pPr>
      <w:r w:rsidRPr="00C20D77">
        <w:t xml:space="preserve">The flexibility to add in more sectors is proving useful to support the full of objectives of Australia Awards in Africa. For example, women are under-represented in the agriculture and extractives sectors compared with men, but the inclusion of health and governance/public policy sectors sees their participation rates increase (see Appendix D).   </w:t>
      </w:r>
    </w:p>
    <w:p w14:paraId="4D4BB91F" w14:textId="77777777" w:rsidR="00CF7CFA" w:rsidRDefault="00CF7CFA" w:rsidP="00CF7CFA">
      <w:pPr>
        <w:pStyle w:val="TableName"/>
      </w:pPr>
      <w:bookmarkStart w:id="21" w:name="_Toc527411608"/>
      <w:bookmarkStart w:id="22" w:name="_Toc531699542"/>
      <w:bookmarkStart w:id="23" w:name="_Toc1729540"/>
      <w:r w:rsidRPr="002639EA">
        <w:t xml:space="preserve">Table </w:t>
      </w:r>
      <w:r w:rsidR="00FA778B">
        <w:t>2</w:t>
      </w:r>
      <w:r w:rsidRPr="002639EA">
        <w:tab/>
        <w:t xml:space="preserve">Australia Awards </w:t>
      </w:r>
      <w:r w:rsidR="00FC617C" w:rsidRPr="002639EA">
        <w:t>s</w:t>
      </w:r>
      <w:r w:rsidRPr="002639EA">
        <w:t>cholarships by priority sector, Intakes 2016 – 2019</w:t>
      </w:r>
      <w:bookmarkEnd w:id="21"/>
      <w:bookmarkEnd w:id="22"/>
      <w:bookmarkEnd w:id="23"/>
    </w:p>
    <w:tbl>
      <w:tblPr>
        <w:tblStyle w:val="TableGrid"/>
        <w:tblW w:w="5000" w:type="pct"/>
        <w:tblLook w:val="04A0" w:firstRow="1" w:lastRow="0" w:firstColumn="1" w:lastColumn="0" w:noHBand="0" w:noVBand="1"/>
      </w:tblPr>
      <w:tblGrid>
        <w:gridCol w:w="2357"/>
        <w:gridCol w:w="945"/>
        <w:gridCol w:w="945"/>
        <w:gridCol w:w="946"/>
        <w:gridCol w:w="946"/>
        <w:gridCol w:w="946"/>
        <w:gridCol w:w="1941"/>
      </w:tblGrid>
      <w:tr w:rsidR="002639EA" w:rsidRPr="00CF7CFA" w14:paraId="740C743D" w14:textId="77777777" w:rsidTr="006922C8">
        <w:trPr>
          <w:cnfStyle w:val="100000000000" w:firstRow="1" w:lastRow="0" w:firstColumn="0" w:lastColumn="0" w:oddVBand="0" w:evenVBand="0" w:oddHBand="0" w:evenHBand="0" w:firstRowFirstColumn="0" w:firstRowLastColumn="0" w:lastRowFirstColumn="0" w:lastRowLastColumn="0"/>
          <w:trHeight w:val="20"/>
          <w:tblHeader/>
        </w:trPr>
        <w:tc>
          <w:tcPr>
            <w:tcW w:w="1118" w:type="pct"/>
            <w:noWrap/>
            <w:hideMark/>
          </w:tcPr>
          <w:p w14:paraId="6D09BB97" w14:textId="77777777" w:rsidR="00CF7CFA" w:rsidRPr="00CF7CFA" w:rsidRDefault="00CF7CFA" w:rsidP="002601E3">
            <w:pPr>
              <w:spacing w:before="0" w:after="0" w:line="240" w:lineRule="auto"/>
              <w:rPr>
                <w:b/>
                <w:bCs/>
                <w:color w:val="000000"/>
                <w:sz w:val="20"/>
                <w:lang w:val="en-NZ" w:eastAsia="en-NZ"/>
              </w:rPr>
            </w:pPr>
            <w:r w:rsidRPr="00CF7CFA">
              <w:rPr>
                <w:b/>
                <w:bCs/>
                <w:color w:val="000000"/>
                <w:sz w:val="20"/>
                <w:lang w:val="en-NZ" w:eastAsia="en-NZ"/>
              </w:rPr>
              <w:t>Sector</w:t>
            </w:r>
          </w:p>
        </w:tc>
        <w:tc>
          <w:tcPr>
            <w:tcW w:w="555" w:type="pct"/>
            <w:noWrap/>
            <w:hideMark/>
          </w:tcPr>
          <w:p w14:paraId="296E8E30" w14:textId="77777777" w:rsidR="00CF7CFA" w:rsidRPr="00CF7CFA" w:rsidRDefault="00CF7CFA" w:rsidP="00FC617C">
            <w:pPr>
              <w:spacing w:before="0" w:after="0" w:line="240" w:lineRule="auto"/>
              <w:jc w:val="right"/>
              <w:rPr>
                <w:b/>
                <w:bCs/>
                <w:color w:val="000000"/>
                <w:sz w:val="20"/>
                <w:lang w:val="en-NZ" w:eastAsia="en-NZ"/>
              </w:rPr>
            </w:pPr>
            <w:r w:rsidRPr="00CF7CFA">
              <w:rPr>
                <w:b/>
                <w:bCs/>
                <w:color w:val="000000"/>
                <w:sz w:val="20"/>
                <w:lang w:val="en-NZ" w:eastAsia="en-NZ"/>
              </w:rPr>
              <w:t>2016</w:t>
            </w:r>
          </w:p>
        </w:tc>
        <w:tc>
          <w:tcPr>
            <w:tcW w:w="555" w:type="pct"/>
            <w:noWrap/>
            <w:hideMark/>
          </w:tcPr>
          <w:p w14:paraId="11518482" w14:textId="77777777" w:rsidR="00CF7CFA" w:rsidRPr="00CF7CFA" w:rsidRDefault="00CF7CFA" w:rsidP="00FC617C">
            <w:pPr>
              <w:spacing w:before="0" w:after="0" w:line="240" w:lineRule="auto"/>
              <w:jc w:val="right"/>
              <w:rPr>
                <w:b/>
                <w:bCs/>
                <w:color w:val="000000"/>
                <w:sz w:val="20"/>
                <w:lang w:val="en-NZ" w:eastAsia="en-NZ"/>
              </w:rPr>
            </w:pPr>
            <w:r w:rsidRPr="00CF7CFA">
              <w:rPr>
                <w:b/>
                <w:bCs/>
                <w:color w:val="000000"/>
                <w:sz w:val="20"/>
                <w:lang w:val="en-NZ" w:eastAsia="en-NZ"/>
              </w:rPr>
              <w:t>2017</w:t>
            </w:r>
          </w:p>
        </w:tc>
        <w:tc>
          <w:tcPr>
            <w:tcW w:w="555" w:type="pct"/>
            <w:noWrap/>
            <w:hideMark/>
          </w:tcPr>
          <w:p w14:paraId="7F55241F" w14:textId="77777777" w:rsidR="00CF7CFA" w:rsidRPr="00CF7CFA" w:rsidRDefault="00CF7CFA" w:rsidP="00FC617C">
            <w:pPr>
              <w:spacing w:before="0" w:after="0" w:line="240" w:lineRule="auto"/>
              <w:jc w:val="right"/>
              <w:rPr>
                <w:b/>
                <w:bCs/>
                <w:color w:val="000000"/>
                <w:sz w:val="20"/>
                <w:lang w:val="en-NZ" w:eastAsia="en-NZ"/>
              </w:rPr>
            </w:pPr>
            <w:r w:rsidRPr="00CF7CFA">
              <w:rPr>
                <w:b/>
                <w:bCs/>
                <w:color w:val="000000"/>
                <w:sz w:val="20"/>
                <w:lang w:val="en-NZ" w:eastAsia="en-NZ"/>
              </w:rPr>
              <w:t>2018</w:t>
            </w:r>
          </w:p>
        </w:tc>
        <w:tc>
          <w:tcPr>
            <w:tcW w:w="555" w:type="pct"/>
            <w:noWrap/>
            <w:hideMark/>
          </w:tcPr>
          <w:p w14:paraId="0057C29C" w14:textId="77777777" w:rsidR="00CF7CFA" w:rsidRPr="00CF7CFA" w:rsidRDefault="00CF7CFA" w:rsidP="00FC617C">
            <w:pPr>
              <w:spacing w:before="0" w:after="0" w:line="240" w:lineRule="auto"/>
              <w:jc w:val="right"/>
              <w:rPr>
                <w:b/>
                <w:bCs/>
                <w:color w:val="000000"/>
                <w:sz w:val="20"/>
                <w:lang w:val="en-NZ" w:eastAsia="en-NZ"/>
              </w:rPr>
            </w:pPr>
            <w:r w:rsidRPr="00CF7CFA">
              <w:rPr>
                <w:b/>
                <w:bCs/>
                <w:color w:val="000000"/>
                <w:sz w:val="20"/>
                <w:lang w:val="en-NZ" w:eastAsia="en-NZ"/>
              </w:rPr>
              <w:t>2019</w:t>
            </w:r>
          </w:p>
        </w:tc>
        <w:tc>
          <w:tcPr>
            <w:tcW w:w="555" w:type="pct"/>
            <w:noWrap/>
            <w:hideMark/>
          </w:tcPr>
          <w:p w14:paraId="41D18C33" w14:textId="77777777" w:rsidR="00CF7CFA" w:rsidRPr="00CF7CFA" w:rsidRDefault="00CF7CFA" w:rsidP="00FC617C">
            <w:pPr>
              <w:spacing w:before="0" w:after="0" w:line="240" w:lineRule="auto"/>
              <w:jc w:val="right"/>
              <w:rPr>
                <w:b/>
                <w:bCs/>
                <w:color w:val="000000"/>
                <w:sz w:val="20"/>
                <w:lang w:val="en-NZ" w:eastAsia="en-NZ"/>
              </w:rPr>
            </w:pPr>
            <w:r w:rsidRPr="00CF7CFA">
              <w:rPr>
                <w:b/>
                <w:bCs/>
                <w:color w:val="000000"/>
                <w:sz w:val="20"/>
                <w:lang w:val="en-NZ" w:eastAsia="en-NZ"/>
              </w:rPr>
              <w:t>Total</w:t>
            </w:r>
          </w:p>
        </w:tc>
        <w:tc>
          <w:tcPr>
            <w:tcW w:w="1106" w:type="pct"/>
            <w:noWrap/>
            <w:hideMark/>
          </w:tcPr>
          <w:p w14:paraId="1EFC5CD8" w14:textId="77777777" w:rsidR="00FC617C" w:rsidRDefault="00CF7CFA" w:rsidP="00FC617C">
            <w:pPr>
              <w:spacing w:before="0" w:after="0" w:line="240" w:lineRule="auto"/>
              <w:jc w:val="right"/>
              <w:rPr>
                <w:b/>
                <w:bCs/>
                <w:color w:val="000000"/>
                <w:sz w:val="20"/>
                <w:lang w:val="en-NZ" w:eastAsia="en-NZ"/>
              </w:rPr>
            </w:pPr>
            <w:r w:rsidRPr="00CF7CFA">
              <w:rPr>
                <w:b/>
                <w:bCs/>
                <w:color w:val="000000"/>
                <w:sz w:val="20"/>
                <w:lang w:val="en-NZ" w:eastAsia="en-NZ"/>
              </w:rPr>
              <w:t xml:space="preserve">% of total </w:t>
            </w:r>
          </w:p>
          <w:p w14:paraId="528283F0" w14:textId="77777777" w:rsidR="00CF7CFA" w:rsidRPr="00CF7CFA" w:rsidRDefault="00CF7CFA" w:rsidP="00FC617C">
            <w:pPr>
              <w:spacing w:before="0" w:after="0" w:line="240" w:lineRule="auto"/>
              <w:jc w:val="right"/>
              <w:rPr>
                <w:b/>
                <w:bCs/>
                <w:color w:val="000000"/>
                <w:sz w:val="20"/>
                <w:lang w:val="en-NZ" w:eastAsia="en-NZ"/>
              </w:rPr>
            </w:pPr>
            <w:r w:rsidRPr="00CF7CFA">
              <w:rPr>
                <w:b/>
                <w:bCs/>
                <w:color w:val="000000"/>
                <w:sz w:val="20"/>
                <w:lang w:val="en-NZ" w:eastAsia="en-NZ"/>
              </w:rPr>
              <w:t>(</w:t>
            </w:r>
            <w:r w:rsidR="00FC617C">
              <w:rPr>
                <w:b/>
                <w:bCs/>
                <w:color w:val="000000"/>
                <w:sz w:val="20"/>
                <w:lang w:val="en-NZ" w:eastAsia="en-NZ"/>
              </w:rPr>
              <w:t>2016-2019</w:t>
            </w:r>
            <w:r w:rsidRPr="00CF7CFA">
              <w:rPr>
                <w:b/>
                <w:bCs/>
                <w:color w:val="000000"/>
                <w:sz w:val="20"/>
                <w:lang w:val="en-NZ" w:eastAsia="en-NZ"/>
              </w:rPr>
              <w:t>)</w:t>
            </w:r>
          </w:p>
        </w:tc>
      </w:tr>
      <w:tr w:rsidR="002639EA" w:rsidRPr="00CF7CFA" w14:paraId="669485BB" w14:textId="77777777" w:rsidTr="006922C8">
        <w:trPr>
          <w:trHeight w:val="20"/>
        </w:trPr>
        <w:tc>
          <w:tcPr>
            <w:tcW w:w="1118" w:type="pct"/>
            <w:noWrap/>
            <w:hideMark/>
          </w:tcPr>
          <w:p w14:paraId="1CD43123" w14:textId="77777777" w:rsidR="00CF7CFA" w:rsidRPr="00CF7CFA" w:rsidRDefault="00CF7CFA" w:rsidP="002601E3">
            <w:pPr>
              <w:spacing w:before="0" w:after="0" w:line="240" w:lineRule="auto"/>
              <w:rPr>
                <w:color w:val="000000"/>
                <w:sz w:val="20"/>
                <w:lang w:val="en-NZ" w:eastAsia="en-NZ"/>
              </w:rPr>
            </w:pPr>
            <w:r w:rsidRPr="00CF7CFA">
              <w:rPr>
                <w:color w:val="000000"/>
                <w:sz w:val="20"/>
                <w:lang w:val="en-NZ" w:eastAsia="en-NZ"/>
              </w:rPr>
              <w:t>Agriculture</w:t>
            </w:r>
          </w:p>
        </w:tc>
        <w:tc>
          <w:tcPr>
            <w:tcW w:w="555" w:type="pct"/>
            <w:noWrap/>
            <w:hideMark/>
          </w:tcPr>
          <w:p w14:paraId="136DD1A0"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13</w:t>
            </w:r>
          </w:p>
        </w:tc>
        <w:tc>
          <w:tcPr>
            <w:tcW w:w="555" w:type="pct"/>
            <w:noWrap/>
            <w:hideMark/>
          </w:tcPr>
          <w:p w14:paraId="770FACA8"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38</w:t>
            </w:r>
          </w:p>
        </w:tc>
        <w:tc>
          <w:tcPr>
            <w:tcW w:w="555" w:type="pct"/>
            <w:noWrap/>
            <w:hideMark/>
          </w:tcPr>
          <w:p w14:paraId="2F5F9873"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43</w:t>
            </w:r>
          </w:p>
        </w:tc>
        <w:tc>
          <w:tcPr>
            <w:tcW w:w="555" w:type="pct"/>
            <w:noWrap/>
            <w:hideMark/>
          </w:tcPr>
          <w:p w14:paraId="01685184"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51</w:t>
            </w:r>
          </w:p>
        </w:tc>
        <w:tc>
          <w:tcPr>
            <w:tcW w:w="555" w:type="pct"/>
            <w:noWrap/>
            <w:hideMark/>
          </w:tcPr>
          <w:p w14:paraId="1A0BF159"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145</w:t>
            </w:r>
          </w:p>
        </w:tc>
        <w:tc>
          <w:tcPr>
            <w:tcW w:w="1106" w:type="pct"/>
            <w:noWrap/>
            <w:hideMark/>
          </w:tcPr>
          <w:p w14:paraId="5736A63E"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29%</w:t>
            </w:r>
          </w:p>
        </w:tc>
      </w:tr>
      <w:tr w:rsidR="002639EA" w:rsidRPr="00CF7CFA" w14:paraId="3A877777" w14:textId="77777777" w:rsidTr="006922C8">
        <w:trPr>
          <w:trHeight w:val="20"/>
        </w:trPr>
        <w:tc>
          <w:tcPr>
            <w:tcW w:w="1118" w:type="pct"/>
            <w:noWrap/>
            <w:hideMark/>
          </w:tcPr>
          <w:p w14:paraId="6ADB39FD" w14:textId="77777777" w:rsidR="00CF7CFA" w:rsidRPr="00CF7CFA" w:rsidRDefault="00CF7CFA" w:rsidP="002601E3">
            <w:pPr>
              <w:spacing w:before="0" w:after="0" w:line="240" w:lineRule="auto"/>
              <w:rPr>
                <w:color w:val="000000"/>
                <w:sz w:val="20"/>
                <w:lang w:val="en-NZ" w:eastAsia="en-NZ"/>
              </w:rPr>
            </w:pPr>
            <w:r w:rsidRPr="00CF7CFA">
              <w:rPr>
                <w:color w:val="000000"/>
                <w:sz w:val="20"/>
                <w:lang w:val="en-NZ" w:eastAsia="en-NZ"/>
              </w:rPr>
              <w:t>Governance</w:t>
            </w:r>
            <w:r w:rsidR="002639EA">
              <w:rPr>
                <w:color w:val="000000"/>
                <w:sz w:val="20"/>
                <w:lang w:val="en-NZ" w:eastAsia="en-NZ"/>
              </w:rPr>
              <w:t>/public policy</w:t>
            </w:r>
          </w:p>
        </w:tc>
        <w:tc>
          <w:tcPr>
            <w:tcW w:w="555" w:type="pct"/>
            <w:noWrap/>
            <w:hideMark/>
          </w:tcPr>
          <w:p w14:paraId="774C7DB1"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11</w:t>
            </w:r>
          </w:p>
        </w:tc>
        <w:tc>
          <w:tcPr>
            <w:tcW w:w="555" w:type="pct"/>
            <w:noWrap/>
            <w:hideMark/>
          </w:tcPr>
          <w:p w14:paraId="4C7EE6F6"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25</w:t>
            </w:r>
          </w:p>
        </w:tc>
        <w:tc>
          <w:tcPr>
            <w:tcW w:w="555" w:type="pct"/>
            <w:noWrap/>
            <w:hideMark/>
          </w:tcPr>
          <w:p w14:paraId="3B6F485B"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3</w:t>
            </w:r>
            <w:r w:rsidR="006922C8">
              <w:rPr>
                <w:color w:val="000000"/>
                <w:sz w:val="20"/>
                <w:lang w:val="en-NZ" w:eastAsia="en-NZ"/>
              </w:rPr>
              <w:t>4</w:t>
            </w:r>
          </w:p>
        </w:tc>
        <w:tc>
          <w:tcPr>
            <w:tcW w:w="555" w:type="pct"/>
            <w:noWrap/>
            <w:hideMark/>
          </w:tcPr>
          <w:p w14:paraId="37378E7F" w14:textId="77777777" w:rsidR="00CF7CFA" w:rsidRPr="00CF7CFA" w:rsidRDefault="006922C8" w:rsidP="00FC617C">
            <w:pPr>
              <w:spacing w:before="0" w:after="0" w:line="240" w:lineRule="auto"/>
              <w:jc w:val="right"/>
              <w:rPr>
                <w:color w:val="000000"/>
                <w:sz w:val="20"/>
                <w:lang w:val="en-NZ" w:eastAsia="en-NZ"/>
              </w:rPr>
            </w:pPr>
            <w:r>
              <w:rPr>
                <w:color w:val="000000"/>
                <w:sz w:val="20"/>
                <w:lang w:val="en-NZ" w:eastAsia="en-NZ"/>
              </w:rPr>
              <w:t>30</w:t>
            </w:r>
          </w:p>
        </w:tc>
        <w:tc>
          <w:tcPr>
            <w:tcW w:w="555" w:type="pct"/>
            <w:noWrap/>
            <w:hideMark/>
          </w:tcPr>
          <w:p w14:paraId="696263E5" w14:textId="77777777" w:rsidR="00CF7CFA" w:rsidRPr="00CF7CFA" w:rsidRDefault="006922C8" w:rsidP="00FC617C">
            <w:pPr>
              <w:spacing w:before="0" w:after="0" w:line="240" w:lineRule="auto"/>
              <w:jc w:val="right"/>
              <w:rPr>
                <w:color w:val="000000"/>
                <w:sz w:val="20"/>
                <w:lang w:val="en-NZ" w:eastAsia="en-NZ"/>
              </w:rPr>
            </w:pPr>
            <w:r>
              <w:rPr>
                <w:color w:val="000000"/>
                <w:sz w:val="20"/>
                <w:lang w:val="en-NZ" w:eastAsia="en-NZ"/>
              </w:rPr>
              <w:t>100</w:t>
            </w:r>
          </w:p>
        </w:tc>
        <w:tc>
          <w:tcPr>
            <w:tcW w:w="1106" w:type="pct"/>
            <w:noWrap/>
            <w:hideMark/>
          </w:tcPr>
          <w:p w14:paraId="7E9F2626"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2</w:t>
            </w:r>
            <w:r w:rsidR="006922C8">
              <w:rPr>
                <w:color w:val="000000"/>
                <w:sz w:val="20"/>
                <w:lang w:val="en-NZ" w:eastAsia="en-NZ"/>
              </w:rPr>
              <w:t>1</w:t>
            </w:r>
            <w:r w:rsidRPr="00CF7CFA">
              <w:rPr>
                <w:color w:val="000000"/>
                <w:sz w:val="20"/>
                <w:lang w:val="en-NZ" w:eastAsia="en-NZ"/>
              </w:rPr>
              <w:t>%</w:t>
            </w:r>
          </w:p>
        </w:tc>
      </w:tr>
      <w:tr w:rsidR="002639EA" w:rsidRPr="00CF7CFA" w14:paraId="41A74DA7" w14:textId="77777777" w:rsidTr="006922C8">
        <w:trPr>
          <w:trHeight w:val="20"/>
        </w:trPr>
        <w:tc>
          <w:tcPr>
            <w:tcW w:w="1118" w:type="pct"/>
            <w:noWrap/>
            <w:hideMark/>
          </w:tcPr>
          <w:p w14:paraId="79FEED37" w14:textId="02EE3194" w:rsidR="00CF7CFA" w:rsidRPr="00CF7CFA" w:rsidRDefault="00CF7CFA" w:rsidP="002601E3">
            <w:pPr>
              <w:spacing w:before="0" w:after="0" w:line="240" w:lineRule="auto"/>
              <w:rPr>
                <w:color w:val="000000"/>
                <w:sz w:val="20"/>
                <w:lang w:val="en-NZ" w:eastAsia="en-NZ"/>
              </w:rPr>
            </w:pPr>
            <w:r w:rsidRPr="0054017B">
              <w:rPr>
                <w:color w:val="000000"/>
                <w:sz w:val="20"/>
                <w:lang w:val="en-NZ" w:eastAsia="en-NZ"/>
              </w:rPr>
              <w:t>Health</w:t>
            </w:r>
          </w:p>
        </w:tc>
        <w:tc>
          <w:tcPr>
            <w:tcW w:w="555" w:type="pct"/>
            <w:noWrap/>
            <w:hideMark/>
          </w:tcPr>
          <w:p w14:paraId="43DF40C8"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9</w:t>
            </w:r>
          </w:p>
        </w:tc>
        <w:tc>
          <w:tcPr>
            <w:tcW w:w="555" w:type="pct"/>
            <w:noWrap/>
            <w:hideMark/>
          </w:tcPr>
          <w:p w14:paraId="66C4FE6A"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30</w:t>
            </w:r>
          </w:p>
        </w:tc>
        <w:tc>
          <w:tcPr>
            <w:tcW w:w="555" w:type="pct"/>
            <w:noWrap/>
            <w:hideMark/>
          </w:tcPr>
          <w:p w14:paraId="2E610678"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25</w:t>
            </w:r>
          </w:p>
        </w:tc>
        <w:tc>
          <w:tcPr>
            <w:tcW w:w="555" w:type="pct"/>
            <w:noWrap/>
            <w:hideMark/>
          </w:tcPr>
          <w:p w14:paraId="5B41FAE4"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31</w:t>
            </w:r>
          </w:p>
        </w:tc>
        <w:tc>
          <w:tcPr>
            <w:tcW w:w="555" w:type="pct"/>
            <w:noWrap/>
            <w:hideMark/>
          </w:tcPr>
          <w:p w14:paraId="0D42D9BE"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95</w:t>
            </w:r>
          </w:p>
        </w:tc>
        <w:tc>
          <w:tcPr>
            <w:tcW w:w="1106" w:type="pct"/>
            <w:noWrap/>
            <w:hideMark/>
          </w:tcPr>
          <w:p w14:paraId="58A80A7D"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19%</w:t>
            </w:r>
          </w:p>
        </w:tc>
      </w:tr>
      <w:tr w:rsidR="002639EA" w:rsidRPr="00CF7CFA" w14:paraId="3892E93A" w14:textId="77777777" w:rsidTr="006922C8">
        <w:trPr>
          <w:trHeight w:val="20"/>
        </w:trPr>
        <w:tc>
          <w:tcPr>
            <w:tcW w:w="1118" w:type="pct"/>
            <w:noWrap/>
            <w:hideMark/>
          </w:tcPr>
          <w:p w14:paraId="4A5ADD41" w14:textId="77777777" w:rsidR="00CF7CFA" w:rsidRPr="00CF7CFA" w:rsidRDefault="00CF7CFA" w:rsidP="002601E3">
            <w:pPr>
              <w:spacing w:before="0" w:after="0" w:line="240" w:lineRule="auto"/>
              <w:rPr>
                <w:color w:val="000000"/>
                <w:sz w:val="20"/>
                <w:lang w:val="en-NZ" w:eastAsia="en-NZ"/>
              </w:rPr>
            </w:pPr>
            <w:r w:rsidRPr="00CF7CFA">
              <w:rPr>
                <w:color w:val="000000"/>
                <w:sz w:val="20"/>
                <w:lang w:val="en-NZ" w:eastAsia="en-NZ"/>
              </w:rPr>
              <w:t>Extractives</w:t>
            </w:r>
          </w:p>
        </w:tc>
        <w:tc>
          <w:tcPr>
            <w:tcW w:w="555" w:type="pct"/>
            <w:noWrap/>
            <w:hideMark/>
          </w:tcPr>
          <w:p w14:paraId="1AE6DB6F"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8</w:t>
            </w:r>
          </w:p>
        </w:tc>
        <w:tc>
          <w:tcPr>
            <w:tcW w:w="555" w:type="pct"/>
            <w:noWrap/>
            <w:hideMark/>
          </w:tcPr>
          <w:p w14:paraId="257CFC7B"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16</w:t>
            </w:r>
          </w:p>
        </w:tc>
        <w:tc>
          <w:tcPr>
            <w:tcW w:w="555" w:type="pct"/>
            <w:noWrap/>
            <w:hideMark/>
          </w:tcPr>
          <w:p w14:paraId="46EEB547"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13</w:t>
            </w:r>
          </w:p>
        </w:tc>
        <w:tc>
          <w:tcPr>
            <w:tcW w:w="555" w:type="pct"/>
            <w:noWrap/>
            <w:hideMark/>
          </w:tcPr>
          <w:p w14:paraId="4EAD4048"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17</w:t>
            </w:r>
          </w:p>
        </w:tc>
        <w:tc>
          <w:tcPr>
            <w:tcW w:w="555" w:type="pct"/>
            <w:noWrap/>
            <w:hideMark/>
          </w:tcPr>
          <w:p w14:paraId="6787DBAD"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54</w:t>
            </w:r>
          </w:p>
        </w:tc>
        <w:tc>
          <w:tcPr>
            <w:tcW w:w="1106" w:type="pct"/>
            <w:noWrap/>
            <w:hideMark/>
          </w:tcPr>
          <w:p w14:paraId="62036DA9"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11%</w:t>
            </w:r>
          </w:p>
        </w:tc>
      </w:tr>
      <w:tr w:rsidR="002639EA" w:rsidRPr="00CF7CFA" w14:paraId="6835ADA2" w14:textId="77777777" w:rsidTr="006922C8">
        <w:trPr>
          <w:trHeight w:val="20"/>
        </w:trPr>
        <w:tc>
          <w:tcPr>
            <w:tcW w:w="1118" w:type="pct"/>
            <w:noWrap/>
            <w:hideMark/>
          </w:tcPr>
          <w:p w14:paraId="770A2112" w14:textId="77777777" w:rsidR="00CF7CFA" w:rsidRPr="00CF7CFA" w:rsidRDefault="00CF7CFA" w:rsidP="002601E3">
            <w:pPr>
              <w:spacing w:before="0" w:after="0" w:line="240" w:lineRule="auto"/>
              <w:rPr>
                <w:color w:val="000000"/>
                <w:sz w:val="20"/>
                <w:lang w:val="en-NZ" w:eastAsia="en-NZ"/>
              </w:rPr>
            </w:pPr>
            <w:r w:rsidRPr="00CF7CFA">
              <w:rPr>
                <w:color w:val="000000"/>
                <w:sz w:val="20"/>
                <w:lang w:val="en-NZ" w:eastAsia="en-NZ"/>
              </w:rPr>
              <w:t>Environment</w:t>
            </w:r>
          </w:p>
        </w:tc>
        <w:tc>
          <w:tcPr>
            <w:tcW w:w="555" w:type="pct"/>
            <w:noWrap/>
            <w:hideMark/>
          </w:tcPr>
          <w:p w14:paraId="5AA3A8EC"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4</w:t>
            </w:r>
          </w:p>
        </w:tc>
        <w:tc>
          <w:tcPr>
            <w:tcW w:w="555" w:type="pct"/>
            <w:noWrap/>
            <w:hideMark/>
          </w:tcPr>
          <w:p w14:paraId="53944977"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13</w:t>
            </w:r>
          </w:p>
        </w:tc>
        <w:tc>
          <w:tcPr>
            <w:tcW w:w="555" w:type="pct"/>
            <w:noWrap/>
            <w:hideMark/>
          </w:tcPr>
          <w:p w14:paraId="7AD32B00"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14</w:t>
            </w:r>
          </w:p>
        </w:tc>
        <w:tc>
          <w:tcPr>
            <w:tcW w:w="555" w:type="pct"/>
            <w:noWrap/>
            <w:hideMark/>
          </w:tcPr>
          <w:p w14:paraId="122597DD"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15</w:t>
            </w:r>
          </w:p>
        </w:tc>
        <w:tc>
          <w:tcPr>
            <w:tcW w:w="555" w:type="pct"/>
            <w:noWrap/>
            <w:hideMark/>
          </w:tcPr>
          <w:p w14:paraId="473FAC50"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46</w:t>
            </w:r>
          </w:p>
        </w:tc>
        <w:tc>
          <w:tcPr>
            <w:tcW w:w="1106" w:type="pct"/>
            <w:noWrap/>
            <w:hideMark/>
          </w:tcPr>
          <w:p w14:paraId="70C24749"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9%</w:t>
            </w:r>
          </w:p>
        </w:tc>
      </w:tr>
      <w:tr w:rsidR="002639EA" w:rsidRPr="00CF7CFA" w14:paraId="619A1BEE" w14:textId="77777777" w:rsidTr="006922C8">
        <w:trPr>
          <w:trHeight w:val="20"/>
        </w:trPr>
        <w:tc>
          <w:tcPr>
            <w:tcW w:w="1673" w:type="pct"/>
            <w:gridSpan w:val="2"/>
            <w:noWrap/>
            <w:hideMark/>
          </w:tcPr>
          <w:p w14:paraId="6E531244" w14:textId="77777777" w:rsidR="00CF7CFA" w:rsidRPr="00CF7CFA" w:rsidRDefault="00CF7CFA" w:rsidP="00FC617C">
            <w:pPr>
              <w:spacing w:before="0" w:after="0" w:line="240" w:lineRule="auto"/>
              <w:rPr>
                <w:color w:val="000000"/>
                <w:sz w:val="20"/>
                <w:lang w:val="en-NZ" w:eastAsia="en-NZ"/>
              </w:rPr>
            </w:pPr>
            <w:r w:rsidRPr="00CF7CFA">
              <w:rPr>
                <w:color w:val="000000"/>
                <w:sz w:val="20"/>
                <w:lang w:val="en-NZ" w:eastAsia="en-NZ"/>
              </w:rPr>
              <w:t>Education</w:t>
            </w:r>
          </w:p>
        </w:tc>
        <w:tc>
          <w:tcPr>
            <w:tcW w:w="555" w:type="pct"/>
            <w:noWrap/>
            <w:hideMark/>
          </w:tcPr>
          <w:p w14:paraId="03F0A28F"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3</w:t>
            </w:r>
          </w:p>
        </w:tc>
        <w:tc>
          <w:tcPr>
            <w:tcW w:w="555" w:type="pct"/>
            <w:noWrap/>
            <w:hideMark/>
          </w:tcPr>
          <w:p w14:paraId="4198F222"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10</w:t>
            </w:r>
          </w:p>
        </w:tc>
        <w:tc>
          <w:tcPr>
            <w:tcW w:w="555" w:type="pct"/>
            <w:noWrap/>
            <w:hideMark/>
          </w:tcPr>
          <w:p w14:paraId="238DE64F"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7</w:t>
            </w:r>
          </w:p>
        </w:tc>
        <w:tc>
          <w:tcPr>
            <w:tcW w:w="555" w:type="pct"/>
            <w:noWrap/>
            <w:hideMark/>
          </w:tcPr>
          <w:p w14:paraId="15C92404"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20</w:t>
            </w:r>
          </w:p>
        </w:tc>
        <w:tc>
          <w:tcPr>
            <w:tcW w:w="1106" w:type="pct"/>
            <w:noWrap/>
            <w:hideMark/>
          </w:tcPr>
          <w:p w14:paraId="60777396"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4%</w:t>
            </w:r>
          </w:p>
        </w:tc>
      </w:tr>
      <w:tr w:rsidR="002639EA" w:rsidRPr="00CF7CFA" w14:paraId="2DE01E2C" w14:textId="77777777" w:rsidTr="006922C8">
        <w:trPr>
          <w:trHeight w:val="20"/>
        </w:trPr>
        <w:tc>
          <w:tcPr>
            <w:tcW w:w="1118" w:type="pct"/>
            <w:noWrap/>
            <w:hideMark/>
          </w:tcPr>
          <w:p w14:paraId="702E5C83" w14:textId="77777777" w:rsidR="00CF7CFA" w:rsidRPr="00CF7CFA" w:rsidRDefault="00CF7CFA" w:rsidP="002601E3">
            <w:pPr>
              <w:spacing w:before="0" w:after="0" w:line="240" w:lineRule="auto"/>
              <w:rPr>
                <w:color w:val="000000"/>
                <w:sz w:val="20"/>
                <w:lang w:val="en-NZ" w:eastAsia="en-NZ"/>
              </w:rPr>
            </w:pPr>
            <w:r w:rsidRPr="00CF7CFA">
              <w:rPr>
                <w:color w:val="000000"/>
                <w:sz w:val="20"/>
                <w:lang w:val="en-NZ" w:eastAsia="en-NZ"/>
              </w:rPr>
              <w:t>Other</w:t>
            </w:r>
          </w:p>
        </w:tc>
        <w:tc>
          <w:tcPr>
            <w:tcW w:w="555" w:type="pct"/>
            <w:noWrap/>
            <w:hideMark/>
          </w:tcPr>
          <w:p w14:paraId="3DA012BD" w14:textId="77777777" w:rsidR="00CF7CFA" w:rsidRPr="00CF7CFA" w:rsidRDefault="00CF7CFA" w:rsidP="00FC617C">
            <w:pPr>
              <w:spacing w:before="0" w:after="0" w:line="240" w:lineRule="auto"/>
              <w:jc w:val="right"/>
              <w:rPr>
                <w:color w:val="000000"/>
                <w:sz w:val="20"/>
                <w:lang w:val="en-NZ" w:eastAsia="en-NZ"/>
              </w:rPr>
            </w:pPr>
          </w:p>
        </w:tc>
        <w:tc>
          <w:tcPr>
            <w:tcW w:w="555" w:type="pct"/>
            <w:noWrap/>
            <w:hideMark/>
          </w:tcPr>
          <w:p w14:paraId="40FBADF5"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5</w:t>
            </w:r>
          </w:p>
        </w:tc>
        <w:tc>
          <w:tcPr>
            <w:tcW w:w="555" w:type="pct"/>
            <w:noWrap/>
            <w:hideMark/>
          </w:tcPr>
          <w:p w14:paraId="124D6CEB"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5</w:t>
            </w:r>
          </w:p>
        </w:tc>
        <w:tc>
          <w:tcPr>
            <w:tcW w:w="555" w:type="pct"/>
            <w:noWrap/>
            <w:hideMark/>
          </w:tcPr>
          <w:p w14:paraId="3F582FD7"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10</w:t>
            </w:r>
          </w:p>
        </w:tc>
        <w:tc>
          <w:tcPr>
            <w:tcW w:w="555" w:type="pct"/>
            <w:noWrap/>
            <w:hideMark/>
          </w:tcPr>
          <w:p w14:paraId="353014FC" w14:textId="77777777" w:rsidR="00CF7CFA" w:rsidRPr="00CF7CFA" w:rsidRDefault="00CF7CFA" w:rsidP="00FC617C">
            <w:pPr>
              <w:spacing w:before="0" w:after="0" w:line="240" w:lineRule="auto"/>
              <w:jc w:val="right"/>
              <w:rPr>
                <w:color w:val="000000"/>
                <w:sz w:val="20"/>
                <w:lang w:val="en-NZ" w:eastAsia="en-NZ"/>
              </w:rPr>
            </w:pPr>
            <w:r w:rsidRPr="00CF7CFA">
              <w:rPr>
                <w:color w:val="000000"/>
                <w:sz w:val="20"/>
                <w:lang w:val="en-NZ" w:eastAsia="en-NZ"/>
              </w:rPr>
              <w:t>20</w:t>
            </w:r>
          </w:p>
        </w:tc>
        <w:tc>
          <w:tcPr>
            <w:tcW w:w="1106" w:type="pct"/>
            <w:noWrap/>
            <w:hideMark/>
          </w:tcPr>
          <w:p w14:paraId="10A1E523"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4%</w:t>
            </w:r>
          </w:p>
        </w:tc>
      </w:tr>
      <w:tr w:rsidR="002639EA" w:rsidRPr="00CF7CFA" w14:paraId="306B19CA" w14:textId="77777777" w:rsidTr="006922C8">
        <w:trPr>
          <w:trHeight w:val="20"/>
        </w:trPr>
        <w:tc>
          <w:tcPr>
            <w:tcW w:w="1118" w:type="pct"/>
            <w:noWrap/>
            <w:hideMark/>
          </w:tcPr>
          <w:p w14:paraId="09F24924" w14:textId="77777777" w:rsidR="00CF7CFA" w:rsidRPr="00CF7CFA" w:rsidRDefault="00CF7CFA" w:rsidP="002601E3">
            <w:pPr>
              <w:spacing w:before="0" w:after="0" w:line="240" w:lineRule="auto"/>
              <w:rPr>
                <w:color w:val="000000"/>
                <w:sz w:val="20"/>
                <w:lang w:val="en-NZ" w:eastAsia="en-NZ"/>
              </w:rPr>
            </w:pPr>
            <w:r w:rsidRPr="00CF7CFA">
              <w:rPr>
                <w:color w:val="000000"/>
                <w:sz w:val="20"/>
                <w:lang w:val="en-NZ" w:eastAsia="en-NZ"/>
              </w:rPr>
              <w:t>Water and Sanitation</w:t>
            </w:r>
          </w:p>
        </w:tc>
        <w:tc>
          <w:tcPr>
            <w:tcW w:w="555" w:type="pct"/>
            <w:noWrap/>
            <w:hideMark/>
          </w:tcPr>
          <w:p w14:paraId="2EECA4AC"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1</w:t>
            </w:r>
          </w:p>
        </w:tc>
        <w:tc>
          <w:tcPr>
            <w:tcW w:w="555" w:type="pct"/>
            <w:noWrap/>
            <w:hideMark/>
          </w:tcPr>
          <w:p w14:paraId="477635F9"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4</w:t>
            </w:r>
          </w:p>
        </w:tc>
        <w:tc>
          <w:tcPr>
            <w:tcW w:w="555" w:type="pct"/>
            <w:noWrap/>
            <w:hideMark/>
          </w:tcPr>
          <w:p w14:paraId="1D0162FB"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7</w:t>
            </w:r>
          </w:p>
        </w:tc>
        <w:tc>
          <w:tcPr>
            <w:tcW w:w="555" w:type="pct"/>
            <w:noWrap/>
            <w:hideMark/>
          </w:tcPr>
          <w:p w14:paraId="593F02A3"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3</w:t>
            </w:r>
          </w:p>
        </w:tc>
        <w:tc>
          <w:tcPr>
            <w:tcW w:w="555" w:type="pct"/>
            <w:noWrap/>
            <w:hideMark/>
          </w:tcPr>
          <w:p w14:paraId="6154FDAE"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15</w:t>
            </w:r>
          </w:p>
        </w:tc>
        <w:tc>
          <w:tcPr>
            <w:tcW w:w="1106" w:type="pct"/>
            <w:noWrap/>
            <w:hideMark/>
          </w:tcPr>
          <w:p w14:paraId="1494ED95"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3%</w:t>
            </w:r>
          </w:p>
        </w:tc>
      </w:tr>
      <w:tr w:rsidR="002639EA" w:rsidRPr="00CF7CFA" w14:paraId="36CA5E4E" w14:textId="77777777" w:rsidTr="006922C8">
        <w:trPr>
          <w:trHeight w:val="20"/>
        </w:trPr>
        <w:tc>
          <w:tcPr>
            <w:tcW w:w="1118" w:type="pct"/>
            <w:noWrap/>
            <w:hideMark/>
          </w:tcPr>
          <w:p w14:paraId="17C917C0" w14:textId="77777777" w:rsidR="00CF7CFA" w:rsidRPr="00CF7CFA" w:rsidRDefault="00CF7CFA" w:rsidP="002601E3">
            <w:pPr>
              <w:spacing w:before="0" w:after="0" w:line="240" w:lineRule="auto"/>
              <w:rPr>
                <w:color w:val="000000"/>
                <w:sz w:val="20"/>
                <w:lang w:val="en-NZ" w:eastAsia="en-NZ"/>
              </w:rPr>
            </w:pPr>
            <w:r w:rsidRPr="00CF7CFA">
              <w:rPr>
                <w:color w:val="000000"/>
                <w:sz w:val="20"/>
                <w:lang w:val="en-NZ" w:eastAsia="en-NZ"/>
              </w:rPr>
              <w:t>Disability</w:t>
            </w:r>
          </w:p>
        </w:tc>
        <w:tc>
          <w:tcPr>
            <w:tcW w:w="555" w:type="pct"/>
            <w:noWrap/>
            <w:hideMark/>
          </w:tcPr>
          <w:p w14:paraId="18A0F187" w14:textId="77777777" w:rsidR="00CF7CFA" w:rsidRPr="00CF7CFA" w:rsidRDefault="00CF7CFA" w:rsidP="002601E3">
            <w:pPr>
              <w:spacing w:before="0" w:after="0" w:line="240" w:lineRule="auto"/>
              <w:rPr>
                <w:color w:val="000000"/>
                <w:sz w:val="20"/>
                <w:lang w:val="en-NZ" w:eastAsia="en-NZ"/>
              </w:rPr>
            </w:pPr>
          </w:p>
        </w:tc>
        <w:tc>
          <w:tcPr>
            <w:tcW w:w="555" w:type="pct"/>
            <w:noWrap/>
            <w:hideMark/>
          </w:tcPr>
          <w:p w14:paraId="715E742C" w14:textId="77777777" w:rsidR="00CF7CFA" w:rsidRPr="00CF7CFA" w:rsidRDefault="00CF7CFA" w:rsidP="002601E3">
            <w:pPr>
              <w:spacing w:before="0" w:after="0" w:line="240" w:lineRule="auto"/>
              <w:rPr>
                <w:sz w:val="20"/>
                <w:lang w:val="en-NZ" w:eastAsia="en-NZ"/>
              </w:rPr>
            </w:pPr>
          </w:p>
        </w:tc>
        <w:tc>
          <w:tcPr>
            <w:tcW w:w="555" w:type="pct"/>
            <w:noWrap/>
            <w:hideMark/>
          </w:tcPr>
          <w:p w14:paraId="4F9BBBA9"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1</w:t>
            </w:r>
          </w:p>
        </w:tc>
        <w:tc>
          <w:tcPr>
            <w:tcW w:w="555" w:type="pct"/>
            <w:noWrap/>
            <w:hideMark/>
          </w:tcPr>
          <w:p w14:paraId="247B3004"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1</w:t>
            </w:r>
          </w:p>
        </w:tc>
        <w:tc>
          <w:tcPr>
            <w:tcW w:w="555" w:type="pct"/>
            <w:noWrap/>
            <w:hideMark/>
          </w:tcPr>
          <w:p w14:paraId="24EDD954"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2</w:t>
            </w:r>
          </w:p>
        </w:tc>
        <w:tc>
          <w:tcPr>
            <w:tcW w:w="1106" w:type="pct"/>
            <w:noWrap/>
            <w:hideMark/>
          </w:tcPr>
          <w:p w14:paraId="53B7371E" w14:textId="77777777" w:rsidR="00CF7CFA" w:rsidRPr="00CF7CFA" w:rsidRDefault="00CF7CFA" w:rsidP="002601E3">
            <w:pPr>
              <w:spacing w:before="0" w:after="0" w:line="240" w:lineRule="auto"/>
              <w:jc w:val="right"/>
              <w:rPr>
                <w:color w:val="000000"/>
                <w:sz w:val="20"/>
                <w:lang w:val="en-NZ" w:eastAsia="en-NZ"/>
              </w:rPr>
            </w:pPr>
            <w:r w:rsidRPr="00CF7CFA">
              <w:rPr>
                <w:color w:val="000000"/>
                <w:sz w:val="20"/>
                <w:lang w:val="en-NZ" w:eastAsia="en-NZ"/>
              </w:rPr>
              <w:t>0.4%</w:t>
            </w:r>
          </w:p>
        </w:tc>
      </w:tr>
      <w:tr w:rsidR="002639EA" w:rsidRPr="00CF7CFA" w14:paraId="7319C18A" w14:textId="77777777" w:rsidTr="006922C8">
        <w:trPr>
          <w:trHeight w:val="20"/>
        </w:trPr>
        <w:tc>
          <w:tcPr>
            <w:tcW w:w="1118" w:type="pct"/>
            <w:noWrap/>
            <w:hideMark/>
          </w:tcPr>
          <w:p w14:paraId="0C90991A" w14:textId="77777777" w:rsidR="00CF7CFA" w:rsidRPr="00CF7CFA" w:rsidRDefault="00CF7CFA" w:rsidP="002601E3">
            <w:pPr>
              <w:spacing w:before="0" w:after="0" w:line="240" w:lineRule="auto"/>
              <w:rPr>
                <w:b/>
                <w:bCs/>
                <w:color w:val="000000"/>
                <w:sz w:val="20"/>
                <w:lang w:val="en-NZ" w:eastAsia="en-NZ"/>
              </w:rPr>
            </w:pPr>
            <w:r w:rsidRPr="00CF7CFA">
              <w:rPr>
                <w:b/>
                <w:bCs/>
                <w:color w:val="000000"/>
                <w:sz w:val="20"/>
                <w:lang w:val="en-NZ" w:eastAsia="en-NZ"/>
              </w:rPr>
              <w:t>Total</w:t>
            </w:r>
          </w:p>
        </w:tc>
        <w:tc>
          <w:tcPr>
            <w:tcW w:w="555" w:type="pct"/>
            <w:noWrap/>
            <w:hideMark/>
          </w:tcPr>
          <w:p w14:paraId="224E27DB" w14:textId="77777777" w:rsidR="00CF7CFA" w:rsidRPr="00CF7CFA" w:rsidRDefault="00CF7CFA" w:rsidP="002601E3">
            <w:pPr>
              <w:spacing w:before="0" w:after="0" w:line="240" w:lineRule="auto"/>
              <w:jc w:val="right"/>
              <w:rPr>
                <w:b/>
                <w:bCs/>
                <w:color w:val="000000"/>
                <w:sz w:val="20"/>
                <w:lang w:val="en-NZ" w:eastAsia="en-NZ"/>
              </w:rPr>
            </w:pPr>
            <w:r w:rsidRPr="00CF7CFA">
              <w:rPr>
                <w:b/>
                <w:bCs/>
                <w:color w:val="000000"/>
                <w:sz w:val="20"/>
                <w:lang w:val="en-NZ" w:eastAsia="en-NZ"/>
              </w:rPr>
              <w:t>46</w:t>
            </w:r>
          </w:p>
        </w:tc>
        <w:tc>
          <w:tcPr>
            <w:tcW w:w="555" w:type="pct"/>
            <w:noWrap/>
            <w:hideMark/>
          </w:tcPr>
          <w:p w14:paraId="2B5BB2E2" w14:textId="77777777" w:rsidR="00CF7CFA" w:rsidRPr="00CF7CFA" w:rsidRDefault="00CF7CFA" w:rsidP="002601E3">
            <w:pPr>
              <w:spacing w:before="0" w:after="0" w:line="240" w:lineRule="auto"/>
              <w:jc w:val="right"/>
              <w:rPr>
                <w:b/>
                <w:bCs/>
                <w:color w:val="000000"/>
                <w:sz w:val="20"/>
                <w:lang w:val="en-NZ" w:eastAsia="en-NZ"/>
              </w:rPr>
            </w:pPr>
            <w:r w:rsidRPr="00CF7CFA">
              <w:rPr>
                <w:b/>
                <w:bCs/>
                <w:color w:val="000000"/>
                <w:sz w:val="20"/>
                <w:lang w:val="en-NZ" w:eastAsia="en-NZ"/>
              </w:rPr>
              <w:t>134</w:t>
            </w:r>
          </w:p>
        </w:tc>
        <w:tc>
          <w:tcPr>
            <w:tcW w:w="555" w:type="pct"/>
            <w:noWrap/>
            <w:hideMark/>
          </w:tcPr>
          <w:p w14:paraId="77EA5606" w14:textId="77777777" w:rsidR="00CF7CFA" w:rsidRPr="00CF7CFA" w:rsidRDefault="00CF7CFA" w:rsidP="002601E3">
            <w:pPr>
              <w:spacing w:before="0" w:after="0" w:line="240" w:lineRule="auto"/>
              <w:jc w:val="right"/>
              <w:rPr>
                <w:b/>
                <w:bCs/>
                <w:color w:val="000000"/>
                <w:sz w:val="20"/>
                <w:lang w:val="en-NZ" w:eastAsia="en-NZ"/>
              </w:rPr>
            </w:pPr>
            <w:r w:rsidRPr="00CF7CFA">
              <w:rPr>
                <w:b/>
                <w:bCs/>
                <w:color w:val="000000"/>
                <w:sz w:val="20"/>
                <w:lang w:val="en-NZ" w:eastAsia="en-NZ"/>
              </w:rPr>
              <w:t>152</w:t>
            </w:r>
          </w:p>
        </w:tc>
        <w:tc>
          <w:tcPr>
            <w:tcW w:w="555" w:type="pct"/>
            <w:noWrap/>
            <w:hideMark/>
          </w:tcPr>
          <w:p w14:paraId="73F320C8" w14:textId="77777777" w:rsidR="00CF7CFA" w:rsidRPr="00CF7CFA" w:rsidRDefault="00CF7CFA" w:rsidP="002601E3">
            <w:pPr>
              <w:spacing w:before="0" w:after="0" w:line="240" w:lineRule="auto"/>
              <w:jc w:val="right"/>
              <w:rPr>
                <w:b/>
                <w:bCs/>
                <w:color w:val="000000"/>
                <w:sz w:val="20"/>
                <w:lang w:val="en-NZ" w:eastAsia="en-NZ"/>
              </w:rPr>
            </w:pPr>
            <w:r w:rsidRPr="00CF7CFA">
              <w:rPr>
                <w:b/>
                <w:bCs/>
                <w:color w:val="000000"/>
                <w:sz w:val="20"/>
                <w:lang w:val="en-NZ" w:eastAsia="en-NZ"/>
              </w:rPr>
              <w:t>165</w:t>
            </w:r>
          </w:p>
        </w:tc>
        <w:tc>
          <w:tcPr>
            <w:tcW w:w="555" w:type="pct"/>
            <w:noWrap/>
            <w:hideMark/>
          </w:tcPr>
          <w:p w14:paraId="513D9B8E" w14:textId="77777777" w:rsidR="00CF7CFA" w:rsidRPr="00CF7CFA" w:rsidRDefault="00CF7CFA" w:rsidP="002601E3">
            <w:pPr>
              <w:spacing w:before="0" w:after="0" w:line="240" w:lineRule="auto"/>
              <w:jc w:val="right"/>
              <w:rPr>
                <w:b/>
                <w:bCs/>
                <w:color w:val="000000"/>
                <w:sz w:val="20"/>
                <w:lang w:val="en-NZ" w:eastAsia="en-NZ"/>
              </w:rPr>
            </w:pPr>
            <w:r w:rsidRPr="00CF7CFA">
              <w:rPr>
                <w:b/>
                <w:bCs/>
                <w:color w:val="000000"/>
                <w:sz w:val="20"/>
                <w:lang w:val="en-NZ" w:eastAsia="en-NZ"/>
              </w:rPr>
              <w:t>497</w:t>
            </w:r>
          </w:p>
        </w:tc>
        <w:tc>
          <w:tcPr>
            <w:tcW w:w="1106" w:type="pct"/>
            <w:noWrap/>
            <w:hideMark/>
          </w:tcPr>
          <w:p w14:paraId="43857D03" w14:textId="77777777" w:rsidR="00CF7CFA" w:rsidRPr="00CF7CFA" w:rsidRDefault="00CF7CFA" w:rsidP="002601E3">
            <w:pPr>
              <w:spacing w:before="0" w:after="0" w:line="240" w:lineRule="auto"/>
              <w:jc w:val="right"/>
              <w:rPr>
                <w:b/>
                <w:bCs/>
                <w:color w:val="000000"/>
                <w:sz w:val="20"/>
                <w:lang w:val="en-NZ" w:eastAsia="en-NZ"/>
              </w:rPr>
            </w:pPr>
          </w:p>
        </w:tc>
      </w:tr>
    </w:tbl>
    <w:p w14:paraId="3E22C916" w14:textId="77777777" w:rsidR="00FC617C" w:rsidRDefault="00FC617C" w:rsidP="00FC617C">
      <w:pPr>
        <w:pStyle w:val="TableName"/>
      </w:pPr>
      <w:bookmarkStart w:id="24" w:name="_Toc1729541"/>
      <w:r w:rsidRPr="00FC617C">
        <w:t xml:space="preserve">Table </w:t>
      </w:r>
      <w:r w:rsidR="00FA778B">
        <w:t>3</w:t>
      </w:r>
      <w:r w:rsidRPr="00FC617C">
        <w:tab/>
        <w:t xml:space="preserve">Short </w:t>
      </w:r>
      <w:r w:rsidR="00C6705E">
        <w:t>c</w:t>
      </w:r>
      <w:r w:rsidRPr="00FC617C">
        <w:t>ourses by priority sector, 2016 – 2018</w:t>
      </w:r>
      <w:bookmarkEnd w:id="24"/>
    </w:p>
    <w:tbl>
      <w:tblPr>
        <w:tblStyle w:val="TableGrid"/>
        <w:tblW w:w="5000" w:type="pct"/>
        <w:tblLook w:val="04A0" w:firstRow="1" w:lastRow="0" w:firstColumn="1" w:lastColumn="0" w:noHBand="0" w:noVBand="1"/>
      </w:tblPr>
      <w:tblGrid>
        <w:gridCol w:w="1340"/>
        <w:gridCol w:w="982"/>
        <w:gridCol w:w="982"/>
        <w:gridCol w:w="982"/>
        <w:gridCol w:w="1199"/>
        <w:gridCol w:w="3541"/>
      </w:tblGrid>
      <w:tr w:rsidR="00FC617C" w:rsidRPr="00FC617C" w14:paraId="4FC8E1EC" w14:textId="77777777" w:rsidTr="00FC617C">
        <w:trPr>
          <w:cnfStyle w:val="100000000000" w:firstRow="1" w:lastRow="0" w:firstColumn="0" w:lastColumn="0" w:oddVBand="0" w:evenVBand="0" w:oddHBand="0" w:evenHBand="0" w:firstRowFirstColumn="0" w:firstRowLastColumn="0" w:lastRowFirstColumn="0" w:lastRowLastColumn="0"/>
          <w:trHeight w:val="300"/>
        </w:trPr>
        <w:tc>
          <w:tcPr>
            <w:tcW w:w="762" w:type="pct"/>
            <w:noWrap/>
            <w:hideMark/>
          </w:tcPr>
          <w:p w14:paraId="578937DE" w14:textId="77777777" w:rsidR="00FC617C" w:rsidRPr="00FC617C" w:rsidRDefault="00FC617C" w:rsidP="002601E3">
            <w:pPr>
              <w:spacing w:before="0" w:after="0" w:line="240" w:lineRule="auto"/>
              <w:rPr>
                <w:b/>
                <w:bCs/>
                <w:color w:val="000000"/>
                <w:sz w:val="20"/>
                <w:lang w:val="en-NZ" w:eastAsia="en-NZ"/>
              </w:rPr>
            </w:pPr>
            <w:r w:rsidRPr="00FC617C">
              <w:rPr>
                <w:b/>
                <w:bCs/>
                <w:color w:val="000000"/>
                <w:sz w:val="20"/>
                <w:lang w:val="en-NZ" w:eastAsia="en-NZ"/>
              </w:rPr>
              <w:t>Sector</w:t>
            </w:r>
          </w:p>
        </w:tc>
        <w:tc>
          <w:tcPr>
            <w:tcW w:w="564" w:type="pct"/>
            <w:noWrap/>
            <w:hideMark/>
          </w:tcPr>
          <w:p w14:paraId="4631288C" w14:textId="77777777" w:rsidR="00FC617C" w:rsidRPr="00FC617C" w:rsidRDefault="00FC617C" w:rsidP="002601E3">
            <w:pPr>
              <w:spacing w:before="0" w:after="0" w:line="240" w:lineRule="auto"/>
              <w:jc w:val="right"/>
              <w:rPr>
                <w:b/>
                <w:bCs/>
                <w:color w:val="000000"/>
                <w:sz w:val="20"/>
                <w:lang w:val="en-NZ" w:eastAsia="en-NZ"/>
              </w:rPr>
            </w:pPr>
            <w:r w:rsidRPr="00FC617C">
              <w:rPr>
                <w:b/>
                <w:bCs/>
                <w:color w:val="000000"/>
                <w:sz w:val="20"/>
                <w:lang w:val="en-NZ" w:eastAsia="en-NZ"/>
              </w:rPr>
              <w:t>2016</w:t>
            </w:r>
          </w:p>
        </w:tc>
        <w:tc>
          <w:tcPr>
            <w:tcW w:w="564" w:type="pct"/>
            <w:noWrap/>
            <w:hideMark/>
          </w:tcPr>
          <w:p w14:paraId="66ED6816" w14:textId="77777777" w:rsidR="00FC617C" w:rsidRPr="00FC617C" w:rsidRDefault="00FC617C" w:rsidP="002601E3">
            <w:pPr>
              <w:spacing w:before="0" w:after="0" w:line="240" w:lineRule="auto"/>
              <w:jc w:val="right"/>
              <w:rPr>
                <w:b/>
                <w:bCs/>
                <w:color w:val="000000"/>
                <w:sz w:val="20"/>
                <w:lang w:val="en-NZ" w:eastAsia="en-NZ"/>
              </w:rPr>
            </w:pPr>
            <w:r w:rsidRPr="00FC617C">
              <w:rPr>
                <w:b/>
                <w:bCs/>
                <w:color w:val="000000"/>
                <w:sz w:val="20"/>
                <w:lang w:val="en-NZ" w:eastAsia="en-NZ"/>
              </w:rPr>
              <w:t>2017</w:t>
            </w:r>
          </w:p>
        </w:tc>
        <w:tc>
          <w:tcPr>
            <w:tcW w:w="564" w:type="pct"/>
            <w:noWrap/>
            <w:hideMark/>
          </w:tcPr>
          <w:p w14:paraId="3CBEFD0B" w14:textId="77777777" w:rsidR="00FC617C" w:rsidRPr="00FC617C" w:rsidRDefault="00FC617C" w:rsidP="002601E3">
            <w:pPr>
              <w:spacing w:before="0" w:after="0" w:line="240" w:lineRule="auto"/>
              <w:jc w:val="right"/>
              <w:rPr>
                <w:b/>
                <w:bCs/>
                <w:color w:val="000000"/>
                <w:sz w:val="20"/>
                <w:lang w:val="en-NZ" w:eastAsia="en-NZ"/>
              </w:rPr>
            </w:pPr>
            <w:r w:rsidRPr="00FC617C">
              <w:rPr>
                <w:b/>
                <w:bCs/>
                <w:color w:val="000000"/>
                <w:sz w:val="20"/>
                <w:lang w:val="en-NZ" w:eastAsia="en-NZ"/>
              </w:rPr>
              <w:t>2018</w:t>
            </w:r>
          </w:p>
        </w:tc>
        <w:tc>
          <w:tcPr>
            <w:tcW w:w="564" w:type="pct"/>
            <w:noWrap/>
            <w:hideMark/>
          </w:tcPr>
          <w:p w14:paraId="05FE5BCD" w14:textId="77777777" w:rsidR="00FC617C" w:rsidRPr="00FC617C" w:rsidRDefault="00FC617C" w:rsidP="002601E3">
            <w:pPr>
              <w:spacing w:before="0" w:after="0" w:line="240" w:lineRule="auto"/>
              <w:rPr>
                <w:b/>
                <w:bCs/>
                <w:color w:val="000000"/>
                <w:sz w:val="20"/>
                <w:lang w:val="en-NZ" w:eastAsia="en-NZ"/>
              </w:rPr>
            </w:pPr>
            <w:r w:rsidRPr="00FC617C">
              <w:rPr>
                <w:b/>
                <w:bCs/>
                <w:color w:val="000000"/>
                <w:sz w:val="20"/>
                <w:lang w:val="en-NZ" w:eastAsia="en-NZ"/>
              </w:rPr>
              <w:t>Grand Total</w:t>
            </w:r>
          </w:p>
        </w:tc>
        <w:tc>
          <w:tcPr>
            <w:tcW w:w="1981" w:type="pct"/>
            <w:noWrap/>
            <w:hideMark/>
          </w:tcPr>
          <w:p w14:paraId="0A1481EC" w14:textId="77777777" w:rsidR="00FC617C" w:rsidRPr="00FC617C" w:rsidRDefault="00FC617C" w:rsidP="00FC617C">
            <w:pPr>
              <w:spacing w:before="0" w:after="0" w:line="240" w:lineRule="auto"/>
              <w:jc w:val="right"/>
              <w:rPr>
                <w:b/>
                <w:bCs/>
                <w:color w:val="000000"/>
                <w:sz w:val="20"/>
                <w:lang w:val="en-NZ" w:eastAsia="en-NZ"/>
              </w:rPr>
            </w:pPr>
            <w:r w:rsidRPr="00FC617C">
              <w:rPr>
                <w:b/>
                <w:bCs/>
                <w:color w:val="000000"/>
                <w:sz w:val="20"/>
                <w:lang w:val="en-NZ" w:eastAsia="en-NZ"/>
              </w:rPr>
              <w:t>% of total (over four years)</w:t>
            </w:r>
          </w:p>
        </w:tc>
      </w:tr>
      <w:tr w:rsidR="00FC617C" w:rsidRPr="00FC617C" w14:paraId="11E39A73" w14:textId="77777777" w:rsidTr="00FC617C">
        <w:trPr>
          <w:trHeight w:val="300"/>
        </w:trPr>
        <w:tc>
          <w:tcPr>
            <w:tcW w:w="762" w:type="pct"/>
            <w:noWrap/>
            <w:hideMark/>
          </w:tcPr>
          <w:p w14:paraId="688FF47F" w14:textId="77777777" w:rsidR="00FC617C" w:rsidRPr="00FC617C" w:rsidRDefault="00FC617C" w:rsidP="002601E3">
            <w:pPr>
              <w:spacing w:before="0" w:after="0" w:line="240" w:lineRule="auto"/>
              <w:rPr>
                <w:color w:val="000000"/>
                <w:sz w:val="20"/>
                <w:lang w:val="en-NZ" w:eastAsia="en-NZ"/>
              </w:rPr>
            </w:pPr>
            <w:r w:rsidRPr="00FC617C">
              <w:rPr>
                <w:color w:val="000000"/>
                <w:sz w:val="20"/>
                <w:lang w:val="en-NZ" w:eastAsia="en-NZ"/>
              </w:rPr>
              <w:t>Governance</w:t>
            </w:r>
          </w:p>
        </w:tc>
        <w:tc>
          <w:tcPr>
            <w:tcW w:w="564" w:type="pct"/>
            <w:noWrap/>
            <w:hideMark/>
          </w:tcPr>
          <w:p w14:paraId="75A39D33"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69</w:t>
            </w:r>
          </w:p>
        </w:tc>
        <w:tc>
          <w:tcPr>
            <w:tcW w:w="564" w:type="pct"/>
            <w:noWrap/>
            <w:hideMark/>
          </w:tcPr>
          <w:p w14:paraId="20D2B167"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102</w:t>
            </w:r>
          </w:p>
        </w:tc>
        <w:tc>
          <w:tcPr>
            <w:tcW w:w="564" w:type="pct"/>
            <w:noWrap/>
            <w:hideMark/>
          </w:tcPr>
          <w:p w14:paraId="4DEC8A45"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88</w:t>
            </w:r>
          </w:p>
        </w:tc>
        <w:tc>
          <w:tcPr>
            <w:tcW w:w="564" w:type="pct"/>
            <w:noWrap/>
            <w:hideMark/>
          </w:tcPr>
          <w:p w14:paraId="06814858"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259</w:t>
            </w:r>
          </w:p>
        </w:tc>
        <w:tc>
          <w:tcPr>
            <w:tcW w:w="1981" w:type="pct"/>
            <w:noWrap/>
            <w:hideMark/>
          </w:tcPr>
          <w:p w14:paraId="28C11231" w14:textId="77777777" w:rsidR="00FC617C" w:rsidRPr="00FC617C" w:rsidRDefault="00FC617C" w:rsidP="00FC617C">
            <w:pPr>
              <w:spacing w:before="0" w:after="0" w:line="240" w:lineRule="auto"/>
              <w:jc w:val="right"/>
              <w:rPr>
                <w:color w:val="000000"/>
                <w:sz w:val="20"/>
                <w:lang w:val="en-NZ" w:eastAsia="en-NZ"/>
              </w:rPr>
            </w:pPr>
            <w:r w:rsidRPr="00FC617C">
              <w:rPr>
                <w:color w:val="000000"/>
                <w:sz w:val="20"/>
                <w:lang w:val="en-NZ" w:eastAsia="en-NZ"/>
              </w:rPr>
              <w:t>37%</w:t>
            </w:r>
          </w:p>
        </w:tc>
      </w:tr>
      <w:tr w:rsidR="00FC617C" w:rsidRPr="00FC617C" w14:paraId="4A65F0ED" w14:textId="77777777" w:rsidTr="00FC617C">
        <w:trPr>
          <w:trHeight w:val="300"/>
        </w:trPr>
        <w:tc>
          <w:tcPr>
            <w:tcW w:w="762" w:type="pct"/>
            <w:noWrap/>
            <w:hideMark/>
          </w:tcPr>
          <w:p w14:paraId="63A8ED8A" w14:textId="77777777" w:rsidR="00FC617C" w:rsidRPr="00FC617C" w:rsidRDefault="00FC617C" w:rsidP="002601E3">
            <w:pPr>
              <w:spacing w:before="0" w:after="0" w:line="240" w:lineRule="auto"/>
              <w:rPr>
                <w:color w:val="000000"/>
                <w:sz w:val="20"/>
                <w:lang w:val="en-NZ" w:eastAsia="en-NZ"/>
              </w:rPr>
            </w:pPr>
            <w:r w:rsidRPr="00FC617C">
              <w:rPr>
                <w:color w:val="000000"/>
                <w:sz w:val="20"/>
                <w:lang w:val="en-NZ" w:eastAsia="en-NZ"/>
              </w:rPr>
              <w:t>Agriculture</w:t>
            </w:r>
          </w:p>
        </w:tc>
        <w:tc>
          <w:tcPr>
            <w:tcW w:w="564" w:type="pct"/>
            <w:noWrap/>
            <w:hideMark/>
          </w:tcPr>
          <w:p w14:paraId="62ADB713"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73</w:t>
            </w:r>
          </w:p>
        </w:tc>
        <w:tc>
          <w:tcPr>
            <w:tcW w:w="564" w:type="pct"/>
            <w:noWrap/>
            <w:hideMark/>
          </w:tcPr>
          <w:p w14:paraId="3D553BFA"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70</w:t>
            </w:r>
          </w:p>
        </w:tc>
        <w:tc>
          <w:tcPr>
            <w:tcW w:w="564" w:type="pct"/>
            <w:noWrap/>
            <w:hideMark/>
          </w:tcPr>
          <w:p w14:paraId="09EACB21"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89</w:t>
            </w:r>
          </w:p>
        </w:tc>
        <w:tc>
          <w:tcPr>
            <w:tcW w:w="564" w:type="pct"/>
            <w:noWrap/>
            <w:hideMark/>
          </w:tcPr>
          <w:p w14:paraId="0F7F5448"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232</w:t>
            </w:r>
          </w:p>
        </w:tc>
        <w:tc>
          <w:tcPr>
            <w:tcW w:w="1981" w:type="pct"/>
            <w:noWrap/>
            <w:hideMark/>
          </w:tcPr>
          <w:p w14:paraId="22D116D7" w14:textId="77777777" w:rsidR="00FC617C" w:rsidRPr="00FC617C" w:rsidRDefault="00FC617C" w:rsidP="00FC617C">
            <w:pPr>
              <w:spacing w:before="0" w:after="0" w:line="240" w:lineRule="auto"/>
              <w:jc w:val="right"/>
              <w:rPr>
                <w:color w:val="000000"/>
                <w:sz w:val="20"/>
                <w:lang w:val="en-NZ" w:eastAsia="en-NZ"/>
              </w:rPr>
            </w:pPr>
            <w:r w:rsidRPr="00FC617C">
              <w:rPr>
                <w:color w:val="000000"/>
                <w:sz w:val="20"/>
                <w:lang w:val="en-NZ" w:eastAsia="en-NZ"/>
              </w:rPr>
              <w:t>33%</w:t>
            </w:r>
          </w:p>
        </w:tc>
      </w:tr>
      <w:tr w:rsidR="00FC617C" w:rsidRPr="00FC617C" w14:paraId="4AE18418" w14:textId="77777777" w:rsidTr="00FC617C">
        <w:trPr>
          <w:trHeight w:val="300"/>
        </w:trPr>
        <w:tc>
          <w:tcPr>
            <w:tcW w:w="762" w:type="pct"/>
            <w:noWrap/>
            <w:hideMark/>
          </w:tcPr>
          <w:p w14:paraId="43D87E20" w14:textId="77777777" w:rsidR="00FC617C" w:rsidRPr="00FC617C" w:rsidRDefault="00FC617C" w:rsidP="002601E3">
            <w:pPr>
              <w:spacing w:before="0" w:after="0" w:line="240" w:lineRule="auto"/>
              <w:rPr>
                <w:color w:val="000000"/>
                <w:sz w:val="20"/>
                <w:lang w:val="en-NZ" w:eastAsia="en-NZ"/>
              </w:rPr>
            </w:pPr>
            <w:r w:rsidRPr="00FC617C">
              <w:rPr>
                <w:color w:val="000000"/>
                <w:sz w:val="20"/>
                <w:lang w:val="en-NZ" w:eastAsia="en-NZ"/>
              </w:rPr>
              <w:t>Extractives</w:t>
            </w:r>
          </w:p>
        </w:tc>
        <w:tc>
          <w:tcPr>
            <w:tcW w:w="564" w:type="pct"/>
            <w:noWrap/>
            <w:hideMark/>
          </w:tcPr>
          <w:p w14:paraId="636B7D25"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106</w:t>
            </w:r>
          </w:p>
        </w:tc>
        <w:tc>
          <w:tcPr>
            <w:tcW w:w="564" w:type="pct"/>
            <w:noWrap/>
            <w:hideMark/>
          </w:tcPr>
          <w:p w14:paraId="2DACE762"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51</w:t>
            </w:r>
          </w:p>
        </w:tc>
        <w:tc>
          <w:tcPr>
            <w:tcW w:w="564" w:type="pct"/>
            <w:noWrap/>
            <w:hideMark/>
          </w:tcPr>
          <w:p w14:paraId="5D356681"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56</w:t>
            </w:r>
          </w:p>
        </w:tc>
        <w:tc>
          <w:tcPr>
            <w:tcW w:w="564" w:type="pct"/>
            <w:noWrap/>
            <w:hideMark/>
          </w:tcPr>
          <w:p w14:paraId="64AA3CC6" w14:textId="77777777" w:rsidR="00FC617C" w:rsidRPr="00FC617C" w:rsidRDefault="00FC617C" w:rsidP="002601E3">
            <w:pPr>
              <w:spacing w:before="0" w:after="0" w:line="240" w:lineRule="auto"/>
              <w:jc w:val="right"/>
              <w:rPr>
                <w:color w:val="000000"/>
                <w:sz w:val="20"/>
                <w:lang w:val="en-NZ" w:eastAsia="en-NZ"/>
              </w:rPr>
            </w:pPr>
            <w:r w:rsidRPr="00FC617C">
              <w:rPr>
                <w:color w:val="000000"/>
                <w:sz w:val="20"/>
                <w:lang w:val="en-NZ" w:eastAsia="en-NZ"/>
              </w:rPr>
              <w:t>213</w:t>
            </w:r>
          </w:p>
        </w:tc>
        <w:tc>
          <w:tcPr>
            <w:tcW w:w="1981" w:type="pct"/>
            <w:noWrap/>
            <w:hideMark/>
          </w:tcPr>
          <w:p w14:paraId="71EA76EE" w14:textId="77777777" w:rsidR="00FC617C" w:rsidRPr="00FC617C" w:rsidRDefault="00FC617C" w:rsidP="00FC617C">
            <w:pPr>
              <w:spacing w:before="0" w:after="0" w:line="240" w:lineRule="auto"/>
              <w:jc w:val="right"/>
              <w:rPr>
                <w:color w:val="000000"/>
                <w:sz w:val="20"/>
                <w:lang w:val="en-NZ" w:eastAsia="en-NZ"/>
              </w:rPr>
            </w:pPr>
            <w:r w:rsidRPr="00FC617C">
              <w:rPr>
                <w:color w:val="000000"/>
                <w:sz w:val="20"/>
                <w:lang w:val="en-NZ" w:eastAsia="en-NZ"/>
              </w:rPr>
              <w:t>30%</w:t>
            </w:r>
          </w:p>
        </w:tc>
      </w:tr>
      <w:tr w:rsidR="00FC617C" w:rsidRPr="00FC617C" w14:paraId="3A0A255A" w14:textId="77777777" w:rsidTr="00FC617C">
        <w:trPr>
          <w:trHeight w:val="300"/>
        </w:trPr>
        <w:tc>
          <w:tcPr>
            <w:tcW w:w="762" w:type="pct"/>
            <w:noWrap/>
            <w:hideMark/>
          </w:tcPr>
          <w:p w14:paraId="48955B78" w14:textId="77777777" w:rsidR="00FC617C" w:rsidRPr="00FC617C" w:rsidRDefault="00FC617C" w:rsidP="002601E3">
            <w:pPr>
              <w:spacing w:before="0" w:after="0" w:line="240" w:lineRule="auto"/>
              <w:rPr>
                <w:b/>
                <w:bCs/>
                <w:color w:val="000000"/>
                <w:sz w:val="20"/>
                <w:lang w:val="en-NZ" w:eastAsia="en-NZ"/>
              </w:rPr>
            </w:pPr>
            <w:r w:rsidRPr="00FC617C">
              <w:rPr>
                <w:b/>
                <w:bCs/>
                <w:color w:val="000000"/>
                <w:sz w:val="20"/>
                <w:lang w:val="en-NZ" w:eastAsia="en-NZ"/>
              </w:rPr>
              <w:t>Total</w:t>
            </w:r>
          </w:p>
        </w:tc>
        <w:tc>
          <w:tcPr>
            <w:tcW w:w="564" w:type="pct"/>
            <w:noWrap/>
            <w:hideMark/>
          </w:tcPr>
          <w:p w14:paraId="24E2E0C3" w14:textId="77777777" w:rsidR="00FC617C" w:rsidRPr="00FC617C" w:rsidRDefault="00FC617C" w:rsidP="002601E3">
            <w:pPr>
              <w:spacing w:before="0" w:after="0" w:line="240" w:lineRule="auto"/>
              <w:jc w:val="right"/>
              <w:rPr>
                <w:b/>
                <w:bCs/>
                <w:color w:val="000000"/>
                <w:sz w:val="20"/>
                <w:lang w:val="en-NZ" w:eastAsia="en-NZ"/>
              </w:rPr>
            </w:pPr>
            <w:r w:rsidRPr="00FC617C">
              <w:rPr>
                <w:b/>
                <w:bCs/>
                <w:color w:val="000000"/>
                <w:sz w:val="20"/>
                <w:lang w:val="en-NZ" w:eastAsia="en-NZ"/>
              </w:rPr>
              <w:t>248</w:t>
            </w:r>
          </w:p>
        </w:tc>
        <w:tc>
          <w:tcPr>
            <w:tcW w:w="564" w:type="pct"/>
            <w:noWrap/>
            <w:hideMark/>
          </w:tcPr>
          <w:p w14:paraId="2ED56E56" w14:textId="77777777" w:rsidR="00FC617C" w:rsidRPr="00FC617C" w:rsidRDefault="00FC617C" w:rsidP="002601E3">
            <w:pPr>
              <w:spacing w:before="0" w:after="0" w:line="240" w:lineRule="auto"/>
              <w:jc w:val="right"/>
              <w:rPr>
                <w:b/>
                <w:bCs/>
                <w:color w:val="000000"/>
                <w:sz w:val="20"/>
                <w:lang w:val="en-NZ" w:eastAsia="en-NZ"/>
              </w:rPr>
            </w:pPr>
            <w:r w:rsidRPr="00FC617C">
              <w:rPr>
                <w:b/>
                <w:bCs/>
                <w:color w:val="000000"/>
                <w:sz w:val="20"/>
                <w:lang w:val="en-NZ" w:eastAsia="en-NZ"/>
              </w:rPr>
              <w:t>223</w:t>
            </w:r>
          </w:p>
        </w:tc>
        <w:tc>
          <w:tcPr>
            <w:tcW w:w="564" w:type="pct"/>
            <w:noWrap/>
            <w:hideMark/>
          </w:tcPr>
          <w:p w14:paraId="4CF69662" w14:textId="77777777" w:rsidR="00FC617C" w:rsidRPr="00FC617C" w:rsidRDefault="00FC617C" w:rsidP="002601E3">
            <w:pPr>
              <w:spacing w:before="0" w:after="0" w:line="240" w:lineRule="auto"/>
              <w:jc w:val="right"/>
              <w:rPr>
                <w:b/>
                <w:bCs/>
                <w:color w:val="000000"/>
                <w:sz w:val="20"/>
                <w:lang w:val="en-NZ" w:eastAsia="en-NZ"/>
              </w:rPr>
            </w:pPr>
            <w:r w:rsidRPr="00FC617C">
              <w:rPr>
                <w:b/>
                <w:bCs/>
                <w:color w:val="000000"/>
                <w:sz w:val="20"/>
                <w:lang w:val="en-NZ" w:eastAsia="en-NZ"/>
              </w:rPr>
              <w:t>233</w:t>
            </w:r>
          </w:p>
        </w:tc>
        <w:tc>
          <w:tcPr>
            <w:tcW w:w="564" w:type="pct"/>
            <w:noWrap/>
            <w:hideMark/>
          </w:tcPr>
          <w:p w14:paraId="2AF40FD6" w14:textId="77777777" w:rsidR="00FC617C" w:rsidRPr="00FC617C" w:rsidRDefault="00FC617C" w:rsidP="002601E3">
            <w:pPr>
              <w:spacing w:before="0" w:after="0" w:line="240" w:lineRule="auto"/>
              <w:jc w:val="right"/>
              <w:rPr>
                <w:b/>
                <w:bCs/>
                <w:color w:val="000000"/>
                <w:sz w:val="20"/>
                <w:lang w:val="en-NZ" w:eastAsia="en-NZ"/>
              </w:rPr>
            </w:pPr>
            <w:r w:rsidRPr="00FC617C">
              <w:rPr>
                <w:b/>
                <w:bCs/>
                <w:color w:val="000000"/>
                <w:sz w:val="20"/>
                <w:lang w:val="en-NZ" w:eastAsia="en-NZ"/>
              </w:rPr>
              <w:t>704</w:t>
            </w:r>
          </w:p>
        </w:tc>
        <w:tc>
          <w:tcPr>
            <w:tcW w:w="1981" w:type="pct"/>
            <w:noWrap/>
            <w:hideMark/>
          </w:tcPr>
          <w:p w14:paraId="70103D3C" w14:textId="77777777" w:rsidR="00FC617C" w:rsidRPr="00FC617C" w:rsidRDefault="00FC617C" w:rsidP="00FC617C">
            <w:pPr>
              <w:spacing w:before="0" w:after="0" w:line="240" w:lineRule="auto"/>
              <w:jc w:val="right"/>
              <w:rPr>
                <w:b/>
                <w:bCs/>
                <w:color w:val="000000"/>
                <w:sz w:val="20"/>
                <w:lang w:val="en-NZ" w:eastAsia="en-NZ"/>
              </w:rPr>
            </w:pPr>
          </w:p>
        </w:tc>
      </w:tr>
    </w:tbl>
    <w:p w14:paraId="3247BF98" w14:textId="4AA8ACE4" w:rsidR="001F70F6" w:rsidRPr="004A1F3D" w:rsidRDefault="001F70F6" w:rsidP="00D96A5C">
      <w:pPr>
        <w:spacing w:before="160"/>
      </w:pPr>
      <w:r>
        <w:t xml:space="preserve">Views expressed by coordinating authorities and Posts regarding the </w:t>
      </w:r>
      <w:r w:rsidRPr="0070699C">
        <w:t xml:space="preserve">modalities </w:t>
      </w:r>
      <w:r>
        <w:t>on offer were reasonably consistent</w:t>
      </w:r>
      <w:r w:rsidR="00E67FCD">
        <w:t xml:space="preserve">, with consensus that the mix of long-term awards </w:t>
      </w:r>
      <w:r w:rsidR="00CA4625">
        <w:t xml:space="preserve">and short courses </w:t>
      </w:r>
      <w:r w:rsidR="00E67FCD">
        <w:t>is appropriate.</w:t>
      </w:r>
      <w:r>
        <w:t xml:space="preserve"> </w:t>
      </w:r>
      <w:r w:rsidR="00CA4625">
        <w:t xml:space="preserve">Master’s level study at Australian tertiary institutions is highly appreciated by participating countries </w:t>
      </w:r>
      <w:r w:rsidR="00CA4625" w:rsidRPr="00C20D77">
        <w:t xml:space="preserve">with coordinating authorities noting </w:t>
      </w:r>
      <w:r w:rsidR="00E42052" w:rsidRPr="00C20D77">
        <w:t>long-term awards</w:t>
      </w:r>
      <w:r w:rsidR="00911310" w:rsidRPr="00C20D77">
        <w:t xml:space="preserve"> </w:t>
      </w:r>
      <w:r w:rsidR="00CA4625" w:rsidRPr="00C20D77">
        <w:t xml:space="preserve">are an important </w:t>
      </w:r>
      <w:r w:rsidR="00911310" w:rsidRPr="00C20D77">
        <w:t>mechanism for supporting national</w:t>
      </w:r>
      <w:r w:rsidR="00911310">
        <w:t xml:space="preserve"> government aspirations for post-graduate level qualifications across their public services. </w:t>
      </w:r>
      <w:r w:rsidR="00CA4625">
        <w:t xml:space="preserve">For some countries, the use of short course awards </w:t>
      </w:r>
      <w:proofErr w:type="gramStart"/>
      <w:r w:rsidR="00CA4625">
        <w:t>was seen as</w:t>
      </w:r>
      <w:proofErr w:type="gramEnd"/>
      <w:r w:rsidR="00CA4625">
        <w:t xml:space="preserve"> more valuable than long-term awards for reaching out to people in the private sector and civil society </w:t>
      </w:r>
      <w:r w:rsidR="00CA4625">
        <w:lastRenderedPageBreak/>
        <w:t>organisations</w:t>
      </w:r>
      <w:r w:rsidR="00C20D77">
        <w:t>. S</w:t>
      </w:r>
      <w:r w:rsidR="00CA4625">
        <w:t xml:space="preserve">ome Posts </w:t>
      </w:r>
      <w:r w:rsidR="00C20D77">
        <w:t xml:space="preserve">noted </w:t>
      </w:r>
      <w:r w:rsidR="00CA4625">
        <w:t xml:space="preserve">it is common for people working in the private sector and civil society organisations to have a </w:t>
      </w:r>
      <w:r w:rsidR="00DA1E1F">
        <w:t>m</w:t>
      </w:r>
      <w:r w:rsidR="00CA4625">
        <w:t>aster</w:t>
      </w:r>
      <w:r w:rsidR="00DA1E1F">
        <w:t>’</w:t>
      </w:r>
      <w:r w:rsidR="00CA4625">
        <w:t>s degree already</w:t>
      </w:r>
      <w:r w:rsidR="00C20D77">
        <w:t xml:space="preserve"> (and hence be ineligible to apply for an Australia Awards scholarship)</w:t>
      </w:r>
      <w:r w:rsidR="00CA4625">
        <w:t xml:space="preserve">.  The </w:t>
      </w:r>
      <w:r w:rsidR="00CA4625" w:rsidRPr="00623753">
        <w:t xml:space="preserve">flexibility to </w:t>
      </w:r>
      <w:r w:rsidR="00CA4625">
        <w:t xml:space="preserve">target </w:t>
      </w:r>
      <w:r w:rsidR="00CA4625" w:rsidRPr="00623753">
        <w:t xml:space="preserve">more sectors </w:t>
      </w:r>
      <w:r w:rsidR="00CA4625">
        <w:t xml:space="preserve">through the short courses is also regarded as </w:t>
      </w:r>
      <w:r w:rsidR="00CA4625" w:rsidRPr="00623753">
        <w:t>useful</w:t>
      </w:r>
      <w:r w:rsidR="00CA4625">
        <w:t xml:space="preserve">. </w:t>
      </w:r>
      <w:r w:rsidR="00C20D77">
        <w:t>Palladium and DFAT’s Africa Branch</w:t>
      </w:r>
      <w:r w:rsidR="00CA4625">
        <w:t xml:space="preserve"> ha</w:t>
      </w:r>
      <w:r w:rsidR="00C20D77">
        <w:t>ve</w:t>
      </w:r>
      <w:r w:rsidR="00CA4625">
        <w:t xml:space="preserve"> been responsive to suggestions from Posts for the inclusion of additional sectors (for example, </w:t>
      </w:r>
      <w:r w:rsidR="00DA1E1F">
        <w:t>TVET</w:t>
      </w:r>
      <w:r w:rsidR="00CA4625">
        <w:t>) and more specific courses to target the involvement of private sector (for example the artisanal mining short course). The public diplomacy and stakeholder engagement benefits</w:t>
      </w:r>
      <w:r w:rsidR="00EB6011">
        <w:rPr>
          <w:rStyle w:val="FootnoteReference"/>
        </w:rPr>
        <w:t xml:space="preserve"> </w:t>
      </w:r>
      <w:r w:rsidR="00CA4625">
        <w:t xml:space="preserve">to Post of hosting short courses are also noted. Coordinating authorities and alumni alike commented on the hands-on, practical nature of the short courses being highly valuable, and a point of differentiation between Australia’s scholarship program and those of other donors. </w:t>
      </w:r>
      <w:r w:rsidR="00911310">
        <w:t xml:space="preserve">The overall sentiment was that the </w:t>
      </w:r>
      <w:r w:rsidR="00DB04EB">
        <w:t xml:space="preserve">current </w:t>
      </w:r>
      <w:r w:rsidR="00911310">
        <w:t>mix of modalities is serving countries well</w:t>
      </w:r>
      <w:r w:rsidR="004A1F3D">
        <w:t xml:space="preserve"> (though t</w:t>
      </w:r>
      <w:r w:rsidR="00DB04EB" w:rsidRPr="004A1F3D">
        <w:t>he inclusion of doctorate level study was raised by coordinating authorities</w:t>
      </w:r>
      <w:r w:rsidR="004A1F3D">
        <w:t>)</w:t>
      </w:r>
      <w:r w:rsidR="004A1F3D" w:rsidRPr="004A1F3D">
        <w:t>.</w:t>
      </w:r>
    </w:p>
    <w:p w14:paraId="058DF227" w14:textId="5B87249E" w:rsidR="00393D24" w:rsidRDefault="00112053" w:rsidP="00393D24">
      <w:r>
        <w:rPr>
          <w:lang w:val="en-NZ"/>
        </w:rPr>
        <w:t xml:space="preserve">The </w:t>
      </w:r>
      <w:r w:rsidR="00B915F5" w:rsidRPr="004A1F3D">
        <w:rPr>
          <w:lang w:val="en-NZ"/>
        </w:rPr>
        <w:t>Australia Awards in Africa</w:t>
      </w:r>
      <w:r w:rsidR="004E3E58" w:rsidRPr="004A1F3D">
        <w:rPr>
          <w:lang w:val="en-NZ"/>
        </w:rPr>
        <w:t xml:space="preserve"> </w:t>
      </w:r>
      <w:r w:rsidR="00E046AE" w:rsidRPr="004A1F3D">
        <w:rPr>
          <w:lang w:val="en-NZ"/>
        </w:rPr>
        <w:t xml:space="preserve">design document encourages the </w:t>
      </w:r>
      <w:r w:rsidR="004E3E58" w:rsidRPr="004A1F3D">
        <w:rPr>
          <w:lang w:val="en-NZ"/>
        </w:rPr>
        <w:t>explor</w:t>
      </w:r>
      <w:r w:rsidR="00E046AE" w:rsidRPr="004A1F3D">
        <w:rPr>
          <w:lang w:val="en-NZ"/>
        </w:rPr>
        <w:t xml:space="preserve">ation </w:t>
      </w:r>
      <w:r w:rsidR="004E3E58" w:rsidRPr="004A1F3D">
        <w:rPr>
          <w:lang w:val="en-NZ"/>
        </w:rPr>
        <w:t xml:space="preserve">of </w:t>
      </w:r>
      <w:r w:rsidR="00E046AE" w:rsidRPr="004A1F3D">
        <w:rPr>
          <w:lang w:val="en-NZ"/>
        </w:rPr>
        <w:t xml:space="preserve">different </w:t>
      </w:r>
      <w:r w:rsidR="004E3E58" w:rsidRPr="004A1F3D">
        <w:rPr>
          <w:lang w:val="en-NZ"/>
        </w:rPr>
        <w:t>modalities</w:t>
      </w:r>
      <w:r w:rsidR="00E046AE" w:rsidRPr="004A1F3D">
        <w:rPr>
          <w:lang w:val="en-NZ"/>
        </w:rPr>
        <w:t xml:space="preserve">, for example </w:t>
      </w:r>
      <w:r w:rsidR="00E046AE" w:rsidRPr="00112053">
        <w:rPr>
          <w:lang w:val="en-NZ"/>
        </w:rPr>
        <w:t>distance education and split-site degrees</w:t>
      </w:r>
      <w:r>
        <w:rPr>
          <w:lang w:val="en-NZ"/>
        </w:rPr>
        <w:t>.</w:t>
      </w:r>
      <w:r w:rsidR="00E046AE" w:rsidRPr="004A1F3D">
        <w:rPr>
          <w:rStyle w:val="FootnoteReference"/>
        </w:rPr>
        <w:footnoteReference w:id="28"/>
      </w:r>
      <w:r w:rsidR="00E046AE" w:rsidRPr="004A1F3D">
        <w:rPr>
          <w:rStyle w:val="FootnoteReference"/>
        </w:rPr>
        <w:t xml:space="preserve"> </w:t>
      </w:r>
      <w:r w:rsidR="00C5340B" w:rsidRPr="004A1F3D">
        <w:t xml:space="preserve">Although </w:t>
      </w:r>
      <w:r w:rsidR="0094298D">
        <w:t xml:space="preserve">it was found </w:t>
      </w:r>
      <w:r w:rsidR="004E3E58" w:rsidRPr="004A1F3D">
        <w:t xml:space="preserve">not </w:t>
      </w:r>
      <w:r>
        <w:t xml:space="preserve">to </w:t>
      </w:r>
      <w:r w:rsidR="004E3E58" w:rsidRPr="004A1F3D">
        <w:t>be feasible</w:t>
      </w:r>
      <w:r w:rsidR="0094298D">
        <w:t xml:space="preserve"> to explore this option beyond the literature review undertaken in 2017</w:t>
      </w:r>
      <w:r w:rsidR="0094298D">
        <w:rPr>
          <w:rStyle w:val="FootnoteReference"/>
        </w:rPr>
        <w:footnoteReference w:id="29"/>
      </w:r>
      <w:r w:rsidR="004E3E58" w:rsidRPr="004A1F3D">
        <w:t xml:space="preserve">, it is an encouraging practice that thoughtful, structured consideration is being given to using fit-for-purpose modalities. </w:t>
      </w:r>
    </w:p>
    <w:p w14:paraId="318F8408" w14:textId="7CCF431C" w:rsidR="00881BBD" w:rsidRDefault="004E3E58" w:rsidP="00881BBD">
      <w:pPr>
        <w:pStyle w:val="NormalBeforeBullet"/>
      </w:pPr>
      <w:r w:rsidRPr="004A1F3D">
        <w:t xml:space="preserve">One </w:t>
      </w:r>
      <w:r w:rsidR="00112053">
        <w:t xml:space="preserve">promising </w:t>
      </w:r>
      <w:r w:rsidR="00841970" w:rsidRPr="00393D24">
        <w:t xml:space="preserve">pilot under </w:t>
      </w:r>
      <w:r w:rsidR="00B915F5" w:rsidRPr="00393D24">
        <w:t>Australia Awards in Africa</w:t>
      </w:r>
      <w:r w:rsidR="00841970" w:rsidRPr="00393D24">
        <w:t xml:space="preserve"> </w:t>
      </w:r>
      <w:r w:rsidR="00E15D90" w:rsidRPr="00393D24">
        <w:t xml:space="preserve">is </w:t>
      </w:r>
      <w:r w:rsidR="006830E4">
        <w:t xml:space="preserve">the </w:t>
      </w:r>
      <w:r w:rsidR="001712C6" w:rsidRPr="00393D24">
        <w:t>postdoctoral</w:t>
      </w:r>
      <w:r w:rsidR="00841970" w:rsidRPr="00393D24">
        <w:t xml:space="preserve"> fellowships</w:t>
      </w:r>
      <w:r w:rsidR="00393D24" w:rsidRPr="00393D24">
        <w:t xml:space="preserve"> </w:t>
      </w:r>
      <w:r w:rsidR="006830E4">
        <w:t xml:space="preserve">pilot </w:t>
      </w:r>
      <w:r w:rsidR="00393D24" w:rsidRPr="00393D24">
        <w:t>(information regarding the postdoctoral fellowships pilot can be found at Appendix E)</w:t>
      </w:r>
      <w:r w:rsidR="00841970" w:rsidRPr="00393D24">
        <w:t>.</w:t>
      </w:r>
      <w:r w:rsidR="00E15D90" w:rsidRPr="00393D24">
        <w:t xml:space="preserve"> </w:t>
      </w:r>
      <w:bookmarkStart w:id="25" w:name="_Hlk535331589"/>
      <w:r w:rsidR="00071748">
        <w:t xml:space="preserve">Postdoctoral </w:t>
      </w:r>
      <w:r w:rsidR="00393D24" w:rsidRPr="00393D24">
        <w:rPr>
          <w:lang w:val="en-ZA" w:eastAsia="en-NZ"/>
        </w:rPr>
        <w:t xml:space="preserve">fellowships </w:t>
      </w:r>
      <w:r w:rsidR="00983A21">
        <w:rPr>
          <w:lang w:val="en-ZA" w:eastAsia="en-NZ"/>
        </w:rPr>
        <w:t xml:space="preserve">were offered to 18 people </w:t>
      </w:r>
      <w:r w:rsidR="00393D24" w:rsidRPr="00393D24">
        <w:rPr>
          <w:lang w:val="en-ZA" w:eastAsia="en-NZ"/>
        </w:rPr>
        <w:t>(11 m</w:t>
      </w:r>
      <w:r w:rsidR="00983A21">
        <w:rPr>
          <w:lang w:val="en-ZA" w:eastAsia="en-NZ"/>
        </w:rPr>
        <w:t>ale/7 female</w:t>
      </w:r>
      <w:r w:rsidR="00393D24" w:rsidRPr="00393D24">
        <w:rPr>
          <w:lang w:val="en-ZA" w:eastAsia="en-NZ"/>
        </w:rPr>
        <w:t>) in 2017 and 2018. The fellowships range in duration from three to 12 months at an Australian tertiary institution.</w:t>
      </w:r>
      <w:r w:rsidR="00393D24">
        <w:rPr>
          <w:lang w:val="en-ZA" w:eastAsia="en-NZ"/>
        </w:rPr>
        <w:t xml:space="preserve"> </w:t>
      </w:r>
      <w:r w:rsidR="00881BBD">
        <w:t>Fellows and supervisors noted the following benefits have been derived through participation in the postdoctoral fellowship pilot:</w:t>
      </w:r>
    </w:p>
    <w:p w14:paraId="69C8F3C8" w14:textId="77777777" w:rsidR="00881BBD" w:rsidRDefault="00881BBD" w:rsidP="00881BBD">
      <w:pPr>
        <w:pStyle w:val="Bullet"/>
      </w:pPr>
      <w:r>
        <w:t xml:space="preserve">Working with </w:t>
      </w:r>
      <w:proofErr w:type="gramStart"/>
      <w:r>
        <w:t>internationally-renowned</w:t>
      </w:r>
      <w:proofErr w:type="gramEnd"/>
      <w:r>
        <w:t xml:space="preserve"> researchers in agriculture, animal sciences, climatology, planetary and space science. </w:t>
      </w:r>
    </w:p>
    <w:p w14:paraId="5D3D276E" w14:textId="77777777" w:rsidR="00881BBD" w:rsidRDefault="00881BBD" w:rsidP="00881BBD">
      <w:pPr>
        <w:pStyle w:val="Bullet"/>
      </w:pPr>
      <w:r>
        <w:t xml:space="preserve">Access to </w:t>
      </w:r>
      <w:r w:rsidRPr="005A0225">
        <w:t>laboratory facilities and/or techniques and tools not available at home institutions. For example, climate modelling software and plant genetics diagnostic tools.</w:t>
      </w:r>
      <w:r>
        <w:t xml:space="preserve"> </w:t>
      </w:r>
    </w:p>
    <w:p w14:paraId="0E1E96C2" w14:textId="77777777" w:rsidR="00881BBD" w:rsidRDefault="00881BBD" w:rsidP="00881BBD">
      <w:pPr>
        <w:pStyle w:val="Bullet"/>
      </w:pPr>
      <w:r>
        <w:t>Enhanced knowledge through exposure to Australia tertiary institution research and teaching practices, and opportunity to co-supervise doctorate candidates.</w:t>
      </w:r>
    </w:p>
    <w:p w14:paraId="468A4440" w14:textId="77777777" w:rsidR="00881BBD" w:rsidRPr="005A0225" w:rsidRDefault="00881BBD" w:rsidP="00881BBD">
      <w:pPr>
        <w:pStyle w:val="BulletLast"/>
        <w:rPr>
          <w:rFonts w:ascii="Calibri" w:hAnsi="Calibri"/>
        </w:rPr>
      </w:pPr>
      <w:r>
        <w:t>Establishing new and deepening existing research collaborations with Australian tertiary institutions: most of the research projects involved new collaborations with Australian tertiary institutions, with four projects linked to an existing research collaboration involving an Australia tertiary institution. Two of the research projects involve more than one African University.</w:t>
      </w:r>
    </w:p>
    <w:p w14:paraId="416938CC" w14:textId="19DBBDB8" w:rsidR="00881BBD" w:rsidRDefault="00881BBD" w:rsidP="00393D24">
      <w:pPr>
        <w:rPr>
          <w:lang w:val="en-ZA" w:eastAsia="en-NZ"/>
        </w:rPr>
      </w:pPr>
      <w:r w:rsidRPr="00881BBD">
        <w:rPr>
          <w:lang w:eastAsia="en-NZ"/>
        </w:rPr>
        <w:t xml:space="preserve">It is suggested a strategic discussion regarding the postdoctoral fellowship pilot occur at the </w:t>
      </w:r>
      <w:r w:rsidR="006A70BB">
        <w:rPr>
          <w:lang w:eastAsia="en-NZ"/>
        </w:rPr>
        <w:t xml:space="preserve">September </w:t>
      </w:r>
      <w:r w:rsidRPr="00881BBD">
        <w:rPr>
          <w:lang w:eastAsia="en-NZ"/>
        </w:rPr>
        <w:t>201</w:t>
      </w:r>
      <w:r w:rsidR="004164D1">
        <w:rPr>
          <w:lang w:eastAsia="en-NZ"/>
        </w:rPr>
        <w:t>9</w:t>
      </w:r>
      <w:r w:rsidRPr="00881BBD">
        <w:rPr>
          <w:lang w:eastAsia="en-NZ"/>
        </w:rPr>
        <w:t xml:space="preserve"> Program Management Group meeting with a view to taking forward a design of postdoctoral fellowships as a permanent modality for the next design of Australia Awards in Africa (see Appendix E for further information).</w:t>
      </w:r>
    </w:p>
    <w:p w14:paraId="7CB4B303" w14:textId="77777777" w:rsidR="00B659EC" w:rsidRDefault="00B659EC" w:rsidP="002261EF">
      <w:pPr>
        <w:spacing w:before="0" w:after="0" w:line="240" w:lineRule="auto"/>
        <w:rPr>
          <w:rStyle w:val="Strong"/>
        </w:rPr>
      </w:pPr>
      <w:bookmarkStart w:id="26" w:name="_Toc527411597"/>
      <w:bookmarkEnd w:id="25"/>
      <w:r w:rsidRPr="0064325F">
        <w:rPr>
          <w:rStyle w:val="Strong"/>
        </w:rPr>
        <w:t xml:space="preserve">Engaging with </w:t>
      </w:r>
      <w:r w:rsidR="00B915F5">
        <w:rPr>
          <w:rStyle w:val="Strong"/>
        </w:rPr>
        <w:t>Australia Awards in Africa</w:t>
      </w:r>
      <w:r w:rsidR="00CD344C">
        <w:rPr>
          <w:rStyle w:val="Strong"/>
        </w:rPr>
        <w:t xml:space="preserve"> scholars </w:t>
      </w:r>
      <w:r w:rsidR="00872442" w:rsidRPr="0064325F">
        <w:rPr>
          <w:rStyle w:val="Strong"/>
        </w:rPr>
        <w:t>and alumni</w:t>
      </w:r>
      <w:r w:rsidRPr="0064325F">
        <w:rPr>
          <w:rStyle w:val="Strong"/>
        </w:rPr>
        <w:t xml:space="preserve"> to maximise program outcomes around public diplomacy and people-to-people links</w:t>
      </w:r>
    </w:p>
    <w:p w14:paraId="3B44702D" w14:textId="20407DC4" w:rsidR="001617D2" w:rsidRDefault="001617D2" w:rsidP="001617D2">
      <w:r>
        <w:t>Australia’s Global Alumni Engagement Strategy details the high value of alumni to Australia</w:t>
      </w:r>
      <w:r w:rsidR="0083228D">
        <w:t xml:space="preserve">, describing them as a </w:t>
      </w:r>
      <w:r>
        <w:t>‘</w:t>
      </w:r>
      <w:r w:rsidR="0083228D">
        <w:t xml:space="preserve">vital </w:t>
      </w:r>
      <w:r>
        <w:t>diplomatic asset</w:t>
      </w:r>
      <w:r w:rsidR="0083228D">
        <w:t>’</w:t>
      </w:r>
      <w:r w:rsidR="0083228D" w:rsidRPr="0083228D">
        <w:t xml:space="preserve"> </w:t>
      </w:r>
      <w:r w:rsidR="0083228D">
        <w:t xml:space="preserve">for </w:t>
      </w:r>
      <w:r w:rsidR="0083228D" w:rsidRPr="006830E4">
        <w:t>Australia</w:t>
      </w:r>
      <w:r w:rsidR="006830E4">
        <w:t>.</w:t>
      </w:r>
      <w:r w:rsidR="003677A1" w:rsidRPr="006830E4">
        <w:rPr>
          <w:rStyle w:val="FootnoteReference"/>
        </w:rPr>
        <w:footnoteReference w:id="30"/>
      </w:r>
      <w:r>
        <w:t xml:space="preserve"> </w:t>
      </w:r>
      <w:r w:rsidR="00461621">
        <w:t>Examples of Palladium facilitating alumni engagement include, among others</w:t>
      </w:r>
      <w:r>
        <w:t>:</w:t>
      </w:r>
    </w:p>
    <w:p w14:paraId="4B905260" w14:textId="77777777" w:rsidR="008C0BB6" w:rsidRDefault="00455B2F" w:rsidP="002F6A0E">
      <w:pPr>
        <w:pStyle w:val="Bullet"/>
      </w:pPr>
      <w:r>
        <w:lastRenderedPageBreak/>
        <w:t xml:space="preserve">Facilitating </w:t>
      </w:r>
      <w:r w:rsidRPr="007061EF">
        <w:t xml:space="preserve">a small number of selected </w:t>
      </w:r>
      <w:r>
        <w:t xml:space="preserve">alumni to participate in forums </w:t>
      </w:r>
      <w:r w:rsidR="008C0BB6">
        <w:t xml:space="preserve">and </w:t>
      </w:r>
      <w:r>
        <w:t>continuing professional development (CPD) opportunities</w:t>
      </w:r>
      <w:r>
        <w:rPr>
          <w:rStyle w:val="FootnoteReference"/>
        </w:rPr>
        <w:footnoteReference w:id="31"/>
      </w:r>
      <w:r>
        <w:t xml:space="preserve"> </w:t>
      </w:r>
      <w:r w:rsidR="008C0BB6">
        <w:t xml:space="preserve">as requested by </w:t>
      </w:r>
      <w:r>
        <w:t xml:space="preserve">DFAT. </w:t>
      </w:r>
    </w:p>
    <w:p w14:paraId="7AB51985" w14:textId="05B40C50" w:rsidR="008C0BB6" w:rsidRDefault="00455B2F" w:rsidP="002F6A0E">
      <w:pPr>
        <w:pStyle w:val="Bullet"/>
      </w:pPr>
      <w:r>
        <w:t>B</w:t>
      </w:r>
      <w:r w:rsidR="00461621">
        <w:t xml:space="preserve">ringing alumni </w:t>
      </w:r>
      <w:r w:rsidR="002E0546">
        <w:t xml:space="preserve">(including </w:t>
      </w:r>
      <w:r w:rsidR="006830E4">
        <w:t xml:space="preserve">alumnae </w:t>
      </w:r>
      <w:r w:rsidR="002E0546">
        <w:t xml:space="preserve">and those with a disability) </w:t>
      </w:r>
      <w:r w:rsidR="00461621">
        <w:t>to participate in pre</w:t>
      </w:r>
      <w:r w:rsidR="002E0546">
        <w:noBreakHyphen/>
      </w:r>
      <w:r w:rsidR="00461621">
        <w:t>departure briefings for master</w:t>
      </w:r>
      <w:r w:rsidR="00DA1E1F">
        <w:t>’</w:t>
      </w:r>
      <w:r w:rsidR="00461621">
        <w:t>s scholars</w:t>
      </w:r>
      <w:r>
        <w:t>.</w:t>
      </w:r>
      <w:r w:rsidR="001207B9">
        <w:rPr>
          <w:rStyle w:val="FootnoteReference"/>
        </w:rPr>
        <w:footnoteReference w:id="32"/>
      </w:r>
      <w:r>
        <w:t xml:space="preserve"> </w:t>
      </w:r>
      <w:r w:rsidR="00461621">
        <w:t xml:space="preserve"> </w:t>
      </w:r>
    </w:p>
    <w:p w14:paraId="10A0EBB2" w14:textId="77777777" w:rsidR="00312772" w:rsidRDefault="0041575D" w:rsidP="0041575D">
      <w:pPr>
        <w:pStyle w:val="Bullet"/>
      </w:pPr>
      <w:r>
        <w:t xml:space="preserve">Supporting the </w:t>
      </w:r>
      <w:r w:rsidRPr="00CF4AF5">
        <w:t>African Women in Leadership Network (WILN)</w:t>
      </w:r>
      <w:r w:rsidR="00560F5E">
        <w:rPr>
          <w:rStyle w:val="FootnoteReference"/>
        </w:rPr>
        <w:footnoteReference w:id="33"/>
      </w:r>
      <w:r w:rsidR="00560F5E">
        <w:t xml:space="preserve"> through support to alumnae to attend leadership workshops convened through Palladium and Nairobi Post and attendance </w:t>
      </w:r>
      <w:r w:rsidR="005049A5">
        <w:t>of</w:t>
      </w:r>
      <w:r w:rsidR="00560F5E">
        <w:t xml:space="preserve"> alumnae at international conferences in South Africa</w:t>
      </w:r>
      <w:r w:rsidR="005049A5">
        <w:t xml:space="preserve"> (see Appendix D for details)</w:t>
      </w:r>
      <w:r w:rsidR="00560F5E">
        <w:t xml:space="preserve">.  </w:t>
      </w:r>
      <w:r w:rsidR="00312772" w:rsidRPr="005D4866">
        <w:t xml:space="preserve"> </w:t>
      </w:r>
      <w:r>
        <w:t xml:space="preserve"> </w:t>
      </w:r>
    </w:p>
    <w:p w14:paraId="087EC031" w14:textId="2D2B1DAB" w:rsidR="004966D4" w:rsidRPr="004966D4" w:rsidRDefault="00592B76" w:rsidP="004966D4">
      <w:pPr>
        <w:pStyle w:val="Bullet"/>
      </w:pPr>
      <w:r>
        <w:t xml:space="preserve">Administering an alumni small grants scheme. Grants are provided through </w:t>
      </w:r>
      <w:r w:rsidR="00312772" w:rsidRPr="007061EF">
        <w:t xml:space="preserve">Alumni Associations </w:t>
      </w:r>
      <w:r>
        <w:t xml:space="preserve">for small grants of </w:t>
      </w:r>
      <w:r w:rsidR="006830E4">
        <w:t>$</w:t>
      </w:r>
      <w:r w:rsidR="00EC7087">
        <w:t>5,000</w:t>
      </w:r>
      <w:r w:rsidR="006830E4">
        <w:t>-</w:t>
      </w:r>
      <w:r w:rsidR="00EC7087">
        <w:t>10,000</w:t>
      </w:r>
      <w:r>
        <w:t xml:space="preserve"> for either </w:t>
      </w:r>
      <w:r w:rsidR="00DD04B5">
        <w:t xml:space="preserve">continuing professional development or development projects.  </w:t>
      </w:r>
      <w:r w:rsidR="004966D4">
        <w:t xml:space="preserve">As at end October 2018, </w:t>
      </w:r>
      <w:r w:rsidR="002E0546">
        <w:t>$</w:t>
      </w:r>
      <w:r w:rsidR="004966D4" w:rsidRPr="004966D4">
        <w:t>254,471.41</w:t>
      </w:r>
      <w:r w:rsidR="004966D4">
        <w:t xml:space="preserve"> in small gran</w:t>
      </w:r>
      <w:r w:rsidR="00DD04B5">
        <w:t>ts had been dispensed covering 28</w:t>
      </w:r>
      <w:r w:rsidR="004966D4">
        <w:t xml:space="preserve"> </w:t>
      </w:r>
      <w:r w:rsidR="00312772" w:rsidRPr="004966D4">
        <w:t xml:space="preserve">small grants </w:t>
      </w:r>
      <w:r w:rsidR="004966D4">
        <w:t xml:space="preserve">in </w:t>
      </w:r>
      <w:r w:rsidR="00DD04B5">
        <w:t>14</w:t>
      </w:r>
      <w:r w:rsidR="00312772" w:rsidRPr="004966D4">
        <w:t xml:space="preserve"> countries</w:t>
      </w:r>
      <w:r w:rsidR="004966D4">
        <w:t xml:space="preserve"> </w:t>
      </w:r>
      <w:r w:rsidRPr="004966D4">
        <w:t>(</w:t>
      </w:r>
      <w:r w:rsidR="004E401B">
        <w:t>s</w:t>
      </w:r>
      <w:r w:rsidRPr="004966D4">
        <w:t xml:space="preserve">ee Appendix </w:t>
      </w:r>
      <w:r w:rsidR="00367135">
        <w:t>D</w:t>
      </w:r>
      <w:r w:rsidRPr="004966D4">
        <w:t xml:space="preserve"> for </w:t>
      </w:r>
      <w:r w:rsidR="00D70312">
        <w:t>financial summary of grants by country</w:t>
      </w:r>
      <w:r w:rsidRPr="004966D4">
        <w:t>)</w:t>
      </w:r>
      <w:r w:rsidR="004966D4">
        <w:t>.</w:t>
      </w:r>
    </w:p>
    <w:p w14:paraId="019FD7F2" w14:textId="77777777" w:rsidR="00312772" w:rsidRPr="007061EF" w:rsidRDefault="00BE03EE" w:rsidP="00312772">
      <w:pPr>
        <w:pStyle w:val="Bullet"/>
      </w:pPr>
      <w:r>
        <w:t>Partnering with Alumni Associations</w:t>
      </w:r>
      <w:r>
        <w:rPr>
          <w:rStyle w:val="FootnoteReference"/>
        </w:rPr>
        <w:footnoteReference w:id="34"/>
      </w:r>
      <w:r>
        <w:t xml:space="preserve"> to r</w:t>
      </w:r>
      <w:r w:rsidR="00312772" w:rsidRPr="007061EF">
        <w:t xml:space="preserve">each out to </w:t>
      </w:r>
      <w:r w:rsidR="00B915F5">
        <w:t xml:space="preserve">Australia Awards </w:t>
      </w:r>
      <w:r w:rsidR="00312772">
        <w:t xml:space="preserve">alumni and </w:t>
      </w:r>
      <w:r w:rsidR="00660B92">
        <w:t xml:space="preserve">private </w:t>
      </w:r>
      <w:r w:rsidR="00C81DF2">
        <w:t xml:space="preserve">full fee-paying </w:t>
      </w:r>
      <w:r w:rsidR="00312772">
        <w:t>a</w:t>
      </w:r>
      <w:r w:rsidR="00312772" w:rsidRPr="007061EF">
        <w:t xml:space="preserve">lumni of Australian universities </w:t>
      </w:r>
      <w:r w:rsidR="00312772">
        <w:t xml:space="preserve">to either sign up or </w:t>
      </w:r>
      <w:r w:rsidR="00312772" w:rsidRPr="007061EF">
        <w:t xml:space="preserve">update their personal, contact and employer information on the </w:t>
      </w:r>
      <w:r w:rsidR="00D70312">
        <w:t>a</w:t>
      </w:r>
      <w:r w:rsidR="00312772" w:rsidRPr="007061EF">
        <w:t>lumni database.</w:t>
      </w:r>
      <w:r w:rsidR="008C0BB6">
        <w:t xml:space="preserve"> </w:t>
      </w:r>
      <w:r w:rsidR="005F796C">
        <w:t>Assisting DFAT with access to the alumni database.</w:t>
      </w:r>
    </w:p>
    <w:p w14:paraId="6C2BFE9B" w14:textId="1C4D6A13" w:rsidR="00312772" w:rsidRPr="007061EF" w:rsidRDefault="003A69F5" w:rsidP="00312772">
      <w:pPr>
        <w:pStyle w:val="Bullet"/>
      </w:pPr>
      <w:r>
        <w:t>‘</w:t>
      </w:r>
      <w:r w:rsidR="00312772" w:rsidRPr="007061EF">
        <w:t>Stay Connected</w:t>
      </w:r>
      <w:r>
        <w:t>’</w:t>
      </w:r>
      <w:r w:rsidR="00312772" w:rsidRPr="007061EF">
        <w:t xml:space="preserve"> </w:t>
      </w:r>
      <w:r>
        <w:t xml:space="preserve">workshops </w:t>
      </w:r>
      <w:r w:rsidRPr="007C125D">
        <w:t xml:space="preserve">to support </w:t>
      </w:r>
      <w:r>
        <w:t>s</w:t>
      </w:r>
      <w:r w:rsidRPr="007C125D">
        <w:t>cholars with successful reintegration</w:t>
      </w:r>
      <w:r w:rsidR="006830E4">
        <w:t>.</w:t>
      </w:r>
      <w:r>
        <w:rPr>
          <w:rStyle w:val="FootnoteReference"/>
        </w:rPr>
        <w:footnoteReference w:id="35"/>
      </w:r>
      <w:r w:rsidR="001617D2">
        <w:t xml:space="preserve">  </w:t>
      </w:r>
    </w:p>
    <w:p w14:paraId="6ED37A24" w14:textId="77777777" w:rsidR="00312772" w:rsidRDefault="005F796C" w:rsidP="005F796C">
      <w:pPr>
        <w:pStyle w:val="BulletLast"/>
      </w:pPr>
      <w:r>
        <w:t xml:space="preserve">Coordinating with Alumni Associations and other networks to facilitate mentoring arrangements, including scholar-to-scholar </w:t>
      </w:r>
      <w:r w:rsidR="00312772" w:rsidRPr="007061EF">
        <w:t>mentoring</w:t>
      </w:r>
      <w:r>
        <w:t>, a</w:t>
      </w:r>
      <w:r w:rsidR="00312772" w:rsidRPr="007061EF">
        <w:t>lumni</w:t>
      </w:r>
      <w:r>
        <w:t>-to-a</w:t>
      </w:r>
      <w:r w:rsidR="00312772" w:rsidRPr="007061EF">
        <w:t>lumni mentoring</w:t>
      </w:r>
      <w:r>
        <w:t xml:space="preserve"> and p</w:t>
      </w:r>
      <w:r w:rsidR="00312772" w:rsidRPr="007061EF">
        <w:t>eer-to-</w:t>
      </w:r>
      <w:r>
        <w:t>p</w:t>
      </w:r>
      <w:r w:rsidR="00312772" w:rsidRPr="007061EF">
        <w:t>eer mentoring</w:t>
      </w:r>
      <w:r>
        <w:t>.</w:t>
      </w:r>
      <w:r w:rsidR="00312772" w:rsidRPr="007061EF">
        <w:t xml:space="preserve"> </w:t>
      </w:r>
    </w:p>
    <w:p w14:paraId="4201A9CB" w14:textId="77777777" w:rsidR="008C0BB6" w:rsidRDefault="001617D2" w:rsidP="001617D2">
      <w:r>
        <w:t xml:space="preserve">This work is generally perceived by Posts as helpful, timely and highly relevant for assisting DFAT meet its alumni engagement objectives. </w:t>
      </w:r>
      <w:r w:rsidR="00461621" w:rsidRPr="0070699C">
        <w:t xml:space="preserve">Some Posts </w:t>
      </w:r>
      <w:r w:rsidR="00461621">
        <w:t xml:space="preserve">would like more assistance from Palladium on </w:t>
      </w:r>
      <w:r w:rsidR="00461621" w:rsidRPr="0070699C">
        <w:t>knowing who alumni are</w:t>
      </w:r>
      <w:r w:rsidR="00461621">
        <w:t>,</w:t>
      </w:r>
      <w:r w:rsidR="00461621" w:rsidRPr="0070699C">
        <w:t xml:space="preserve"> </w:t>
      </w:r>
      <w:r w:rsidR="00461621">
        <w:t xml:space="preserve">while </w:t>
      </w:r>
      <w:r w:rsidR="00461621" w:rsidRPr="0070699C">
        <w:t xml:space="preserve">other Posts are </w:t>
      </w:r>
      <w:r w:rsidR="00461621">
        <w:t>managing alumni contact details well</w:t>
      </w:r>
      <w:r w:rsidR="00461621" w:rsidRPr="0070699C">
        <w:t xml:space="preserve">. </w:t>
      </w:r>
      <w:r w:rsidR="00B97E9E">
        <w:t xml:space="preserve">Expanding the network to include </w:t>
      </w:r>
      <w:r w:rsidR="006D0D7A">
        <w:t xml:space="preserve">full fee-paying </w:t>
      </w:r>
      <w:r w:rsidR="00B97E9E">
        <w:t xml:space="preserve">alumni is a priority for all Posts. </w:t>
      </w:r>
      <w:r w:rsidR="006D0D7A">
        <w:t>The e</w:t>
      </w:r>
      <w:r w:rsidR="00B97E9E">
        <w:t xml:space="preserve">valuation heard examples of DFAT and Palladium staff </w:t>
      </w:r>
      <w:r w:rsidR="006D0D7A">
        <w:t xml:space="preserve">working with </w:t>
      </w:r>
      <w:r w:rsidR="00B97E9E">
        <w:t xml:space="preserve">Alumni Associations to assist with this. Where Alumni Associations are active, this partnership is working well.  Alumni Associations consulted noted difficulties </w:t>
      </w:r>
      <w:r w:rsidR="006D0D7A">
        <w:t xml:space="preserve">experienced </w:t>
      </w:r>
      <w:r w:rsidR="00B97E9E">
        <w:t>in reaching out to alumni outside of major cities</w:t>
      </w:r>
      <w:r w:rsidR="006D0D7A">
        <w:t xml:space="preserve"> in their countries</w:t>
      </w:r>
      <w:r w:rsidR="00B97E9E">
        <w:t>.</w:t>
      </w:r>
      <w:r w:rsidR="006D0D7A">
        <w:t xml:space="preserve"> </w:t>
      </w:r>
      <w:r w:rsidR="00B97E9E">
        <w:t xml:space="preserve">They also </w:t>
      </w:r>
      <w:r w:rsidR="00C74AD9">
        <w:t xml:space="preserve">gratefully acknowledged the efforts of </w:t>
      </w:r>
      <w:r w:rsidR="00B97E9E">
        <w:t xml:space="preserve">DFAT and Palladium staff in encouraging alumni to join Alumni Associations. </w:t>
      </w:r>
    </w:p>
    <w:p w14:paraId="54DBAE2E" w14:textId="50BB72FD" w:rsidR="001617D2" w:rsidRDefault="001617D2" w:rsidP="001617D2">
      <w:r>
        <w:t>Post-</w:t>
      </w:r>
      <w:r w:rsidRPr="0070699C">
        <w:t>led alumni engagement</w:t>
      </w:r>
      <w:r w:rsidR="006830E4">
        <w:t xml:space="preserve"> </w:t>
      </w:r>
      <w:r w:rsidRPr="0070699C">
        <w:t xml:space="preserve">is a strong element of </w:t>
      </w:r>
      <w:r w:rsidR="00B915F5">
        <w:t>Australia Awards in Africa</w:t>
      </w:r>
      <w:r w:rsidRPr="0070699C">
        <w:t>, and appears to be serving Australia’s public diplomacy, and to some extent economic diplomacy, objectives well</w:t>
      </w:r>
      <w:r w:rsidR="006830E4">
        <w:t>.</w:t>
      </w:r>
      <w:r w:rsidR="00660B92">
        <w:rPr>
          <w:rStyle w:val="FootnoteReference"/>
        </w:rPr>
        <w:footnoteReference w:id="36"/>
      </w:r>
      <w:r w:rsidRPr="0070699C">
        <w:t xml:space="preserve"> </w:t>
      </w:r>
      <w:r w:rsidR="004C27DD">
        <w:t xml:space="preserve">Examples </w:t>
      </w:r>
      <w:r w:rsidR="00E716F8">
        <w:t xml:space="preserve">of alumni engagement </w:t>
      </w:r>
      <w:r w:rsidR="004C27DD">
        <w:t xml:space="preserve">include: </w:t>
      </w:r>
    </w:p>
    <w:p w14:paraId="0AB607F6" w14:textId="77777777" w:rsidR="007861FB" w:rsidRPr="00DC7A46" w:rsidRDefault="007861FB" w:rsidP="00DC7A46">
      <w:pPr>
        <w:pStyle w:val="Bullet"/>
      </w:pPr>
      <w:r w:rsidRPr="00A002BF">
        <w:lastRenderedPageBreak/>
        <w:t>Professional development opportunities. For example,</w:t>
      </w:r>
      <w:r w:rsidR="007B15C9" w:rsidRPr="00A002BF">
        <w:t xml:space="preserve"> </w:t>
      </w:r>
      <w:r w:rsidRPr="00A002BF">
        <w:t xml:space="preserve">supporting </w:t>
      </w:r>
      <w:r w:rsidR="00A002BF" w:rsidRPr="00A002BF">
        <w:t>56</w:t>
      </w:r>
      <w:r w:rsidRPr="00A002BF">
        <w:t xml:space="preserve"> alumnae across </w:t>
      </w:r>
      <w:r w:rsidR="00A002BF" w:rsidRPr="00A002BF">
        <w:t>15</w:t>
      </w:r>
      <w:r w:rsidRPr="00A002BF">
        <w:t xml:space="preserve"> countries </w:t>
      </w:r>
      <w:r w:rsidRPr="00DC7A46">
        <w:t>to attend the Strathmore Business School’s Women in Leadership training</w:t>
      </w:r>
      <w:r w:rsidR="00A002BF" w:rsidRPr="00DC7A46">
        <w:t xml:space="preserve">. </w:t>
      </w:r>
    </w:p>
    <w:p w14:paraId="045C1567" w14:textId="77777777" w:rsidR="00A74614" w:rsidRPr="00DC7A46" w:rsidRDefault="00A002BF" w:rsidP="00DC7A46">
      <w:pPr>
        <w:pStyle w:val="Bullet"/>
      </w:pPr>
      <w:r w:rsidRPr="00DC7A46">
        <w:t>Using networks to enhance dialogue on development issues. For example, Nairobi Post brought together Kenyan alumni exposed to Australia’s TVET system for a networking opportunity with relevant Kenyan Government officials.</w:t>
      </w:r>
    </w:p>
    <w:p w14:paraId="5BADCA43" w14:textId="77777777" w:rsidR="007B15C9" w:rsidRPr="00DC7A46" w:rsidRDefault="003B50C7" w:rsidP="00DC7A46">
      <w:pPr>
        <w:pStyle w:val="Bullet"/>
      </w:pPr>
      <w:r w:rsidRPr="00DC7A46">
        <w:t xml:space="preserve">Supporting Alumni Associations to </w:t>
      </w:r>
      <w:r w:rsidR="00E716F8" w:rsidRPr="00DC7A46">
        <w:t>address development issues in their countries.</w:t>
      </w:r>
      <w:r w:rsidR="00DC7A46" w:rsidRPr="00DC7A46">
        <w:rPr>
          <w:rStyle w:val="FootnoteReference"/>
        </w:rPr>
        <w:footnoteReference w:id="37"/>
      </w:r>
      <w:r w:rsidR="00E716F8" w:rsidRPr="00DC7A46">
        <w:t xml:space="preserve"> </w:t>
      </w:r>
    </w:p>
    <w:p w14:paraId="35354EDF" w14:textId="77777777" w:rsidR="00945183" w:rsidRDefault="00945183" w:rsidP="004F52D0">
      <w:pPr>
        <w:pStyle w:val="Bullet"/>
      </w:pPr>
      <w:r>
        <w:t>Heads of Mission launching Alumni Associations and hosting functions for alumni when visiting accredited countries.</w:t>
      </w:r>
    </w:p>
    <w:p w14:paraId="591F9561" w14:textId="77777777" w:rsidR="008D45A1" w:rsidRDefault="007B15C9" w:rsidP="004F52D0">
      <w:pPr>
        <w:pStyle w:val="BulletLast"/>
      </w:pPr>
      <w:r>
        <w:t xml:space="preserve">Working with Alumni Associations to celebrate alumni. For example, </w:t>
      </w:r>
      <w:r w:rsidR="008D45A1">
        <w:t xml:space="preserve">Port Louis post worked with </w:t>
      </w:r>
      <w:r w:rsidR="004F52D0">
        <w:t xml:space="preserve">the Alumni Association to </w:t>
      </w:r>
      <w:r w:rsidR="008D45A1">
        <w:t xml:space="preserve">launch </w:t>
      </w:r>
      <w:r w:rsidR="004F52D0">
        <w:t xml:space="preserve">a </w:t>
      </w:r>
      <w:r w:rsidR="008D45A1">
        <w:t>publication</w:t>
      </w:r>
      <w:r w:rsidR="004F52D0">
        <w:t xml:space="preserve"> celebrating alumni’s contributions to development in Mauritius (to coincide with celebrations for Mauritius’ 50 years of independence).</w:t>
      </w:r>
      <w:r w:rsidR="00DC7A46">
        <w:rPr>
          <w:rStyle w:val="FootnoteReference"/>
        </w:rPr>
        <w:footnoteReference w:id="38"/>
      </w:r>
      <w:r w:rsidR="008D45A1">
        <w:t xml:space="preserve"> </w:t>
      </w:r>
    </w:p>
    <w:p w14:paraId="2BB2984F" w14:textId="77777777" w:rsidR="00FD7A5C" w:rsidRPr="00FD7A5C" w:rsidRDefault="007336CF" w:rsidP="004F52D0">
      <w:r w:rsidRPr="00FD7A5C">
        <w:t xml:space="preserve">Close consultation between Palladium and Posts in developing the annual work plan </w:t>
      </w:r>
      <w:r w:rsidR="00FD7A5C" w:rsidRPr="00FD7A5C">
        <w:t xml:space="preserve">is important to ensure alumni engagement activities delivered by Palladium align with both the Australia Awards in Africa Alumni Engagement Strategy and Posts economic and public diplomacy strategies. </w:t>
      </w:r>
    </w:p>
    <w:p w14:paraId="7D89E204" w14:textId="41E6808A" w:rsidR="00461621" w:rsidRDefault="00461621" w:rsidP="008C0BB6">
      <w:r w:rsidRPr="0070699C">
        <w:t xml:space="preserve">The evaluation heard </w:t>
      </w:r>
      <w:r w:rsidR="00775295">
        <w:t>from</w:t>
      </w:r>
      <w:r w:rsidR="004C27DD">
        <w:t xml:space="preserve"> </w:t>
      </w:r>
      <w:r w:rsidRPr="0070699C">
        <w:t xml:space="preserve">alumni </w:t>
      </w:r>
      <w:r w:rsidR="004C27DD">
        <w:t xml:space="preserve">in Ghana, </w:t>
      </w:r>
      <w:proofErr w:type="gramStart"/>
      <w:r w:rsidR="004C27DD">
        <w:t>Kenya</w:t>
      </w:r>
      <w:proofErr w:type="gramEnd"/>
      <w:r w:rsidR="004C27DD">
        <w:t xml:space="preserve"> and South Africa </w:t>
      </w:r>
      <w:r w:rsidR="00775295">
        <w:t xml:space="preserve">that they </w:t>
      </w:r>
      <w:r w:rsidRPr="0070699C">
        <w:t xml:space="preserve">value access to grant funding to </w:t>
      </w:r>
      <w:r>
        <w:t xml:space="preserve">pursue professional development opportunities, </w:t>
      </w:r>
      <w:r w:rsidRPr="0070699C">
        <w:t>networking (within sectors, countries and across the region)</w:t>
      </w:r>
      <w:r>
        <w:t xml:space="preserve"> and </w:t>
      </w:r>
      <w:r w:rsidRPr="0070699C">
        <w:t>mobilising personal and professional resources within their networks to address development issues</w:t>
      </w:r>
      <w:r>
        <w:t xml:space="preserve"> in their communities or countries. </w:t>
      </w:r>
      <w:r w:rsidRPr="0070699C">
        <w:t xml:space="preserve">Strong personal commitment </w:t>
      </w:r>
      <w:r>
        <w:t>from individual</w:t>
      </w:r>
      <w:r w:rsidR="004C27DD">
        <w:t xml:space="preserve"> alumnus</w:t>
      </w:r>
      <w:r>
        <w:t xml:space="preserve"> and groups of alumni (for example, the </w:t>
      </w:r>
      <w:r w:rsidR="00775295">
        <w:t>WILN</w:t>
      </w:r>
      <w:r>
        <w:t xml:space="preserve">) were </w:t>
      </w:r>
      <w:r w:rsidRPr="0070699C">
        <w:t>evident</w:t>
      </w:r>
      <w:r>
        <w:t xml:space="preserve"> during the </w:t>
      </w:r>
      <w:r w:rsidR="00775295">
        <w:t xml:space="preserve">evaluation </w:t>
      </w:r>
      <w:r>
        <w:t xml:space="preserve">consultations. </w:t>
      </w:r>
      <w:r w:rsidR="006830E4">
        <w:t>Conversely</w:t>
      </w:r>
      <w:r>
        <w:t>, the evaluation heard from some alumni of the time and financial pressures from high levels of alumni engagement</w:t>
      </w:r>
      <w:r w:rsidR="00775295">
        <w:t>, as well as a desire to receive more follow-up on what happens to information when they participate in surveys and evaluations</w:t>
      </w:r>
      <w:r>
        <w:t xml:space="preserve">. </w:t>
      </w:r>
    </w:p>
    <w:bookmarkEnd w:id="26"/>
    <w:p w14:paraId="2DB0B30F" w14:textId="77777777" w:rsidR="000D6B89" w:rsidRPr="0064325F" w:rsidRDefault="0064325F" w:rsidP="0064325F">
      <w:pPr>
        <w:rPr>
          <w:rStyle w:val="Strong"/>
        </w:rPr>
      </w:pPr>
      <w:r w:rsidRPr="0064325F">
        <w:rPr>
          <w:rStyle w:val="Strong"/>
        </w:rPr>
        <w:t>P</w:t>
      </w:r>
      <w:r w:rsidR="000D6B89" w:rsidRPr="0064325F">
        <w:rPr>
          <w:rStyle w:val="Strong"/>
        </w:rPr>
        <w:t xml:space="preserve">rivate sector engagement  </w:t>
      </w:r>
    </w:p>
    <w:p w14:paraId="6ED206CF" w14:textId="77777777" w:rsidR="00C42742" w:rsidRDefault="0064325F" w:rsidP="00F02A07">
      <w:r>
        <w:t xml:space="preserve">The </w:t>
      </w:r>
      <w:r w:rsidR="00B915F5">
        <w:t>Australia Awards in Africa</w:t>
      </w:r>
      <w:r>
        <w:t xml:space="preserve"> design sets out expectations that there will be increased and new ways of working with the private sector</w:t>
      </w:r>
      <w:r w:rsidR="004B5719">
        <w:t>.</w:t>
      </w:r>
      <w:r w:rsidR="00C87D98">
        <w:rPr>
          <w:rStyle w:val="FootnoteReference"/>
        </w:rPr>
        <w:footnoteReference w:id="39"/>
      </w:r>
      <w:r w:rsidR="00DA7713">
        <w:t xml:space="preserve"> </w:t>
      </w:r>
      <w:r w:rsidR="004B5719">
        <w:t xml:space="preserve">These expectations are </w:t>
      </w:r>
      <w:r w:rsidR="00764B2C">
        <w:t xml:space="preserve">reflected in </w:t>
      </w:r>
      <w:r w:rsidR="00DA7713">
        <w:t>the contract between DFAT and Palladium</w:t>
      </w:r>
      <w:r w:rsidR="00764B2C">
        <w:t xml:space="preserve">. Minutes of the Program Management Group meetings between </w:t>
      </w:r>
      <w:r w:rsidR="00C42742">
        <w:t>DFAT and Palladium</w:t>
      </w:r>
      <w:r w:rsidR="00F02A07">
        <w:t xml:space="preserve">, and Palladium’s six-monthly progress reports outline </w:t>
      </w:r>
      <w:proofErr w:type="gramStart"/>
      <w:r w:rsidR="00F02A07">
        <w:t>a number of</w:t>
      </w:r>
      <w:proofErr w:type="gramEnd"/>
      <w:r w:rsidR="00F02A07">
        <w:t xml:space="preserve"> steps and </w:t>
      </w:r>
      <w:r w:rsidR="00C42742">
        <w:t xml:space="preserve">different strategies </w:t>
      </w:r>
      <w:r w:rsidR="00F02A07">
        <w:t xml:space="preserve">that have been used to try and </w:t>
      </w:r>
      <w:r w:rsidR="00C42742">
        <w:t xml:space="preserve">engage with the private sector under </w:t>
      </w:r>
      <w:r w:rsidR="00B915F5">
        <w:t>Australia Awards in Africa</w:t>
      </w:r>
      <w:r w:rsidR="00C42742">
        <w:t>, including:</w:t>
      </w:r>
    </w:p>
    <w:p w14:paraId="0A5C3487" w14:textId="77777777" w:rsidR="00F02A07" w:rsidRDefault="00F02A07" w:rsidP="00F02A07">
      <w:pPr>
        <w:pStyle w:val="Bullet"/>
      </w:pPr>
      <w:r>
        <w:rPr>
          <w:lang w:val="en-NZ"/>
        </w:rPr>
        <w:t xml:space="preserve">Developing a </w:t>
      </w:r>
      <w:r w:rsidR="00C42742" w:rsidRPr="00F02A07">
        <w:rPr>
          <w:lang w:val="en-NZ"/>
        </w:rPr>
        <w:t xml:space="preserve">Private Sector Engagement </w:t>
      </w:r>
      <w:r w:rsidRPr="00F02A07">
        <w:rPr>
          <w:lang w:val="en-NZ"/>
        </w:rPr>
        <w:t>Strategy</w:t>
      </w:r>
      <w:r w:rsidR="007E76A4">
        <w:rPr>
          <w:lang w:val="en-NZ"/>
        </w:rPr>
        <w:t xml:space="preserve"> </w:t>
      </w:r>
      <w:r w:rsidR="0064325F">
        <w:t xml:space="preserve">(November 2016) </w:t>
      </w:r>
      <w:r w:rsidR="007E76A4">
        <w:t xml:space="preserve">which </w:t>
      </w:r>
      <w:r w:rsidR="0064325F">
        <w:t>propose</w:t>
      </w:r>
      <w:r w:rsidR="007E76A4">
        <w:t>d</w:t>
      </w:r>
      <w:r w:rsidR="0064325F">
        <w:t xml:space="preserve"> the piloting </w:t>
      </w:r>
      <w:r w:rsidR="00C42742">
        <w:t xml:space="preserve">of a </w:t>
      </w:r>
      <w:r w:rsidR="0064325F" w:rsidRPr="00764B2C">
        <w:t xml:space="preserve">range of programs with the extractives sector.  Three pilots </w:t>
      </w:r>
      <w:r w:rsidR="0064325F">
        <w:t>(</w:t>
      </w:r>
      <w:r w:rsidR="0064325F" w:rsidRPr="001D2B6F">
        <w:t xml:space="preserve">designed to partner with the </w:t>
      </w:r>
      <w:r w:rsidR="008027B3">
        <w:t>e</w:t>
      </w:r>
      <w:r w:rsidR="0064325F" w:rsidRPr="001D2B6F">
        <w:t>xtractives and related value-chain industries</w:t>
      </w:r>
      <w:r w:rsidR="0064325F">
        <w:t>)</w:t>
      </w:r>
      <w:r w:rsidR="0064325F" w:rsidRPr="001D2B6F">
        <w:t xml:space="preserve"> </w:t>
      </w:r>
      <w:r w:rsidR="0064325F">
        <w:t>were detailed in the strategy.</w:t>
      </w:r>
      <w:r>
        <w:t xml:space="preserve">  </w:t>
      </w:r>
    </w:p>
    <w:p w14:paraId="0E57E64E" w14:textId="0D10942A" w:rsidR="00F02A07" w:rsidRDefault="00F02A07" w:rsidP="00A95590">
      <w:pPr>
        <w:pStyle w:val="BulletLast"/>
      </w:pPr>
      <w:r>
        <w:t>I</w:t>
      </w:r>
      <w:r w:rsidR="0064325F">
        <w:t xml:space="preserve">n </w:t>
      </w:r>
      <w:r>
        <w:t xml:space="preserve">early </w:t>
      </w:r>
      <w:r w:rsidR="0064325F">
        <w:t xml:space="preserve">2017 DFAT Canberra </w:t>
      </w:r>
      <w:r w:rsidR="0064325F" w:rsidRPr="000A1295">
        <w:t>agreed that Palladium would focus on three activities under</w:t>
      </w:r>
      <w:r>
        <w:t xml:space="preserve"> a p</w:t>
      </w:r>
      <w:r w:rsidR="0064325F" w:rsidRPr="000A1295">
        <w:t xml:space="preserve">rivate </w:t>
      </w:r>
      <w:r>
        <w:t>s</w:t>
      </w:r>
      <w:r w:rsidR="0064325F" w:rsidRPr="000A1295">
        <w:t xml:space="preserve">ector </w:t>
      </w:r>
      <w:r>
        <w:t>e</w:t>
      </w:r>
      <w:r w:rsidR="0064325F" w:rsidRPr="000A1295">
        <w:t>ngagement pilot</w:t>
      </w:r>
      <w:r w:rsidR="0064325F">
        <w:t xml:space="preserve"> (these are different to the original three pilot activities suggested in the Private Sector Engagement Strategy). Briefly summarised, these three activities </w:t>
      </w:r>
      <w:r w:rsidR="008027B3">
        <w:t>we</w:t>
      </w:r>
      <w:r w:rsidR="0064325F">
        <w:t>re:</w:t>
      </w:r>
      <w:r w:rsidR="00C41C2E">
        <w:t xml:space="preserve"> (</w:t>
      </w:r>
      <w:proofErr w:type="spellStart"/>
      <w:r w:rsidR="00C41C2E">
        <w:t>i</w:t>
      </w:r>
      <w:proofErr w:type="spellEnd"/>
      <w:r w:rsidR="00C41C2E">
        <w:t>) a</w:t>
      </w:r>
      <w:r w:rsidR="0064325F" w:rsidRPr="000E7CE9">
        <w:t xml:space="preserve"> </w:t>
      </w:r>
      <w:r w:rsidR="00592036">
        <w:t>s</w:t>
      </w:r>
      <w:r w:rsidR="0064325F" w:rsidRPr="000A1295">
        <w:t xml:space="preserve">hort </w:t>
      </w:r>
      <w:r w:rsidR="00592036">
        <w:t>c</w:t>
      </w:r>
      <w:r w:rsidR="0064325F" w:rsidRPr="000A1295">
        <w:t xml:space="preserve">ourse in </w:t>
      </w:r>
      <w:r w:rsidR="00592036">
        <w:t>s</w:t>
      </w:r>
      <w:r w:rsidR="0064325F" w:rsidRPr="000A1295">
        <w:t xml:space="preserve">trategic </w:t>
      </w:r>
      <w:r w:rsidR="00592036">
        <w:t>p</w:t>
      </w:r>
      <w:r w:rsidR="0064325F" w:rsidRPr="000A1295">
        <w:t>artnering</w:t>
      </w:r>
      <w:r w:rsidR="00C41C2E">
        <w:t xml:space="preserve">; (ii) </w:t>
      </w:r>
      <w:r w:rsidR="00592036">
        <w:t>p</w:t>
      </w:r>
      <w:r w:rsidR="0064325F" w:rsidRPr="000A1295">
        <w:t xml:space="preserve">rivate </w:t>
      </w:r>
      <w:r w:rsidR="0064325F" w:rsidRPr="000E7CE9">
        <w:t>s</w:t>
      </w:r>
      <w:r w:rsidR="0064325F" w:rsidRPr="000A1295">
        <w:t xml:space="preserve">ector </w:t>
      </w:r>
      <w:r w:rsidR="0064325F" w:rsidRPr="000E7CE9">
        <w:t>p</w:t>
      </w:r>
      <w:r w:rsidR="0064325F" w:rsidRPr="000A1295">
        <w:t xml:space="preserve">rofessional </w:t>
      </w:r>
      <w:r w:rsidR="0064325F" w:rsidRPr="000E7CE9">
        <w:t>p</w:t>
      </w:r>
      <w:r w:rsidR="0064325F" w:rsidRPr="000A1295">
        <w:t xml:space="preserve">lacements and </w:t>
      </w:r>
      <w:r w:rsidR="0064325F" w:rsidRPr="000E7CE9">
        <w:t>m</w:t>
      </w:r>
      <w:r w:rsidR="0064325F" w:rsidRPr="000A1295">
        <w:t>entoring</w:t>
      </w:r>
      <w:r w:rsidR="0064325F" w:rsidRPr="000E7CE9">
        <w:t xml:space="preserve"> for s</w:t>
      </w:r>
      <w:r w:rsidR="0064325F" w:rsidRPr="000A1295">
        <w:t xml:space="preserve">elected </w:t>
      </w:r>
      <w:r w:rsidR="0064325F">
        <w:t>m</w:t>
      </w:r>
      <w:r w:rsidR="0064325F" w:rsidRPr="000A1295">
        <w:t>aster</w:t>
      </w:r>
      <w:r w:rsidR="0084649E">
        <w:t>’</w:t>
      </w:r>
      <w:r w:rsidR="0064325F" w:rsidRPr="000A1295">
        <w:t>s</w:t>
      </w:r>
      <w:r w:rsidR="0064325F" w:rsidRPr="000E7CE9">
        <w:t xml:space="preserve"> </w:t>
      </w:r>
      <w:r w:rsidR="00AB7FF1">
        <w:t>scholar</w:t>
      </w:r>
      <w:r w:rsidR="0064325F" w:rsidRPr="000E7CE9">
        <w:t>s</w:t>
      </w:r>
      <w:r w:rsidR="00C41C2E">
        <w:t xml:space="preserve">, and (iii) </w:t>
      </w:r>
      <w:r w:rsidR="00592036">
        <w:t>e</w:t>
      </w:r>
      <w:r w:rsidR="0064325F" w:rsidRPr="000A1295">
        <w:t xml:space="preserve">nhanced </w:t>
      </w:r>
      <w:r w:rsidR="0064325F" w:rsidRPr="000E7CE9">
        <w:t>i</w:t>
      </w:r>
      <w:r w:rsidR="0064325F" w:rsidRPr="000A1295">
        <w:t xml:space="preserve">ndustry </w:t>
      </w:r>
      <w:r w:rsidR="0064325F" w:rsidRPr="000E7CE9">
        <w:t>p</w:t>
      </w:r>
      <w:r w:rsidR="0064325F" w:rsidRPr="000A1295">
        <w:t xml:space="preserve">articipation and </w:t>
      </w:r>
      <w:r w:rsidR="0064325F" w:rsidRPr="000E7CE9">
        <w:t>f</w:t>
      </w:r>
      <w:r w:rsidR="0064325F" w:rsidRPr="000A1295">
        <w:t xml:space="preserve">unding of </w:t>
      </w:r>
      <w:r w:rsidR="00592036">
        <w:t>s</w:t>
      </w:r>
      <w:r w:rsidR="0064325F" w:rsidRPr="000A1295">
        <w:t xml:space="preserve">hort </w:t>
      </w:r>
      <w:r w:rsidR="00592036">
        <w:t>c</w:t>
      </w:r>
      <w:r w:rsidR="0064325F" w:rsidRPr="000A1295">
        <w:t>ourses</w:t>
      </w:r>
      <w:r w:rsidR="0064325F" w:rsidRPr="000E7CE9">
        <w:t>.</w:t>
      </w:r>
      <w:r>
        <w:t xml:space="preserve"> </w:t>
      </w:r>
    </w:p>
    <w:p w14:paraId="5D2AE7D8" w14:textId="77777777" w:rsidR="008027B3" w:rsidRDefault="008027B3" w:rsidP="0064325F">
      <w:r w:rsidRPr="008027B3">
        <w:lastRenderedPageBreak/>
        <w:t>W</w:t>
      </w:r>
      <w:r w:rsidR="00592036" w:rsidRPr="008027B3">
        <w:t>hile progress was made against these activities, none of them fully progressed to their desired outputs</w:t>
      </w:r>
      <w:r>
        <w:t>. There have been instances of using alumni</w:t>
      </w:r>
      <w:r w:rsidR="006E46D4">
        <w:t xml:space="preserve"> and networks</w:t>
      </w:r>
      <w:r>
        <w:t xml:space="preserve"> from the private sector to assist with promoting Australia Awards, and good participation of the private sector in the delivery of some short courses. See Appendix E for further details on these points. </w:t>
      </w:r>
    </w:p>
    <w:p w14:paraId="520D3B6F" w14:textId="77777777" w:rsidR="0064325F" w:rsidRPr="0068777F" w:rsidRDefault="0064325F" w:rsidP="0064325F">
      <w:r w:rsidRPr="0068777F">
        <w:t>In addition to some practical/logistical issues noted regarding engaging with the private sector</w:t>
      </w:r>
      <w:r w:rsidR="00C41C2E">
        <w:rPr>
          <w:rStyle w:val="FootnoteReference"/>
        </w:rPr>
        <w:footnoteReference w:id="40"/>
      </w:r>
      <w:r w:rsidRPr="0068777F">
        <w:t xml:space="preserve">, there are </w:t>
      </w:r>
      <w:r>
        <w:t xml:space="preserve">some </w:t>
      </w:r>
      <w:r w:rsidRPr="0068777F">
        <w:t xml:space="preserve">strategic </w:t>
      </w:r>
      <w:r>
        <w:t xml:space="preserve">considerations </w:t>
      </w:r>
      <w:r w:rsidRPr="0068777F">
        <w:t xml:space="preserve">that stand out </w:t>
      </w:r>
      <w:r w:rsidR="00E17CD6">
        <w:t xml:space="preserve">from Australia Awards in Africa’s experience to date with private sector engagement: </w:t>
      </w:r>
    </w:p>
    <w:p w14:paraId="60ADF5BA" w14:textId="77777777" w:rsidR="006E46D4" w:rsidRDefault="00B51E1F" w:rsidP="003F7ED2">
      <w:pPr>
        <w:pStyle w:val="Bullet"/>
      </w:pPr>
      <w:r w:rsidRPr="00B51E1F">
        <w:t xml:space="preserve">It is important to have </w:t>
      </w:r>
      <w:r w:rsidR="00064814" w:rsidRPr="00B51E1F">
        <w:t>clarity on both the strategic and functio</w:t>
      </w:r>
      <w:r w:rsidRPr="00B51E1F">
        <w:t>nal intent of Australia Awards in Africa engagement with the private sector</w:t>
      </w:r>
      <w:r w:rsidR="006E46D4">
        <w:t xml:space="preserve">, and Australia’s private sector development objectives in Africa to which Australia Awards in Africa is expected to contribute. </w:t>
      </w:r>
      <w:r w:rsidRPr="00B51E1F">
        <w:t xml:space="preserve"> </w:t>
      </w:r>
    </w:p>
    <w:p w14:paraId="0CB8C9B3" w14:textId="77777777" w:rsidR="0064325F" w:rsidRPr="000A1295" w:rsidRDefault="0064325F" w:rsidP="003F7ED2">
      <w:pPr>
        <w:pStyle w:val="Bullet"/>
      </w:pPr>
      <w:r w:rsidRPr="006E0B8A">
        <w:t xml:space="preserve">Dialogue with potential private sector actors takes time and private sector expectations may not necessarily be aligned with those of </w:t>
      </w:r>
      <w:r w:rsidR="00B915F5">
        <w:t>Australia Awards in Africa</w:t>
      </w:r>
      <w:r w:rsidRPr="006E0B8A">
        <w:t>.</w:t>
      </w:r>
      <w:r w:rsidRPr="000A1295">
        <w:t xml:space="preserve"> There is an expectation of a transactional relationship rather than one grounded on shared value</w:t>
      </w:r>
      <w:r>
        <w:t>s</w:t>
      </w:r>
      <w:r w:rsidRPr="000A1295">
        <w:t xml:space="preserve">. </w:t>
      </w:r>
    </w:p>
    <w:p w14:paraId="080B1EFD" w14:textId="18AA3BC0" w:rsidR="00B211DC" w:rsidRDefault="00BC278C" w:rsidP="00B211DC">
      <w:pPr>
        <w:pStyle w:val="BulletLast"/>
      </w:pPr>
      <w:r w:rsidRPr="003159E8">
        <w:t xml:space="preserve">DFAT leads on liaison with the private sector, with </w:t>
      </w:r>
      <w:r w:rsidR="0064325F" w:rsidRPr="003159E8">
        <w:t>Palladium rel</w:t>
      </w:r>
      <w:r w:rsidRPr="003159E8">
        <w:t xml:space="preserve">ying </w:t>
      </w:r>
      <w:r w:rsidR="0064325F" w:rsidRPr="003159E8">
        <w:t>on DFAT Posts to convey a private sector perspective from their engagement with business</w:t>
      </w:r>
      <w:r w:rsidR="0064325F" w:rsidRPr="000A1295">
        <w:t xml:space="preserve">. </w:t>
      </w:r>
      <w:r>
        <w:t xml:space="preserve">However, some Posts require Palladium’s support for promotions outreach to the </w:t>
      </w:r>
      <w:r w:rsidRPr="00E17CD6">
        <w:t>private</w:t>
      </w:r>
      <w:r>
        <w:t xml:space="preserve"> sector. </w:t>
      </w:r>
      <w:r w:rsidR="00686367">
        <w:t xml:space="preserve"> </w:t>
      </w:r>
    </w:p>
    <w:p w14:paraId="281E8570" w14:textId="35066FBA" w:rsidR="0064325F" w:rsidRDefault="00B55188" w:rsidP="00B55188">
      <w:pPr>
        <w:pStyle w:val="BulletLast"/>
        <w:numPr>
          <w:ilvl w:val="0"/>
          <w:numId w:val="0"/>
        </w:numPr>
      </w:pPr>
      <w:r>
        <w:t xml:space="preserve">The evaluation notes DFAT is </w:t>
      </w:r>
      <w:r w:rsidR="00B211DC">
        <w:t xml:space="preserve">developing </w:t>
      </w:r>
      <w:r>
        <w:t xml:space="preserve">a global Australia Awards </w:t>
      </w:r>
      <w:r w:rsidR="00B211DC">
        <w:t xml:space="preserve">private sector engagement strategy which could inform a private </w:t>
      </w:r>
      <w:r w:rsidR="00C72A03">
        <w:t xml:space="preserve">sector engagement approach in the </w:t>
      </w:r>
      <w:r w:rsidR="00B211DC">
        <w:t>design</w:t>
      </w:r>
      <w:r w:rsidR="00C72A03">
        <w:t xml:space="preserve"> of a future phase of the program</w:t>
      </w:r>
      <w:r w:rsidR="00B211DC">
        <w:t xml:space="preserve">.  </w:t>
      </w:r>
    </w:p>
    <w:p w14:paraId="35F1D003" w14:textId="77777777" w:rsidR="0064325F" w:rsidRDefault="0064325F" w:rsidP="0064325F">
      <w:pPr>
        <w:rPr>
          <w:rStyle w:val="Strong"/>
        </w:rPr>
      </w:pPr>
      <w:r w:rsidRPr="00872442">
        <w:rPr>
          <w:rStyle w:val="Strong"/>
        </w:rPr>
        <w:t>Participation of private sector</w:t>
      </w:r>
      <w:r w:rsidR="00E17CD6">
        <w:rPr>
          <w:rStyle w:val="Strong"/>
        </w:rPr>
        <w:t xml:space="preserve"> applicants in Australia Awards in Africa</w:t>
      </w:r>
    </w:p>
    <w:p w14:paraId="18C5D105" w14:textId="5C5FBCDB" w:rsidR="00C07135" w:rsidRPr="00C07135" w:rsidRDefault="00E16E17" w:rsidP="00A53B69">
      <w:pPr>
        <w:pStyle w:val="NormalBeforeBullet"/>
      </w:pPr>
      <w:bookmarkStart w:id="27" w:name="_Hlk535414327"/>
      <w:r>
        <w:t xml:space="preserve">Australia Awards in Africa is contributing to private sector development though skills and knowledge development of individuals working in the private sector. </w:t>
      </w:r>
      <w:r w:rsidR="00C07135" w:rsidRPr="00C07135">
        <w:t xml:space="preserve">Since 2016, </w:t>
      </w:r>
      <w:r w:rsidR="005C281E">
        <w:t xml:space="preserve">79 </w:t>
      </w:r>
      <w:r w:rsidR="00C07135" w:rsidRPr="00C07135">
        <w:t xml:space="preserve">awards have been offered to private sector </w:t>
      </w:r>
      <w:r w:rsidR="00E17CD6">
        <w:t>applicants</w:t>
      </w:r>
      <w:r w:rsidR="005C281E">
        <w:t xml:space="preserve"> (</w:t>
      </w:r>
      <w:r w:rsidR="00B26E3A">
        <w:t>37</w:t>
      </w:r>
      <w:r w:rsidR="005C281E">
        <w:t xml:space="preserve"> </w:t>
      </w:r>
      <w:r w:rsidR="00983A21">
        <w:t>female</w:t>
      </w:r>
      <w:r w:rsidR="005C281E">
        <w:t>/</w:t>
      </w:r>
      <w:r w:rsidR="00B26E3A">
        <w:t>42</w:t>
      </w:r>
      <w:r w:rsidR="005C281E">
        <w:t xml:space="preserve"> m</w:t>
      </w:r>
      <w:r w:rsidR="00983A21">
        <w:t>ale</w:t>
      </w:r>
      <w:r w:rsidR="005C281E">
        <w:t>, including one ma</w:t>
      </w:r>
      <w:r w:rsidR="00983A21">
        <w:t>le</w:t>
      </w:r>
      <w:r w:rsidR="005C281E">
        <w:t xml:space="preserve"> with a disability)</w:t>
      </w:r>
      <w:r w:rsidR="007B6A80">
        <w:t>:</w:t>
      </w:r>
      <w:r w:rsidR="00C07135" w:rsidRPr="00C07135">
        <w:t xml:space="preserve">  </w:t>
      </w:r>
    </w:p>
    <w:p w14:paraId="77F05CB1" w14:textId="1BEEBBE5" w:rsidR="00154C3D" w:rsidRPr="00A53B69" w:rsidRDefault="007B6A80" w:rsidP="00A53B69">
      <w:pPr>
        <w:pStyle w:val="Bullet"/>
      </w:pPr>
      <w:r w:rsidRPr="00A53B69">
        <w:t>Over the period 2016-2019</w:t>
      </w:r>
      <w:r w:rsidR="005C281E" w:rsidRPr="00A53B69">
        <w:t xml:space="preserve"> 45 applicants from the private sector (20 </w:t>
      </w:r>
      <w:r w:rsidR="00983A21">
        <w:t>female</w:t>
      </w:r>
      <w:r w:rsidR="005C281E" w:rsidRPr="00A53B69">
        <w:t xml:space="preserve">/25 </w:t>
      </w:r>
      <w:r w:rsidR="00983A21">
        <w:t>male</w:t>
      </w:r>
      <w:r w:rsidR="005C281E" w:rsidRPr="00A53B69">
        <w:t>, including one man with a disability)</w:t>
      </w:r>
      <w:r w:rsidRPr="00A53B69">
        <w:t xml:space="preserve"> </w:t>
      </w:r>
      <w:r w:rsidR="00A80216">
        <w:t xml:space="preserve">received </w:t>
      </w:r>
      <w:r w:rsidRPr="00A53B69">
        <w:t xml:space="preserve">an Australia Awards </w:t>
      </w:r>
      <w:r w:rsidR="005C281E" w:rsidRPr="00A53B69">
        <w:t>s</w:t>
      </w:r>
      <w:r w:rsidRPr="00A53B69">
        <w:t>cholarship (</w:t>
      </w:r>
      <w:r w:rsidR="005C281E" w:rsidRPr="00A53B69">
        <w:t>9</w:t>
      </w:r>
      <w:r w:rsidRPr="00A53B69">
        <w:t xml:space="preserve"> </w:t>
      </w:r>
      <w:r w:rsidR="005C281E" w:rsidRPr="00A53B69">
        <w:t xml:space="preserve">per cent </w:t>
      </w:r>
      <w:r w:rsidRPr="00A53B69">
        <w:t xml:space="preserve">of </w:t>
      </w:r>
      <w:r w:rsidR="00B26E3A">
        <w:t xml:space="preserve">Australia Awards scholarships </w:t>
      </w:r>
      <w:r w:rsidR="005C281E" w:rsidRPr="00A53B69">
        <w:t>offered during this period</w:t>
      </w:r>
      <w:r w:rsidRPr="00A53B69">
        <w:t>)</w:t>
      </w:r>
      <w:r w:rsidR="005C281E" w:rsidRPr="00A53B69">
        <w:t>.</w:t>
      </w:r>
      <w:r w:rsidR="00C07135" w:rsidRPr="00A53B69">
        <w:t xml:space="preserve"> </w:t>
      </w:r>
    </w:p>
    <w:p w14:paraId="5B20F520" w14:textId="43255209" w:rsidR="00154C3D" w:rsidRDefault="007B6A80" w:rsidP="00A53B69">
      <w:pPr>
        <w:pStyle w:val="Bullet"/>
      </w:pPr>
      <w:r>
        <w:t xml:space="preserve">Over the period 2016-2018 </w:t>
      </w:r>
      <w:r w:rsidR="005C281E">
        <w:t xml:space="preserve">34 </w:t>
      </w:r>
      <w:r w:rsidR="005C4437">
        <w:t xml:space="preserve">applicants from the private sector (17 </w:t>
      </w:r>
      <w:r w:rsidR="00983A21">
        <w:t>female</w:t>
      </w:r>
      <w:r w:rsidR="005C4437">
        <w:t xml:space="preserve">/17 </w:t>
      </w:r>
      <w:r w:rsidR="00983A21">
        <w:t>male</w:t>
      </w:r>
      <w:r w:rsidR="005C4437">
        <w:t xml:space="preserve">) </w:t>
      </w:r>
      <w:r w:rsidR="005C281E">
        <w:t xml:space="preserve">participated in </w:t>
      </w:r>
      <w:r>
        <w:t>a short course (</w:t>
      </w:r>
      <w:r w:rsidR="00B26E3A">
        <w:t xml:space="preserve">four per cent </w:t>
      </w:r>
      <w:r>
        <w:t>of short course awards</w:t>
      </w:r>
      <w:r w:rsidR="00B26E3A" w:rsidRPr="00B26E3A">
        <w:t xml:space="preserve"> </w:t>
      </w:r>
      <w:r w:rsidR="00B26E3A" w:rsidRPr="00A53B69">
        <w:t>offered during this period</w:t>
      </w:r>
      <w:r>
        <w:t>)</w:t>
      </w:r>
      <w:r w:rsidR="00B26E3A">
        <w:t xml:space="preserve">. </w:t>
      </w:r>
    </w:p>
    <w:p w14:paraId="1A68AC29" w14:textId="77777777" w:rsidR="00C07135" w:rsidRDefault="00B26E3A" w:rsidP="00DA4E6C">
      <w:pPr>
        <w:pStyle w:val="BulletLast"/>
      </w:pPr>
      <w:r>
        <w:t xml:space="preserve">29 per cent of awards were offered in the </w:t>
      </w:r>
      <w:r w:rsidRPr="00C879A1">
        <w:t>extractives</w:t>
      </w:r>
      <w:r>
        <w:t xml:space="preserve"> sector, followed by 24 per cent in </w:t>
      </w:r>
      <w:r w:rsidR="00C07135" w:rsidRPr="00C879A1">
        <w:t>the pub</w:t>
      </w:r>
      <w:r w:rsidR="00C07135">
        <w:t xml:space="preserve">lic policy sector, </w:t>
      </w:r>
      <w:r>
        <w:t xml:space="preserve">19 per cent in </w:t>
      </w:r>
      <w:r w:rsidR="00C07135">
        <w:t xml:space="preserve">agriculture, </w:t>
      </w:r>
      <w:r w:rsidR="00C07135" w:rsidRPr="00C879A1">
        <w:t>and</w:t>
      </w:r>
      <w:r w:rsidR="00C07135">
        <w:t xml:space="preserve"> </w:t>
      </w:r>
      <w:r>
        <w:t>11 per cent in h</w:t>
      </w:r>
      <w:r w:rsidR="00C07135" w:rsidRPr="00C879A1">
        <w:t>ealth</w:t>
      </w:r>
      <w:r>
        <w:t>.</w:t>
      </w:r>
      <w:r w:rsidR="00C07135" w:rsidRPr="00C879A1">
        <w:t xml:space="preserve"> </w:t>
      </w:r>
    </w:p>
    <w:p w14:paraId="3CA16B13" w14:textId="77777777" w:rsidR="00DA4E6C" w:rsidRDefault="00DA4E6C" w:rsidP="00DA4E6C">
      <w:pPr>
        <w:pStyle w:val="NormalBeforeBullet"/>
      </w:pPr>
      <w:proofErr w:type="gramStart"/>
      <w:r>
        <w:t>The majority of</w:t>
      </w:r>
      <w:proofErr w:type="gramEnd"/>
      <w:r>
        <w:t xml:space="preserve"> private sector applicants receiving an Australia Awards scholarship were from:</w:t>
      </w:r>
    </w:p>
    <w:p w14:paraId="17958B00" w14:textId="2FF29E9A" w:rsidR="00A80216" w:rsidRDefault="00A80216" w:rsidP="00A80216">
      <w:pPr>
        <w:pStyle w:val="Bullet"/>
      </w:pPr>
      <w:r>
        <w:t xml:space="preserve">Nigeria: 9 scholars (4 </w:t>
      </w:r>
      <w:r w:rsidR="00983A21">
        <w:t>female</w:t>
      </w:r>
      <w:r>
        <w:t>/5 m</w:t>
      </w:r>
      <w:r w:rsidR="00983A21">
        <w:t>ale</w:t>
      </w:r>
      <w:r>
        <w:t>)</w:t>
      </w:r>
    </w:p>
    <w:p w14:paraId="5F024355" w14:textId="78AE0406" w:rsidR="00A80216" w:rsidRDefault="00A80216" w:rsidP="00A80216">
      <w:pPr>
        <w:pStyle w:val="Bullet"/>
      </w:pPr>
      <w:r>
        <w:t xml:space="preserve">Ghana: 8 scholars (1 </w:t>
      </w:r>
      <w:r w:rsidR="00D91FB3">
        <w:t>female</w:t>
      </w:r>
      <w:r>
        <w:t>/7 m</w:t>
      </w:r>
      <w:r w:rsidR="00983A21">
        <w:t>ale</w:t>
      </w:r>
      <w:r>
        <w:t>)</w:t>
      </w:r>
    </w:p>
    <w:p w14:paraId="74DE06E4" w14:textId="6E111822" w:rsidR="00A80216" w:rsidRDefault="00A80216" w:rsidP="00A80216">
      <w:pPr>
        <w:pStyle w:val="Bullet"/>
      </w:pPr>
      <w:r>
        <w:t xml:space="preserve">Mozambique: 8 scholars (4 </w:t>
      </w:r>
      <w:r w:rsidR="00D91FB3">
        <w:t>female</w:t>
      </w:r>
      <w:r>
        <w:t>/4 m</w:t>
      </w:r>
      <w:r w:rsidR="00983A21">
        <w:t>ale)</w:t>
      </w:r>
    </w:p>
    <w:p w14:paraId="04BB5211" w14:textId="2C0E796F" w:rsidR="00A80216" w:rsidRDefault="00A80216" w:rsidP="00853F36">
      <w:pPr>
        <w:pStyle w:val="BulletLast"/>
      </w:pPr>
      <w:r>
        <w:t xml:space="preserve">Kenya: 6 scholars (3 </w:t>
      </w:r>
      <w:r w:rsidR="00D91FB3">
        <w:t>female</w:t>
      </w:r>
      <w:r>
        <w:t>/3 m</w:t>
      </w:r>
      <w:r w:rsidR="00983A21">
        <w:t>ale</w:t>
      </w:r>
      <w:r>
        <w:t>)</w:t>
      </w:r>
    </w:p>
    <w:p w14:paraId="214805C2" w14:textId="77777777" w:rsidR="00DA4E6C" w:rsidRDefault="00DA4E6C" w:rsidP="00DA4E6C">
      <w:proofErr w:type="gramStart"/>
      <w:r>
        <w:t>The majority of</w:t>
      </w:r>
      <w:proofErr w:type="gramEnd"/>
      <w:r>
        <w:t xml:space="preserve"> short course participants from the private sector were from:</w:t>
      </w:r>
    </w:p>
    <w:p w14:paraId="6311A410" w14:textId="1124D53F" w:rsidR="00A80216" w:rsidRDefault="00A80216" w:rsidP="00A80216">
      <w:pPr>
        <w:pStyle w:val="Bullet"/>
      </w:pPr>
      <w:r>
        <w:t xml:space="preserve">Nigeria: 8 scholars (2 </w:t>
      </w:r>
      <w:r w:rsidR="00D91FB3">
        <w:t>female</w:t>
      </w:r>
      <w:r>
        <w:t>/6 m</w:t>
      </w:r>
      <w:r w:rsidR="00D91FB3">
        <w:t>ale</w:t>
      </w:r>
      <w:r>
        <w:t>)</w:t>
      </w:r>
    </w:p>
    <w:p w14:paraId="36CFE9AE" w14:textId="2EAFF96C" w:rsidR="00A80216" w:rsidRDefault="00A80216" w:rsidP="00853F36">
      <w:pPr>
        <w:pStyle w:val="BulletLast"/>
      </w:pPr>
      <w:r>
        <w:t xml:space="preserve">Kenya: 8 scholars (7 </w:t>
      </w:r>
      <w:r w:rsidR="00D91FB3">
        <w:t>female</w:t>
      </w:r>
      <w:r>
        <w:t>/1 ma</w:t>
      </w:r>
      <w:r w:rsidR="00D91FB3">
        <w:t>le</w:t>
      </w:r>
      <w:r>
        <w:t>)</w:t>
      </w:r>
    </w:p>
    <w:p w14:paraId="61449951" w14:textId="77777777" w:rsidR="00853F36" w:rsidRDefault="00853F36" w:rsidP="00853F36">
      <w:pPr>
        <w:pStyle w:val="Bullet"/>
        <w:numPr>
          <w:ilvl w:val="0"/>
          <w:numId w:val="0"/>
        </w:numPr>
        <w:ind w:left="360" w:hanging="360"/>
      </w:pPr>
      <w:r>
        <w:lastRenderedPageBreak/>
        <w:t xml:space="preserve">See Appendix D for further details. </w:t>
      </w:r>
    </w:p>
    <w:bookmarkEnd w:id="27"/>
    <w:p w14:paraId="1FBAA1DA" w14:textId="77777777" w:rsidR="00585B9C" w:rsidRDefault="00585B9C" w:rsidP="00585B9C">
      <w:pPr>
        <w:pStyle w:val="Bullet"/>
        <w:numPr>
          <w:ilvl w:val="0"/>
          <w:numId w:val="0"/>
        </w:numPr>
        <w:rPr>
          <w:rStyle w:val="Strong"/>
        </w:rPr>
      </w:pPr>
      <w:r>
        <w:rPr>
          <w:rStyle w:val="Strong"/>
        </w:rPr>
        <w:t>F</w:t>
      </w:r>
      <w:r w:rsidRPr="0064325F">
        <w:rPr>
          <w:rStyle w:val="Strong"/>
        </w:rPr>
        <w:t>actors influencing the achievement or non-achievement of the outputs and/or outcomes</w:t>
      </w:r>
    </w:p>
    <w:p w14:paraId="55DFF179" w14:textId="739F1B81" w:rsidR="001305F8" w:rsidRDefault="001305F8" w:rsidP="001305F8">
      <w:pPr>
        <w:pStyle w:val="Bullet"/>
        <w:numPr>
          <w:ilvl w:val="0"/>
          <w:numId w:val="0"/>
        </w:numPr>
      </w:pPr>
      <w:r>
        <w:t xml:space="preserve">As </w:t>
      </w:r>
      <w:r w:rsidR="00A57E1D">
        <w:t xml:space="preserve">a </w:t>
      </w:r>
      <w:r>
        <w:t xml:space="preserve">regional program operating across diverse countries with multiple stakeholder groups involved in its implementation, it is </w:t>
      </w:r>
      <w:r w:rsidR="00B55188">
        <w:t xml:space="preserve">unsurprising </w:t>
      </w:r>
      <w:r>
        <w:t>o</w:t>
      </w:r>
      <w:r w:rsidR="00585B9C">
        <w:t xml:space="preserve">ne of the most </w:t>
      </w:r>
      <w:r w:rsidR="00585B9C" w:rsidRPr="00FB2463">
        <w:t xml:space="preserve">notable factors </w:t>
      </w:r>
      <w:r>
        <w:t xml:space="preserve">raised with the evaluation as </w:t>
      </w:r>
      <w:r w:rsidR="00585B9C" w:rsidRPr="00FB2463">
        <w:t xml:space="preserve">influencing the effectiveness of </w:t>
      </w:r>
      <w:r>
        <w:t xml:space="preserve">Australia Awards in Africa </w:t>
      </w:r>
      <w:r w:rsidR="00585B9C" w:rsidRPr="00FB2463">
        <w:t>is coordinat</w:t>
      </w:r>
      <w:r w:rsidR="00E71C50">
        <w:t xml:space="preserve">ed sharing of </w:t>
      </w:r>
      <w:r w:rsidR="00585B9C" w:rsidRPr="00FB2463">
        <w:t>information</w:t>
      </w:r>
      <w:r w:rsidR="00E71C50">
        <w:t xml:space="preserve"> and decision-making</w:t>
      </w:r>
      <w:r w:rsidR="00585B9C">
        <w:t>.</w:t>
      </w:r>
      <w:r w:rsidR="00585B9C" w:rsidRPr="00FB2463">
        <w:t xml:space="preserve"> </w:t>
      </w:r>
      <w:r w:rsidR="00585B9C">
        <w:t xml:space="preserve">All stakeholders </w:t>
      </w:r>
      <w:r>
        <w:t xml:space="preserve">consulted </w:t>
      </w:r>
      <w:r w:rsidR="00585B9C">
        <w:t xml:space="preserve">noted a need, and willingness, to improve information-sharing </w:t>
      </w:r>
      <w:r>
        <w:t xml:space="preserve">to increase the effectiveness </w:t>
      </w:r>
      <w:r w:rsidR="003B58E3">
        <w:t xml:space="preserve">and efficiency </w:t>
      </w:r>
      <w:r>
        <w:t xml:space="preserve">of Australia Awards in Africa. </w:t>
      </w:r>
      <w:r w:rsidR="00585B9C">
        <w:t xml:space="preserve">  </w:t>
      </w:r>
    </w:p>
    <w:p w14:paraId="0B3FA187" w14:textId="77777777" w:rsidR="00585B9C" w:rsidRDefault="00585B9C" w:rsidP="00585B9C">
      <w:r>
        <w:t>The evaluation heard of the following examples of good flow</w:t>
      </w:r>
      <w:r w:rsidR="001305F8">
        <w:t>s</w:t>
      </w:r>
      <w:r>
        <w:t xml:space="preserve"> of information to inform decision-making and build relationships between stakeholders:</w:t>
      </w:r>
    </w:p>
    <w:p w14:paraId="2324611B" w14:textId="77777777" w:rsidR="00585B9C" w:rsidRDefault="001305F8" w:rsidP="00E71C50">
      <w:pPr>
        <w:pStyle w:val="Bullet"/>
      </w:pPr>
      <w:r>
        <w:t xml:space="preserve">Coordinating authorities consulted were consistently satisfied with the information provided by Palladium, via </w:t>
      </w:r>
      <w:r w:rsidR="006C79E5">
        <w:t>Posts</w:t>
      </w:r>
      <w:r>
        <w:t xml:space="preserve">, regarding the selection process for Australia Awards scholarships. </w:t>
      </w:r>
      <w:r w:rsidR="00DE4615">
        <w:t>T</w:t>
      </w:r>
      <w:r>
        <w:t xml:space="preserve">hey were pleased with the level of detail and timeliness of information regarding </w:t>
      </w:r>
      <w:r w:rsidR="003B0B9C">
        <w:t xml:space="preserve">promotional materials, </w:t>
      </w:r>
      <w:r>
        <w:t xml:space="preserve">applicants who would be interviewed, and the interview process itself. </w:t>
      </w:r>
    </w:p>
    <w:p w14:paraId="45AE10F7" w14:textId="77777777" w:rsidR="00585B9C" w:rsidRDefault="00367FC2" w:rsidP="00E71C50">
      <w:pPr>
        <w:pStyle w:val="Bullet"/>
      </w:pPr>
      <w:r>
        <w:t>The a</w:t>
      </w:r>
      <w:r w:rsidR="00585B9C">
        <w:t>nnual planning meeting</w:t>
      </w:r>
      <w:r w:rsidR="00EB5C67">
        <w:t xml:space="preserve"> between Palladium, Africa Branch and a representative from each Post is effective for collaboratively discuss</w:t>
      </w:r>
      <w:r w:rsidR="006C79E5">
        <w:t>ing</w:t>
      </w:r>
      <w:r w:rsidR="00EB5C67">
        <w:t xml:space="preserve"> </w:t>
      </w:r>
      <w:r w:rsidR="006C79E5">
        <w:t xml:space="preserve">the different </w:t>
      </w:r>
      <w:r w:rsidR="00EB5C67">
        <w:t>needs of Post</w:t>
      </w:r>
      <w:r w:rsidR="006C79E5">
        <w:t>s</w:t>
      </w:r>
      <w:r w:rsidR="00EB5C67">
        <w:t xml:space="preserve"> and work</w:t>
      </w:r>
      <w:r w:rsidR="006C79E5">
        <w:t>ing</w:t>
      </w:r>
      <w:r w:rsidR="00EB5C67">
        <w:t xml:space="preserve"> through the details</w:t>
      </w:r>
      <w:r w:rsidR="006C79E5">
        <w:t xml:space="preserve"> (timing and responsibilities)</w:t>
      </w:r>
      <w:r w:rsidR="00EB5C67">
        <w:t xml:space="preserve"> of the </w:t>
      </w:r>
      <w:r w:rsidR="006C79E5">
        <w:t xml:space="preserve">annual </w:t>
      </w:r>
      <w:r w:rsidR="00EB5C67">
        <w:t>cycle to get a shared understanding of the work</w:t>
      </w:r>
      <w:r w:rsidR="006C79E5">
        <w:t xml:space="preserve"> program for the year ahead</w:t>
      </w:r>
      <w:r w:rsidR="00EB5C67">
        <w:t>.</w:t>
      </w:r>
      <w:r w:rsidR="00E559C7">
        <w:rPr>
          <w:rStyle w:val="FootnoteReference"/>
        </w:rPr>
        <w:footnoteReference w:id="41"/>
      </w:r>
      <w:r w:rsidR="00EB5C67">
        <w:t xml:space="preserve"> </w:t>
      </w:r>
    </w:p>
    <w:p w14:paraId="41CDAA7F" w14:textId="77777777" w:rsidR="00585B9C" w:rsidRDefault="00585B9C" w:rsidP="00E71C50">
      <w:pPr>
        <w:pStyle w:val="Bullet"/>
      </w:pPr>
      <w:r>
        <w:t xml:space="preserve">Regular communications (phone calls, email, face-to-face meetings) between Palladium and DFAT staff at </w:t>
      </w:r>
      <w:r w:rsidR="00EB5C67">
        <w:t>most</w:t>
      </w:r>
      <w:r>
        <w:t xml:space="preserve"> Posts</w:t>
      </w:r>
      <w:r w:rsidR="00EB5C67">
        <w:t>.  While</w:t>
      </w:r>
      <w:r w:rsidR="00135AF5">
        <w:t xml:space="preserve"> two </w:t>
      </w:r>
      <w:r w:rsidR="00EB5C67">
        <w:t>Post</w:t>
      </w:r>
      <w:r w:rsidR="00135AF5">
        <w:t>s</w:t>
      </w:r>
      <w:r w:rsidR="00EB5C67">
        <w:t xml:space="preserve"> noted more regular communication would be welcome, the sentiment </w:t>
      </w:r>
      <w:r w:rsidR="00135AF5">
        <w:t xml:space="preserve">from the other Posts </w:t>
      </w:r>
      <w:r w:rsidR="00EB5C67">
        <w:t xml:space="preserve">was that Palladium staff are approachable, responsive and that productive working relationships </w:t>
      </w:r>
      <w:r w:rsidR="00473FA8">
        <w:t xml:space="preserve">with Posts </w:t>
      </w:r>
      <w:r w:rsidR="00EB5C67">
        <w:t>are in place</w:t>
      </w:r>
      <w:r w:rsidR="00473FA8">
        <w:t xml:space="preserve"> based on regular communication and professional respect</w:t>
      </w:r>
      <w:r w:rsidR="00EB5C67">
        <w:t xml:space="preserve">. The evaluation heard examples from Post staff where they were able to talk with Palladium </w:t>
      </w:r>
      <w:r w:rsidR="00473FA8">
        <w:t xml:space="preserve">staff </w:t>
      </w:r>
      <w:r w:rsidR="00EB5C67">
        <w:t>to positively resolve a range of sensitive issues.</w:t>
      </w:r>
      <w:r>
        <w:t xml:space="preserve">  </w:t>
      </w:r>
    </w:p>
    <w:p w14:paraId="0A12B104" w14:textId="77777777" w:rsidR="00E71C50" w:rsidRDefault="000570D6" w:rsidP="00C93EF7">
      <w:pPr>
        <w:pStyle w:val="BulletLast"/>
      </w:pPr>
      <w:r>
        <w:t>P</w:t>
      </w:r>
      <w:r w:rsidR="00E71C50">
        <w:t xml:space="preserve">roductive and collaborative working relationships </w:t>
      </w:r>
      <w:r>
        <w:t xml:space="preserve">between Palladium </w:t>
      </w:r>
      <w:r w:rsidR="00473FA8">
        <w:t xml:space="preserve">staff </w:t>
      </w:r>
      <w:r>
        <w:t>and s</w:t>
      </w:r>
      <w:r w:rsidR="00E71C50">
        <w:t xml:space="preserve">hort </w:t>
      </w:r>
      <w:r>
        <w:t>c</w:t>
      </w:r>
      <w:r w:rsidR="00E71C50">
        <w:t xml:space="preserve">ourse providers </w:t>
      </w:r>
      <w:r>
        <w:t xml:space="preserve">are also </w:t>
      </w:r>
      <w:r w:rsidR="00E71C50">
        <w:t>noted</w:t>
      </w:r>
      <w:r>
        <w:t>.</w:t>
      </w:r>
      <w:r w:rsidR="002E202B">
        <w:rPr>
          <w:rStyle w:val="FootnoteReference"/>
        </w:rPr>
        <w:footnoteReference w:id="42"/>
      </w:r>
      <w:r>
        <w:t xml:space="preserve">    </w:t>
      </w:r>
    </w:p>
    <w:p w14:paraId="0A1DA8FE" w14:textId="63E4734F" w:rsidR="00585B9C" w:rsidRPr="005E56DD" w:rsidRDefault="00E71C50" w:rsidP="00585B9C">
      <w:r>
        <w:t xml:space="preserve">At the same time, </w:t>
      </w:r>
      <w:r w:rsidRPr="00FB2463">
        <w:t xml:space="preserve">gaps in </w:t>
      </w:r>
      <w:r w:rsidR="00531FE3">
        <w:t>information</w:t>
      </w:r>
      <w:r w:rsidR="00FD2750">
        <w:t xml:space="preserve"> </w:t>
      </w:r>
      <w:r w:rsidR="0011151B">
        <w:t>sharing were evident, as w</w:t>
      </w:r>
      <w:r w:rsidR="005E56DD">
        <w:t xml:space="preserve">as a lack of </w:t>
      </w:r>
      <w:r w:rsidRPr="00FB2463">
        <w:t xml:space="preserve">awareness of </w:t>
      </w:r>
      <w:r w:rsidR="005E56DD">
        <w:t xml:space="preserve">scholarship </w:t>
      </w:r>
      <w:r w:rsidRPr="00FB2463">
        <w:t>processes</w:t>
      </w:r>
      <w:r w:rsidR="005E56DD">
        <w:t xml:space="preserve"> which is affecting </w:t>
      </w:r>
      <w:r w:rsidRPr="00FB2463">
        <w:t xml:space="preserve">how </w:t>
      </w:r>
      <w:r w:rsidR="005E56DD">
        <w:t xml:space="preserve">some </w:t>
      </w:r>
      <w:r w:rsidRPr="00FB2463">
        <w:t>stakeholders are fulfilling their roles. The evaluation also heard</w:t>
      </w:r>
      <w:r w:rsidRPr="00B44F31">
        <w:t xml:space="preserve"> of </w:t>
      </w:r>
      <w:r>
        <w:t xml:space="preserve">internal DFAT </w:t>
      </w:r>
      <w:r w:rsidRPr="00B44F31">
        <w:t xml:space="preserve">coordination challenges affecting the implementation of </w:t>
      </w:r>
      <w:r w:rsidR="00B915F5">
        <w:t>Australia Awards in Africa</w:t>
      </w:r>
      <w:r w:rsidRPr="00B44F31">
        <w:t>.</w:t>
      </w:r>
      <w:r w:rsidR="00662386">
        <w:t xml:space="preserve"> </w:t>
      </w:r>
      <w:r w:rsidR="00CC3EA1">
        <w:t xml:space="preserve">Stakeholder </w:t>
      </w:r>
      <w:r w:rsidR="00585B9C">
        <w:t>suggestions for improv</w:t>
      </w:r>
      <w:r w:rsidR="00CC3EA1">
        <w:t xml:space="preserve">ing </w:t>
      </w:r>
      <w:r w:rsidR="00585B9C">
        <w:t>information</w:t>
      </w:r>
      <w:r w:rsidR="00FD2750">
        <w:t xml:space="preserve"> </w:t>
      </w:r>
      <w:r w:rsidR="00585B9C">
        <w:t xml:space="preserve">sharing </w:t>
      </w:r>
      <w:r w:rsidR="0087313C">
        <w:t xml:space="preserve">and awareness of how to </w:t>
      </w:r>
      <w:r w:rsidR="0087313C" w:rsidRPr="005E56DD">
        <w:t xml:space="preserve">implement Australia Awards in Africa </w:t>
      </w:r>
      <w:r w:rsidR="00662386" w:rsidRPr="005E56DD">
        <w:t xml:space="preserve">include: </w:t>
      </w:r>
    </w:p>
    <w:p w14:paraId="2EE8D724" w14:textId="77777777" w:rsidR="00585B9C" w:rsidRPr="005E56DD" w:rsidRDefault="00585B9C" w:rsidP="00E71C50">
      <w:pPr>
        <w:pStyle w:val="Bullet"/>
      </w:pPr>
      <w:r w:rsidRPr="005E56DD">
        <w:t xml:space="preserve">DFAT Canberra </w:t>
      </w:r>
      <w:r w:rsidR="005E56DD" w:rsidRPr="005E56DD">
        <w:t xml:space="preserve">to assist </w:t>
      </w:r>
      <w:r w:rsidRPr="005E56DD">
        <w:t>new staff</w:t>
      </w:r>
      <w:r w:rsidR="005E56DD" w:rsidRPr="005E56DD">
        <w:t xml:space="preserve"> at Post to understand scholarship delivery as an aid modality. </w:t>
      </w:r>
    </w:p>
    <w:p w14:paraId="359242C4" w14:textId="77777777" w:rsidR="00585B9C" w:rsidRPr="005E56DD" w:rsidRDefault="00585B9C" w:rsidP="00E71C50">
      <w:pPr>
        <w:pStyle w:val="Bullet"/>
      </w:pPr>
      <w:r w:rsidRPr="005E56DD">
        <w:t xml:space="preserve">Palladium </w:t>
      </w:r>
      <w:r w:rsidR="005E56DD" w:rsidRPr="005E56DD">
        <w:t xml:space="preserve">staff </w:t>
      </w:r>
      <w:r w:rsidRPr="005E56DD">
        <w:t>spending time with new staff at Post</w:t>
      </w:r>
      <w:r w:rsidR="005E56DD" w:rsidRPr="005E56DD">
        <w:t xml:space="preserve"> to explain the specific processes and timeframes related to their countries of accreditation. </w:t>
      </w:r>
    </w:p>
    <w:p w14:paraId="47182601" w14:textId="77777777" w:rsidR="00585B9C" w:rsidRPr="005420BE" w:rsidRDefault="005E56DD" w:rsidP="00E71C50">
      <w:pPr>
        <w:pStyle w:val="Bullet"/>
      </w:pPr>
      <w:r w:rsidRPr="005E56DD">
        <w:t xml:space="preserve">A </w:t>
      </w:r>
      <w:r w:rsidR="00585B9C" w:rsidRPr="005E56DD">
        <w:t>monthly</w:t>
      </w:r>
      <w:r w:rsidRPr="005E56DD">
        <w:t xml:space="preserve"> or quarterly </w:t>
      </w:r>
      <w:r w:rsidR="00585B9C" w:rsidRPr="005E56DD">
        <w:t>teleconference</w:t>
      </w:r>
      <w:r w:rsidRPr="005E56DD">
        <w:t xml:space="preserve"> between Africa Branch and Posts to keep Posts informed of </w:t>
      </w:r>
      <w:r w:rsidRPr="005420BE">
        <w:t>decisions, key dates for the upcoming period, and encourage information sharing between Posts.</w:t>
      </w:r>
    </w:p>
    <w:p w14:paraId="0476D52D" w14:textId="3C13C5B2" w:rsidR="00585B9C" w:rsidRPr="00F125B5" w:rsidRDefault="00686367" w:rsidP="00E71C50">
      <w:pPr>
        <w:pStyle w:val="Bullet"/>
      </w:pPr>
      <w:r>
        <w:t xml:space="preserve">Sharing learning from monitoring and evaluation </w:t>
      </w:r>
      <w:r w:rsidR="0054040C">
        <w:t xml:space="preserve">activities, </w:t>
      </w:r>
      <w:r w:rsidR="005420BE" w:rsidRPr="00F125B5">
        <w:t xml:space="preserve">for example: </w:t>
      </w:r>
    </w:p>
    <w:p w14:paraId="5DDCC689" w14:textId="77777777" w:rsidR="00585B9C" w:rsidRPr="005420BE" w:rsidRDefault="005420BE" w:rsidP="00E71C50">
      <w:pPr>
        <w:pStyle w:val="Dash"/>
      </w:pPr>
      <w:r w:rsidRPr="005420BE">
        <w:t>Palladium discussing the reintegration implications of findings from outcome studies with s</w:t>
      </w:r>
      <w:r w:rsidR="00585B9C" w:rsidRPr="005420BE">
        <w:t xml:space="preserve">hort </w:t>
      </w:r>
      <w:r w:rsidRPr="005420BE">
        <w:t>c</w:t>
      </w:r>
      <w:r w:rsidR="00585B9C" w:rsidRPr="005420BE">
        <w:t>ourse providers</w:t>
      </w:r>
      <w:r>
        <w:t>.</w:t>
      </w:r>
      <w:r w:rsidR="00585B9C" w:rsidRPr="005420BE">
        <w:t xml:space="preserve"> </w:t>
      </w:r>
    </w:p>
    <w:p w14:paraId="79B94F88" w14:textId="74CCD841" w:rsidR="00585B9C" w:rsidRPr="005420BE" w:rsidRDefault="005420BE" w:rsidP="00E71C50">
      <w:pPr>
        <w:pStyle w:val="Dash"/>
      </w:pPr>
      <w:r w:rsidRPr="005420BE">
        <w:t xml:space="preserve">Palladium </w:t>
      </w:r>
      <w:r w:rsidR="00376C75">
        <w:t xml:space="preserve">(or where relevant DFAT) </w:t>
      </w:r>
      <w:r>
        <w:t xml:space="preserve">forwarding </w:t>
      </w:r>
      <w:r w:rsidRPr="005420BE">
        <w:t>a</w:t>
      </w:r>
      <w:r w:rsidR="00585B9C" w:rsidRPr="005420BE">
        <w:t xml:space="preserve">lumni </w:t>
      </w:r>
      <w:r w:rsidR="0054040C">
        <w:t xml:space="preserve">the </w:t>
      </w:r>
      <w:r>
        <w:t>reports</w:t>
      </w:r>
      <w:r w:rsidR="0054040C">
        <w:t>,</w:t>
      </w:r>
      <w:r>
        <w:t xml:space="preserve"> or notification of availability of information</w:t>
      </w:r>
      <w:r w:rsidR="0054040C">
        <w:t>,</w:t>
      </w:r>
      <w:r>
        <w:t xml:space="preserve"> from </w:t>
      </w:r>
      <w:r w:rsidR="00585B9C" w:rsidRPr="005420BE">
        <w:t>surveys</w:t>
      </w:r>
      <w:r>
        <w:t xml:space="preserve"> and debriefs in which they participate</w:t>
      </w:r>
      <w:r w:rsidR="00376C75">
        <w:t xml:space="preserve">. This is important for </w:t>
      </w:r>
      <w:r w:rsidR="00376C75">
        <w:lastRenderedPageBreak/>
        <w:t xml:space="preserve">recognising alumni’s time commitment to participate in surveys. It will also enhance alumni’s experience in engaging with Australia Awards in Africa. </w:t>
      </w:r>
    </w:p>
    <w:p w14:paraId="552D0579" w14:textId="272B896F" w:rsidR="00585B9C" w:rsidRPr="005420BE" w:rsidRDefault="005420BE" w:rsidP="00E71C50">
      <w:pPr>
        <w:pStyle w:val="Dash"/>
      </w:pPr>
      <w:r w:rsidRPr="005420BE">
        <w:t xml:space="preserve">Palladium, via Posts, providing coordinating authorities with a digest of annual statistics related to Australia Awards scholars and short course participants from their countries, as well as </w:t>
      </w:r>
      <w:r w:rsidR="00C72A03">
        <w:t xml:space="preserve">timely notice of </w:t>
      </w:r>
      <w:r w:rsidRPr="005420BE">
        <w:t>return dates of scholars.</w:t>
      </w:r>
      <w:r w:rsidRPr="005420BE">
        <w:rPr>
          <w:rStyle w:val="FootnoteReference"/>
        </w:rPr>
        <w:footnoteReference w:id="43"/>
      </w:r>
      <w:r w:rsidRPr="005420BE">
        <w:t xml:space="preserve"> </w:t>
      </w:r>
    </w:p>
    <w:p w14:paraId="3B37D08B" w14:textId="77777777" w:rsidR="008620DE" w:rsidRPr="00AD29C2" w:rsidRDefault="00955A76" w:rsidP="00AD29C2">
      <w:pPr>
        <w:pStyle w:val="NormalBeforeBullet"/>
      </w:pPr>
      <w:r>
        <w:t xml:space="preserve">Other </w:t>
      </w:r>
      <w:r w:rsidRPr="00AD29C2">
        <w:t xml:space="preserve">factors noted as affecting the </w:t>
      </w:r>
      <w:r w:rsidR="00AD29C2" w:rsidRPr="00AD29C2">
        <w:t xml:space="preserve">achievement of </w:t>
      </w:r>
      <w:r w:rsidRPr="00AD29C2">
        <w:t xml:space="preserve">Australia Awards in Africa </w:t>
      </w:r>
      <w:r w:rsidR="00AD29C2" w:rsidRPr="00AD29C2">
        <w:t xml:space="preserve">outcomes </w:t>
      </w:r>
      <w:r w:rsidRPr="00AD29C2">
        <w:t>include</w:t>
      </w:r>
      <w:r w:rsidR="00AD29C2">
        <w:t xml:space="preserve"> t</w:t>
      </w:r>
      <w:r w:rsidR="00AD29C2" w:rsidRPr="00AD29C2">
        <w:t>he l</w:t>
      </w:r>
      <w:r w:rsidR="00D51083" w:rsidRPr="00AD29C2">
        <w:t xml:space="preserve">ength of time </w:t>
      </w:r>
      <w:r w:rsidR="00AD29C2" w:rsidRPr="00AD29C2">
        <w:t xml:space="preserve">required </w:t>
      </w:r>
      <w:r w:rsidR="00D51083" w:rsidRPr="00AD29C2">
        <w:t xml:space="preserve">to get partner government approval for </w:t>
      </w:r>
      <w:r w:rsidR="00AD29C2" w:rsidRPr="00AD29C2">
        <w:t xml:space="preserve">selected </w:t>
      </w:r>
      <w:r w:rsidR="00D51083" w:rsidRPr="00AD29C2">
        <w:t>short course</w:t>
      </w:r>
      <w:r w:rsidR="00AD29C2" w:rsidRPr="00AD29C2">
        <w:t xml:space="preserve"> participants. Palladium, short course providers and Posts alike commented on the difficulties of mobilising participants within short timeframes, attrition rates of priority short course participants, and delays in processing visas, all of which contribute to scenarios of the full complement of scholarships not being awarded, or participants arriving stressed at the beginning of courses because of issues with visas and late notification of travel arrangements. </w:t>
      </w:r>
    </w:p>
    <w:p w14:paraId="67483950" w14:textId="25FED6EB" w:rsidR="00585B9C" w:rsidRPr="00183274" w:rsidRDefault="00585B9C" w:rsidP="00AD29C2">
      <w:pPr>
        <w:pStyle w:val="NormalBeforeBullet"/>
        <w:rPr>
          <w:highlight w:val="yellow"/>
        </w:rPr>
      </w:pPr>
      <w:r w:rsidRPr="00AD29C2">
        <w:t xml:space="preserve">Some important influential factors are outside the </w:t>
      </w:r>
      <w:r w:rsidR="00AD29C2">
        <w:t xml:space="preserve">direct </w:t>
      </w:r>
      <w:r w:rsidRPr="00AD29C2">
        <w:t>control of the program</w:t>
      </w:r>
      <w:r w:rsidR="00AD29C2" w:rsidRPr="00AD29C2">
        <w:t xml:space="preserve"> </w:t>
      </w:r>
      <w:proofErr w:type="gramStart"/>
      <w:r w:rsidR="00AD29C2" w:rsidRPr="00AD29C2">
        <w:t>include</w:t>
      </w:r>
      <w:r w:rsidRPr="00AD29C2">
        <w:t>:</w:t>
      </w:r>
      <w:proofErr w:type="gramEnd"/>
      <w:r w:rsidR="00AD29C2" w:rsidRPr="00AD29C2">
        <w:t xml:space="preserve"> visa processing times and immigration policies; increasing costs of overseas student </w:t>
      </w:r>
      <w:r w:rsidR="00071748" w:rsidRPr="00AD29C2">
        <w:t>health</w:t>
      </w:r>
      <w:r w:rsidR="00AD29C2" w:rsidRPr="00AD29C2">
        <w:t xml:space="preserve"> insurance premiums, the on-award experience of scholars in Australia. </w:t>
      </w:r>
      <w:r w:rsidR="00AD29C2">
        <w:t xml:space="preserve">It is noted these are all issues that Africa Branch and Palladium discuss at the Program Management Group meetings with a view to mitigating any negative </w:t>
      </w:r>
      <w:r w:rsidR="009108B9">
        <w:t xml:space="preserve">impact </w:t>
      </w:r>
      <w:r w:rsidR="00AD29C2">
        <w:t xml:space="preserve">from these external factors. </w:t>
      </w:r>
    </w:p>
    <w:p w14:paraId="58CBA394" w14:textId="77777777" w:rsidR="000D6B89" w:rsidRPr="007C143B" w:rsidRDefault="000D6B89" w:rsidP="000D6B89">
      <w:pPr>
        <w:rPr>
          <w:rStyle w:val="Strong"/>
        </w:rPr>
      </w:pPr>
      <w:r w:rsidRPr="007C143B">
        <w:rPr>
          <w:rStyle w:val="Strong"/>
        </w:rPr>
        <w:t xml:space="preserve">Findings </w:t>
      </w:r>
      <w:r w:rsidRPr="007C143B">
        <w:rPr>
          <w:rStyle w:val="Strong"/>
        </w:rPr>
        <w:tab/>
      </w:r>
    </w:p>
    <w:p w14:paraId="174F45BA" w14:textId="7ADC962B" w:rsidR="009D56F8" w:rsidRDefault="009D56F8" w:rsidP="002E591C">
      <w:pPr>
        <w:pStyle w:val="Bullet"/>
      </w:pPr>
      <w:r>
        <w:t xml:space="preserve">The evaluation finds that </w:t>
      </w:r>
      <w:r w:rsidR="00B915F5">
        <w:t>Australia Awards in Africa</w:t>
      </w:r>
      <w:r>
        <w:t xml:space="preserve"> </w:t>
      </w:r>
      <w:r w:rsidRPr="00A751E7">
        <w:t xml:space="preserve">is </w:t>
      </w:r>
      <w:r w:rsidR="00376C75">
        <w:t xml:space="preserve">on track to meet its end of program </w:t>
      </w:r>
      <w:r w:rsidRPr="00A751E7">
        <w:t xml:space="preserve">outcomes. </w:t>
      </w:r>
      <w:r w:rsidRPr="00FE05C7">
        <w:t xml:space="preserve">There is evidence of alumni using skills, </w:t>
      </w:r>
      <w:proofErr w:type="gramStart"/>
      <w:r w:rsidRPr="00FE05C7">
        <w:t>knowledge</w:t>
      </w:r>
      <w:proofErr w:type="gramEnd"/>
      <w:r w:rsidRPr="00FE05C7">
        <w:t xml:space="preserve"> and networks to contribute to sustainable development (Outcome 1). The evaluation heard emerging evidence of African countries viewing Australia as a valued partner (Outcome 2), with stronger evidence from DFAT staff of the high strategic value of Australia Awards to Australia’s relationships with countries across the African continent. </w:t>
      </w:r>
      <w:r>
        <w:t>Evidence of Alumni having positive on-going links with Australia (Outcome 3) is</w:t>
      </w:r>
      <w:r w:rsidR="00134BEA">
        <w:t xml:space="preserve"> more</w:t>
      </w:r>
      <w:r>
        <w:t xml:space="preserve"> variable</w:t>
      </w:r>
      <w:r w:rsidR="00134BEA">
        <w:t xml:space="preserve"> with </w:t>
      </w:r>
      <w:r w:rsidRPr="00D66942">
        <w:t>low ongoing linkages with Australia and Australian</w:t>
      </w:r>
      <w:r w:rsidR="00D66942" w:rsidRPr="00D66942">
        <w:t>s</w:t>
      </w:r>
      <w:r w:rsidR="00D66942">
        <w:t xml:space="preserve"> met while studying in Australia. </w:t>
      </w:r>
      <w:r w:rsidR="00D66942" w:rsidRPr="00D66942">
        <w:rPr>
          <w:highlight w:val="yellow"/>
        </w:rPr>
        <w:t xml:space="preserve"> </w:t>
      </w:r>
      <w:r w:rsidRPr="00D66942">
        <w:rPr>
          <w:highlight w:val="yellow"/>
        </w:rPr>
        <w:t xml:space="preserve"> </w:t>
      </w:r>
    </w:p>
    <w:p w14:paraId="5732A5B2" w14:textId="42DE254E" w:rsidR="009D56F8" w:rsidRPr="00FE05C7" w:rsidRDefault="0023031B" w:rsidP="00FE05C7">
      <w:pPr>
        <w:pStyle w:val="Bullet"/>
      </w:pPr>
      <w:r>
        <w:t>T</w:t>
      </w:r>
      <w:r w:rsidR="009D56F8" w:rsidRPr="00FE05C7">
        <w:t xml:space="preserve">he </w:t>
      </w:r>
      <w:r w:rsidR="002110C1">
        <w:t xml:space="preserve">expected results from </w:t>
      </w:r>
      <w:r w:rsidR="00B915F5">
        <w:t>Australia Awards in Africa</w:t>
      </w:r>
      <w:r w:rsidR="009D56F8" w:rsidRPr="00FE05C7">
        <w:t xml:space="preserve"> are </w:t>
      </w:r>
      <w:r>
        <w:t xml:space="preserve">likely </w:t>
      </w:r>
      <w:r w:rsidR="009D56F8" w:rsidRPr="00FE05C7">
        <w:t>to be achieved or exceeded</w:t>
      </w:r>
      <w:r>
        <w:t xml:space="preserve"> – </w:t>
      </w:r>
      <w:r w:rsidR="00576155">
        <w:t>except for</w:t>
      </w:r>
      <w:r>
        <w:t xml:space="preserve"> </w:t>
      </w:r>
      <w:r w:rsidR="009D56F8" w:rsidRPr="00FE05C7">
        <w:t>the participation of people with disabilities which remains low compared to</w:t>
      </w:r>
      <w:r w:rsidR="00C93379" w:rsidRPr="00FE05C7">
        <w:t xml:space="preserve"> </w:t>
      </w:r>
      <w:r w:rsidR="00B915F5">
        <w:t>Australia Awards in Africa</w:t>
      </w:r>
      <w:r w:rsidR="00C93379" w:rsidRPr="00FE05C7">
        <w:t>’s</w:t>
      </w:r>
      <w:r w:rsidR="009D56F8" w:rsidRPr="00FE05C7">
        <w:t xml:space="preserve"> informal target.</w:t>
      </w:r>
    </w:p>
    <w:p w14:paraId="4D0B6F30" w14:textId="1A8D5FA9" w:rsidR="00F047F4" w:rsidRPr="00FE05C7" w:rsidRDefault="00F047F4" w:rsidP="00F047F4">
      <w:pPr>
        <w:pStyle w:val="Bullet"/>
      </w:pPr>
      <w:r w:rsidRPr="00FE05C7">
        <w:t>The mix of Australia Awards modalities is serving DFAT and target countries well. Small differences in participating countries’ preference</w:t>
      </w:r>
      <w:r w:rsidR="00BB108C">
        <w:t>s</w:t>
      </w:r>
      <w:r w:rsidRPr="00FE05C7">
        <w:t xml:space="preserve"> for </w:t>
      </w:r>
      <w:r>
        <w:t xml:space="preserve">Australia Awards scholarships </w:t>
      </w:r>
      <w:r w:rsidRPr="00FE05C7">
        <w:t>or short course</w:t>
      </w:r>
      <w:r>
        <w:t>s</w:t>
      </w:r>
      <w:r w:rsidRPr="00FE05C7">
        <w:t xml:space="preserve"> are noted, though these are not of a magnitude that would warrant a change in the composition of the modalities on offer under </w:t>
      </w:r>
      <w:r>
        <w:t>Australia Awards in Africa</w:t>
      </w:r>
      <w:r w:rsidRPr="00FE05C7">
        <w:t>.</w:t>
      </w:r>
      <w:r w:rsidR="009D61FB">
        <w:t xml:space="preserve"> </w:t>
      </w:r>
      <w:r w:rsidR="00095690">
        <w:t>T</w:t>
      </w:r>
      <w:r w:rsidR="009D61FB">
        <w:t xml:space="preserve">he postdoctoral fellowship pilot </w:t>
      </w:r>
      <w:r w:rsidR="00095690">
        <w:t>is showing benefits for fellows and African Universities. D</w:t>
      </w:r>
      <w:r w:rsidR="009D61FB">
        <w:t xml:space="preserve">iscussion about inclusion of </w:t>
      </w:r>
      <w:r w:rsidR="009D61FB" w:rsidRPr="00881BBD">
        <w:rPr>
          <w:lang w:eastAsia="en-NZ"/>
        </w:rPr>
        <w:t xml:space="preserve">postdoctoral fellowships as a permanent modality for the next design of Australia Awards in Africa </w:t>
      </w:r>
      <w:r w:rsidR="009D61FB">
        <w:rPr>
          <w:lang w:eastAsia="en-NZ"/>
        </w:rPr>
        <w:t xml:space="preserve">is </w:t>
      </w:r>
      <w:r w:rsidR="009D61FB">
        <w:t xml:space="preserve">warranted. </w:t>
      </w:r>
    </w:p>
    <w:p w14:paraId="4AB54FE4" w14:textId="3BDE5623" w:rsidR="00E76DF6" w:rsidRPr="00FE05C7" w:rsidRDefault="009D56F8" w:rsidP="00E76DF6">
      <w:pPr>
        <w:pStyle w:val="Bullet"/>
      </w:pPr>
      <w:r w:rsidRPr="00FE05C7">
        <w:t xml:space="preserve">There is evidence that alumni engagement activities undertaken by Palladium are assisting DFAT to meet its alumni engagement objectives. DFAT posts are </w:t>
      </w:r>
      <w:r w:rsidR="009111B6">
        <w:t xml:space="preserve">responsible for </w:t>
      </w:r>
      <w:r w:rsidRPr="00FE05C7">
        <w:t xml:space="preserve">taking the lead in </w:t>
      </w:r>
      <w:r w:rsidR="009111B6">
        <w:t xml:space="preserve">alumni engagement </w:t>
      </w:r>
      <w:r w:rsidRPr="00FE05C7">
        <w:t xml:space="preserve">and </w:t>
      </w:r>
      <w:r w:rsidR="009111B6">
        <w:t xml:space="preserve">are </w:t>
      </w:r>
      <w:r w:rsidRPr="00FE05C7">
        <w:t>getting some good results.</w:t>
      </w:r>
      <w:r w:rsidR="00E76DF6" w:rsidRPr="00E76DF6">
        <w:t xml:space="preserve"> </w:t>
      </w:r>
      <w:r w:rsidR="00E76DF6" w:rsidRPr="00FE05C7">
        <w:t>The evaluation heard tangible, consistent examples of the public diplomacy benefits for Australia from engaging with alumni, as well as sporadic economic diplomacy benefits.</w:t>
      </w:r>
    </w:p>
    <w:p w14:paraId="28C6B44C" w14:textId="0A337C53" w:rsidR="009D56F8" w:rsidRPr="00FE05C7" w:rsidRDefault="00095690" w:rsidP="00FE05C7">
      <w:pPr>
        <w:pStyle w:val="Bullet"/>
      </w:pPr>
      <w:r w:rsidRPr="009A1A73">
        <w:t xml:space="preserve">Posts and coordinating authorities alike noted that the annual country profile process is a useful mechanism to discuss priority sectors for Australia Awards scholarships and short courses with </w:t>
      </w:r>
      <w:r w:rsidRPr="009A1A73">
        <w:lastRenderedPageBreak/>
        <w:t xml:space="preserve">each of the participating countries. </w:t>
      </w:r>
      <w:r w:rsidR="009D56F8" w:rsidRPr="00FE05C7">
        <w:t xml:space="preserve">Stakeholders put forward suggestions for additional sectors; though they noted the current sectors are also meeting skills needs.  </w:t>
      </w:r>
      <w:r w:rsidR="00421099">
        <w:t xml:space="preserve"> </w:t>
      </w:r>
    </w:p>
    <w:p w14:paraId="69FF929C" w14:textId="40ED7BF6" w:rsidR="009D56F8" w:rsidRPr="00FE05C7" w:rsidRDefault="00B915F5" w:rsidP="00FE05C7">
      <w:pPr>
        <w:pStyle w:val="Bullet"/>
      </w:pPr>
      <w:r>
        <w:t>Australia Awards in Africa</w:t>
      </w:r>
      <w:r w:rsidR="009D56F8" w:rsidRPr="00FE05C7">
        <w:t xml:space="preserve"> has tried various approaches to engage with the private sector, some of which have successfully seen private sector engagement in the delivery of short courses. There </w:t>
      </w:r>
      <w:proofErr w:type="gramStart"/>
      <w:r w:rsidR="009D56F8" w:rsidRPr="00FE05C7">
        <w:t>is</w:t>
      </w:r>
      <w:proofErr w:type="gramEnd"/>
      <w:r w:rsidR="009D56F8" w:rsidRPr="00FE05C7">
        <w:t xml:space="preserve"> however, a lack of clarity on both the strategic and functional intent of engaging with the private sector beyond seeking their assistance with promotions and participation in short course delivery. </w:t>
      </w:r>
    </w:p>
    <w:p w14:paraId="0CA8640F" w14:textId="77777777" w:rsidR="009D56F8" w:rsidRPr="00FE05C7" w:rsidRDefault="009D56F8" w:rsidP="00FE05C7">
      <w:pPr>
        <w:pStyle w:val="Bullet"/>
      </w:pPr>
      <w:r w:rsidRPr="00FE05C7">
        <w:t xml:space="preserve">Improved internal DFAT coordination and information-sharing, as well as improved coordination and information-sharing between DFAT and Palladium would further enhance the effectiveness of </w:t>
      </w:r>
      <w:r w:rsidR="00B915F5">
        <w:t>Australia Awards in Africa</w:t>
      </w:r>
      <w:r w:rsidRPr="00FE05C7">
        <w:t xml:space="preserve">. </w:t>
      </w:r>
    </w:p>
    <w:p w14:paraId="331350D1" w14:textId="77777777" w:rsidR="000D6B89" w:rsidRDefault="000D6B89" w:rsidP="000D6B89">
      <w:pPr>
        <w:pStyle w:val="RecommendationName"/>
      </w:pPr>
      <w:r>
        <w:t>R</w:t>
      </w:r>
      <w:r w:rsidRPr="00E86468">
        <w:t>ecommendations</w:t>
      </w:r>
      <w:r w:rsidRPr="00E86468">
        <w:tab/>
      </w:r>
    </w:p>
    <w:p w14:paraId="071032B4" w14:textId="36689CC5" w:rsidR="009D61FB" w:rsidRDefault="00091497" w:rsidP="00100B1F">
      <w:pPr>
        <w:pStyle w:val="RecommendationText"/>
        <w:rPr>
          <w:lang w:eastAsia="en-NZ"/>
        </w:rPr>
      </w:pPr>
      <w:r>
        <w:rPr>
          <w:lang w:eastAsia="en-NZ"/>
        </w:rPr>
        <w:t xml:space="preserve">Africa Branch to lead a </w:t>
      </w:r>
      <w:r w:rsidR="009D61FB" w:rsidRPr="00881BBD">
        <w:rPr>
          <w:lang w:eastAsia="en-NZ"/>
        </w:rPr>
        <w:t xml:space="preserve">strategic discussion </w:t>
      </w:r>
      <w:r>
        <w:rPr>
          <w:lang w:eastAsia="en-NZ"/>
        </w:rPr>
        <w:t xml:space="preserve">about the outcomes of the </w:t>
      </w:r>
      <w:r w:rsidR="009D61FB" w:rsidRPr="00881BBD">
        <w:rPr>
          <w:lang w:eastAsia="en-NZ"/>
        </w:rPr>
        <w:t xml:space="preserve">postdoctoral fellowship pilot at the </w:t>
      </w:r>
      <w:r w:rsidR="006A70BB">
        <w:rPr>
          <w:lang w:eastAsia="en-NZ"/>
        </w:rPr>
        <w:t xml:space="preserve">September </w:t>
      </w:r>
      <w:r w:rsidR="009D61FB" w:rsidRPr="00881BBD">
        <w:rPr>
          <w:lang w:eastAsia="en-NZ"/>
        </w:rPr>
        <w:t>201</w:t>
      </w:r>
      <w:r w:rsidR="00FE781E">
        <w:rPr>
          <w:lang w:eastAsia="en-NZ"/>
        </w:rPr>
        <w:t>9</w:t>
      </w:r>
      <w:r w:rsidR="009D61FB" w:rsidRPr="00881BBD">
        <w:rPr>
          <w:lang w:eastAsia="en-NZ"/>
        </w:rPr>
        <w:t xml:space="preserve"> Program Management Group meeting </w:t>
      </w:r>
      <w:r>
        <w:rPr>
          <w:lang w:eastAsia="en-NZ"/>
        </w:rPr>
        <w:t xml:space="preserve">to inform the design of the next phase of Australia Awards in Africa. </w:t>
      </w:r>
      <w:r w:rsidR="00FE781E">
        <w:rPr>
          <w:lang w:eastAsia="en-NZ"/>
        </w:rPr>
        <w:t xml:space="preserve"> </w:t>
      </w:r>
      <w:r w:rsidR="009D61FB" w:rsidRPr="00881BBD">
        <w:rPr>
          <w:lang w:eastAsia="en-NZ"/>
        </w:rPr>
        <w:t xml:space="preserve"> </w:t>
      </w:r>
    </w:p>
    <w:p w14:paraId="7F2CFCFD" w14:textId="24AE0909" w:rsidR="00100B1F" w:rsidRDefault="009D61FB" w:rsidP="00100B1F">
      <w:pPr>
        <w:pStyle w:val="RecommendationText"/>
        <w:rPr>
          <w:lang w:eastAsia="en-NZ"/>
        </w:rPr>
      </w:pPr>
      <w:r>
        <w:rPr>
          <w:lang w:eastAsia="en-NZ"/>
        </w:rPr>
        <w:t xml:space="preserve">Africa Branch to </w:t>
      </w:r>
      <w:r w:rsidR="00634A27">
        <w:rPr>
          <w:lang w:eastAsia="en-NZ"/>
        </w:rPr>
        <w:t>clarify</w:t>
      </w:r>
      <w:r w:rsidR="002B19B6">
        <w:rPr>
          <w:lang w:eastAsia="en-NZ"/>
        </w:rPr>
        <w:t xml:space="preserve"> </w:t>
      </w:r>
      <w:r>
        <w:rPr>
          <w:lang w:eastAsia="en-NZ"/>
        </w:rPr>
        <w:t xml:space="preserve">the </w:t>
      </w:r>
      <w:r w:rsidR="00634A27">
        <w:rPr>
          <w:lang w:eastAsia="en-NZ"/>
        </w:rPr>
        <w:t xml:space="preserve">strategic </w:t>
      </w:r>
      <w:r>
        <w:rPr>
          <w:lang w:eastAsia="en-NZ"/>
        </w:rPr>
        <w:t xml:space="preserve">and functional </w:t>
      </w:r>
      <w:r w:rsidR="00634A27">
        <w:rPr>
          <w:lang w:eastAsia="en-NZ"/>
        </w:rPr>
        <w:t xml:space="preserve">intent </w:t>
      </w:r>
      <w:r>
        <w:rPr>
          <w:lang w:eastAsia="en-NZ"/>
        </w:rPr>
        <w:t xml:space="preserve">of </w:t>
      </w:r>
      <w:r w:rsidR="00634A27">
        <w:rPr>
          <w:lang w:eastAsia="en-NZ"/>
        </w:rPr>
        <w:t>private sector engagement and development</w:t>
      </w:r>
      <w:r w:rsidR="00091497">
        <w:rPr>
          <w:lang w:eastAsia="en-NZ"/>
        </w:rPr>
        <w:t xml:space="preserve"> to inform the design of the next phas</w:t>
      </w:r>
      <w:r w:rsidR="00C07E9A">
        <w:rPr>
          <w:lang w:eastAsia="en-NZ"/>
        </w:rPr>
        <w:t>e of Australia Awards in Africa.</w:t>
      </w:r>
      <w:r w:rsidR="002B19B6">
        <w:rPr>
          <w:lang w:eastAsia="en-NZ"/>
        </w:rPr>
        <w:t xml:space="preserve"> </w:t>
      </w:r>
    </w:p>
    <w:p w14:paraId="29A720FF" w14:textId="3355D72F" w:rsidR="00B71BCF" w:rsidRPr="00B71BCF" w:rsidRDefault="00B71BCF" w:rsidP="00100B1F">
      <w:pPr>
        <w:pStyle w:val="RecommendationText"/>
        <w:rPr>
          <w:lang w:eastAsia="en-NZ"/>
        </w:rPr>
      </w:pPr>
      <w:r w:rsidRPr="00FD7A5C">
        <w:rPr>
          <w:lang w:eastAsia="en-NZ"/>
        </w:rPr>
        <w:t xml:space="preserve">Palladium and Posts </w:t>
      </w:r>
      <w:r>
        <w:rPr>
          <w:lang w:eastAsia="en-NZ"/>
        </w:rPr>
        <w:t xml:space="preserve">use the </w:t>
      </w:r>
      <w:r w:rsidRPr="00FD7A5C">
        <w:rPr>
          <w:lang w:eastAsia="en-NZ"/>
        </w:rPr>
        <w:t xml:space="preserve">annual work plan </w:t>
      </w:r>
      <w:r>
        <w:rPr>
          <w:lang w:eastAsia="en-NZ"/>
        </w:rPr>
        <w:t xml:space="preserve">process to further strengthen alignment of </w:t>
      </w:r>
      <w:r w:rsidRPr="00FD7A5C">
        <w:rPr>
          <w:lang w:eastAsia="en-NZ"/>
        </w:rPr>
        <w:t>alumni engagement activities delivered by Palladium with</w:t>
      </w:r>
      <w:r w:rsidR="00BB3EAF">
        <w:rPr>
          <w:lang w:eastAsia="en-NZ"/>
        </w:rPr>
        <w:t>:</w:t>
      </w:r>
      <w:r w:rsidRPr="00FD7A5C">
        <w:rPr>
          <w:lang w:eastAsia="en-NZ"/>
        </w:rPr>
        <w:t xml:space="preserve"> </w:t>
      </w:r>
      <w:r w:rsidR="00BB3EAF">
        <w:rPr>
          <w:lang w:eastAsia="en-NZ"/>
        </w:rPr>
        <w:t>(</w:t>
      </w:r>
      <w:proofErr w:type="spellStart"/>
      <w:r w:rsidR="00BB3EAF">
        <w:rPr>
          <w:lang w:eastAsia="en-NZ"/>
        </w:rPr>
        <w:t>i</w:t>
      </w:r>
      <w:proofErr w:type="spellEnd"/>
      <w:r w:rsidR="00BB3EAF">
        <w:rPr>
          <w:lang w:eastAsia="en-NZ"/>
        </w:rPr>
        <w:t xml:space="preserve">) </w:t>
      </w:r>
      <w:r w:rsidRPr="00FD7A5C">
        <w:rPr>
          <w:lang w:eastAsia="en-NZ"/>
        </w:rPr>
        <w:t>the Australia Awards in Africa Alumni Engagement Strategy</w:t>
      </w:r>
      <w:r w:rsidR="00BB3EAF">
        <w:rPr>
          <w:lang w:eastAsia="en-NZ"/>
        </w:rPr>
        <w:t>;</w:t>
      </w:r>
      <w:r w:rsidRPr="00FD7A5C">
        <w:rPr>
          <w:lang w:eastAsia="en-NZ"/>
        </w:rPr>
        <w:t xml:space="preserve"> </w:t>
      </w:r>
      <w:proofErr w:type="gramStart"/>
      <w:r w:rsidRPr="00B71BCF">
        <w:rPr>
          <w:lang w:eastAsia="en-NZ"/>
        </w:rPr>
        <w:t>and</w:t>
      </w:r>
      <w:r w:rsidR="00BB3EAF">
        <w:rPr>
          <w:lang w:eastAsia="en-NZ"/>
        </w:rPr>
        <w:t>,</w:t>
      </w:r>
      <w:proofErr w:type="gramEnd"/>
      <w:r w:rsidRPr="00B71BCF">
        <w:rPr>
          <w:lang w:eastAsia="en-NZ"/>
        </w:rPr>
        <w:t xml:space="preserve"> </w:t>
      </w:r>
      <w:r w:rsidR="00BB3EAF">
        <w:rPr>
          <w:lang w:eastAsia="en-NZ"/>
        </w:rPr>
        <w:t xml:space="preserve">(ii) </w:t>
      </w:r>
      <w:r w:rsidRPr="00B71BCF">
        <w:rPr>
          <w:lang w:eastAsia="en-NZ"/>
        </w:rPr>
        <w:t xml:space="preserve">Posts economic and public diplomacy strategies. </w:t>
      </w:r>
    </w:p>
    <w:p w14:paraId="0BA99DE6" w14:textId="1DF51BF1" w:rsidR="009D61FB" w:rsidRDefault="009D61FB" w:rsidP="00100B1F">
      <w:pPr>
        <w:pStyle w:val="RecommendationText"/>
      </w:pPr>
      <w:r w:rsidRPr="00B71BCF">
        <w:rPr>
          <w:lang w:eastAsia="en-NZ"/>
        </w:rPr>
        <w:t xml:space="preserve">Africa Branch </w:t>
      </w:r>
      <w:r w:rsidR="00AE2DD9">
        <w:rPr>
          <w:lang w:eastAsia="en-NZ"/>
        </w:rPr>
        <w:t xml:space="preserve">increase </w:t>
      </w:r>
      <w:r w:rsidR="004573C9">
        <w:rPr>
          <w:lang w:eastAsia="en-NZ"/>
        </w:rPr>
        <w:t xml:space="preserve">its </w:t>
      </w:r>
      <w:r w:rsidRPr="00B71BCF">
        <w:rPr>
          <w:lang w:eastAsia="en-NZ"/>
        </w:rPr>
        <w:t>coordinati</w:t>
      </w:r>
      <w:r w:rsidR="004573C9">
        <w:rPr>
          <w:lang w:eastAsia="en-NZ"/>
        </w:rPr>
        <w:t>o</w:t>
      </w:r>
      <w:r w:rsidRPr="00B71BCF">
        <w:rPr>
          <w:lang w:eastAsia="en-NZ"/>
        </w:rPr>
        <w:t>n</w:t>
      </w:r>
      <w:r w:rsidR="004573C9">
        <w:rPr>
          <w:lang w:eastAsia="en-NZ"/>
        </w:rPr>
        <w:t xml:space="preserve"> of</w:t>
      </w:r>
      <w:r w:rsidRPr="00B71BCF">
        <w:rPr>
          <w:lang w:eastAsia="en-NZ"/>
        </w:rPr>
        <w:t xml:space="preserve"> information sharing between relevant sections in Canberra, Palladium</w:t>
      </w:r>
      <w:r w:rsidRPr="00B71BCF">
        <w:t xml:space="preserve"> and Posts</w:t>
      </w:r>
      <w:r w:rsidR="004573C9">
        <w:t xml:space="preserve"> to (</w:t>
      </w:r>
      <w:proofErr w:type="spellStart"/>
      <w:r w:rsidR="004573C9">
        <w:t>i</w:t>
      </w:r>
      <w:proofErr w:type="spellEnd"/>
      <w:r w:rsidR="004573C9">
        <w:t>) ensure policy and operational decisions are communicated to all stakeholders; and (ii) create regular opportunities for shared learning</w:t>
      </w:r>
      <w:r w:rsidRPr="00B71BCF">
        <w:t>.</w:t>
      </w:r>
    </w:p>
    <w:p w14:paraId="051B2A12" w14:textId="77777777" w:rsidR="000D6B89" w:rsidRDefault="000D6B89" w:rsidP="00065412">
      <w:pPr>
        <w:pStyle w:val="Heading2"/>
      </w:pPr>
      <w:bookmarkStart w:id="28" w:name="_Toc1729522"/>
      <w:r w:rsidRPr="0035638C">
        <w:t>Efficiency of program implementation</w:t>
      </w:r>
      <w:bookmarkEnd w:id="28"/>
    </w:p>
    <w:p w14:paraId="7E2999C6" w14:textId="77777777" w:rsidR="000D6B89" w:rsidRDefault="000D6B89" w:rsidP="00065412">
      <w:pPr>
        <w:pStyle w:val="Heading3"/>
      </w:pPr>
      <w:r w:rsidRPr="001B090C">
        <w:t>Is the managing contractor delivering efficiently on all aspects of the scope of services, including timelines and budget?</w:t>
      </w:r>
    </w:p>
    <w:p w14:paraId="1CFD4BB3" w14:textId="19330160" w:rsidR="00FC00AA" w:rsidRDefault="00FC00AA" w:rsidP="008A1046">
      <w:r>
        <w:t>DFAT’s 2018 Partner Performance Assessment for Palladium notes that in 2017 Palladium deliver</w:t>
      </w:r>
      <w:r w:rsidR="00D94808">
        <w:t>ed</w:t>
      </w:r>
      <w:r>
        <w:t xml:space="preserve"> a higher number of awards under Australia Awards in Africa</w:t>
      </w:r>
      <w:r w:rsidR="00D94808">
        <w:t xml:space="preserve"> </w:t>
      </w:r>
      <w:r>
        <w:t xml:space="preserve">in a timely manner with restricted human and financial resources. </w:t>
      </w:r>
      <w:r w:rsidR="00D94808">
        <w:t xml:space="preserve">The evaluation finds this level of efficiency has continued into 2018, with Palladium delivering against the expected number of Australia Awards. </w:t>
      </w:r>
    </w:p>
    <w:p w14:paraId="3C4DD4CA" w14:textId="031E7E93" w:rsidR="00B915F5" w:rsidRPr="00D046DB" w:rsidRDefault="00D94808" w:rsidP="008A1046">
      <w:r w:rsidRPr="00D94808">
        <w:t>Aside</w:t>
      </w:r>
      <w:r w:rsidR="00101D6D" w:rsidRPr="00D046DB">
        <w:t xml:space="preserve"> </w:t>
      </w:r>
      <w:r>
        <w:t xml:space="preserve">from </w:t>
      </w:r>
      <w:r w:rsidR="00101D6D" w:rsidRPr="00D046DB">
        <w:t>delays experienced in mobilising some short course participants (</w:t>
      </w:r>
      <w:r w:rsidR="008A1046">
        <w:t>as mentioned above)</w:t>
      </w:r>
      <w:r w:rsidR="00101D6D" w:rsidRPr="00D046DB">
        <w:t xml:space="preserve">, stakeholders noted that </w:t>
      </w:r>
      <w:r w:rsidR="00B915F5" w:rsidRPr="00D046DB">
        <w:t xml:space="preserve">short courses are </w:t>
      </w:r>
      <w:r w:rsidR="00101D6D" w:rsidRPr="00D046DB">
        <w:t xml:space="preserve">being delivered in a timely manner. </w:t>
      </w:r>
      <w:r w:rsidR="008A1046">
        <w:t>The</w:t>
      </w:r>
      <w:r w:rsidR="00D51083" w:rsidRPr="00D046DB">
        <w:t xml:space="preserve"> </w:t>
      </w:r>
      <w:r w:rsidR="00B915F5" w:rsidRPr="00D046DB">
        <w:t>Scholarships Branch in DFAT not</w:t>
      </w:r>
      <w:r w:rsidR="008A1046">
        <w:t>ed</w:t>
      </w:r>
      <w:r w:rsidR="00B915F5" w:rsidRPr="00D046DB">
        <w:t xml:space="preserve"> that Palladium </w:t>
      </w:r>
      <w:r>
        <w:t xml:space="preserve">is </w:t>
      </w:r>
      <w:r w:rsidR="00B915F5" w:rsidRPr="00D046DB">
        <w:t>doing well in meeting deadlines</w:t>
      </w:r>
      <w:r w:rsidR="00214629">
        <w:t xml:space="preserve"> related to Australia Awards scholarships</w:t>
      </w:r>
      <w:r w:rsidR="00B915F5" w:rsidRPr="00D046DB">
        <w:t>, with some information being supplied in advance of deadlines</w:t>
      </w:r>
      <w:r>
        <w:t>.</w:t>
      </w:r>
      <w:r w:rsidR="00B915F5" w:rsidRPr="00D94808">
        <w:rPr>
          <w:rStyle w:val="FootnoteReference"/>
        </w:rPr>
        <w:footnoteReference w:id="44"/>
      </w:r>
      <w:r w:rsidR="00B915F5" w:rsidRPr="00D046DB">
        <w:t xml:space="preserve"> </w:t>
      </w:r>
    </w:p>
    <w:p w14:paraId="10E91D28" w14:textId="238A64CC" w:rsidR="00347431" w:rsidRPr="00D20FEE" w:rsidRDefault="00101D6D" w:rsidP="008A1046">
      <w:r w:rsidRPr="00D046DB">
        <w:t xml:space="preserve">Earlier concerns raised by </w:t>
      </w:r>
      <w:r w:rsidR="008A1046">
        <w:t xml:space="preserve">Africa Branch </w:t>
      </w:r>
      <w:r w:rsidR="00D94808">
        <w:t xml:space="preserve">regarding </w:t>
      </w:r>
      <w:r w:rsidRPr="00D046DB">
        <w:t>expenditure reporting have been addressed by Palladium. Expenditure is on</w:t>
      </w:r>
      <w:r w:rsidR="00886450">
        <w:t xml:space="preserve"> </w:t>
      </w:r>
      <w:r w:rsidRPr="00D046DB">
        <w:t>track</w:t>
      </w:r>
      <w:r w:rsidR="00347431">
        <w:rPr>
          <w:rStyle w:val="FootnoteReference"/>
        </w:rPr>
        <w:footnoteReference w:id="45"/>
      </w:r>
      <w:r w:rsidRPr="00D046DB">
        <w:t xml:space="preserve"> with</w:t>
      </w:r>
      <w:r w:rsidR="00ED39CA">
        <w:t xml:space="preserve"> the largest </w:t>
      </w:r>
      <w:r w:rsidR="00ED39CA" w:rsidRPr="00ED39CA">
        <w:t xml:space="preserve">variances within program costs </w:t>
      </w:r>
      <w:r w:rsidR="00ED39CA">
        <w:t xml:space="preserve">involving </w:t>
      </w:r>
      <w:r w:rsidR="00ED39CA" w:rsidRPr="00ED39CA">
        <w:lastRenderedPageBreak/>
        <w:t xml:space="preserve">reductions in alumni engagement and monitoring and evaluation costs (combined </w:t>
      </w:r>
      <w:r w:rsidR="00BD3DD7">
        <w:t>$</w:t>
      </w:r>
      <w:r w:rsidR="00ED39CA" w:rsidRPr="00ED39CA">
        <w:t>1,054,000) and an increase for delivery of short courses (</w:t>
      </w:r>
      <w:r w:rsidR="00BD3DD7">
        <w:t>$</w:t>
      </w:r>
      <w:r w:rsidR="00ED39CA" w:rsidRPr="00ED39CA">
        <w:t>1,040,000)</w:t>
      </w:r>
      <w:r w:rsidR="0007614B">
        <w:t xml:space="preserve"> which are currently subject to DFAT approval</w:t>
      </w:r>
      <w:r w:rsidR="00ED39CA" w:rsidRPr="00ED39CA">
        <w:t>.</w:t>
      </w:r>
      <w:r w:rsidR="00ED39CA">
        <w:rPr>
          <w:rStyle w:val="FootnoteReference"/>
        </w:rPr>
        <w:footnoteReference w:id="46"/>
      </w:r>
      <w:r w:rsidR="00ED39CA" w:rsidRPr="00ED39CA">
        <w:t xml:space="preserve"> </w:t>
      </w:r>
      <w:r w:rsidR="008A1046">
        <w:t xml:space="preserve"> </w:t>
      </w:r>
      <w:r w:rsidR="00ED39CA" w:rsidRPr="00ED39CA">
        <w:t xml:space="preserve"> </w:t>
      </w:r>
      <w:r w:rsidRPr="00D046DB">
        <w:t xml:space="preserve"> </w:t>
      </w:r>
    </w:p>
    <w:p w14:paraId="5A103DDA" w14:textId="77777777" w:rsidR="00101D6D" w:rsidRPr="00D046DB" w:rsidRDefault="00101D6D" w:rsidP="008A1046">
      <w:r w:rsidRPr="00D046DB">
        <w:t xml:space="preserve">Examples of Palladium demonstrating flexibility and responsiveness to meet DFAT’s expectations of program delivery include bringing forward or deferring short courses across financial years to assist </w:t>
      </w:r>
      <w:r w:rsidR="00D51083" w:rsidRPr="00D046DB">
        <w:t xml:space="preserve">Africa Branch </w:t>
      </w:r>
      <w:r w:rsidRPr="00D046DB">
        <w:t xml:space="preserve">management of the annual bilateral </w:t>
      </w:r>
      <w:r w:rsidR="008A1046" w:rsidRPr="00D046DB">
        <w:t>allocation and</w:t>
      </w:r>
      <w:r w:rsidRPr="00D046DB">
        <w:t xml:space="preserve"> assisting Posts with ad hoc request</w:t>
      </w:r>
      <w:r w:rsidR="004223AB" w:rsidRPr="00D046DB">
        <w:t>s</w:t>
      </w:r>
      <w:r w:rsidRPr="00D046DB">
        <w:t xml:space="preserve"> regarding alumni engagement. </w:t>
      </w:r>
    </w:p>
    <w:p w14:paraId="3C21C87C" w14:textId="77777777" w:rsidR="00D51083" w:rsidRPr="00D046DB" w:rsidRDefault="008A1046" w:rsidP="008A1046">
      <w:r>
        <w:t xml:space="preserve">The </w:t>
      </w:r>
      <w:r w:rsidR="00D51083" w:rsidRPr="00D046DB">
        <w:t>procur</w:t>
      </w:r>
      <w:r>
        <w:t xml:space="preserve">ement of </w:t>
      </w:r>
      <w:r w:rsidR="00D51083" w:rsidRPr="00D046DB">
        <w:t>suites of short courses that run over multiple years, rather than single short courses</w:t>
      </w:r>
      <w:r>
        <w:t xml:space="preserve">, meant </w:t>
      </w:r>
      <w:r w:rsidR="00D51083" w:rsidRPr="00D046DB">
        <w:t xml:space="preserve">procurement timelines </w:t>
      </w:r>
      <w:r>
        <w:t xml:space="preserve">were longer and more </w:t>
      </w:r>
      <w:r w:rsidR="00D51083" w:rsidRPr="00D046DB">
        <w:t>complex</w:t>
      </w:r>
      <w:r>
        <w:t xml:space="preserve"> at the beginning of this current phase of Australia Awards in Africa</w:t>
      </w:r>
      <w:r w:rsidR="00D51083" w:rsidRPr="00D046DB">
        <w:t xml:space="preserve">. However, </w:t>
      </w:r>
      <w:r>
        <w:t xml:space="preserve">Palladium has noted this arrangement </w:t>
      </w:r>
      <w:r w:rsidR="00817FE6">
        <w:t>is providing</w:t>
      </w:r>
      <w:r>
        <w:t xml:space="preserve"> </w:t>
      </w:r>
      <w:r w:rsidR="00D51083" w:rsidRPr="00D046DB">
        <w:t xml:space="preserve">efficiency and flexibility in </w:t>
      </w:r>
      <w:r>
        <w:t xml:space="preserve">their </w:t>
      </w:r>
      <w:r w:rsidR="00D51083" w:rsidRPr="00D046DB">
        <w:t xml:space="preserve">on-going procurement arrangements, </w:t>
      </w:r>
      <w:r>
        <w:t xml:space="preserve">and </w:t>
      </w:r>
      <w:r w:rsidR="00D51083" w:rsidRPr="00D046DB">
        <w:t>reduc</w:t>
      </w:r>
      <w:r>
        <w:t>ing</w:t>
      </w:r>
      <w:r w:rsidR="00D51083" w:rsidRPr="00D046DB">
        <w:t xml:space="preserve"> operational overheads related to procurement</w:t>
      </w:r>
      <w:r>
        <w:t xml:space="preserve">. Short course providers also spoke positively of the multi-year contracting arrangement </w:t>
      </w:r>
      <w:r w:rsidR="00817FE6">
        <w:t xml:space="preserve">as </w:t>
      </w:r>
      <w:r>
        <w:t>allow</w:t>
      </w:r>
      <w:r w:rsidR="00817FE6">
        <w:t>ing</w:t>
      </w:r>
      <w:r>
        <w:t xml:space="preserve"> them greater opportunity to implement continuous improvement of short </w:t>
      </w:r>
      <w:r w:rsidR="00817FE6">
        <w:t xml:space="preserve">courses and develop on-going linkages with provider partners in Africa. </w:t>
      </w:r>
      <w:r>
        <w:t xml:space="preserve"> </w:t>
      </w:r>
    </w:p>
    <w:p w14:paraId="77151349" w14:textId="77777777" w:rsidR="004223AB" w:rsidRPr="00D046DB" w:rsidRDefault="004223AB" w:rsidP="008A1046">
      <w:r w:rsidRPr="00D046DB">
        <w:t xml:space="preserve">There is evidence of Palladium and the Africa Branch using the Program Management Group meeting to collaboratively resolve </w:t>
      </w:r>
      <w:r w:rsidR="00AF156A">
        <w:t xml:space="preserve">issues affecting efficient and effective </w:t>
      </w:r>
      <w:r w:rsidRPr="00D046DB">
        <w:t xml:space="preserve">implementation </w:t>
      </w:r>
      <w:r w:rsidR="00AF156A">
        <w:t>of Australia Awards in Africa.</w:t>
      </w:r>
      <w:r w:rsidR="00AF156A">
        <w:rPr>
          <w:rStyle w:val="FootnoteReference"/>
        </w:rPr>
        <w:footnoteReference w:id="47"/>
      </w:r>
      <w:r w:rsidR="00AF156A">
        <w:t xml:space="preserve"> </w:t>
      </w:r>
    </w:p>
    <w:p w14:paraId="7E91DA57" w14:textId="77777777" w:rsidR="00D51083" w:rsidRDefault="004223AB" w:rsidP="004223AB">
      <w:pPr>
        <w:pStyle w:val="NormalBeforeBullet"/>
      </w:pPr>
      <w:r>
        <w:t>Areas for improved efficiency include:</w:t>
      </w:r>
    </w:p>
    <w:p w14:paraId="3C724181" w14:textId="76E39FD9" w:rsidR="00101D6D" w:rsidRDefault="00101D6D" w:rsidP="004223AB">
      <w:pPr>
        <w:pStyle w:val="Bullet"/>
      </w:pPr>
      <w:r>
        <w:t>Some Posts noted the process in relation to p</w:t>
      </w:r>
      <w:r w:rsidRPr="007C5E9A">
        <w:t xml:space="preserve">romotions </w:t>
      </w:r>
      <w:r>
        <w:t xml:space="preserve">does not appear to be consistent year-to-year, and clarification from the Palladium communications team was required. Differing experiences and expectations across Posts in relation to the </w:t>
      </w:r>
      <w:r w:rsidR="008C3DA5">
        <w:t xml:space="preserve">timeliness of promotions materials, and </w:t>
      </w:r>
      <w:r>
        <w:t>division of tasks during promotions and other key activities were noted. It may be timely to revisit the document roles and responsibilities and adjust accordingly.</w:t>
      </w:r>
    </w:p>
    <w:p w14:paraId="0647BC1F" w14:textId="77777777" w:rsidR="004223AB" w:rsidRPr="004E5DAD" w:rsidRDefault="00610CC8" w:rsidP="004223AB">
      <w:pPr>
        <w:pStyle w:val="Bullet"/>
      </w:pPr>
      <w:r>
        <w:t>Short course participants and providers noted that the a</w:t>
      </w:r>
      <w:r w:rsidR="004223AB">
        <w:t>lumni portal</w:t>
      </w:r>
      <w:r>
        <w:t xml:space="preserve"> (where reintegration action plans are to </w:t>
      </w:r>
      <w:r w:rsidR="004E5DAD">
        <w:t xml:space="preserve">be submitted and progress reported </w:t>
      </w:r>
      <w:r w:rsidR="004E5DAD" w:rsidRPr="004E5DAD">
        <w:t xml:space="preserve">against) continue to be problematic to access and use. It is noted Palladium is making updates to the alumni portal. </w:t>
      </w:r>
    </w:p>
    <w:p w14:paraId="0908A4F7" w14:textId="77777777" w:rsidR="00AF08D1" w:rsidRPr="004E5DAD" w:rsidRDefault="004E5DAD" w:rsidP="00AF08D1">
      <w:pPr>
        <w:pStyle w:val="Bullet"/>
      </w:pPr>
      <w:r w:rsidRPr="004E5DAD">
        <w:t>The evaluation heard of a</w:t>
      </w:r>
      <w:r w:rsidR="00AF08D1" w:rsidRPr="004E5DAD">
        <w:t>ttempts to improve efficiency result</w:t>
      </w:r>
      <w:r w:rsidRPr="004E5DAD">
        <w:t>ing</w:t>
      </w:r>
      <w:r w:rsidR="00AF08D1" w:rsidRPr="004E5DAD">
        <w:t xml:space="preserve"> in miscommunication</w:t>
      </w:r>
      <w:r w:rsidRPr="004E5DAD">
        <w:t xml:space="preserve">. </w:t>
      </w:r>
      <w:r w:rsidR="00AF08D1" w:rsidRPr="004E5DAD">
        <w:t xml:space="preserve">Where Africa Branch and Palladium agree changes to processes to improve efficiency, the change must be consulted with, or at least conveyed to, all Posts.   </w:t>
      </w:r>
    </w:p>
    <w:p w14:paraId="2BAD57F2" w14:textId="77777777" w:rsidR="001A1A0F" w:rsidRDefault="001A1A0F" w:rsidP="00260F2F">
      <w:pPr>
        <w:pStyle w:val="Bullet"/>
      </w:pPr>
      <w:r>
        <w:t>Post staff, coordinating authorities, a</w:t>
      </w:r>
      <w:r w:rsidR="00101D6D">
        <w:t xml:space="preserve">lumni, short course </w:t>
      </w:r>
      <w:r>
        <w:t xml:space="preserve">providers and </w:t>
      </w:r>
      <w:r w:rsidR="00101D6D">
        <w:t>participants</w:t>
      </w:r>
      <w:r>
        <w:t>, master</w:t>
      </w:r>
      <w:r w:rsidR="00886450">
        <w:t>’</w:t>
      </w:r>
      <w:r>
        <w:t>s scholars and</w:t>
      </w:r>
      <w:r w:rsidR="00101D6D">
        <w:t xml:space="preserve"> </w:t>
      </w:r>
      <w:r w:rsidR="001712C6">
        <w:t>postdoctoral</w:t>
      </w:r>
      <w:r w:rsidR="00101D6D">
        <w:t xml:space="preserve"> fellows </w:t>
      </w:r>
      <w:r>
        <w:t xml:space="preserve">interviewed for the evaluation </w:t>
      </w:r>
      <w:r w:rsidR="00101D6D">
        <w:t>provided suggestions for improvements to processes and systems (for example, the application process, alumni portal, travel arrangements</w:t>
      </w:r>
      <w:r>
        <w:t xml:space="preserve">) which are summarised in Appendix </w:t>
      </w:r>
      <w:r w:rsidR="004E5DAD">
        <w:t>H</w:t>
      </w:r>
      <w:r>
        <w:t xml:space="preserve">. Some of the suggestions relate to global Australia Awards policy, others are within the parameters of DFAT’s Africa Branch and Palladium to consider.  </w:t>
      </w:r>
    </w:p>
    <w:p w14:paraId="3413ABF1" w14:textId="6EE74BF1" w:rsidR="009A5EBD" w:rsidRDefault="009A5EBD" w:rsidP="004573C9">
      <w:pPr>
        <w:pStyle w:val="BulletLast"/>
      </w:pPr>
      <w:r>
        <w:t xml:space="preserve">Significant learning </w:t>
      </w:r>
      <w:r w:rsidR="00260F2F">
        <w:t xml:space="preserve">is </w:t>
      </w:r>
      <w:r>
        <w:t>being generated through feasibility studies and pilots.</w:t>
      </w:r>
      <w:r w:rsidR="00260F2F">
        <w:t xml:space="preserve"> It is i</w:t>
      </w:r>
      <w:r>
        <w:t xml:space="preserve">mportant for DFAT to capture, and internally disseminate, reasons </w:t>
      </w:r>
      <w:r w:rsidR="00260F2F">
        <w:t xml:space="preserve">behind deciding not to progress with </w:t>
      </w:r>
      <w:r>
        <w:t xml:space="preserve">a feasibility study </w:t>
      </w:r>
      <w:r w:rsidR="00260F2F">
        <w:t>or pilot. T</w:t>
      </w:r>
      <w:r>
        <w:t xml:space="preserve">his is valuable information for the next design phase. </w:t>
      </w:r>
      <w:r w:rsidR="00260F2F">
        <w:t>At this stage of implementation, it m</w:t>
      </w:r>
      <w:r>
        <w:t xml:space="preserve">ay </w:t>
      </w:r>
      <w:r w:rsidR="00260F2F">
        <w:t xml:space="preserve">be a more </w:t>
      </w:r>
      <w:r>
        <w:t xml:space="preserve">efficient use of Palladium resources to </w:t>
      </w:r>
      <w:r w:rsidR="00260F2F">
        <w:t xml:space="preserve">deepen or broaden the implementation of existing successful elements of the program, rather than </w:t>
      </w:r>
      <w:r>
        <w:t>pilot</w:t>
      </w:r>
      <w:r w:rsidR="00BD3DD7">
        <w:t>ing new approaches</w:t>
      </w:r>
      <w:r w:rsidR="00260F2F">
        <w:t>.</w:t>
      </w:r>
    </w:p>
    <w:p w14:paraId="3CAD5E1B" w14:textId="77777777" w:rsidR="004628B4" w:rsidRDefault="004628B4" w:rsidP="004628B4">
      <w:pPr>
        <w:pStyle w:val="Bullet"/>
        <w:numPr>
          <w:ilvl w:val="0"/>
          <w:numId w:val="0"/>
        </w:numPr>
        <w:ind w:left="360" w:hanging="360"/>
      </w:pPr>
      <w:r w:rsidRPr="007C143B">
        <w:rPr>
          <w:rStyle w:val="Strong"/>
        </w:rPr>
        <w:t>Findings</w:t>
      </w:r>
    </w:p>
    <w:p w14:paraId="62000CD8" w14:textId="77777777" w:rsidR="004628B4" w:rsidRPr="004223AB" w:rsidRDefault="004628B4" w:rsidP="004223AB">
      <w:pPr>
        <w:pStyle w:val="Bullet"/>
      </w:pPr>
      <w:r w:rsidRPr="004223AB">
        <w:lastRenderedPageBreak/>
        <w:t xml:space="preserve">The key elements of the scope of services are well covered, with Palladium meeting key deadlines around planning, selection, mobilisation, </w:t>
      </w:r>
      <w:proofErr w:type="gramStart"/>
      <w:r w:rsidRPr="004223AB">
        <w:t>reintegration</w:t>
      </w:r>
      <w:proofErr w:type="gramEnd"/>
      <w:r w:rsidRPr="004223AB">
        <w:t xml:space="preserve"> and alumni engagement (including the small grants scheme). </w:t>
      </w:r>
    </w:p>
    <w:p w14:paraId="36F9AEE8" w14:textId="7AF964D6" w:rsidR="004628B4" w:rsidRPr="004223AB" w:rsidRDefault="004628B4" w:rsidP="004223AB">
      <w:pPr>
        <w:pStyle w:val="Bullet"/>
      </w:pPr>
      <w:r w:rsidRPr="004223AB">
        <w:t xml:space="preserve">Overall financial management of </w:t>
      </w:r>
      <w:r w:rsidR="00260F2F">
        <w:t xml:space="preserve">Australia Awards in Africa is solid, and expenditure is tracking well at this mid-point in the contract. </w:t>
      </w:r>
      <w:r w:rsidRPr="004223AB">
        <w:t>Palladium has demonstrated flexibility to assist DFAT’s budget management across financial years</w:t>
      </w:r>
      <w:r w:rsidR="00260F2F">
        <w:t xml:space="preserve"> and </w:t>
      </w:r>
      <w:r w:rsidRPr="004223AB">
        <w:t>responsiveness to meet DFAT’s expectations of program delivery.</w:t>
      </w:r>
      <w:r w:rsidR="00566495" w:rsidRPr="004223AB">
        <w:t xml:space="preserve">  </w:t>
      </w:r>
    </w:p>
    <w:p w14:paraId="23B7DE76" w14:textId="63072450" w:rsidR="004628B4" w:rsidRPr="004223AB" w:rsidRDefault="009111B6" w:rsidP="004223AB">
      <w:pPr>
        <w:pStyle w:val="Bullet"/>
      </w:pPr>
      <w:r>
        <w:t>Palladium has efficiently delivered a higher number of awards under Australia Awards in Africa in a timely manner with restricted human and financial resources.</w:t>
      </w:r>
      <w:r w:rsidRPr="004223AB">
        <w:t xml:space="preserve"> </w:t>
      </w:r>
      <w:r w:rsidR="004628B4" w:rsidRPr="004223AB">
        <w:t>One key area for improving efficiency is clarifying roles and responsibilities across Posts and Palladium, particularly in relation to promotions, including the development of promotions materials.</w:t>
      </w:r>
      <w:r w:rsidR="004628B4" w:rsidRPr="004223AB">
        <w:rPr>
          <w:highlight w:val="yellow"/>
        </w:rPr>
        <w:t xml:space="preserve"> </w:t>
      </w:r>
    </w:p>
    <w:p w14:paraId="5FDE2916" w14:textId="77777777" w:rsidR="004628B4" w:rsidRDefault="004628B4" w:rsidP="004628B4">
      <w:pPr>
        <w:pStyle w:val="RecommendationName"/>
      </w:pPr>
      <w:r>
        <w:t>R</w:t>
      </w:r>
      <w:r w:rsidRPr="00E86468">
        <w:t>ecommendations</w:t>
      </w:r>
      <w:r w:rsidRPr="00E86468">
        <w:tab/>
      </w:r>
    </w:p>
    <w:p w14:paraId="68DB111F" w14:textId="5D10DD1B" w:rsidR="004628B4" w:rsidRDefault="00BE0F2D" w:rsidP="00100B1F">
      <w:pPr>
        <w:pStyle w:val="RecommendationText"/>
        <w:rPr>
          <w:i/>
        </w:rPr>
      </w:pPr>
      <w:r>
        <w:t>Africa Branch</w:t>
      </w:r>
      <w:r w:rsidR="004628B4" w:rsidRPr="002F6950">
        <w:t xml:space="preserve">, Posts and Palladium management team to </w:t>
      </w:r>
      <w:r w:rsidR="00AB7FF1">
        <w:t xml:space="preserve">review </w:t>
      </w:r>
      <w:r w:rsidR="004628B4" w:rsidRPr="002F6950">
        <w:t xml:space="preserve">the current documented roles and responsibilities, discuss any changed expectations and </w:t>
      </w:r>
      <w:r w:rsidR="00AB7FF1">
        <w:t xml:space="preserve">revise the document </w:t>
      </w:r>
      <w:r w:rsidR="004628B4" w:rsidRPr="002F6950">
        <w:t>accordingly.</w:t>
      </w:r>
      <w:r w:rsidR="004628B4" w:rsidRPr="002F6950">
        <w:rPr>
          <w:i/>
        </w:rPr>
        <w:t xml:space="preserve">  </w:t>
      </w:r>
    </w:p>
    <w:p w14:paraId="372CD430" w14:textId="5D7C07A5" w:rsidR="00BE0F2D" w:rsidRDefault="00BE0F2D" w:rsidP="00100B1F">
      <w:pPr>
        <w:pStyle w:val="RecommendationText"/>
      </w:pPr>
      <w:r>
        <w:t xml:space="preserve">Africa Branch consider stakeholder suggestions for improvements as summarised in Appendix </w:t>
      </w:r>
      <w:r w:rsidR="00260F2F">
        <w:t>H</w:t>
      </w:r>
      <w:r w:rsidR="00AB7FF1">
        <w:t xml:space="preserve"> and discuss with Palladium</w:t>
      </w:r>
      <w:r w:rsidR="00260F2F">
        <w:t>.</w:t>
      </w:r>
    </w:p>
    <w:p w14:paraId="4DD50DED" w14:textId="77777777" w:rsidR="000D6B89" w:rsidRDefault="000D6B89" w:rsidP="00065412">
      <w:pPr>
        <w:pStyle w:val="Heading3"/>
      </w:pPr>
      <w:r w:rsidRPr="001B090C">
        <w:t>Are the managing contractor’s program reports of good quality, providing fit-for-purpose program data and information that is well targeted to DFAT’s accountability and program decision-making requirements?</w:t>
      </w:r>
    </w:p>
    <w:p w14:paraId="01842ACC" w14:textId="79B1E538" w:rsidR="00E422BF" w:rsidRDefault="00E422BF" w:rsidP="00E422BF">
      <w:r w:rsidRPr="002D4C78">
        <w:t xml:space="preserve">Palladium prepares </w:t>
      </w:r>
      <w:r w:rsidR="002D4C78">
        <w:t xml:space="preserve">many </w:t>
      </w:r>
      <w:r w:rsidRPr="002D4C78">
        <w:t xml:space="preserve">program reports </w:t>
      </w:r>
      <w:r w:rsidR="002D4C78">
        <w:t>that feed into DFAT’s accountability and decision-making requirements. Of most significance, t</w:t>
      </w:r>
      <w:r w:rsidRPr="002D4C78">
        <w:t xml:space="preserve">heir six-monthly reports and Program Management </w:t>
      </w:r>
      <w:r w:rsidR="002D4C78" w:rsidRPr="002D4C78">
        <w:t>Group m</w:t>
      </w:r>
      <w:r w:rsidRPr="002D4C78">
        <w:t xml:space="preserve">eeting papers are comprehensive and </w:t>
      </w:r>
      <w:r w:rsidR="002D4C78" w:rsidRPr="002D4C78">
        <w:t xml:space="preserve">designed to meet feedback from </w:t>
      </w:r>
      <w:r w:rsidRPr="002D4C78">
        <w:t>DFAT</w:t>
      </w:r>
      <w:r w:rsidR="002D4C78" w:rsidRPr="002D4C78">
        <w:t xml:space="preserve"> on its</w:t>
      </w:r>
      <w:r w:rsidRPr="002D4C78">
        <w:t xml:space="preserve"> information needs. </w:t>
      </w:r>
      <w:r w:rsidR="002D4C78">
        <w:t xml:space="preserve">A strong feature in </w:t>
      </w:r>
      <w:r w:rsidR="002D4C78" w:rsidRPr="0095418F">
        <w:t xml:space="preserve">Palladium’s reporting </w:t>
      </w:r>
      <w:r w:rsidR="002D4C78">
        <w:t xml:space="preserve">is the </w:t>
      </w:r>
      <w:r w:rsidR="002D4C78" w:rsidRPr="0095418F">
        <w:t xml:space="preserve">detail </w:t>
      </w:r>
      <w:r w:rsidR="002D4C78">
        <w:t xml:space="preserve">around lessons learnt </w:t>
      </w:r>
      <w:r w:rsidR="002D4C78" w:rsidRPr="0095418F">
        <w:t>and specific recommendations for addressing issues or improving practice</w:t>
      </w:r>
      <w:r w:rsidR="002D4C78">
        <w:t>.</w:t>
      </w:r>
      <w:r w:rsidR="002D4C78" w:rsidRPr="002D4C78">
        <w:t xml:space="preserve"> </w:t>
      </w:r>
      <w:r w:rsidRPr="002D4C78">
        <w:t>DFAT</w:t>
      </w:r>
      <w:r w:rsidR="009D56F8" w:rsidRPr="002D4C78">
        <w:t xml:space="preserve"> has raised issues of quality of documents with Palladium, who in turn has responded with measures to improve the quality and clarity of reporting</w:t>
      </w:r>
      <w:r w:rsidRPr="002D4C78">
        <w:t>. Issues around the quality of communications materials related to promotions (including translations into Portuguese and French) were noted by all but one Post.</w:t>
      </w:r>
      <w:r w:rsidR="002D4C78" w:rsidRPr="002D4C78">
        <w:t xml:space="preserve"> These are ongoing conversations, with the evaluation noting DFAT’s efforts to provide clarity around the information it requires and Palladium exercising flexibility to respond.</w:t>
      </w:r>
      <w:r w:rsidR="002D4C78" w:rsidRPr="002D4C78">
        <w:rPr>
          <w:rStyle w:val="FootnoteReference"/>
        </w:rPr>
        <w:t xml:space="preserve"> </w:t>
      </w:r>
      <w:r w:rsidR="00E63679">
        <w:t>Additional measures and</w:t>
      </w:r>
      <w:r w:rsidR="00FA3283">
        <w:t xml:space="preserve"> resources engaged by Palladium </w:t>
      </w:r>
      <w:r w:rsidR="00E63679">
        <w:t xml:space="preserve">are expected to </w:t>
      </w:r>
      <w:r w:rsidR="00FA3283">
        <w:t>improve</w:t>
      </w:r>
      <w:r w:rsidR="00E63679">
        <w:t xml:space="preserve"> the</w:t>
      </w:r>
      <w:r w:rsidR="00FA3283">
        <w:t xml:space="preserve"> clarity and accessibility</w:t>
      </w:r>
      <w:r w:rsidR="00E63679">
        <w:t xml:space="preserve"> of information provided in Palladium’s reporting and communications products.</w:t>
      </w:r>
      <w:r w:rsidR="005E2AD5" w:rsidRPr="002D4C78">
        <w:rPr>
          <w:rStyle w:val="FootnoteReference"/>
        </w:rPr>
        <w:footnoteReference w:id="48"/>
      </w:r>
      <w:r w:rsidR="005E2AD5">
        <w:t xml:space="preserve"> </w:t>
      </w:r>
    </w:p>
    <w:p w14:paraId="466A8497" w14:textId="26E95A0D" w:rsidR="00E422BF" w:rsidRDefault="00E422BF" w:rsidP="00BE0F2D">
      <w:r>
        <w:t xml:space="preserve">The literature and data review undertaken for this evaluation identified some issues with data in the MEF annexes </w:t>
      </w:r>
      <w:r w:rsidRPr="006E0B8A">
        <w:t>in the six-monthly progress report</w:t>
      </w:r>
      <w:r>
        <w:t xml:space="preserve">. </w:t>
      </w:r>
      <w:r w:rsidR="00D6387E">
        <w:t xml:space="preserve">These </w:t>
      </w:r>
      <w:proofErr w:type="gramStart"/>
      <w:r w:rsidR="00D6387E">
        <w:t>include:</w:t>
      </w:r>
      <w:proofErr w:type="gramEnd"/>
      <w:r w:rsidR="00D6387E">
        <w:t xml:space="preserve"> lack of cumulative data reporting in MEF tables limiting the ability of the reader to understand how Australia Awards in Africa is tracking against its outputs; inconsistent data disaggregation; calculations errors in statistical tables and unclear reporting on the participation of people with disabilities.</w:t>
      </w:r>
      <w:r w:rsidR="00E63679">
        <w:rPr>
          <w:rStyle w:val="FootnoteReference"/>
        </w:rPr>
        <w:footnoteReference w:id="49"/>
      </w:r>
      <w:r w:rsidR="00D6387E">
        <w:t xml:space="preserve"> </w:t>
      </w:r>
      <w:r>
        <w:t>Suggested modifications to the MEF and progress reports are included in Appendix I. It is noted many of these modifications were discussed with DFAT and Palladium during the evaluation process and are likely to be operationalised shortly (if not already).</w:t>
      </w:r>
    </w:p>
    <w:p w14:paraId="7F6D5C56" w14:textId="77777777" w:rsidR="00101D6D" w:rsidRDefault="00420B99" w:rsidP="00B9029C">
      <w:r w:rsidRPr="00B9029C">
        <w:lastRenderedPageBreak/>
        <w:t>Palladium</w:t>
      </w:r>
      <w:r w:rsidR="00886450">
        <w:t>’s</w:t>
      </w:r>
      <w:r w:rsidRPr="00B9029C">
        <w:t xml:space="preserve"> signif</w:t>
      </w:r>
      <w:r w:rsidR="00893553" w:rsidRPr="00B9029C">
        <w:t xml:space="preserve">icant </w:t>
      </w:r>
      <w:r w:rsidR="00B9029C" w:rsidRPr="00B9029C">
        <w:t xml:space="preserve">M&amp;E activities are generating valuable quantitative and qualitative data sets. </w:t>
      </w:r>
      <w:r w:rsidR="00893553" w:rsidRPr="00B9029C">
        <w:t xml:space="preserve">For example, </w:t>
      </w:r>
      <w:r w:rsidR="00B9029C" w:rsidRPr="00B9029C">
        <w:t xml:space="preserve">it </w:t>
      </w:r>
      <w:r w:rsidR="00893553" w:rsidRPr="00B9029C">
        <w:t>administers an annual survey of alumni</w:t>
      </w:r>
      <w:r w:rsidR="00893553" w:rsidRPr="00B9029C">
        <w:rPr>
          <w:rStyle w:val="FootnoteReference"/>
        </w:rPr>
        <w:footnoteReference w:id="50"/>
      </w:r>
      <w:r w:rsidR="00893553" w:rsidRPr="00B9029C">
        <w:t xml:space="preserve"> to produce an annual outcome report.</w:t>
      </w:r>
      <w:r w:rsidR="00B9029C" w:rsidRPr="00B9029C">
        <w:t xml:space="preserve"> These data sets are being used to underpin Palladium’s reporting, decision-making and communications products. </w:t>
      </w:r>
      <w:r w:rsidR="00B9029C">
        <w:t>However, it is suggested that a</w:t>
      </w:r>
      <w:r w:rsidR="00B9029C" w:rsidRPr="00B9029C">
        <w:t>pproaching data analysis and reporting on a multi-year basis would add depth to the current M&amp;E arrangements by building a body of evidence of impact over the life of the program</w:t>
      </w:r>
      <w:r w:rsidR="00D476AA">
        <w:t xml:space="preserve"> (see Appendix I for details)</w:t>
      </w:r>
      <w:r w:rsidR="00B9029C">
        <w:t>.</w:t>
      </w:r>
    </w:p>
    <w:p w14:paraId="217C3F7D" w14:textId="77777777" w:rsidR="00F35BFF" w:rsidRDefault="00D476AA" w:rsidP="00893553">
      <w:r>
        <w:t xml:space="preserve">As noted in section 3.1.1 </w:t>
      </w:r>
      <w:r w:rsidR="009D56F8">
        <w:t xml:space="preserve">suggestions from stakeholders for improvements in the delivery of the program relate to receiving more information from DFAT and/or Palladium. </w:t>
      </w:r>
      <w:r>
        <w:t xml:space="preserve">It is an opportune time for DFAT and Palladium to discuss information dissemination to a broader group of stakeholders in Australia Awards in Africa. This may involve key </w:t>
      </w:r>
      <w:r w:rsidR="00F35BFF">
        <w:t>reports hav</w:t>
      </w:r>
      <w:r>
        <w:t>ing an agreed</w:t>
      </w:r>
      <w:r w:rsidR="00F35BFF">
        <w:t xml:space="preserve"> distribution plan.</w:t>
      </w:r>
    </w:p>
    <w:p w14:paraId="369C55C8" w14:textId="77777777" w:rsidR="008003EF" w:rsidRDefault="009D56F8" w:rsidP="00F35BFF">
      <w:pPr>
        <w:pStyle w:val="Bullet"/>
        <w:numPr>
          <w:ilvl w:val="0"/>
          <w:numId w:val="0"/>
        </w:numPr>
        <w:ind w:left="360" w:hanging="360"/>
      </w:pPr>
      <w:r w:rsidRPr="007C143B">
        <w:rPr>
          <w:rStyle w:val="Strong"/>
        </w:rPr>
        <w:t>Findings</w:t>
      </w:r>
    </w:p>
    <w:p w14:paraId="2693BC6A" w14:textId="6741F96F" w:rsidR="009D56F8" w:rsidRPr="00D476AA" w:rsidRDefault="00924D3D" w:rsidP="00D476AA">
      <w:pPr>
        <w:pStyle w:val="Bullet"/>
      </w:pPr>
      <w:r w:rsidRPr="00D476AA">
        <w:t>Palladium is providing the necessary planning and reporting documents to inform decision-making</w:t>
      </w:r>
      <w:r>
        <w:t xml:space="preserve"> and meet DFAT’s accountability obligations</w:t>
      </w:r>
      <w:r w:rsidRPr="00D476AA">
        <w:t>.</w:t>
      </w:r>
      <w:r>
        <w:t xml:space="preserve"> The evaluation notes DFAT and Palladium are working constructively to improve </w:t>
      </w:r>
      <w:r w:rsidR="009D56F8" w:rsidRPr="00D476AA">
        <w:t xml:space="preserve">the </w:t>
      </w:r>
      <w:r w:rsidR="00E63679">
        <w:t xml:space="preserve">clarity and </w:t>
      </w:r>
      <w:r w:rsidR="009D56F8" w:rsidRPr="00D476AA">
        <w:t>quality of reporting</w:t>
      </w:r>
      <w:r>
        <w:t xml:space="preserve"> to meet DFAT’s information needs. </w:t>
      </w:r>
    </w:p>
    <w:p w14:paraId="0CAFF16C" w14:textId="77777777" w:rsidR="009D56F8" w:rsidRPr="00D476AA" w:rsidRDefault="00B915F5" w:rsidP="00D476AA">
      <w:pPr>
        <w:pStyle w:val="Bullet"/>
      </w:pPr>
      <w:r w:rsidRPr="00D476AA">
        <w:t>Australia Awards in Africa</w:t>
      </w:r>
      <w:r w:rsidR="009D56F8" w:rsidRPr="00D476AA">
        <w:t xml:space="preserve"> is undertaking an impressive variety of M&amp;E activities which are generating quantitative and qualitative data sets. Approaching data analysis and reporting on a multi-year basis would add depth to the current M&amp;E arrangements by building a body of evidence of impact over the life of the program. </w:t>
      </w:r>
    </w:p>
    <w:p w14:paraId="54CD7794" w14:textId="3EB6B173" w:rsidR="009D56F8" w:rsidRDefault="009D56F8" w:rsidP="00F43DCF">
      <w:pPr>
        <w:pStyle w:val="BulletLast"/>
      </w:pPr>
      <w:r w:rsidRPr="00D476AA">
        <w:t xml:space="preserve">While DFAT is the primary audience for Palladium’s program reports, there is benefit in DFAT and Palladium considering how to package information and distribute reports to ensure that information needs/interests of a larger group of stakeholders </w:t>
      </w:r>
      <w:r w:rsidR="00924D3D">
        <w:t xml:space="preserve">(for example, short course providers, alumni and coordinating authorities) </w:t>
      </w:r>
      <w:r w:rsidRPr="00D476AA">
        <w:t>are being met.</w:t>
      </w:r>
      <w:r w:rsidR="00F43DCF">
        <w:t xml:space="preserve"> This would add to the accountability of Australia Awards in Africa. </w:t>
      </w:r>
      <w:r w:rsidRPr="00D476AA">
        <w:t xml:space="preserve">  </w:t>
      </w:r>
    </w:p>
    <w:p w14:paraId="69713D35" w14:textId="77777777" w:rsidR="009D56F8" w:rsidRDefault="009D56F8" w:rsidP="009D56F8">
      <w:pPr>
        <w:pStyle w:val="RecommendationName"/>
      </w:pPr>
      <w:r>
        <w:t>R</w:t>
      </w:r>
      <w:r w:rsidRPr="00E86468">
        <w:t>ecommendations</w:t>
      </w:r>
      <w:r w:rsidRPr="00E86468">
        <w:tab/>
      </w:r>
    </w:p>
    <w:p w14:paraId="38460F4B" w14:textId="3CF32789" w:rsidR="009D56F8" w:rsidRDefault="00947F66" w:rsidP="00100B1F">
      <w:pPr>
        <w:pStyle w:val="RecommendationText"/>
      </w:pPr>
      <w:r>
        <w:t xml:space="preserve">DFAT and Palladium consider the suggested </w:t>
      </w:r>
      <w:r w:rsidR="009D56F8">
        <w:t xml:space="preserve">modifications to the MEF and progress reports included </w:t>
      </w:r>
      <w:r>
        <w:t xml:space="preserve">at Appendix </w:t>
      </w:r>
      <w:r w:rsidR="00F43DCF">
        <w:t>I.</w:t>
      </w:r>
      <w:r>
        <w:t xml:space="preserve"> </w:t>
      </w:r>
    </w:p>
    <w:p w14:paraId="72C57F71" w14:textId="60932309" w:rsidR="009D56F8" w:rsidRDefault="009D56F8" w:rsidP="00100B1F">
      <w:pPr>
        <w:pStyle w:val="RecommendationText"/>
      </w:pPr>
      <w:r>
        <w:t xml:space="preserve">DFAT and Palladium agree </w:t>
      </w:r>
      <w:r w:rsidR="006B458B">
        <w:t xml:space="preserve">on </w:t>
      </w:r>
      <w:r>
        <w:t>distribution plans for each of the key reporting and evaluation products.</w:t>
      </w:r>
    </w:p>
    <w:p w14:paraId="1DB71208" w14:textId="77777777" w:rsidR="000D6B89" w:rsidRDefault="000D6B89" w:rsidP="00065412">
      <w:pPr>
        <w:pStyle w:val="Heading3"/>
      </w:pPr>
      <w:r w:rsidRPr="001B090C">
        <w:t>Is the managing contractor’s engagement with Africa posts done in such a way as to minimise administrative burden and maximise public and economic diplomacy opportunities? Are there options to streamline processes?</w:t>
      </w:r>
    </w:p>
    <w:p w14:paraId="133B79AD" w14:textId="1C414C72" w:rsidR="009D56F8" w:rsidRDefault="009D56F8" w:rsidP="009D56F8">
      <w:pPr>
        <w:spacing w:after="0"/>
      </w:pPr>
      <w:r>
        <w:t>Posts welcome the support provided by Palladium in delivering Australia Awards and appreciate the strong, professional relationships with the Palladium team. Posts acknowledge</w:t>
      </w:r>
      <w:r w:rsidR="001104FE">
        <w:t>d</w:t>
      </w:r>
      <w:r>
        <w:t xml:space="preserve"> Palladium</w:t>
      </w:r>
      <w:r w:rsidR="001104FE">
        <w:t xml:space="preserve"> is trying to</w:t>
      </w:r>
      <w:r>
        <w:t xml:space="preserve"> meet different expectations across many countries and value the work done by Palladium to meet </w:t>
      </w:r>
      <w:r w:rsidR="005F7AEE">
        <w:t>the needs of each Post</w:t>
      </w:r>
      <w:r>
        <w:t>.</w:t>
      </w:r>
      <w:r w:rsidR="005F7AEE">
        <w:t xml:space="preserve"> Posts noted they do not have resources to manage administrative tasks associated with key Australia Awards processes and are pleased these are done by Palladium. </w:t>
      </w:r>
      <w:r w:rsidR="008276D3">
        <w:t xml:space="preserve"> </w:t>
      </w:r>
      <w:r>
        <w:t xml:space="preserve"> </w:t>
      </w:r>
    </w:p>
    <w:p w14:paraId="6BB7A13C" w14:textId="1397259C" w:rsidR="007900C7" w:rsidRDefault="009D56F8" w:rsidP="0030654F">
      <w:pPr>
        <w:spacing w:after="0"/>
      </w:pPr>
      <w:r>
        <w:t>The evaluation heard d</w:t>
      </w:r>
      <w:r w:rsidRPr="00623753">
        <w:t xml:space="preserve">iffering views </w:t>
      </w:r>
      <w:r w:rsidR="005F7AEE">
        <w:t xml:space="preserve">across </w:t>
      </w:r>
      <w:r w:rsidRPr="00623753">
        <w:t>Post</w:t>
      </w:r>
      <w:r w:rsidR="005F7AEE">
        <w:t>s</w:t>
      </w:r>
      <w:r w:rsidRPr="00623753">
        <w:t xml:space="preserve"> about the value of </w:t>
      </w:r>
      <w:r>
        <w:t xml:space="preserve">Palladium’s </w:t>
      </w:r>
      <w:r w:rsidRPr="00623753">
        <w:t xml:space="preserve">communication products </w:t>
      </w:r>
      <w:r>
        <w:t>in assisting them to undertake promotions work and public diplomacy</w:t>
      </w:r>
      <w:r w:rsidR="005F7AEE">
        <w:t xml:space="preserve">. </w:t>
      </w:r>
      <w:r w:rsidR="001A3015">
        <w:t xml:space="preserve">Two of the </w:t>
      </w:r>
      <w:r w:rsidR="005F7AEE">
        <w:t xml:space="preserve">Posts </w:t>
      </w:r>
      <w:r w:rsidR="001A3015">
        <w:t xml:space="preserve">consulted </w:t>
      </w:r>
      <w:r w:rsidR="005F7AEE">
        <w:t xml:space="preserve">were satisfied with the content of communications products, but most noted </w:t>
      </w:r>
      <w:r w:rsidR="00AE4762">
        <w:t xml:space="preserve">that </w:t>
      </w:r>
      <w:r w:rsidR="005F7AEE">
        <w:t>country specific</w:t>
      </w:r>
      <w:r w:rsidR="001A3015">
        <w:t xml:space="preserve"> </w:t>
      </w:r>
      <w:r w:rsidR="005F7AEE">
        <w:t xml:space="preserve">content is more valuable than content regarding scholars or alumni from other African </w:t>
      </w:r>
      <w:r w:rsidR="005F7AEE">
        <w:lastRenderedPageBreak/>
        <w:t>countries.</w:t>
      </w:r>
      <w:r w:rsidR="00DE02BB">
        <w:t xml:space="preserve"> </w:t>
      </w:r>
      <w:r w:rsidRPr="005F7AEE">
        <w:t>Regular discussion</w:t>
      </w:r>
      <w:r w:rsidR="009A1D4E">
        <w:t>s</w:t>
      </w:r>
      <w:r w:rsidRPr="005F7AEE">
        <w:t xml:space="preserve"> within DFAT and with Palladium are required to determine what tailored solutions for communications products can be adequately accommodated within the resources of the contract. This is a discussion best had as part of the annual planning process</w:t>
      </w:r>
      <w:r w:rsidR="005F7AEE">
        <w:t>, as there are r</w:t>
      </w:r>
      <w:r w:rsidR="007900C7" w:rsidRPr="005F7AEE">
        <w:t xml:space="preserve">esource implications </w:t>
      </w:r>
      <w:r w:rsidR="005F7AEE">
        <w:t xml:space="preserve">for developing </w:t>
      </w:r>
      <w:r w:rsidR="007900C7" w:rsidRPr="005F7AEE">
        <w:t>country specific communications content.</w:t>
      </w:r>
    </w:p>
    <w:p w14:paraId="7EB16E42" w14:textId="77777777" w:rsidR="009D56F8" w:rsidRPr="002A0098" w:rsidRDefault="009D56F8" w:rsidP="009D56F8">
      <w:pPr>
        <w:spacing w:after="0"/>
      </w:pPr>
      <w:r>
        <w:t xml:space="preserve">Posts acknowledged the support provided by Palladium to facilitate public diplomacy events and </w:t>
      </w:r>
      <w:r w:rsidR="002A0098">
        <w:t xml:space="preserve">alumni engagement. </w:t>
      </w:r>
      <w:r>
        <w:t>As mentioned earlier, Posts undertake a range of alumni engagement/</w:t>
      </w:r>
      <w:r w:rsidRPr="00623753">
        <w:t xml:space="preserve">public diplomacy </w:t>
      </w:r>
      <w:r>
        <w:t xml:space="preserve">events without Palladium </w:t>
      </w:r>
      <w:r w:rsidRPr="00623753">
        <w:t xml:space="preserve">support </w:t>
      </w:r>
      <w:r>
        <w:t xml:space="preserve">as a normal part of doing business. </w:t>
      </w:r>
      <w:proofErr w:type="gramStart"/>
      <w:r>
        <w:t>In order to</w:t>
      </w:r>
      <w:proofErr w:type="gramEnd"/>
      <w:r>
        <w:t xml:space="preserve"> do this effectively, Posts require accurate, up-to-date information regarding alumni. Some Posts are managing this well, others require support from Palladium in this area</w:t>
      </w:r>
      <w:r w:rsidR="002A0098">
        <w:t xml:space="preserve">. As noted earlier, </w:t>
      </w:r>
      <w:r w:rsidR="00E613C6" w:rsidRPr="002A0098">
        <w:t>reaching out to non-A</w:t>
      </w:r>
      <w:r w:rsidR="002A0098">
        <w:t xml:space="preserve">ustralia Award </w:t>
      </w:r>
      <w:r w:rsidR="00E613C6" w:rsidRPr="002A0098">
        <w:t xml:space="preserve">alumni </w:t>
      </w:r>
      <w:r w:rsidR="002A0098">
        <w:t xml:space="preserve">is </w:t>
      </w:r>
      <w:r w:rsidR="00E613C6" w:rsidRPr="002A0098">
        <w:t>an ongoing challenge</w:t>
      </w:r>
      <w:r w:rsidR="002A0098">
        <w:t xml:space="preserve"> that </w:t>
      </w:r>
      <w:proofErr w:type="gramStart"/>
      <w:r w:rsidR="002A0098">
        <w:t>Posts</w:t>
      </w:r>
      <w:proofErr w:type="gramEnd"/>
      <w:r w:rsidR="002A0098">
        <w:t xml:space="preserve"> and Palladium are trying to address in collaboration with Alumni Associations. </w:t>
      </w:r>
      <w:r w:rsidRPr="002A0098">
        <w:t xml:space="preserve"> </w:t>
      </w:r>
    </w:p>
    <w:p w14:paraId="77DFD6BB" w14:textId="77777777" w:rsidR="009D56F8" w:rsidRDefault="009D56F8" w:rsidP="009D56F8">
      <w:r>
        <w:t>Scholarships are a process driven aid modality</w:t>
      </w:r>
      <w:r w:rsidR="00B54E95">
        <w:t>,</w:t>
      </w:r>
      <w:r>
        <w:t xml:space="preserve"> with the benefit of the annual planning process enabling key tasks and dates/time periods to be specified well in advance. Notwithstanding unforeseeable events disrupting the schedule, this should be a smooth cycle with good information available to Posts to allow for appropriate planning. However, the evaluation heard examples of Post staff not being informed of what they perceive to be key dates and/or decisions made by the </w:t>
      </w:r>
      <w:r w:rsidR="00B54E95">
        <w:t xml:space="preserve">Africa Branch </w:t>
      </w:r>
      <w:r>
        <w:t xml:space="preserve">and/or Palladium. Notwithstanding the pressure on time noted by DFAT staff in Canberra and Posts, more structured and regular methods of information sharing are warranted.  This may go some way to allaying the challenges felt at Post and supporting a stronger, more coordinated program management system across DFAT and Palladium.  </w:t>
      </w:r>
    </w:p>
    <w:p w14:paraId="613DAE68" w14:textId="77777777" w:rsidR="00FB78D3" w:rsidRPr="007C143B" w:rsidRDefault="00FB78D3" w:rsidP="00FB78D3">
      <w:pPr>
        <w:rPr>
          <w:rStyle w:val="Strong"/>
        </w:rPr>
      </w:pPr>
      <w:r w:rsidRPr="007C143B">
        <w:rPr>
          <w:rStyle w:val="Strong"/>
        </w:rPr>
        <w:t xml:space="preserve">Findings </w:t>
      </w:r>
      <w:r w:rsidRPr="007C143B">
        <w:rPr>
          <w:rStyle w:val="Strong"/>
        </w:rPr>
        <w:tab/>
      </w:r>
    </w:p>
    <w:p w14:paraId="1658A9F8" w14:textId="6B955A7D" w:rsidR="009D56F8" w:rsidRPr="00947F66" w:rsidRDefault="009D56F8" w:rsidP="00947F66">
      <w:pPr>
        <w:pStyle w:val="Bullet"/>
      </w:pPr>
      <w:r w:rsidRPr="00947F66">
        <w:t>For the most part Palladium’s engagement with Post</w:t>
      </w:r>
      <w:r w:rsidR="00777F6F">
        <w:t>s</w:t>
      </w:r>
      <w:r w:rsidRPr="00947F66">
        <w:t xml:space="preserve"> is </w:t>
      </w:r>
      <w:r w:rsidR="00177A67">
        <w:t>highly valued</w:t>
      </w:r>
      <w:r w:rsidRPr="00947F66">
        <w:t>, with many noting the support provided by Palladium alleviates the administrative burden of tasks such as managing selections process</w:t>
      </w:r>
      <w:r w:rsidR="00947F66" w:rsidRPr="00947F66">
        <w:t>es</w:t>
      </w:r>
      <w:r w:rsidRPr="00947F66">
        <w:t xml:space="preserve"> and alumni small grants. </w:t>
      </w:r>
    </w:p>
    <w:p w14:paraId="627D4EEE" w14:textId="77777777" w:rsidR="009D56F8" w:rsidRPr="00947F66" w:rsidRDefault="009D56F8" w:rsidP="00947F66">
      <w:pPr>
        <w:pStyle w:val="Bullet"/>
      </w:pPr>
      <w:r w:rsidRPr="00947F66">
        <w:t xml:space="preserve">The evaluation heard </w:t>
      </w:r>
      <w:r w:rsidR="00AE4762">
        <w:t xml:space="preserve">that </w:t>
      </w:r>
      <w:r w:rsidRPr="00947F66">
        <w:t>different Posts want different levels of engagement with</w:t>
      </w:r>
      <w:r w:rsidR="00AE4762">
        <w:t>,</w:t>
      </w:r>
      <w:r w:rsidRPr="00947F66">
        <w:t xml:space="preserve"> and support from</w:t>
      </w:r>
      <w:r w:rsidR="00AE4762">
        <w:t>,</w:t>
      </w:r>
      <w:r w:rsidRPr="00947F66">
        <w:t xml:space="preserve"> Palladium on various aspects of the program. The largest variances across </w:t>
      </w:r>
      <w:proofErr w:type="gramStart"/>
      <w:r w:rsidRPr="00947F66">
        <w:t>Posts</w:t>
      </w:r>
      <w:proofErr w:type="gramEnd"/>
      <w:r w:rsidRPr="00947F66">
        <w:t xml:space="preserve"> expectations relate to communications and public diplomacy support required from Palladium, and the level of detail and </w:t>
      </w:r>
      <w:r w:rsidR="00947F66" w:rsidRPr="00947F66">
        <w:t>notice</w:t>
      </w:r>
      <w:r w:rsidRPr="00947F66">
        <w:t xml:space="preserve"> required for activities scheduled in the annual work plan. </w:t>
      </w:r>
    </w:p>
    <w:p w14:paraId="7C49F75E" w14:textId="77777777" w:rsidR="009D56F8" w:rsidRPr="00947F66" w:rsidRDefault="009D56F8" w:rsidP="00947F66">
      <w:pPr>
        <w:pStyle w:val="Bullet"/>
      </w:pPr>
      <w:r w:rsidRPr="00947F66">
        <w:t xml:space="preserve">Meeting these varied expectations requires strong planning processes, coordinated communication between Desk, Post and Palladium, and clear decision-making accountabilities. </w:t>
      </w:r>
    </w:p>
    <w:p w14:paraId="3CA3DB77" w14:textId="77777777" w:rsidR="00FB78D3" w:rsidRDefault="00FB78D3" w:rsidP="00FB78D3">
      <w:pPr>
        <w:pStyle w:val="RecommendationName"/>
      </w:pPr>
      <w:r>
        <w:t>R</w:t>
      </w:r>
      <w:r w:rsidRPr="00E86468">
        <w:t>ecommendations</w:t>
      </w:r>
      <w:r w:rsidRPr="00E86468">
        <w:tab/>
      </w:r>
    </w:p>
    <w:p w14:paraId="75274A0E" w14:textId="2B9CFDB0" w:rsidR="007C19FC" w:rsidRDefault="00B055E8" w:rsidP="00100B1F">
      <w:pPr>
        <w:pStyle w:val="RecommendationText"/>
      </w:pPr>
      <w:r>
        <w:rPr>
          <w:lang w:eastAsia="en-NZ"/>
        </w:rPr>
        <w:t xml:space="preserve">DFAT and Palladium use the annual planning process to </w:t>
      </w:r>
      <w:proofErr w:type="gramStart"/>
      <w:r>
        <w:rPr>
          <w:lang w:eastAsia="en-NZ"/>
        </w:rPr>
        <w:t>clarify:</w:t>
      </w:r>
      <w:proofErr w:type="gramEnd"/>
      <w:r>
        <w:rPr>
          <w:lang w:eastAsia="en-NZ"/>
        </w:rPr>
        <w:t xml:space="preserve"> timing and content of specific communications products to be developed for each Post (in conjunction with the promotions plans); level of assistance required for each Post to maintain </w:t>
      </w:r>
      <w:r>
        <w:rPr>
          <w:lang w:val="en-NZ" w:eastAsia="en-NZ"/>
        </w:rPr>
        <w:t xml:space="preserve">any </w:t>
      </w:r>
      <w:r>
        <w:rPr>
          <w:lang w:eastAsia="en-NZ"/>
        </w:rPr>
        <w:t xml:space="preserve">alumni contact </w:t>
      </w:r>
      <w:r>
        <w:rPr>
          <w:lang w:val="en-NZ" w:eastAsia="en-NZ"/>
        </w:rPr>
        <w:t>register</w:t>
      </w:r>
      <w:r>
        <w:rPr>
          <w:lang w:eastAsia="en-NZ"/>
        </w:rPr>
        <w:t>; and, other issues as raised by Post with the Africa Branch</w:t>
      </w:r>
      <w:r w:rsidR="009D56F8">
        <w:t xml:space="preserve">. </w:t>
      </w:r>
      <w:r w:rsidR="00566495">
        <w:t xml:space="preserve"> </w:t>
      </w:r>
    </w:p>
    <w:p w14:paraId="7F50F584" w14:textId="77777777" w:rsidR="000D6B89" w:rsidRDefault="000D6B89" w:rsidP="00065412">
      <w:pPr>
        <w:pStyle w:val="Heading2"/>
      </w:pPr>
      <w:bookmarkStart w:id="29" w:name="_Toc1729523"/>
      <w:r w:rsidRPr="0035638C">
        <w:t>Relevance and alignment with new policy and aid priorities</w:t>
      </w:r>
      <w:bookmarkEnd w:id="29"/>
    </w:p>
    <w:p w14:paraId="5FE7C1A9" w14:textId="77777777" w:rsidR="000D6B89" w:rsidRDefault="000D6B89" w:rsidP="00065412">
      <w:pPr>
        <w:pStyle w:val="Heading3"/>
      </w:pPr>
      <w:r w:rsidRPr="001B2A8C">
        <w:t xml:space="preserve">Is the </w:t>
      </w:r>
      <w:r w:rsidR="00B915F5">
        <w:t>Australia Awards in Africa</w:t>
      </w:r>
      <w:r w:rsidRPr="001B2A8C">
        <w:t xml:space="preserve"> design and M&amp;E framework fit-for-purpose and targeting the right outcomes and modalities to best support achievement of the Foreign Policy White Paper priorities?</w:t>
      </w:r>
    </w:p>
    <w:p w14:paraId="58FD6236" w14:textId="50C52A13" w:rsidR="00CA12F9" w:rsidRDefault="007259A9" w:rsidP="00CA12F9">
      <w:r>
        <w:t xml:space="preserve">The </w:t>
      </w:r>
      <w:r w:rsidR="00B915F5">
        <w:t>Australia Awards in Africa</w:t>
      </w:r>
      <w:r>
        <w:t xml:space="preserve"> design preceded the Australia Awards Global Strategy (currently under evaluation) and Australia’s Global Alumni Engagement Strategy. Flexibility in implementation arrangements have resulted in the </w:t>
      </w:r>
      <w:r w:rsidR="00B157BE">
        <w:t xml:space="preserve">Africa Branch </w:t>
      </w:r>
      <w:r>
        <w:t xml:space="preserve">and Palladium working together to ensure consistency with the necessary global strategies, </w:t>
      </w:r>
      <w:proofErr w:type="gramStart"/>
      <w:r>
        <w:t>policies</w:t>
      </w:r>
      <w:proofErr w:type="gramEnd"/>
      <w:r>
        <w:t xml:space="preserve"> and branding requirements. </w:t>
      </w:r>
      <w:r w:rsidR="00CA12F9">
        <w:t xml:space="preserve">However, </w:t>
      </w:r>
      <w:r w:rsidR="00CA12F9">
        <w:lastRenderedPageBreak/>
        <w:t xml:space="preserve">Outcome 2 (targeted African countries view Australia as a valued partner) </w:t>
      </w:r>
      <w:r w:rsidR="004113C3">
        <w:t xml:space="preserve">has a different emphasis to the </w:t>
      </w:r>
      <w:r w:rsidR="00CA12F9">
        <w:t>comparable global outcome</w:t>
      </w:r>
      <w:r w:rsidR="004113C3">
        <w:t xml:space="preserve"> (</w:t>
      </w:r>
      <w:r w:rsidR="004113C3">
        <w:rPr>
          <w:lang w:val="en-NZ"/>
        </w:rPr>
        <w:t xml:space="preserve">Alumni view Australia, </w:t>
      </w:r>
      <w:proofErr w:type="gramStart"/>
      <w:r w:rsidR="004113C3">
        <w:rPr>
          <w:lang w:val="en-NZ"/>
        </w:rPr>
        <w:t>Australian</w:t>
      </w:r>
      <w:r w:rsidR="00AE4762">
        <w:rPr>
          <w:lang w:val="en-NZ"/>
        </w:rPr>
        <w:t>s</w:t>
      </w:r>
      <w:proofErr w:type="gramEnd"/>
      <w:r w:rsidR="004113C3">
        <w:rPr>
          <w:lang w:val="en-NZ"/>
        </w:rPr>
        <w:t xml:space="preserve"> and Australian expertise positively) </w:t>
      </w:r>
      <w:r w:rsidR="00CA12F9">
        <w:t xml:space="preserve">and is proving difficult for DFAT and Palladium to appropriately measure. It is suggested the wording and measurement of this outcome be changed to </w:t>
      </w:r>
      <w:proofErr w:type="gramStart"/>
      <w:r w:rsidR="00CA12F9">
        <w:t xml:space="preserve">more directly align with </w:t>
      </w:r>
      <w:r w:rsidR="0030654F">
        <w:t>g</w:t>
      </w:r>
      <w:r w:rsidR="00CA12F9">
        <w:t xml:space="preserve">lobal Awards </w:t>
      </w:r>
      <w:r w:rsidR="0030654F">
        <w:t>policy</w:t>
      </w:r>
      <w:proofErr w:type="gramEnd"/>
      <w:r w:rsidR="0030654F">
        <w:t>.</w:t>
      </w:r>
      <w:r w:rsidR="00CA12F9">
        <w:t xml:space="preserve"> </w:t>
      </w:r>
    </w:p>
    <w:p w14:paraId="0BAD8817" w14:textId="2C482C46" w:rsidR="00646908" w:rsidRPr="00947F66" w:rsidRDefault="00646908" w:rsidP="00646908">
      <w:r>
        <w:t xml:space="preserve">Australia Awards in Africa is well positioned to contribute to Australia’s aim of </w:t>
      </w:r>
      <w:r w:rsidRPr="008F321C">
        <w:t>working to expand</w:t>
      </w:r>
      <w:r>
        <w:t xml:space="preserve"> </w:t>
      </w:r>
      <w:r w:rsidRPr="00D00996">
        <w:t>and diversify commercial links with Africa</w:t>
      </w:r>
      <w:r>
        <w:t xml:space="preserve"> (as per the Foreign Policy White Paper). The short course modality is likely to be particularly beneficial in this regard</w:t>
      </w:r>
      <w:r w:rsidR="00743DE0">
        <w:t xml:space="preserve"> </w:t>
      </w:r>
      <w:r w:rsidR="00D2616A">
        <w:t>because of the potential to expose private sector participants to counterparts in equivalent Australian business / industries as part of the in-Australia component</w:t>
      </w:r>
      <w:r>
        <w:t xml:space="preserve">. The </w:t>
      </w:r>
      <w:r w:rsidRPr="00947F66">
        <w:t xml:space="preserve">Australia Awards Linkages Framework (under development) to connect </w:t>
      </w:r>
      <w:r w:rsidR="00AB7FF1">
        <w:t>scholar</w:t>
      </w:r>
      <w:r w:rsidRPr="00947F66">
        <w:t>s to Australian leaders in the private sector and government is an important contextual factor in future implementation of Australia Awards in Africa.</w:t>
      </w:r>
    </w:p>
    <w:p w14:paraId="1B4A7EFF" w14:textId="0751C6E2" w:rsidR="00947F66" w:rsidRDefault="00947F66" w:rsidP="00947F66">
      <w:r>
        <w:t xml:space="preserve">As discussed in section </w:t>
      </w:r>
      <w:r w:rsidR="001D2F5C">
        <w:t>3.1</w:t>
      </w:r>
      <w:r>
        <w:t xml:space="preserve">, there is a lack of clear objectives for </w:t>
      </w:r>
      <w:r w:rsidRPr="00BA2A6B">
        <w:t>private sector engagement</w:t>
      </w:r>
      <w:r>
        <w:t xml:space="preserve">. Palladium’s annual work plans and annual reports contain some examples of where </w:t>
      </w:r>
      <w:r w:rsidR="00AB7FF1">
        <w:t>scholar</w:t>
      </w:r>
      <w:r>
        <w:t xml:space="preserve">s working in the private sector are contributing to development outcomes in their </w:t>
      </w:r>
      <w:r w:rsidRPr="002A03B6">
        <w:t xml:space="preserve">countries. However, the work plans and reports do not give an indication of the program’s overall approach to private sector engagement. </w:t>
      </w:r>
      <w:r>
        <w:t>Australia Awards in Africa</w:t>
      </w:r>
      <w:r w:rsidRPr="002A03B6">
        <w:t xml:space="preserve"> does not currently have results statements or indicators that are linked to private sector engagement.  </w:t>
      </w:r>
    </w:p>
    <w:p w14:paraId="13F6CFA9" w14:textId="6C520E8E" w:rsidR="007259A9" w:rsidRDefault="006E74D2" w:rsidP="00947F66">
      <w:pPr>
        <w:pStyle w:val="NormalBeforeBullet"/>
      </w:pPr>
      <w:r>
        <w:t xml:space="preserve">The </w:t>
      </w:r>
      <w:r w:rsidR="00085750">
        <w:t xml:space="preserve">evaluation notes the </w:t>
      </w:r>
      <w:r>
        <w:t xml:space="preserve">following </w:t>
      </w:r>
      <w:r w:rsidR="007259A9">
        <w:t xml:space="preserve">considerations </w:t>
      </w:r>
      <w:r>
        <w:t xml:space="preserve">for </w:t>
      </w:r>
      <w:r w:rsidR="007259A9">
        <w:t xml:space="preserve">a new phase of </w:t>
      </w:r>
      <w:r w:rsidR="00B915F5">
        <w:t>Australia Awards in</w:t>
      </w:r>
      <w:r w:rsidR="00947F66">
        <w:t xml:space="preserve"> </w:t>
      </w:r>
      <w:r w:rsidR="00B915F5">
        <w:t>Africa</w:t>
      </w:r>
      <w:r w:rsidR="007259A9">
        <w:t>:</w:t>
      </w:r>
    </w:p>
    <w:p w14:paraId="7E8943C2" w14:textId="281A3BD5" w:rsidR="007259A9" w:rsidRPr="00D2616A" w:rsidRDefault="007259A9" w:rsidP="00D2616A">
      <w:pPr>
        <w:pStyle w:val="Bullet"/>
      </w:pPr>
      <w:r w:rsidRPr="00D2616A">
        <w:t xml:space="preserve">What criteria should be used to determine participation of African countries in Australia Awards. </w:t>
      </w:r>
      <w:r w:rsidR="008C3DA5">
        <w:t>Some criteria suggested by Posts are included at Appendix H.</w:t>
      </w:r>
    </w:p>
    <w:p w14:paraId="72F9609C" w14:textId="3B4CB594" w:rsidR="007259A9" w:rsidRPr="00D2616A" w:rsidRDefault="007259A9" w:rsidP="00D2616A">
      <w:pPr>
        <w:pStyle w:val="Bullet"/>
      </w:pPr>
      <w:r w:rsidRPr="00D2616A">
        <w:t xml:space="preserve">What are appropriate objectives for private sector engagement/development: Palladium’s annual work plans and annual reports contain some examples of where </w:t>
      </w:r>
      <w:r w:rsidR="00AB7FF1">
        <w:t>scholar</w:t>
      </w:r>
      <w:r w:rsidRPr="00D2616A">
        <w:t xml:space="preserve">s working in the private sector are contributing to development outcomes in their countries. However, the work plans and reports do not give an indication of the program’s overall approach to private sector engagement. </w:t>
      </w:r>
      <w:r w:rsidR="00B915F5" w:rsidRPr="00D2616A">
        <w:t>Australia Awards in Africa</w:t>
      </w:r>
      <w:r w:rsidRPr="00D2616A">
        <w:t xml:space="preserve"> does not currently have results statements or indicators that are linked to private sector engagement</w:t>
      </w:r>
      <w:r w:rsidR="00D2616A" w:rsidRPr="00D2616A">
        <w:t>.</w:t>
      </w:r>
    </w:p>
    <w:p w14:paraId="63FC39AE" w14:textId="77777777" w:rsidR="007259A9" w:rsidRPr="00D2616A" w:rsidRDefault="007259A9" w:rsidP="00D2616A">
      <w:pPr>
        <w:pStyle w:val="Bullet"/>
      </w:pPr>
      <w:r w:rsidRPr="00D2616A">
        <w:t xml:space="preserve">Which piloted approaches should be continued: the </w:t>
      </w:r>
      <w:r w:rsidR="00B915F5" w:rsidRPr="00D2616A">
        <w:t>Australia Awards in Africa</w:t>
      </w:r>
      <w:r w:rsidRPr="00D2616A">
        <w:t xml:space="preserve"> design included two pilot activities (private sector and flexible learning) neither of which have progressed beyond the pilot stage. On the other hand, the </w:t>
      </w:r>
      <w:r w:rsidR="001712C6" w:rsidRPr="00D2616A">
        <w:t>postdoctoral</w:t>
      </w:r>
      <w:r w:rsidRPr="00D2616A">
        <w:t xml:space="preserve"> fellowships pilot is showing promise as a low-cost mechanism for supporting </w:t>
      </w:r>
      <w:r w:rsidR="001712C6" w:rsidRPr="00D2616A">
        <w:t>postdoctoral</w:t>
      </w:r>
      <w:r w:rsidRPr="00D2616A">
        <w:t xml:space="preserve"> research.</w:t>
      </w:r>
    </w:p>
    <w:p w14:paraId="5E3DAF89" w14:textId="77777777" w:rsidR="007259A9" w:rsidRPr="00D2616A" w:rsidRDefault="007259A9" w:rsidP="00D2616A">
      <w:pPr>
        <w:pStyle w:val="Bullet"/>
      </w:pPr>
      <w:r w:rsidRPr="00D2616A">
        <w:t>Enhanced alumni engagement</w:t>
      </w:r>
      <w:r w:rsidR="00D2616A" w:rsidRPr="00D2616A">
        <w:t xml:space="preserve"> beyond Australia Awards alumni to </w:t>
      </w:r>
      <w:proofErr w:type="gramStart"/>
      <w:r w:rsidR="00D2616A" w:rsidRPr="00D2616A">
        <w:t>full-fee</w:t>
      </w:r>
      <w:proofErr w:type="gramEnd"/>
      <w:r w:rsidR="00D2616A" w:rsidRPr="00D2616A">
        <w:t xml:space="preserve"> paying students</w:t>
      </w:r>
      <w:r w:rsidRPr="00D2616A">
        <w:t>.</w:t>
      </w:r>
    </w:p>
    <w:p w14:paraId="7F84071D" w14:textId="6BAB87AC" w:rsidR="00183274" w:rsidRPr="00D2616A" w:rsidRDefault="00D2616A" w:rsidP="00D34C18">
      <w:pPr>
        <w:pStyle w:val="BulletLast"/>
      </w:pPr>
      <w:r w:rsidRPr="00D2616A">
        <w:t xml:space="preserve">Opportunities to move </w:t>
      </w:r>
      <w:r w:rsidR="00183274" w:rsidRPr="00D2616A">
        <w:t xml:space="preserve">Australia Awards in Africa </w:t>
      </w:r>
      <w:r w:rsidRPr="00D2616A">
        <w:t xml:space="preserve">from </w:t>
      </w:r>
      <w:r w:rsidR="00183274" w:rsidRPr="00D2616A">
        <w:t xml:space="preserve">individual capacity development </w:t>
      </w:r>
      <w:r w:rsidRPr="00D2616A">
        <w:t xml:space="preserve">to include </w:t>
      </w:r>
      <w:r w:rsidR="00183274" w:rsidRPr="00D2616A">
        <w:t>organisational capacity development level (</w:t>
      </w:r>
      <w:r w:rsidRPr="00D2616A">
        <w:t xml:space="preserve">for example, </w:t>
      </w:r>
      <w:r w:rsidR="00183274" w:rsidRPr="00D2616A">
        <w:t>research capacity development in Universities). This is beyond the scope, and financial approval</w:t>
      </w:r>
      <w:r w:rsidR="00183274" w:rsidRPr="00FF7552">
        <w:rPr>
          <w:rStyle w:val="FootnoteReference"/>
        </w:rPr>
        <w:footnoteReference w:id="51"/>
      </w:r>
      <w:r w:rsidR="00183274" w:rsidRPr="00D2616A">
        <w:t xml:space="preserve">, of Australia Awards in Africa </w:t>
      </w:r>
      <w:proofErr w:type="gramStart"/>
      <w:r w:rsidR="00183274" w:rsidRPr="00D2616A">
        <w:t>at this time</w:t>
      </w:r>
      <w:proofErr w:type="gramEnd"/>
      <w:r w:rsidR="00183274" w:rsidRPr="00D2616A">
        <w:t xml:space="preserve"> but warrants further consideration in the next design.  </w:t>
      </w:r>
    </w:p>
    <w:p w14:paraId="0711D667" w14:textId="77777777" w:rsidR="00FB78D3" w:rsidRPr="007C143B" w:rsidRDefault="00FB78D3" w:rsidP="00FB78D3">
      <w:pPr>
        <w:rPr>
          <w:rStyle w:val="Strong"/>
        </w:rPr>
      </w:pPr>
      <w:r w:rsidRPr="007C143B">
        <w:rPr>
          <w:rStyle w:val="Strong"/>
        </w:rPr>
        <w:t xml:space="preserve">Findings </w:t>
      </w:r>
      <w:r w:rsidRPr="007C143B">
        <w:rPr>
          <w:rStyle w:val="Strong"/>
        </w:rPr>
        <w:tab/>
      </w:r>
    </w:p>
    <w:p w14:paraId="525AF26D" w14:textId="77777777" w:rsidR="007259A9" w:rsidRPr="00947F66" w:rsidRDefault="00280DDC" w:rsidP="00947F66">
      <w:pPr>
        <w:pStyle w:val="Bullet"/>
      </w:pPr>
      <w:r>
        <w:t>DFAT’s Africa Branch</w:t>
      </w:r>
      <w:r w:rsidR="007259A9" w:rsidRPr="00947F66">
        <w:t xml:space="preserve"> and Palladium have demonstrated an ability to adapt the implementation of the design to fit the current strategic and practical realities of Australia’s aid program in Africa. It is timely to update </w:t>
      </w:r>
      <w:r w:rsidR="00AE4762">
        <w:t>O</w:t>
      </w:r>
      <w:r w:rsidR="007259A9" w:rsidRPr="00947F66">
        <w:t>utcome 2 to bring it in line with the relevant global strategies and allow both DFAT and Palladium to better measure the outcomes.</w:t>
      </w:r>
    </w:p>
    <w:p w14:paraId="0613249B" w14:textId="77777777" w:rsidR="007259A9" w:rsidRPr="00947F66" w:rsidRDefault="007259A9" w:rsidP="00947F66">
      <w:pPr>
        <w:pStyle w:val="Bullet"/>
      </w:pPr>
      <w:r w:rsidRPr="00947F66">
        <w:t xml:space="preserve">The mix of </w:t>
      </w:r>
      <w:r w:rsidR="00947F66">
        <w:t xml:space="preserve">Australia Awards scholarships </w:t>
      </w:r>
      <w:r w:rsidRPr="00947F66">
        <w:t>and short course</w:t>
      </w:r>
      <w:r w:rsidR="00947F66">
        <w:t>s</w:t>
      </w:r>
      <w:r w:rsidR="00280DDC">
        <w:t xml:space="preserve"> appears </w:t>
      </w:r>
      <w:r w:rsidRPr="00947F66">
        <w:t xml:space="preserve">sound for developing a cadre of alumni that fit with the intentions of the Foreign Policy White Paper.  </w:t>
      </w:r>
    </w:p>
    <w:p w14:paraId="276FFC17" w14:textId="77777777" w:rsidR="007259A9" w:rsidRPr="00947F66" w:rsidRDefault="007259A9" w:rsidP="00947F66">
      <w:pPr>
        <w:pStyle w:val="Bullet"/>
      </w:pPr>
      <w:r w:rsidRPr="00947F66">
        <w:lastRenderedPageBreak/>
        <w:t xml:space="preserve">It is timely to consider the investment design process for </w:t>
      </w:r>
      <w:r w:rsidR="00B915F5" w:rsidRPr="00947F66">
        <w:t>Australia Awards in Africa</w:t>
      </w:r>
      <w:r w:rsidRPr="00947F66">
        <w:t xml:space="preserve"> post-completion of the current design in 2020.</w:t>
      </w:r>
    </w:p>
    <w:p w14:paraId="0E26D786" w14:textId="77777777" w:rsidR="00FB78D3" w:rsidRDefault="00FB78D3" w:rsidP="00FB78D3">
      <w:pPr>
        <w:pStyle w:val="RecommendationName"/>
      </w:pPr>
      <w:r>
        <w:t>R</w:t>
      </w:r>
      <w:r w:rsidRPr="00E86468">
        <w:t>ecommendations</w:t>
      </w:r>
      <w:r w:rsidRPr="00E86468">
        <w:tab/>
      </w:r>
    </w:p>
    <w:p w14:paraId="0326E901" w14:textId="322F1153" w:rsidR="006E4CE2" w:rsidRDefault="007259A9" w:rsidP="007534CB">
      <w:pPr>
        <w:pStyle w:val="RecommendationText"/>
      </w:pPr>
      <w:r>
        <w:t xml:space="preserve">Amend the </w:t>
      </w:r>
      <w:r w:rsidR="00AE4762">
        <w:t>O</w:t>
      </w:r>
      <w:r>
        <w:t>utcome 2</w:t>
      </w:r>
      <w:r w:rsidR="004113C3">
        <w:t xml:space="preserve"> wording to read ‘</w:t>
      </w:r>
      <w:r w:rsidR="004113C3">
        <w:rPr>
          <w:lang w:val="en-NZ"/>
        </w:rPr>
        <w:t>Alumni view Australia, Australian</w:t>
      </w:r>
      <w:r w:rsidR="00AE4762">
        <w:rPr>
          <w:lang w:val="en-NZ"/>
        </w:rPr>
        <w:t>s</w:t>
      </w:r>
      <w:r w:rsidR="004113C3">
        <w:rPr>
          <w:lang w:val="en-NZ"/>
        </w:rPr>
        <w:t xml:space="preserve"> and Australian expertise positively’. </w:t>
      </w:r>
    </w:p>
    <w:p w14:paraId="06C57D1F" w14:textId="1E2D5D95" w:rsidR="007259A9" w:rsidRDefault="00B055E8" w:rsidP="007534CB">
      <w:pPr>
        <w:pStyle w:val="RecommendationText"/>
      </w:pPr>
      <w:r>
        <w:rPr>
          <w:lang w:eastAsia="en-NZ"/>
        </w:rPr>
        <w:t>DFAT to use the option in the Scope of Services Agreement with the managing contactor to extend the end date of the contract by two years, from 31 March 2020 to 31 March 2022</w:t>
      </w:r>
      <w:r w:rsidR="00F467CA">
        <w:t>.</w:t>
      </w:r>
      <w:r w:rsidR="007259A9">
        <w:t xml:space="preserve"> </w:t>
      </w:r>
    </w:p>
    <w:p w14:paraId="615DB2C1" w14:textId="77777777" w:rsidR="003855DA" w:rsidRDefault="003855DA" w:rsidP="00065412">
      <w:pPr>
        <w:pStyle w:val="Heading2"/>
      </w:pPr>
      <w:bookmarkStart w:id="30" w:name="_Toc1729524"/>
      <w:r>
        <w:t>Gender equality and social inclusion</w:t>
      </w:r>
      <w:bookmarkEnd w:id="30"/>
    </w:p>
    <w:p w14:paraId="629F7230" w14:textId="6633E830" w:rsidR="0012105F" w:rsidRDefault="00D43A38" w:rsidP="006E4CE2">
      <w:r>
        <w:t xml:space="preserve">Australia Awards in Africa’s gender equality and social </w:t>
      </w:r>
      <w:r w:rsidR="00A2700A">
        <w:t>inclusion</w:t>
      </w:r>
      <w:r>
        <w:t xml:space="preserve"> (GESI) agenda is two-fold: (</w:t>
      </w:r>
      <w:proofErr w:type="spellStart"/>
      <w:r>
        <w:t>i</w:t>
      </w:r>
      <w:proofErr w:type="spellEnd"/>
      <w:r>
        <w:t xml:space="preserve">) ensuring adjustment support is given to those who need it at all stages of </w:t>
      </w:r>
      <w:r w:rsidR="00C6100C">
        <w:t xml:space="preserve">the </w:t>
      </w:r>
      <w:r>
        <w:t xml:space="preserve">cycle, and (ii) ensuring GESI is seen as </w:t>
      </w:r>
      <w:r w:rsidR="009A1D4E">
        <w:t xml:space="preserve">a </w:t>
      </w:r>
      <w:r>
        <w:t xml:space="preserve">development issue that requires </w:t>
      </w:r>
      <w:r w:rsidR="00A2700A">
        <w:t xml:space="preserve">everyone’s </w:t>
      </w:r>
      <w:r>
        <w:t>attention.</w:t>
      </w:r>
    </w:p>
    <w:p w14:paraId="19EC956C" w14:textId="5FFBFDD0" w:rsidR="001966C1" w:rsidRDefault="00252A2A" w:rsidP="001966C1">
      <w:r w:rsidRPr="006063AA">
        <w:rPr>
          <w:rFonts w:eastAsia="Calibri"/>
        </w:rPr>
        <w:t>A</w:t>
      </w:r>
      <w:r>
        <w:rPr>
          <w:rFonts w:eastAsia="Calibri"/>
        </w:rPr>
        <w:t xml:space="preserve">n </w:t>
      </w:r>
      <w:r w:rsidRPr="006063AA">
        <w:rPr>
          <w:rFonts w:eastAsia="Calibri"/>
        </w:rPr>
        <w:t xml:space="preserve">ongoing challenge for Australia Awards in Africa is to increase the number of applications from eligible female candidates and </w:t>
      </w:r>
      <w:r>
        <w:rPr>
          <w:rFonts w:eastAsia="Calibri"/>
        </w:rPr>
        <w:t>people with disabilities (</w:t>
      </w:r>
      <w:r w:rsidRPr="006063AA">
        <w:rPr>
          <w:rFonts w:eastAsia="Calibri"/>
        </w:rPr>
        <w:t>PWD</w:t>
      </w:r>
      <w:r>
        <w:rPr>
          <w:rFonts w:eastAsia="Calibri"/>
        </w:rPr>
        <w:t>)</w:t>
      </w:r>
      <w:r w:rsidR="00DE02BB">
        <w:rPr>
          <w:rFonts w:eastAsia="Calibri"/>
        </w:rPr>
        <w:t>.</w:t>
      </w:r>
      <w:r>
        <w:rPr>
          <w:rStyle w:val="FootnoteReference"/>
          <w:rFonts w:eastAsia="Calibri"/>
        </w:rPr>
        <w:footnoteReference w:id="52"/>
      </w:r>
      <w:r>
        <w:rPr>
          <w:sz w:val="20"/>
        </w:rPr>
        <w:t xml:space="preserve"> </w:t>
      </w:r>
      <w:r w:rsidR="001966C1">
        <w:t xml:space="preserve">Stakeholders noted various efforts underway to </w:t>
      </w:r>
      <w:r w:rsidR="001966C1" w:rsidRPr="00C96A1A">
        <w:t>specifically target</w:t>
      </w:r>
      <w:r w:rsidR="001966C1">
        <w:t xml:space="preserve"> promotions activities </w:t>
      </w:r>
      <w:r w:rsidR="001966C1" w:rsidRPr="00C96A1A">
        <w:t xml:space="preserve">to </w:t>
      </w:r>
      <w:r w:rsidR="001966C1">
        <w:t xml:space="preserve">increase applications from women and PWD. Alumni networks (including the Alumni Associations and the Women in Leadership network) are proving invaluable to getting word out about opportunities (and support available through Australia Awards in Africa). </w:t>
      </w:r>
      <w:r w:rsidR="001966C1" w:rsidRPr="00701598">
        <w:t xml:space="preserve">Further options </w:t>
      </w:r>
      <w:r w:rsidR="001966C1">
        <w:t xml:space="preserve">may </w:t>
      </w:r>
      <w:r w:rsidR="001966C1" w:rsidRPr="00701598">
        <w:t>include:</w:t>
      </w:r>
      <w:r w:rsidR="001966C1">
        <w:t xml:space="preserve"> </w:t>
      </w:r>
      <w:r w:rsidR="001966C1" w:rsidRPr="00701598">
        <w:t>strengthening women’s and PWD confidence at the interview stage, with the possibility of providing special pre-interview capacity-building sessions for women and PWD to increase confidence and interview skills</w:t>
      </w:r>
      <w:r w:rsidR="001966C1">
        <w:t>; and, Palladium and Posts to consult more closely with disabled people’s organisations to identify opportunities to promote Australia Awards</w:t>
      </w:r>
      <w:r w:rsidR="00235A18">
        <w:t xml:space="preserve"> and capturing those activities in the promotions plans</w:t>
      </w:r>
      <w:r w:rsidR="00986660">
        <w:t xml:space="preserve"> </w:t>
      </w:r>
      <w:r w:rsidR="00C6100C">
        <w:t>(</w:t>
      </w:r>
      <w:r w:rsidR="00071748">
        <w:t>for</w:t>
      </w:r>
      <w:r w:rsidR="00C6100C">
        <w:rPr>
          <w:lang w:val="en-NZ"/>
        </w:rPr>
        <w:t xml:space="preserve"> example, promotions activities that coincide with the International Day of Persons with Disabilities); and, where relevant, include </w:t>
      </w:r>
      <w:r w:rsidR="00C6100C">
        <w:t>national inclusion policy and legislation and/or</w:t>
      </w:r>
      <w:r w:rsidR="004920E2">
        <w:t xml:space="preserve"> PWD as presenters in </w:t>
      </w:r>
      <w:r w:rsidR="00C6100C">
        <w:t xml:space="preserve">short course delivery. </w:t>
      </w:r>
      <w:r w:rsidR="00C6100C">
        <w:rPr>
          <w:lang w:val="en-NZ"/>
        </w:rPr>
        <w:t xml:space="preserve"> </w:t>
      </w:r>
      <w:r w:rsidR="00C6100C">
        <w:t xml:space="preserve"> </w:t>
      </w:r>
      <w:r w:rsidR="004920E2">
        <w:t xml:space="preserve"> </w:t>
      </w:r>
    </w:p>
    <w:p w14:paraId="242D1EFC" w14:textId="2B20D639" w:rsidR="003353C9" w:rsidRDefault="00252A2A" w:rsidP="006E4CE2">
      <w:r w:rsidRPr="00D80AAD">
        <w:t xml:space="preserve">While a continued focus on increasing the number of applications is warranted, it is noted that </w:t>
      </w:r>
      <w:r w:rsidR="004920E2">
        <w:t xml:space="preserve">separate consideration of applications from women and men </w:t>
      </w:r>
      <w:r w:rsidRPr="00D80AAD">
        <w:t xml:space="preserve">at the selection and interview stages is pivotal to achieving gender balance in Australia Awards in Africa. </w:t>
      </w:r>
      <w:r w:rsidR="003353C9">
        <w:t xml:space="preserve">Of the </w:t>
      </w:r>
      <w:r w:rsidR="003353C9" w:rsidRPr="003353C9">
        <w:t>1201</w:t>
      </w:r>
      <w:r w:rsidR="003353C9">
        <w:t xml:space="preserve"> Australia awards scholarships and short awards offered since 2016, 541 (45 per cent) were offered to women and 660 (55 per cent) to men. </w:t>
      </w:r>
    </w:p>
    <w:p w14:paraId="720A7FB6" w14:textId="05D0D05E" w:rsidR="003353C9" w:rsidRDefault="003353C9" w:rsidP="003353C9">
      <w:pPr>
        <w:pStyle w:val="FigureName"/>
      </w:pPr>
      <w:bookmarkStart w:id="31" w:name="_Toc527411614"/>
      <w:bookmarkStart w:id="32" w:name="_Toc531699549"/>
      <w:bookmarkStart w:id="33" w:name="_Toc1729550"/>
      <w:r w:rsidRPr="00EE281F">
        <w:lastRenderedPageBreak/>
        <w:t xml:space="preserve">Figure </w:t>
      </w:r>
      <w:r w:rsidR="00AD2B5B">
        <w:t>1</w:t>
      </w:r>
      <w:r w:rsidRPr="00EE281F">
        <w:t xml:space="preserve"> </w:t>
      </w:r>
      <w:r w:rsidRPr="00EE281F">
        <w:tab/>
        <w:t xml:space="preserve">Participation of women and men in </w:t>
      </w:r>
      <w:r>
        <w:t>Australia Awards scholarships</w:t>
      </w:r>
      <w:r w:rsidRPr="00EE281F">
        <w:t xml:space="preserve"> (2016-2019) and </w:t>
      </w:r>
      <w:r>
        <w:t>s</w:t>
      </w:r>
      <w:r w:rsidRPr="00EE281F">
        <w:t xml:space="preserve">hort </w:t>
      </w:r>
      <w:r>
        <w:t>c</w:t>
      </w:r>
      <w:r w:rsidRPr="00EE281F">
        <w:t>ours</w:t>
      </w:r>
      <w:r>
        <w:t>es</w:t>
      </w:r>
      <w:r w:rsidRPr="00EE281F">
        <w:t xml:space="preserve"> </w:t>
      </w:r>
      <w:r>
        <w:t>(</w:t>
      </w:r>
      <w:r w:rsidRPr="00EE281F">
        <w:t>2016-2018)</w:t>
      </w:r>
      <w:bookmarkEnd w:id="31"/>
      <w:bookmarkEnd w:id="32"/>
      <w:bookmarkEnd w:id="33"/>
    </w:p>
    <w:p w14:paraId="17D264FA" w14:textId="72BB73CC" w:rsidR="003353C9" w:rsidRDefault="003353C9" w:rsidP="006E4CE2">
      <w:r>
        <w:rPr>
          <w:noProof/>
        </w:rPr>
        <w:drawing>
          <wp:inline distT="0" distB="0" distL="0" distR="0" wp14:anchorId="4572EF06" wp14:editId="446A5621">
            <wp:extent cx="5387248" cy="2049137"/>
            <wp:effectExtent l="0" t="0" r="4445" b="8890"/>
            <wp:docPr id="16" name="Chart 16">
              <a:extLst xmlns:a="http://schemas.openxmlformats.org/drawingml/2006/main">
                <a:ext uri="{FF2B5EF4-FFF2-40B4-BE49-F238E27FC236}">
                  <a16:creationId xmlns:a16="http://schemas.microsoft.com/office/drawing/2014/main" id="{43519E5F-24DA-4C82-AB49-FB14567C6A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788809" w14:textId="74195643" w:rsidR="004230E5" w:rsidRDefault="006063AA" w:rsidP="00701598">
      <w:r>
        <w:rPr>
          <w:rFonts w:eastAsia="Calibri"/>
        </w:rPr>
        <w:t>There is a notable discrepancy of equal awards across countries. For example, Kenya, Botswana, Madagascar have had more women than men awarded Australia Awards scholarships and participated in short courses over the period 2016-2019. Whereas other countries have had few or no women participate</w:t>
      </w:r>
      <w:r w:rsidR="003F7ED2">
        <w:rPr>
          <w:rFonts w:eastAsia="Calibri"/>
        </w:rPr>
        <w:t xml:space="preserve"> (s</w:t>
      </w:r>
      <w:r>
        <w:rPr>
          <w:rFonts w:eastAsia="Calibri"/>
        </w:rPr>
        <w:t>ee Appendix D</w:t>
      </w:r>
      <w:r w:rsidR="003F7ED2">
        <w:rPr>
          <w:rFonts w:eastAsia="Calibri"/>
        </w:rPr>
        <w:t>)</w:t>
      </w:r>
      <w:r>
        <w:rPr>
          <w:rFonts w:eastAsia="Calibri"/>
        </w:rPr>
        <w:t xml:space="preserve">. </w:t>
      </w:r>
    </w:p>
    <w:p w14:paraId="1407AA79" w14:textId="024557BA" w:rsidR="000E6B9B" w:rsidRDefault="00B0445E" w:rsidP="000E6B9B">
      <w:r>
        <w:t xml:space="preserve">Although the </w:t>
      </w:r>
      <w:r w:rsidR="00B915F5">
        <w:t xml:space="preserve">Australia Awards </w:t>
      </w:r>
      <w:r w:rsidR="00B915F5" w:rsidRPr="00960349">
        <w:t>in Africa</w:t>
      </w:r>
      <w:r w:rsidR="000E6B9B" w:rsidRPr="00960349">
        <w:t xml:space="preserve"> design notes that the application of a participation target for PWD is not advisable</w:t>
      </w:r>
      <w:r w:rsidR="000E6B9B" w:rsidRPr="00960349">
        <w:rPr>
          <w:rStyle w:val="FootnoteReference"/>
        </w:rPr>
        <w:footnoteReference w:id="53"/>
      </w:r>
      <w:r w:rsidRPr="00960349">
        <w:t xml:space="preserve">, </w:t>
      </w:r>
      <w:r w:rsidR="006E74D2">
        <w:t xml:space="preserve">an </w:t>
      </w:r>
      <w:r w:rsidR="00960349" w:rsidRPr="00960349">
        <w:t>aspirational target is included in Palladium’s contract</w:t>
      </w:r>
      <w:r w:rsidR="006E74D2">
        <w:t xml:space="preserve"> - </w:t>
      </w:r>
      <w:r w:rsidR="00960349" w:rsidRPr="00960349">
        <w:t>“</w:t>
      </w:r>
      <w:r w:rsidR="00960349" w:rsidRPr="006E74D2">
        <w:t>3-5 per cent of all Awards allocated to PWD or people working to support PWD (such as Disabled Peoples' Organisations, government health and education agencies working on inclusion), provided that the latter does not reduce access by PWD”.</w:t>
      </w:r>
      <w:r>
        <w:t xml:space="preserve"> While it is useful to report data on both these aspects, a clearer delineation between the two is required </w:t>
      </w:r>
      <w:proofErr w:type="gramStart"/>
      <w:r>
        <w:t>so as to</w:t>
      </w:r>
      <w:proofErr w:type="gramEnd"/>
      <w:r>
        <w:t xml:space="preserve"> not inadvertently overstate the participation of PWD. </w:t>
      </w:r>
      <w:r w:rsidR="006E74D2">
        <w:t>T</w:t>
      </w:r>
      <w:r w:rsidR="000E6B9B" w:rsidRPr="00082B18">
        <w:t xml:space="preserve">here has been </w:t>
      </w:r>
      <w:r w:rsidR="006E74D2">
        <w:t xml:space="preserve">a </w:t>
      </w:r>
      <w:r w:rsidR="00D2167D">
        <w:t xml:space="preserve">significant </w:t>
      </w:r>
      <w:r w:rsidR="000E6B9B" w:rsidRPr="00082B18">
        <w:t>fluctuation related to disability inclusion</w:t>
      </w:r>
      <w:r w:rsidR="00701598">
        <w:t xml:space="preserve"> (see Appendix D)</w:t>
      </w:r>
      <w:r w:rsidR="00C02D76">
        <w:t xml:space="preserve">. Participation of PWD reached </w:t>
      </w:r>
      <w:r w:rsidR="00701598">
        <w:t>3 per cent target in 2017</w:t>
      </w:r>
      <w:r w:rsidR="006E74D2">
        <w:t xml:space="preserve"> (Figure 2)</w:t>
      </w:r>
      <w:r w:rsidR="00701598">
        <w:t xml:space="preserve">. </w:t>
      </w:r>
    </w:p>
    <w:p w14:paraId="05239856" w14:textId="220FA891" w:rsidR="005D4B51" w:rsidRDefault="005D4B51" w:rsidP="005D4B51">
      <w:pPr>
        <w:pStyle w:val="FigureName"/>
      </w:pPr>
      <w:bookmarkStart w:id="34" w:name="_Toc1729551"/>
      <w:r>
        <w:t xml:space="preserve">Figure </w:t>
      </w:r>
      <w:r w:rsidR="00AD2B5B">
        <w:t>2</w:t>
      </w:r>
      <w:r>
        <w:t xml:space="preserve"> </w:t>
      </w:r>
      <w:r>
        <w:tab/>
        <w:t>Participation of people with disability, 201</w:t>
      </w:r>
      <w:r w:rsidR="00701598">
        <w:t>6</w:t>
      </w:r>
      <w:r>
        <w:t xml:space="preserve"> - 2018</w:t>
      </w:r>
      <w:bookmarkEnd w:id="34"/>
      <w:r>
        <w:t xml:space="preserve"> </w:t>
      </w:r>
    </w:p>
    <w:p w14:paraId="4197CD72" w14:textId="28DC2F4F" w:rsidR="005D4B51" w:rsidRDefault="004A7D6A" w:rsidP="000E6B9B">
      <w:pPr>
        <w:rPr>
          <w:noProof/>
        </w:rPr>
      </w:pPr>
      <w:r>
        <w:rPr>
          <w:noProof/>
        </w:rPr>
        <w:drawing>
          <wp:inline distT="0" distB="0" distL="0" distR="0" wp14:anchorId="2B8DA061" wp14:editId="6D8A7BB1">
            <wp:extent cx="5497417" cy="1586429"/>
            <wp:effectExtent l="0" t="0" r="1270" b="0"/>
            <wp:docPr id="3" name="Chart 3">
              <a:extLst xmlns:a="http://schemas.openxmlformats.org/drawingml/2006/main">
                <a:ext uri="{FF2B5EF4-FFF2-40B4-BE49-F238E27FC236}">
                  <a16:creationId xmlns:a16="http://schemas.microsoft.com/office/drawing/2014/main" id="{B328847E-3A8F-4635-A2B9-1339EB3C20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B15CB6" w14:textId="77777777" w:rsidR="00872442" w:rsidRPr="00B41182" w:rsidRDefault="001966C1" w:rsidP="00872442">
      <w:pPr>
        <w:rPr>
          <w:rFonts w:eastAsia="Calibri"/>
        </w:rPr>
      </w:pPr>
      <w:r>
        <w:rPr>
          <w:rFonts w:eastAsia="Calibri"/>
        </w:rPr>
        <w:t>T</w:t>
      </w:r>
      <w:r w:rsidR="00872442">
        <w:rPr>
          <w:rFonts w:eastAsia="Calibri"/>
        </w:rPr>
        <w:t xml:space="preserve">he following GESI initiatives </w:t>
      </w:r>
      <w:r>
        <w:rPr>
          <w:rFonts w:eastAsia="Calibri"/>
        </w:rPr>
        <w:t xml:space="preserve">are currently implemented </w:t>
      </w:r>
      <w:r w:rsidR="00872442">
        <w:rPr>
          <w:rFonts w:eastAsia="Calibri"/>
        </w:rPr>
        <w:t xml:space="preserve">under </w:t>
      </w:r>
      <w:r w:rsidR="00B915F5">
        <w:rPr>
          <w:rFonts w:eastAsia="Calibri"/>
        </w:rPr>
        <w:t>Australia Awards in Africa</w:t>
      </w:r>
      <w:r w:rsidR="00872442">
        <w:rPr>
          <w:rFonts w:eastAsia="Calibri"/>
        </w:rPr>
        <w:t>:</w:t>
      </w:r>
    </w:p>
    <w:p w14:paraId="6A3EAB33" w14:textId="6F2AC404" w:rsidR="001966C1" w:rsidRPr="004175BA" w:rsidRDefault="00872442" w:rsidP="001966C1">
      <w:pPr>
        <w:pStyle w:val="Bullet"/>
      </w:pPr>
      <w:r w:rsidRPr="00B41182">
        <w:t xml:space="preserve">All </w:t>
      </w:r>
      <w:r>
        <w:t>m</w:t>
      </w:r>
      <w:r w:rsidRPr="00B41182">
        <w:t>aster</w:t>
      </w:r>
      <w:r w:rsidR="00DD301B">
        <w:t>’</w:t>
      </w:r>
      <w:r w:rsidRPr="00B41182">
        <w:t xml:space="preserve">s applicants are exposed to GESI concepts in the selection interviews and </w:t>
      </w:r>
      <w:r w:rsidR="001966C1">
        <w:t xml:space="preserve">pre-departure briefings </w:t>
      </w:r>
      <w:r w:rsidRPr="00B41182">
        <w:t xml:space="preserve">through purposive GESI discussion sessions. </w:t>
      </w:r>
      <w:r w:rsidR="00033568">
        <w:t xml:space="preserve">However, findings from the </w:t>
      </w:r>
      <w:r w:rsidR="001966C1">
        <w:t xml:space="preserve">Australia Awards in Africa </w:t>
      </w:r>
      <w:r w:rsidR="00033568">
        <w:t>GESI review</w:t>
      </w:r>
      <w:r w:rsidR="001966C1">
        <w:t xml:space="preserve"> (2016), and Palladium’s surveys of on-award scholars at Stay Connected workshops found</w:t>
      </w:r>
      <w:r w:rsidR="00033568">
        <w:t xml:space="preserve"> that not all </w:t>
      </w:r>
      <w:r w:rsidR="001966C1">
        <w:t xml:space="preserve">scholars </w:t>
      </w:r>
      <w:r w:rsidR="00033568">
        <w:t xml:space="preserve">have access to GESI related content while </w:t>
      </w:r>
      <w:r w:rsidR="00033568">
        <w:lastRenderedPageBreak/>
        <w:t xml:space="preserve">on </w:t>
      </w:r>
      <w:r w:rsidR="00033568" w:rsidRPr="001966C1">
        <w:rPr>
          <w:rFonts w:eastAsia="Calibri"/>
        </w:rPr>
        <w:t>award</w:t>
      </w:r>
      <w:r w:rsidR="00DE02BB">
        <w:rPr>
          <w:rFonts w:eastAsia="Calibri"/>
        </w:rPr>
        <w:t>.</w:t>
      </w:r>
      <w:r w:rsidR="00235A18">
        <w:rPr>
          <w:rStyle w:val="FootnoteReference"/>
          <w:rFonts w:eastAsia="Calibri"/>
        </w:rPr>
        <w:footnoteReference w:id="54"/>
      </w:r>
      <w:r w:rsidR="001966C1" w:rsidRPr="001966C1">
        <w:rPr>
          <w:rFonts w:eastAsia="Calibri"/>
        </w:rPr>
        <w:t xml:space="preserve"> </w:t>
      </w:r>
      <w:r w:rsidR="001966C1">
        <w:rPr>
          <w:rFonts w:eastAsia="Calibri"/>
        </w:rPr>
        <w:t xml:space="preserve">An online </w:t>
      </w:r>
      <w:r w:rsidR="001966C1" w:rsidRPr="001966C1">
        <w:rPr>
          <w:rFonts w:eastAsia="Calibri"/>
        </w:rPr>
        <w:t>GESI course</w:t>
      </w:r>
      <w:r w:rsidR="001966C1" w:rsidRPr="00B41182">
        <w:rPr>
          <w:rFonts w:eastAsia="Calibri"/>
        </w:rPr>
        <w:t xml:space="preserve"> </w:t>
      </w:r>
      <w:r w:rsidR="001D5F49">
        <w:rPr>
          <w:rFonts w:eastAsia="Calibri"/>
        </w:rPr>
        <w:t xml:space="preserve">is available to </w:t>
      </w:r>
      <w:r w:rsidR="00AB7FF1">
        <w:rPr>
          <w:rFonts w:eastAsia="Calibri"/>
        </w:rPr>
        <w:t>scholar</w:t>
      </w:r>
      <w:r w:rsidR="001D5F49">
        <w:rPr>
          <w:rFonts w:eastAsia="Calibri"/>
        </w:rPr>
        <w:t xml:space="preserve">s and alumni </w:t>
      </w:r>
      <w:r w:rsidR="001966C1" w:rsidRPr="00B41182">
        <w:rPr>
          <w:rFonts w:eastAsia="Calibri"/>
        </w:rPr>
        <w:t xml:space="preserve">to provide skills and knowledge on how </w:t>
      </w:r>
      <w:r w:rsidR="001D5F49">
        <w:rPr>
          <w:rFonts w:eastAsia="Calibri"/>
        </w:rPr>
        <w:t xml:space="preserve">to </w:t>
      </w:r>
      <w:r w:rsidR="001966C1" w:rsidRPr="004175BA">
        <w:rPr>
          <w:rFonts w:eastAsia="Calibri"/>
        </w:rPr>
        <w:t xml:space="preserve">integrate GESI in their </w:t>
      </w:r>
      <w:r w:rsidR="001D5F49">
        <w:rPr>
          <w:rFonts w:eastAsia="Calibri"/>
        </w:rPr>
        <w:t xml:space="preserve">work </w:t>
      </w:r>
      <w:r w:rsidR="001966C1" w:rsidRPr="004175BA">
        <w:rPr>
          <w:rFonts w:eastAsia="Calibri"/>
        </w:rPr>
        <w:t>policy and practice.</w:t>
      </w:r>
      <w:r w:rsidR="001966C1">
        <w:rPr>
          <w:rFonts w:eastAsia="Calibri"/>
        </w:rPr>
        <w:t xml:space="preserve"> </w:t>
      </w:r>
      <w:r w:rsidR="001D5F49">
        <w:rPr>
          <w:rFonts w:eastAsia="Calibri"/>
        </w:rPr>
        <w:t xml:space="preserve">However, </w:t>
      </w:r>
      <w:r w:rsidR="001966C1" w:rsidRPr="004175BA">
        <w:t>Palladium</w:t>
      </w:r>
      <w:r w:rsidR="001D5F49">
        <w:t xml:space="preserve"> </w:t>
      </w:r>
      <w:r w:rsidR="001966C1" w:rsidRPr="004175BA">
        <w:t>reporting notes there has been a low uptake of the online course.</w:t>
      </w:r>
    </w:p>
    <w:p w14:paraId="013AB1C0" w14:textId="55097684" w:rsidR="00872442" w:rsidRDefault="00872442" w:rsidP="002270D5">
      <w:pPr>
        <w:pStyle w:val="BulletLast"/>
      </w:pPr>
      <w:r w:rsidRPr="00B41182">
        <w:t xml:space="preserve">Short </w:t>
      </w:r>
      <w:r w:rsidR="00DD301B">
        <w:t>c</w:t>
      </w:r>
      <w:r w:rsidRPr="00B41182">
        <w:t>ourse providers are contractually required to embed GESI in their course content.</w:t>
      </w:r>
      <w:r w:rsidR="002270D5">
        <w:t xml:space="preserve"> This appears to be working well, with Palladium staff providing quality-checks on the content and s</w:t>
      </w:r>
      <w:r>
        <w:t xml:space="preserve">hort course </w:t>
      </w:r>
      <w:r w:rsidR="002270D5">
        <w:t xml:space="preserve">participants </w:t>
      </w:r>
      <w:r>
        <w:t>report</w:t>
      </w:r>
      <w:r w:rsidR="002270D5">
        <w:t>ing</w:t>
      </w:r>
      <w:r>
        <w:t xml:space="preserve"> being exposed to GESI concepts during their course</w:t>
      </w:r>
      <w:r w:rsidR="002270D5">
        <w:t>.</w:t>
      </w:r>
      <w:r w:rsidR="002270D5">
        <w:rPr>
          <w:rStyle w:val="FootnoteReference"/>
        </w:rPr>
        <w:footnoteReference w:id="55"/>
      </w:r>
      <w:r>
        <w:t xml:space="preserve">  </w:t>
      </w:r>
    </w:p>
    <w:p w14:paraId="43C1CDA5" w14:textId="66C4845A" w:rsidR="0012105F" w:rsidRDefault="00872442" w:rsidP="00860D11">
      <w:pPr>
        <w:pStyle w:val="Bullet"/>
      </w:pPr>
      <w:r w:rsidRPr="0012105F">
        <w:rPr>
          <w:rFonts w:eastAsia="Calibri"/>
        </w:rPr>
        <w:t>The Gender Equity Funds and Disability Access and Equity Funds are special</w:t>
      </w:r>
      <w:r w:rsidRPr="00B41182">
        <w:rPr>
          <w:rFonts w:eastAsia="Calibri"/>
        </w:rPr>
        <w:t xml:space="preserve"> funds available for those who identify GESI related obstacles that require funding support to overcome.</w:t>
      </w:r>
      <w:r w:rsidR="0012105F">
        <w:rPr>
          <w:rFonts w:eastAsia="Calibri"/>
        </w:rPr>
        <w:t xml:space="preserve"> </w:t>
      </w:r>
      <w:r w:rsidR="0012105F" w:rsidRPr="00FF7552">
        <w:rPr>
          <w:szCs w:val="21"/>
        </w:rPr>
        <w:t>Over the period July 2016</w:t>
      </w:r>
      <w:r w:rsidR="00F73106">
        <w:rPr>
          <w:szCs w:val="21"/>
        </w:rPr>
        <w:t>-</w:t>
      </w:r>
      <w:r w:rsidR="0012105F" w:rsidRPr="00FF7552">
        <w:rPr>
          <w:szCs w:val="21"/>
        </w:rPr>
        <w:t xml:space="preserve">July 2018, </w:t>
      </w:r>
      <w:r w:rsidR="009F2596">
        <w:rPr>
          <w:sz w:val="20"/>
        </w:rPr>
        <w:t>$</w:t>
      </w:r>
      <w:r w:rsidR="0012105F" w:rsidRPr="00B732B5">
        <w:t>9,352.95</w:t>
      </w:r>
      <w:r w:rsidR="0012105F">
        <w:t xml:space="preserve"> was dispensed under the Gender Equality Fund to benefit 18 people. Over the same period, </w:t>
      </w:r>
      <w:r w:rsidR="00F73106">
        <w:t>$</w:t>
      </w:r>
      <w:r w:rsidR="0012105F" w:rsidRPr="00B732B5">
        <w:t>20,427.47</w:t>
      </w:r>
      <w:r w:rsidR="0012105F">
        <w:t xml:space="preserve"> was dispensed under the Disability Equity and Access Fund to benefit </w:t>
      </w:r>
      <w:r w:rsidR="009F2596">
        <w:t>nine</w:t>
      </w:r>
      <w:r w:rsidR="00F73106">
        <w:t xml:space="preserve"> </w:t>
      </w:r>
      <w:r w:rsidR="0012105F">
        <w:t xml:space="preserve">people.  See Appendix J for further detail. The evaluation heard from a small number of women and </w:t>
      </w:r>
      <w:r w:rsidR="00DD301B">
        <w:t>PWD</w:t>
      </w:r>
      <w:r w:rsidR="0012105F">
        <w:t xml:space="preserve"> about the support provided by Palladium and short course providers being appropriate to their needs.  </w:t>
      </w:r>
    </w:p>
    <w:p w14:paraId="7CFB03F0" w14:textId="1EBA1A08" w:rsidR="00872442" w:rsidRDefault="00D80AAD" w:rsidP="00860D11">
      <w:pPr>
        <w:pStyle w:val="BulletLast"/>
        <w:rPr>
          <w:rFonts w:eastAsia="Calibri"/>
        </w:rPr>
      </w:pPr>
      <w:r>
        <w:rPr>
          <w:rFonts w:eastAsia="Calibri"/>
        </w:rPr>
        <w:t xml:space="preserve">Anecdotally, the evaluation heard the WILN </w:t>
      </w:r>
      <w:r w:rsidR="00872442" w:rsidRPr="00B41182">
        <w:rPr>
          <w:rFonts w:eastAsia="Calibri"/>
        </w:rPr>
        <w:t xml:space="preserve">is </w:t>
      </w:r>
      <w:r w:rsidR="009F2596">
        <w:rPr>
          <w:rFonts w:eastAsia="Calibri"/>
        </w:rPr>
        <w:t>engaging</w:t>
      </w:r>
      <w:r w:rsidR="00F73106">
        <w:rPr>
          <w:rFonts w:eastAsia="Calibri"/>
        </w:rPr>
        <w:t xml:space="preserve"> women and men </w:t>
      </w:r>
      <w:r w:rsidR="009F2596">
        <w:rPr>
          <w:rFonts w:eastAsia="Calibri"/>
        </w:rPr>
        <w:t xml:space="preserve">who are </w:t>
      </w:r>
      <w:r w:rsidR="00872442" w:rsidRPr="00B41182">
        <w:rPr>
          <w:rFonts w:eastAsia="Calibri"/>
        </w:rPr>
        <w:t>promot</w:t>
      </w:r>
      <w:r>
        <w:rPr>
          <w:rFonts w:eastAsia="Calibri"/>
        </w:rPr>
        <w:t xml:space="preserve">ing Australia Awards </w:t>
      </w:r>
      <w:r w:rsidR="00872442" w:rsidRPr="00B41182">
        <w:rPr>
          <w:rFonts w:eastAsia="Calibri"/>
        </w:rPr>
        <w:t xml:space="preserve">to women from their countries, to mentor women and girls (both in the award program and in their private capacity) and to lead inclusive change at the Alumni Association, </w:t>
      </w:r>
      <w:proofErr w:type="gramStart"/>
      <w:r w:rsidR="00872442" w:rsidRPr="00B41182">
        <w:rPr>
          <w:rFonts w:eastAsia="Calibri"/>
        </w:rPr>
        <w:t>workplace</w:t>
      </w:r>
      <w:proofErr w:type="gramEnd"/>
      <w:r w:rsidR="00872442" w:rsidRPr="00B41182">
        <w:rPr>
          <w:rFonts w:eastAsia="Calibri"/>
        </w:rPr>
        <w:t xml:space="preserve"> and community levels</w:t>
      </w:r>
      <w:r w:rsidR="00872442">
        <w:rPr>
          <w:rFonts w:eastAsia="Calibri"/>
        </w:rPr>
        <w:t>.</w:t>
      </w:r>
    </w:p>
    <w:p w14:paraId="44D3010D" w14:textId="4DB94159" w:rsidR="00877634" w:rsidRDefault="00877634" w:rsidP="00877634">
      <w:r>
        <w:t>The evaluation heard of s</w:t>
      </w:r>
      <w:r w:rsidRPr="00623753">
        <w:t>tructural barriers</w:t>
      </w:r>
      <w:r w:rsidR="00033568">
        <w:t xml:space="preserve"> beyond the control of Australia Awards in Africa</w:t>
      </w:r>
      <w:r w:rsidRPr="00623753">
        <w:t xml:space="preserve"> </w:t>
      </w:r>
      <w:r>
        <w:t xml:space="preserve">(for example, </w:t>
      </w:r>
      <w:r w:rsidRPr="00623753">
        <w:t>visas</w:t>
      </w:r>
      <w:r>
        <w:t xml:space="preserve"> and overseas student health care </w:t>
      </w:r>
      <w:r w:rsidRPr="00623753">
        <w:t>insurance</w:t>
      </w:r>
      <w:r>
        <w:t xml:space="preserve"> levies</w:t>
      </w:r>
      <w:r w:rsidR="00033568">
        <w:rPr>
          <w:rStyle w:val="FootnoteReference"/>
        </w:rPr>
        <w:footnoteReference w:id="56"/>
      </w:r>
      <w:r>
        <w:t xml:space="preserve">) </w:t>
      </w:r>
      <w:r w:rsidR="00033568">
        <w:t>affecting the participation of women (and men) who wi</w:t>
      </w:r>
      <w:r w:rsidR="00DD301B">
        <w:t>s</w:t>
      </w:r>
      <w:r w:rsidR="00033568">
        <w:t xml:space="preserve">h </w:t>
      </w:r>
      <w:r w:rsidR="00DD301B">
        <w:t xml:space="preserve">to </w:t>
      </w:r>
      <w:r w:rsidR="00033568">
        <w:t xml:space="preserve">be accompanied by family members. </w:t>
      </w:r>
      <w:r>
        <w:t xml:space="preserve">DFAT and Palladium are </w:t>
      </w:r>
      <w:r w:rsidR="00033568">
        <w:t>actively engaging to mitigate negative impacts as much as possible</w:t>
      </w:r>
      <w:r w:rsidR="001E6C5F">
        <w:t xml:space="preserve">, for example </w:t>
      </w:r>
      <w:r w:rsidR="009F2596">
        <w:t xml:space="preserve">providing timely clear information about visa requirements and starting the process as early as possible.  </w:t>
      </w:r>
    </w:p>
    <w:p w14:paraId="6DDC3B18" w14:textId="1E2E30D0" w:rsidR="00BD569D" w:rsidRDefault="00877634" w:rsidP="00235A18">
      <w:r>
        <w:t xml:space="preserve">Some stakeholders reflected on the nexus between rural disadvantage, gender inequality and exclusion of people with disabilities. Further consideration on how to </w:t>
      </w:r>
      <w:r w:rsidRPr="00623753">
        <w:t xml:space="preserve">address geographic barriers to </w:t>
      </w:r>
      <w:r>
        <w:t>women, men and people with disabilities participating in Australia Awards in Africa is warranted. The evaluation notes these concerns are shared by DFAT and Palladium staff, and that consideration of geographic barriers to inclusion (including for alumni engagement) is being given increasing priority.</w:t>
      </w:r>
      <w:r w:rsidR="00BD569D">
        <w:t xml:space="preserve"> Some options</w:t>
      </w:r>
      <w:r w:rsidR="00235A18">
        <w:t xml:space="preserve"> for addressing geographical barriers may include supporting </w:t>
      </w:r>
      <w:r w:rsidR="00BD569D">
        <w:t>Alumni Associations to engage with alumni outside capital cities</w:t>
      </w:r>
      <w:r w:rsidR="00235A18">
        <w:t xml:space="preserve">, and amending </w:t>
      </w:r>
      <w:r w:rsidR="00BD569D">
        <w:t>promotions plans to include specific activities for promotions outside capital cities</w:t>
      </w:r>
      <w:r w:rsidR="00235A18">
        <w:t xml:space="preserve">. </w:t>
      </w:r>
    </w:p>
    <w:p w14:paraId="34D3ECB9" w14:textId="39431D90" w:rsidR="00FB78D3" w:rsidRDefault="00FB78D3" w:rsidP="00FB78D3">
      <w:pPr>
        <w:rPr>
          <w:rStyle w:val="Strong"/>
        </w:rPr>
      </w:pPr>
      <w:r w:rsidRPr="007C143B">
        <w:rPr>
          <w:rStyle w:val="Strong"/>
        </w:rPr>
        <w:t xml:space="preserve">Findings </w:t>
      </w:r>
      <w:r w:rsidRPr="007C143B">
        <w:rPr>
          <w:rStyle w:val="Strong"/>
        </w:rPr>
        <w:tab/>
      </w:r>
    </w:p>
    <w:p w14:paraId="412D495A" w14:textId="3328458E" w:rsidR="006E4CE2" w:rsidRPr="00D80AAD" w:rsidRDefault="006E4CE2" w:rsidP="00D80AAD">
      <w:pPr>
        <w:pStyle w:val="Bullet"/>
      </w:pPr>
      <w:r w:rsidRPr="00D80AAD">
        <w:t xml:space="preserve">An on-going challenge for </w:t>
      </w:r>
      <w:r w:rsidR="00B915F5" w:rsidRPr="00D80AAD">
        <w:t>Australia Awards in Africa</w:t>
      </w:r>
      <w:r w:rsidRPr="00D80AAD">
        <w:t xml:space="preserve"> is to increase the number of applications from eligible female candidates and people with disabilities. While a continued focus on increasing the number of applications is warranted, it is noted that </w:t>
      </w:r>
      <w:r w:rsidR="00055CE4">
        <w:t xml:space="preserve">separate consideration of applications from women and men </w:t>
      </w:r>
      <w:r w:rsidR="00055CE4" w:rsidRPr="009040ED">
        <w:t>at the selection and interview stages is pivotal to achieving gender balance in Australia Awards in Africa</w:t>
      </w:r>
      <w:r w:rsidRPr="00D80AAD">
        <w:t>. Participation of people with disabilities is variable from year to year.</w:t>
      </w:r>
    </w:p>
    <w:p w14:paraId="0163DADD" w14:textId="64890239" w:rsidR="006E4CE2" w:rsidRPr="00D80AAD" w:rsidRDefault="006E4CE2" w:rsidP="00D80AAD">
      <w:pPr>
        <w:pStyle w:val="Bullet"/>
      </w:pPr>
      <w:r w:rsidRPr="00D80AAD">
        <w:lastRenderedPageBreak/>
        <w:t xml:space="preserve">DFAT and Palladium are </w:t>
      </w:r>
      <w:r w:rsidR="00B055E8">
        <w:t xml:space="preserve">actively engaging to mitigate negative impacts from </w:t>
      </w:r>
      <w:r w:rsidRPr="00D80AAD">
        <w:t xml:space="preserve">structural barriers beyond the control of </w:t>
      </w:r>
      <w:r w:rsidR="00B915F5" w:rsidRPr="00D80AAD">
        <w:t>Australia Awards in Africa</w:t>
      </w:r>
      <w:r w:rsidRPr="00D80AAD">
        <w:t xml:space="preserve"> that affect the participation of women, </w:t>
      </w:r>
      <w:r w:rsidR="00DD301B">
        <w:t>PWD</w:t>
      </w:r>
      <w:r w:rsidRPr="00D80AAD">
        <w:t xml:space="preserve"> and sufferers of chronic illness. </w:t>
      </w:r>
    </w:p>
    <w:p w14:paraId="6ED0099A" w14:textId="77777777" w:rsidR="006E4CE2" w:rsidRPr="00D80AAD" w:rsidRDefault="006E4CE2" w:rsidP="00D80AAD">
      <w:pPr>
        <w:pStyle w:val="Bullet"/>
        <w:rPr>
          <w:rStyle w:val="Strong"/>
          <w:b w:val="0"/>
          <w:bCs w:val="0"/>
        </w:rPr>
      </w:pPr>
      <w:r w:rsidRPr="00D80AAD">
        <w:t xml:space="preserve">Palladium’s GESI strategy includes considerations of gender equality and disability-inclusion. Broadening the concept of social inclusion to </w:t>
      </w:r>
      <w:r w:rsidR="00CC39E1" w:rsidRPr="00623753">
        <w:t xml:space="preserve">address geographic barriers to </w:t>
      </w:r>
      <w:r w:rsidR="00CC39E1">
        <w:t xml:space="preserve">women, men and </w:t>
      </w:r>
      <w:r w:rsidR="00DD301B">
        <w:t>PWD</w:t>
      </w:r>
      <w:r w:rsidR="00CC39E1">
        <w:t xml:space="preserve"> participating in Australia Awards in Africa is warranted</w:t>
      </w:r>
      <w:r w:rsidRPr="00D80AAD">
        <w:t xml:space="preserve">. </w:t>
      </w:r>
    </w:p>
    <w:p w14:paraId="3E0D576D" w14:textId="77777777" w:rsidR="00FB78D3" w:rsidRDefault="00FB78D3" w:rsidP="00FB78D3">
      <w:pPr>
        <w:pStyle w:val="RecommendationName"/>
      </w:pPr>
      <w:r>
        <w:t>R</w:t>
      </w:r>
      <w:r w:rsidRPr="00E86468">
        <w:t>ecommendations</w:t>
      </w:r>
      <w:r w:rsidRPr="00E86468">
        <w:tab/>
      </w:r>
    </w:p>
    <w:p w14:paraId="20DFC6FE" w14:textId="5A909A16" w:rsidR="00FB78D3" w:rsidRDefault="006E4CE2" w:rsidP="007534CB">
      <w:pPr>
        <w:pStyle w:val="RecommendationText"/>
      </w:pPr>
      <w:proofErr w:type="gramStart"/>
      <w:r>
        <w:t>Palladium</w:t>
      </w:r>
      <w:proofErr w:type="gramEnd"/>
      <w:r>
        <w:t xml:space="preserve"> adjust how it reports on disability-inclusion to give a clearer indication of the participation of </w:t>
      </w:r>
      <w:r w:rsidR="00DD301B">
        <w:t>PWD</w:t>
      </w:r>
      <w:r>
        <w:t xml:space="preserve"> in </w:t>
      </w:r>
      <w:r w:rsidR="00B915F5">
        <w:t>Australia Awards in Africa</w:t>
      </w:r>
      <w:r>
        <w:t xml:space="preserve">. </w:t>
      </w:r>
    </w:p>
    <w:p w14:paraId="43E1C24F" w14:textId="6F981169" w:rsidR="004230E5" w:rsidRPr="00FF7845" w:rsidRDefault="004230E5" w:rsidP="000D6B89">
      <w:pPr>
        <w:sectPr w:rsidR="004230E5" w:rsidRPr="00FF7845" w:rsidSect="009040ED">
          <w:footerReference w:type="first" r:id="rId15"/>
          <w:type w:val="oddPage"/>
          <w:pgSz w:w="11906" w:h="16838" w:code="9"/>
          <w:pgMar w:top="1440" w:right="1440" w:bottom="1276" w:left="1440" w:header="576" w:footer="576" w:gutter="0"/>
          <w:pgNumType w:start="1"/>
          <w:cols w:space="720"/>
          <w:titlePg/>
        </w:sectPr>
      </w:pPr>
    </w:p>
    <w:bookmarkStart w:id="35" w:name="_Toc1729525"/>
    <w:p w14:paraId="2CF0DA54" w14:textId="78741428" w:rsidR="00F73106" w:rsidRDefault="00552681" w:rsidP="00B36AFB">
      <w:pPr>
        <w:pStyle w:val="Heading1"/>
      </w:pPr>
      <w:r>
        <w:rPr>
          <w:noProof/>
        </w:rPr>
        <w:lastRenderedPageBreak/>
        <mc:AlternateContent>
          <mc:Choice Requires="wps">
            <w:drawing>
              <wp:anchor distT="0" distB="0" distL="114300" distR="114300" simplePos="0" relativeHeight="251625984" behindDoc="1" locked="0" layoutInCell="1" allowOverlap="1" wp14:anchorId="2363E655" wp14:editId="6B64B1E4">
                <wp:simplePos x="0" y="0"/>
                <wp:positionH relativeFrom="page">
                  <wp:posOffset>0</wp:posOffset>
                </wp:positionH>
                <wp:positionV relativeFrom="paragraph">
                  <wp:posOffset>-248920</wp:posOffset>
                </wp:positionV>
                <wp:extent cx="7610400" cy="1468800"/>
                <wp:effectExtent l="0" t="0" r="0" b="0"/>
                <wp:wrapNone/>
                <wp:docPr id="2" name="Rectangle 2"/>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A423" id="Rectangle 2" o:spid="_x0000_s1026" style="position:absolute;margin-left:0;margin-top:-19.6pt;width:599.25pt;height:115.6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" fillcolor="#124486" stroked="f" strokeweight="2pt">
                <w10:wrap anchorx="page"/>
              </v:rect>
            </w:pict>
          </mc:Fallback>
        </mc:AlternateContent>
      </w:r>
      <w:r w:rsidR="009E6E9F">
        <w:t>Conclusion</w:t>
      </w:r>
      <w:r w:rsidR="004D60BC">
        <w:t>s</w:t>
      </w:r>
      <w:bookmarkEnd w:id="35"/>
    </w:p>
    <w:p w14:paraId="5C8C1E62" w14:textId="77777777" w:rsidR="00072B60" w:rsidRDefault="00072B60" w:rsidP="00072B60">
      <w:r w:rsidRPr="00916C4C">
        <w:t xml:space="preserve">The evaluation finds </w:t>
      </w:r>
      <w:r>
        <w:t xml:space="preserve">Australia Awards in Africa is being effectively delivered and is on-track to meet its end-of-program outcomes. The managing contractor, Palladium, has developed strong relationships with stakeholders and strives to demonstrate flexibility and responsiveness in meeting DFAT’s expectations of program delivery.  </w:t>
      </w:r>
    </w:p>
    <w:p w14:paraId="0676815A" w14:textId="77777777" w:rsidR="00072B60" w:rsidRDefault="00072B60" w:rsidP="00072B60">
      <w:r>
        <w:t xml:space="preserve">Australia Awards in Africa is proving to be a valuable mechanism for Australia to build goodwill and contribute to skills development in African countries. There are vibrant, </w:t>
      </w:r>
      <w:proofErr w:type="gramStart"/>
      <w:r>
        <w:t>active</w:t>
      </w:r>
      <w:proofErr w:type="gramEnd"/>
      <w:r>
        <w:t xml:space="preserve"> and dynamic alumni across the African continent who are contributing to the success of Australia Awards in Africa. </w:t>
      </w:r>
    </w:p>
    <w:p w14:paraId="0B4D14D1" w14:textId="77777777" w:rsidR="00072B60" w:rsidRDefault="00072B60" w:rsidP="00072B60">
      <w:r w:rsidRPr="00B44F31">
        <w:t xml:space="preserve">The </w:t>
      </w:r>
      <w:r>
        <w:t xml:space="preserve">evaluation heard from coordinating authorities and alumni alike that the </w:t>
      </w:r>
      <w:r w:rsidRPr="00B44F31">
        <w:t xml:space="preserve">merit-based, gender </w:t>
      </w:r>
      <w:r>
        <w:t xml:space="preserve">equality and </w:t>
      </w:r>
      <w:r w:rsidRPr="00B44F31">
        <w:t xml:space="preserve">disability-inclusive </w:t>
      </w:r>
      <w:r>
        <w:t xml:space="preserve">ethos of Australia Awards in Africa </w:t>
      </w:r>
      <w:r w:rsidRPr="00B44F31">
        <w:t>resonate</w:t>
      </w:r>
      <w:r>
        <w:t>s</w:t>
      </w:r>
      <w:r w:rsidRPr="00B44F31">
        <w:t xml:space="preserve"> strongly with </w:t>
      </w:r>
      <w:r>
        <w:t xml:space="preserve">them and distinguishes Australia Awards in Africa from other scholarship programs in their countries. </w:t>
      </w:r>
      <w:r w:rsidRPr="004D1621">
        <w:t>Australia’s appreciation of</w:t>
      </w:r>
      <w:r>
        <w:t>,</w:t>
      </w:r>
      <w:r w:rsidRPr="004D1621">
        <w:t xml:space="preserve"> and commitment to</w:t>
      </w:r>
      <w:r>
        <w:t>,</w:t>
      </w:r>
      <w:r w:rsidRPr="004D1621">
        <w:t xml:space="preserve"> alumni was also </w:t>
      </w:r>
      <w:r>
        <w:t>noted.</w:t>
      </w:r>
      <w:r w:rsidRPr="004D1621">
        <w:t xml:space="preserve">  </w:t>
      </w:r>
    </w:p>
    <w:p w14:paraId="27245578" w14:textId="55779D0C" w:rsidR="00072B60" w:rsidRDefault="00072B60" w:rsidP="00072B60">
      <w:r w:rsidRPr="00BC1CD0">
        <w:t xml:space="preserve">Posts </w:t>
      </w:r>
      <w:r>
        <w:t xml:space="preserve">expressed differing </w:t>
      </w:r>
      <w:r w:rsidRPr="00BC1CD0">
        <w:t xml:space="preserve">experiences </w:t>
      </w:r>
      <w:r>
        <w:t xml:space="preserve">of efficient and effective delivery </w:t>
      </w:r>
      <w:r w:rsidRPr="00BC1CD0">
        <w:t xml:space="preserve">of </w:t>
      </w:r>
      <w:r>
        <w:t>Australia Awards in Africa</w:t>
      </w:r>
      <w:r w:rsidRPr="00BC1CD0">
        <w:t xml:space="preserve">. </w:t>
      </w:r>
      <w:r>
        <w:t xml:space="preserve">The delivery of Australia Awards in some of their countries of accreditation is working well, while for others it is challenging. </w:t>
      </w:r>
      <w:r w:rsidRPr="00BC1CD0">
        <w:t xml:space="preserve">Variances in experiences across </w:t>
      </w:r>
      <w:r>
        <w:t xml:space="preserve">the countries </w:t>
      </w:r>
      <w:r w:rsidRPr="00BC1CD0">
        <w:t>may be due in some part to different operating contexts</w:t>
      </w:r>
      <w:r>
        <w:t xml:space="preserve"> and </w:t>
      </w:r>
      <w:r w:rsidRPr="00BC1CD0">
        <w:t>resource levels at Post</w:t>
      </w:r>
      <w:r>
        <w:t>.</w:t>
      </w:r>
      <w:r w:rsidRPr="00BC1CD0">
        <w:t xml:space="preserve"> </w:t>
      </w:r>
      <w:r>
        <w:t>There are also</w:t>
      </w:r>
      <w:r w:rsidRPr="00BC1CD0">
        <w:t xml:space="preserve"> </w:t>
      </w:r>
      <w:r>
        <w:t xml:space="preserve">different </w:t>
      </w:r>
      <w:r w:rsidRPr="00BC1CD0">
        <w:t xml:space="preserve">levels of understanding and experience of </w:t>
      </w:r>
      <w:r>
        <w:t xml:space="preserve">Post </w:t>
      </w:r>
      <w:r w:rsidRPr="00BC1CD0">
        <w:t>staff with the scholarship modality of aid delivery</w:t>
      </w:r>
      <w:r>
        <w:t xml:space="preserve">. Four of the posts consulted expressed a need for greater support from DFAT’s Africa Branch and Palladium </w:t>
      </w:r>
      <w:proofErr w:type="gramStart"/>
      <w:r>
        <w:t>in order to</w:t>
      </w:r>
      <w:proofErr w:type="gramEnd"/>
      <w:r>
        <w:t xml:space="preserve"> efficiently and effectively fulfil their roles</w:t>
      </w:r>
      <w:r w:rsidRPr="00BC1CD0">
        <w:t xml:space="preserve">. Increased coordination between </w:t>
      </w:r>
      <w:r>
        <w:t xml:space="preserve">Africa Branch </w:t>
      </w:r>
      <w:r w:rsidRPr="00BC1CD0">
        <w:t>and Post</w:t>
      </w:r>
      <w:r>
        <w:t>s</w:t>
      </w:r>
      <w:r w:rsidRPr="00BC1CD0">
        <w:t xml:space="preserve"> </w:t>
      </w:r>
      <w:r>
        <w:t xml:space="preserve">and improved understanding of roles and responsibilities may assist </w:t>
      </w:r>
      <w:r w:rsidRPr="00BC1CD0">
        <w:t xml:space="preserve">the consistency of Posts’ experiences in </w:t>
      </w:r>
      <w:r>
        <w:t xml:space="preserve">supporting </w:t>
      </w:r>
      <w:r w:rsidRPr="00BC1CD0">
        <w:t xml:space="preserve">the </w:t>
      </w:r>
      <w:r>
        <w:t xml:space="preserve">delivery </w:t>
      </w:r>
      <w:r w:rsidRPr="00BC1CD0">
        <w:t xml:space="preserve">of </w:t>
      </w:r>
      <w:r>
        <w:t>Australia Awards in Africa</w:t>
      </w:r>
      <w:r w:rsidRPr="00BC1CD0">
        <w:t xml:space="preserve">. </w:t>
      </w:r>
    </w:p>
    <w:p w14:paraId="37EF9145" w14:textId="58641BCB" w:rsidR="00072B60" w:rsidRDefault="00072B60" w:rsidP="00072B60">
      <w:r>
        <w:t>Significant learning is being generated through feasibility studies and pilots</w:t>
      </w:r>
      <w:r w:rsidR="00765005">
        <w:t>, including on private sector engagement</w:t>
      </w:r>
      <w:r>
        <w:t>. It is important for Africa Branch to document, and disseminate, reasons behind deciding to progress</w:t>
      </w:r>
      <w:r w:rsidR="00765005">
        <w:t>,</w:t>
      </w:r>
      <w:r>
        <w:t xml:space="preserve"> or not</w:t>
      </w:r>
      <w:r w:rsidR="00765005">
        <w:t>,</w:t>
      </w:r>
      <w:r>
        <w:t xml:space="preserve"> with any feasibility study or pilot. </w:t>
      </w:r>
      <w:r w:rsidRPr="00916C4C">
        <w:t>This</w:t>
      </w:r>
      <w:r>
        <w:t xml:space="preserve"> is valuable information for the next design phase. With the current phase of Australia Awards in Africa scheduled for completion in March 2020, an efficient use of Palladium resources </w:t>
      </w:r>
      <w:r w:rsidR="00765005">
        <w:t>may be</w:t>
      </w:r>
      <w:r>
        <w:t xml:space="preserve"> to consolidate implementation and monitoring of existing successful elements of the program, rather than establish new pilots or new areas of thematic research.</w:t>
      </w:r>
    </w:p>
    <w:p w14:paraId="7CA4D223" w14:textId="77777777" w:rsidR="00072B60" w:rsidRDefault="00072B60" w:rsidP="00072B60">
      <w:r>
        <w:t xml:space="preserve">The Australia Awards in Africa design preceded the Australia Awards Global Strategy (which is currently under evaluation) and Australia’s Global Alumni Engagement Strategy. Palladium and DFAT Canberra have demonstrated an ability to adapt the implementation of the Australia Awards in Africa design to fit the current strategic and practical realities of Australia’s aid program in Africa. It is timely to update the program logic (namely Outcome 2) to bring it in line with the relevant global strategies and enable DFAT and Palladium to better measure Australia Awards in Africa outcomes. </w:t>
      </w:r>
    </w:p>
    <w:p w14:paraId="5A1E9342" w14:textId="77777777" w:rsidR="00072B60" w:rsidRDefault="00072B60" w:rsidP="00072B60">
      <w:r>
        <w:t xml:space="preserve">It is also timely to consider the investment design process and timing for Australia Awards in Africa post-completion of the current design in 2020. Several considerations relevant to the design process </w:t>
      </w:r>
      <w:r>
        <w:lastRenderedPageBreak/>
        <w:t>emerged during the evaluation consultations. To allow sufficient time</w:t>
      </w:r>
      <w:r>
        <w:rPr>
          <w:rStyle w:val="FootnoteReference"/>
        </w:rPr>
        <w:footnoteReference w:id="57"/>
      </w:r>
      <w:r>
        <w:t xml:space="preserve"> for the necessary design process and procurement arrangements to be completed prior to the end of this current phase of Australia Awards in Africa, it is suggested that DFAT and Palladium utilise the option period end date included in the contract term to extend the current contract arrangements to 31 March 2022.</w:t>
      </w:r>
    </w:p>
    <w:bookmarkStart w:id="36" w:name="_Toc1729526"/>
    <w:p w14:paraId="7CDBA47D" w14:textId="77777777" w:rsidR="00D1616E" w:rsidRDefault="00D1616E" w:rsidP="00D1616E">
      <w:pPr>
        <w:pStyle w:val="Heading1"/>
        <w:rPr>
          <w:noProof/>
        </w:rPr>
      </w:pPr>
      <w:r>
        <w:rPr>
          <w:noProof/>
        </w:rPr>
        <w:lastRenderedPageBreak/>
        <mc:AlternateContent>
          <mc:Choice Requires="wps">
            <w:drawing>
              <wp:anchor distT="0" distB="0" distL="114300" distR="114300" simplePos="0" relativeHeight="251706880" behindDoc="1" locked="0" layoutInCell="1" allowOverlap="1" wp14:anchorId="5F8EAB36" wp14:editId="7F4B1433">
                <wp:simplePos x="0" y="0"/>
                <wp:positionH relativeFrom="page">
                  <wp:posOffset>0</wp:posOffset>
                </wp:positionH>
                <wp:positionV relativeFrom="paragraph">
                  <wp:posOffset>-439420</wp:posOffset>
                </wp:positionV>
                <wp:extent cx="7610400" cy="1468800"/>
                <wp:effectExtent l="0" t="0" r="0" b="0"/>
                <wp:wrapNone/>
                <wp:docPr id="12" name="Rectangle 12"/>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5BD6C" id="Rectangle 12" o:spid="_x0000_s1026" style="position:absolute;margin-left:0;margin-top:-34.6pt;width:599.25pt;height:115.6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" fillcolor="#124486" stroked="f" strokeweight="2pt">
                <w10:wrap anchorx="page"/>
              </v:rect>
            </w:pict>
          </mc:Fallback>
        </mc:AlternateContent>
      </w:r>
      <w:r w:rsidR="00D21A9E">
        <w:rPr>
          <w:noProof/>
        </w:rPr>
        <w:t>R</w:t>
      </w:r>
      <w:r w:rsidR="009E6E9F">
        <w:rPr>
          <w:noProof/>
        </w:rPr>
        <w:t>ecommendations</w:t>
      </w:r>
      <w:bookmarkEnd w:id="36"/>
      <w:r>
        <w:rPr>
          <w:noProof/>
        </w:rPr>
        <w:t xml:space="preserve">  </w:t>
      </w:r>
    </w:p>
    <w:p w14:paraId="32248348" w14:textId="33AAF643" w:rsidR="003D05AD" w:rsidRDefault="005E54A6" w:rsidP="003D594A">
      <w:pPr>
        <w:spacing w:after="0"/>
        <w:rPr>
          <w:i/>
        </w:rPr>
      </w:pPr>
      <w:r>
        <w:rPr>
          <w:i/>
        </w:rPr>
        <w:t>Strategic</w:t>
      </w:r>
    </w:p>
    <w:p w14:paraId="0F980ADF" w14:textId="3D95EBD1" w:rsidR="007B223E" w:rsidRDefault="00B055E8" w:rsidP="003D594A">
      <w:pPr>
        <w:pStyle w:val="ListParagraph"/>
        <w:numPr>
          <w:ilvl w:val="0"/>
          <w:numId w:val="25"/>
        </w:numPr>
        <w:ind w:left="0" w:firstLine="0"/>
        <w:rPr>
          <w:lang w:eastAsia="en-NZ"/>
        </w:rPr>
      </w:pPr>
      <w:r>
        <w:rPr>
          <w:lang w:val="en-AU" w:eastAsia="en-NZ"/>
        </w:rPr>
        <w:t>DFAT to use the option in the Scope of Services Agreement with the managing contactor to extend the end date of the contract by two years, from 31 March 2020 to 31 March 2022</w:t>
      </w:r>
      <w:r w:rsidR="007B223E">
        <w:rPr>
          <w:lang w:val="en-AU" w:eastAsia="en-NZ"/>
        </w:rPr>
        <w:t xml:space="preserve">.  </w:t>
      </w:r>
    </w:p>
    <w:p w14:paraId="2B6BEC81" w14:textId="00E2797E" w:rsidR="003D05AD" w:rsidRDefault="007B223E" w:rsidP="003D594A">
      <w:pPr>
        <w:pStyle w:val="ListParagraph"/>
        <w:numPr>
          <w:ilvl w:val="0"/>
          <w:numId w:val="25"/>
        </w:numPr>
        <w:ind w:left="0" w:firstLine="0"/>
        <w:rPr>
          <w:lang w:eastAsia="en-NZ"/>
        </w:rPr>
      </w:pPr>
      <w:r>
        <w:rPr>
          <w:lang w:val="en-AU" w:eastAsia="en-NZ"/>
        </w:rPr>
        <w:t>Africa Branch to lead a</w:t>
      </w:r>
      <w:r w:rsidR="003D05AD" w:rsidRPr="00881BBD">
        <w:rPr>
          <w:lang w:eastAsia="en-NZ"/>
        </w:rPr>
        <w:t xml:space="preserve"> </w:t>
      </w:r>
      <w:r w:rsidR="003D05AD" w:rsidRPr="003D594A">
        <w:rPr>
          <w:color w:val="000000" w:themeColor="text1"/>
        </w:rPr>
        <w:t>strategic</w:t>
      </w:r>
      <w:r w:rsidR="003D05AD" w:rsidRPr="00881BBD">
        <w:rPr>
          <w:lang w:eastAsia="en-NZ"/>
        </w:rPr>
        <w:t xml:space="preserve"> discussion </w:t>
      </w:r>
      <w:r>
        <w:rPr>
          <w:lang w:val="en-AU" w:eastAsia="en-NZ"/>
        </w:rPr>
        <w:t xml:space="preserve">about </w:t>
      </w:r>
      <w:r w:rsidR="003D05AD" w:rsidRPr="00881BBD">
        <w:rPr>
          <w:lang w:eastAsia="en-NZ"/>
        </w:rPr>
        <w:t xml:space="preserve">the postdoctoral fellowship pilot at the </w:t>
      </w:r>
      <w:r>
        <w:rPr>
          <w:lang w:val="en-AU" w:eastAsia="en-NZ"/>
        </w:rPr>
        <w:t xml:space="preserve">September </w:t>
      </w:r>
      <w:r w:rsidR="003D05AD" w:rsidRPr="00881BBD">
        <w:rPr>
          <w:lang w:eastAsia="en-NZ"/>
        </w:rPr>
        <w:t>201</w:t>
      </w:r>
      <w:r w:rsidR="003D05AD">
        <w:rPr>
          <w:lang w:eastAsia="en-NZ"/>
        </w:rPr>
        <w:t>9</w:t>
      </w:r>
      <w:r w:rsidR="003D05AD" w:rsidRPr="00881BBD">
        <w:rPr>
          <w:lang w:eastAsia="en-NZ"/>
        </w:rPr>
        <w:t xml:space="preserve"> Program </w:t>
      </w:r>
      <w:r w:rsidR="003D05AD" w:rsidRPr="00881BBD">
        <w:t>Management</w:t>
      </w:r>
      <w:r w:rsidR="003D05AD" w:rsidRPr="00881BBD">
        <w:rPr>
          <w:lang w:eastAsia="en-NZ"/>
        </w:rPr>
        <w:t xml:space="preserve"> Group meeting </w:t>
      </w:r>
      <w:r>
        <w:rPr>
          <w:lang w:val="en-AU" w:eastAsia="en-NZ"/>
        </w:rPr>
        <w:t xml:space="preserve">to inform the design of the next phase of Australia Awards in Africa. </w:t>
      </w:r>
      <w:r w:rsidR="003D05AD">
        <w:rPr>
          <w:lang w:eastAsia="en-NZ"/>
        </w:rPr>
        <w:t xml:space="preserve"> </w:t>
      </w:r>
      <w:r w:rsidR="003D05AD" w:rsidRPr="00881BBD">
        <w:rPr>
          <w:lang w:eastAsia="en-NZ"/>
        </w:rPr>
        <w:t xml:space="preserve"> </w:t>
      </w:r>
    </w:p>
    <w:p w14:paraId="39BA5BED" w14:textId="5BA2775F" w:rsidR="003D05AD" w:rsidRDefault="003D05AD" w:rsidP="007B223E">
      <w:pPr>
        <w:pStyle w:val="ListParagraph"/>
        <w:numPr>
          <w:ilvl w:val="0"/>
          <w:numId w:val="25"/>
        </w:numPr>
        <w:ind w:left="0" w:firstLine="0"/>
      </w:pPr>
      <w:r>
        <w:t xml:space="preserve">Africa Branch to clarify the strategic and functional intent </w:t>
      </w:r>
      <w:r>
        <w:rPr>
          <w:lang w:eastAsia="en-NZ"/>
        </w:rPr>
        <w:t>of</w:t>
      </w:r>
      <w:r>
        <w:t xml:space="preserve"> private sector engagement and development </w:t>
      </w:r>
      <w:r w:rsidR="00DA625F">
        <w:rPr>
          <w:lang w:val="en-AU"/>
        </w:rPr>
        <w:t>to inform the design of the next phase of Australia Awards in Africa</w:t>
      </w:r>
      <w:r>
        <w:t xml:space="preserve">. </w:t>
      </w:r>
    </w:p>
    <w:p w14:paraId="6AD4A482" w14:textId="77777777" w:rsidR="003D05AD" w:rsidRDefault="003D05AD" w:rsidP="003D594A">
      <w:pPr>
        <w:spacing w:after="0"/>
        <w:rPr>
          <w:i/>
        </w:rPr>
      </w:pPr>
      <w:r>
        <w:rPr>
          <w:i/>
        </w:rPr>
        <w:t>O</w:t>
      </w:r>
      <w:r w:rsidR="005E54A6">
        <w:rPr>
          <w:i/>
        </w:rPr>
        <w:t>perational</w:t>
      </w:r>
    </w:p>
    <w:p w14:paraId="282610E0" w14:textId="77777777" w:rsidR="003D05AD" w:rsidRPr="00B71BCF" w:rsidRDefault="003D05AD" w:rsidP="003D594A">
      <w:pPr>
        <w:pStyle w:val="ListParagraph"/>
        <w:numPr>
          <w:ilvl w:val="0"/>
          <w:numId w:val="25"/>
        </w:numPr>
        <w:ind w:left="0" w:firstLine="0"/>
        <w:rPr>
          <w:lang w:eastAsia="en-NZ"/>
        </w:rPr>
      </w:pPr>
      <w:r w:rsidRPr="00FD7A5C">
        <w:t xml:space="preserve">Palladium and </w:t>
      </w:r>
      <w:r w:rsidRPr="00FD7A5C">
        <w:rPr>
          <w:lang w:eastAsia="en-NZ"/>
        </w:rPr>
        <w:t>Posts</w:t>
      </w:r>
      <w:r w:rsidRPr="00FD7A5C">
        <w:t xml:space="preserve"> </w:t>
      </w:r>
      <w:r>
        <w:t xml:space="preserve">use the </w:t>
      </w:r>
      <w:r w:rsidRPr="00FD7A5C">
        <w:t xml:space="preserve">annual work plan </w:t>
      </w:r>
      <w:r>
        <w:t xml:space="preserve">process to further strengthen alignment of </w:t>
      </w:r>
      <w:r w:rsidRPr="00FD7A5C">
        <w:t>alumni engagement activities delivered by Palladium with</w:t>
      </w:r>
      <w:r>
        <w:t>:</w:t>
      </w:r>
      <w:r w:rsidRPr="00FD7A5C">
        <w:t xml:space="preserve"> </w:t>
      </w:r>
      <w:r>
        <w:t>(</w:t>
      </w:r>
      <w:proofErr w:type="spellStart"/>
      <w:r>
        <w:t>i</w:t>
      </w:r>
      <w:proofErr w:type="spellEnd"/>
      <w:r>
        <w:t xml:space="preserve">) </w:t>
      </w:r>
      <w:r w:rsidRPr="00FD7A5C">
        <w:t>the Australia Awards in Africa Alumni Engagement Strategy</w:t>
      </w:r>
      <w:r>
        <w:t>;</w:t>
      </w:r>
      <w:r w:rsidRPr="00FD7A5C">
        <w:t xml:space="preserve"> </w:t>
      </w:r>
      <w:r w:rsidRPr="00B71BCF">
        <w:t>and</w:t>
      </w:r>
      <w:r>
        <w:t>,</w:t>
      </w:r>
      <w:r w:rsidRPr="00B71BCF">
        <w:t xml:space="preserve"> </w:t>
      </w:r>
      <w:r>
        <w:t xml:space="preserve">(ii) </w:t>
      </w:r>
      <w:r w:rsidRPr="00B71BCF">
        <w:t xml:space="preserve">Posts </w:t>
      </w:r>
      <w:r w:rsidRPr="00B71BCF">
        <w:rPr>
          <w:lang w:eastAsia="en-NZ"/>
        </w:rPr>
        <w:t xml:space="preserve">economic and public diplomacy strategies. </w:t>
      </w:r>
    </w:p>
    <w:p w14:paraId="5762214A" w14:textId="77777777" w:rsidR="003D05AD" w:rsidRDefault="003D05AD" w:rsidP="003D594A">
      <w:pPr>
        <w:pStyle w:val="ListParagraph"/>
        <w:numPr>
          <w:ilvl w:val="0"/>
          <w:numId w:val="25"/>
        </w:numPr>
        <w:ind w:left="0" w:firstLine="0"/>
        <w:rPr>
          <w:lang w:eastAsia="en-NZ"/>
        </w:rPr>
      </w:pPr>
      <w:r w:rsidRPr="00B71BCF">
        <w:rPr>
          <w:lang w:eastAsia="en-NZ"/>
        </w:rPr>
        <w:t xml:space="preserve">Africa Branch </w:t>
      </w:r>
      <w:r>
        <w:rPr>
          <w:lang w:eastAsia="en-NZ"/>
        </w:rPr>
        <w:t xml:space="preserve">increase its </w:t>
      </w:r>
      <w:r w:rsidRPr="00B71BCF">
        <w:rPr>
          <w:lang w:eastAsia="en-NZ"/>
        </w:rPr>
        <w:t>coordinati</w:t>
      </w:r>
      <w:r>
        <w:rPr>
          <w:lang w:eastAsia="en-NZ"/>
        </w:rPr>
        <w:t>o</w:t>
      </w:r>
      <w:r w:rsidRPr="00B71BCF">
        <w:rPr>
          <w:lang w:eastAsia="en-NZ"/>
        </w:rPr>
        <w:t>n</w:t>
      </w:r>
      <w:r>
        <w:rPr>
          <w:lang w:eastAsia="en-NZ"/>
        </w:rPr>
        <w:t xml:space="preserve"> of</w:t>
      </w:r>
      <w:r w:rsidRPr="00B71BCF">
        <w:rPr>
          <w:lang w:eastAsia="en-NZ"/>
        </w:rPr>
        <w:t xml:space="preserve"> information sharing between relevant sections in Canberra, Palladium and Posts</w:t>
      </w:r>
      <w:r>
        <w:rPr>
          <w:lang w:eastAsia="en-NZ"/>
        </w:rPr>
        <w:t xml:space="preserve"> to (</w:t>
      </w:r>
      <w:proofErr w:type="spellStart"/>
      <w:r>
        <w:rPr>
          <w:lang w:eastAsia="en-NZ"/>
        </w:rPr>
        <w:t>i</w:t>
      </w:r>
      <w:proofErr w:type="spellEnd"/>
      <w:r>
        <w:rPr>
          <w:lang w:eastAsia="en-NZ"/>
        </w:rPr>
        <w:t>) ensure policy and operational decisions are communicated to all stakeholders; and (ii) create regular opportunities for shared learning</w:t>
      </w:r>
      <w:r w:rsidRPr="00B71BCF">
        <w:rPr>
          <w:lang w:eastAsia="en-NZ"/>
        </w:rPr>
        <w:t>.</w:t>
      </w:r>
    </w:p>
    <w:p w14:paraId="6AA3EB66" w14:textId="77777777" w:rsidR="003D05AD" w:rsidRPr="003D05AD" w:rsidRDefault="003D05AD" w:rsidP="003D594A">
      <w:pPr>
        <w:pStyle w:val="ListParagraph"/>
        <w:numPr>
          <w:ilvl w:val="0"/>
          <w:numId w:val="25"/>
        </w:numPr>
        <w:ind w:left="0" w:firstLine="0"/>
        <w:rPr>
          <w:lang w:eastAsia="en-NZ"/>
        </w:rPr>
      </w:pPr>
      <w:r>
        <w:rPr>
          <w:lang w:eastAsia="en-NZ"/>
        </w:rPr>
        <w:t>Africa Branch</w:t>
      </w:r>
      <w:r w:rsidRPr="002F6950">
        <w:rPr>
          <w:lang w:eastAsia="en-NZ"/>
        </w:rPr>
        <w:t xml:space="preserve">, Posts and Palladium management team to </w:t>
      </w:r>
      <w:r>
        <w:rPr>
          <w:lang w:eastAsia="en-NZ"/>
        </w:rPr>
        <w:t xml:space="preserve">review </w:t>
      </w:r>
      <w:r w:rsidRPr="002F6950">
        <w:rPr>
          <w:lang w:eastAsia="en-NZ"/>
        </w:rPr>
        <w:t xml:space="preserve">the current documented roles and responsibilities, discuss any changed expectations and </w:t>
      </w:r>
      <w:r>
        <w:rPr>
          <w:lang w:eastAsia="en-NZ"/>
        </w:rPr>
        <w:t xml:space="preserve">revise the document </w:t>
      </w:r>
      <w:r w:rsidRPr="002F6950">
        <w:rPr>
          <w:lang w:eastAsia="en-NZ"/>
        </w:rPr>
        <w:t>accordingly.</w:t>
      </w:r>
      <w:r w:rsidRPr="003D05AD">
        <w:rPr>
          <w:lang w:eastAsia="en-NZ"/>
        </w:rPr>
        <w:t xml:space="preserve">  </w:t>
      </w:r>
    </w:p>
    <w:p w14:paraId="2D8A87E4" w14:textId="77777777" w:rsidR="003D05AD" w:rsidRDefault="003D05AD" w:rsidP="003D594A">
      <w:pPr>
        <w:pStyle w:val="ListParagraph"/>
        <w:numPr>
          <w:ilvl w:val="0"/>
          <w:numId w:val="25"/>
        </w:numPr>
        <w:ind w:left="0" w:firstLine="0"/>
        <w:rPr>
          <w:lang w:eastAsia="en-NZ"/>
        </w:rPr>
      </w:pPr>
      <w:r>
        <w:rPr>
          <w:lang w:eastAsia="en-NZ"/>
        </w:rPr>
        <w:t>Africa Branch consider stakeholder suggestions for improvements as summarised in Appendix H and discuss with Palladium.</w:t>
      </w:r>
    </w:p>
    <w:p w14:paraId="250B7FEE" w14:textId="714D889C" w:rsidR="003D05AD" w:rsidRDefault="003D05AD" w:rsidP="003D594A">
      <w:pPr>
        <w:spacing w:after="0"/>
        <w:rPr>
          <w:i/>
        </w:rPr>
      </w:pPr>
      <w:r>
        <w:rPr>
          <w:i/>
        </w:rPr>
        <w:t xml:space="preserve">Monitoring, </w:t>
      </w:r>
      <w:proofErr w:type="gramStart"/>
      <w:r>
        <w:rPr>
          <w:i/>
        </w:rPr>
        <w:t>evaluation</w:t>
      </w:r>
      <w:proofErr w:type="gramEnd"/>
      <w:r>
        <w:rPr>
          <w:i/>
        </w:rPr>
        <w:t xml:space="preserve"> and communications</w:t>
      </w:r>
    </w:p>
    <w:p w14:paraId="2F03D276" w14:textId="77777777" w:rsidR="003D05AD" w:rsidRDefault="003D05AD" w:rsidP="003D594A">
      <w:pPr>
        <w:pStyle w:val="ListParagraph"/>
        <w:numPr>
          <w:ilvl w:val="0"/>
          <w:numId w:val="25"/>
        </w:numPr>
        <w:ind w:left="0" w:firstLine="0"/>
        <w:rPr>
          <w:lang w:eastAsia="en-NZ"/>
        </w:rPr>
      </w:pPr>
      <w:r>
        <w:t xml:space="preserve">DFAT and Palladium </w:t>
      </w:r>
      <w:r>
        <w:rPr>
          <w:lang w:eastAsia="en-NZ"/>
        </w:rPr>
        <w:t xml:space="preserve">consider the suggested modifications to the MEF and progress reports included at Appendix I. </w:t>
      </w:r>
    </w:p>
    <w:p w14:paraId="40ADD51B" w14:textId="77777777" w:rsidR="003D05AD" w:rsidRDefault="003D05AD" w:rsidP="003D594A">
      <w:pPr>
        <w:pStyle w:val="ListParagraph"/>
        <w:numPr>
          <w:ilvl w:val="0"/>
          <w:numId w:val="25"/>
        </w:numPr>
        <w:ind w:left="0" w:firstLine="0"/>
        <w:rPr>
          <w:lang w:eastAsia="en-NZ"/>
        </w:rPr>
      </w:pPr>
      <w:r>
        <w:rPr>
          <w:lang w:eastAsia="en-NZ"/>
        </w:rPr>
        <w:t>DFAT and Palladium agree on distribution plans for each of the key reporting and evaluation products.</w:t>
      </w:r>
    </w:p>
    <w:p w14:paraId="67D53749" w14:textId="23162073" w:rsidR="003D05AD" w:rsidRDefault="00B055E8" w:rsidP="003D594A">
      <w:pPr>
        <w:pStyle w:val="ListParagraph"/>
        <w:numPr>
          <w:ilvl w:val="0"/>
          <w:numId w:val="25"/>
        </w:numPr>
        <w:ind w:left="0" w:firstLine="0"/>
        <w:rPr>
          <w:lang w:eastAsia="en-NZ"/>
        </w:rPr>
      </w:pPr>
      <w:r>
        <w:rPr>
          <w:lang w:eastAsia="en-NZ"/>
        </w:rPr>
        <w:t xml:space="preserve">DFAT and Palladium use the annual planning process to clarify: timing and content of specific communications products to be developed for each Post (in conjunction with the promotions plans); level of assistance required for each Post to maintain </w:t>
      </w:r>
      <w:r>
        <w:rPr>
          <w:lang w:val="en-NZ" w:eastAsia="en-NZ"/>
        </w:rPr>
        <w:t xml:space="preserve">any </w:t>
      </w:r>
      <w:r>
        <w:rPr>
          <w:lang w:eastAsia="en-NZ"/>
        </w:rPr>
        <w:t xml:space="preserve">alumni contact </w:t>
      </w:r>
      <w:r>
        <w:rPr>
          <w:lang w:val="en-NZ" w:eastAsia="en-NZ"/>
        </w:rPr>
        <w:t>register</w:t>
      </w:r>
      <w:r>
        <w:rPr>
          <w:lang w:eastAsia="en-NZ"/>
        </w:rPr>
        <w:t>; and, other issues as raised by Post with the Africa Branch</w:t>
      </w:r>
      <w:r w:rsidR="003D05AD">
        <w:rPr>
          <w:lang w:eastAsia="en-NZ"/>
        </w:rPr>
        <w:t xml:space="preserve">.  </w:t>
      </w:r>
    </w:p>
    <w:p w14:paraId="79B6DA7C" w14:textId="5427FAC9" w:rsidR="003D05AD" w:rsidRPr="003D05AD" w:rsidRDefault="003D05AD" w:rsidP="003D594A">
      <w:pPr>
        <w:pStyle w:val="ListParagraph"/>
        <w:numPr>
          <w:ilvl w:val="0"/>
          <w:numId w:val="25"/>
        </w:numPr>
        <w:ind w:left="0" w:firstLine="0"/>
        <w:rPr>
          <w:lang w:eastAsia="en-NZ"/>
        </w:rPr>
      </w:pPr>
      <w:r>
        <w:rPr>
          <w:lang w:eastAsia="en-NZ"/>
        </w:rPr>
        <w:t>Amend the Outcome 2 wording to read ‘</w:t>
      </w:r>
      <w:r w:rsidRPr="003D05AD">
        <w:rPr>
          <w:lang w:eastAsia="en-NZ"/>
        </w:rPr>
        <w:t>Alumni view Australia, Australians and Australian expertise positively’</w:t>
      </w:r>
      <w:r w:rsidR="003D594A">
        <w:rPr>
          <w:lang w:val="en-NZ" w:eastAsia="en-NZ"/>
        </w:rPr>
        <w:t xml:space="preserve">. </w:t>
      </w:r>
      <w:r w:rsidR="003D594A">
        <w:rPr>
          <w:lang w:val="en-NZ"/>
        </w:rPr>
        <w:t>This change in outcome wording is consistent the program logic as is currently being implemented. I</w:t>
      </w:r>
      <w:r w:rsidR="007A4D4F">
        <w:rPr>
          <w:noProof/>
        </w:rPr>
        <w:t>f this recommendation is accepted, the Statement of Requirements (clauses 1.4 (b) and 4.47 (a)) will need to be update</w:t>
      </w:r>
      <w:r w:rsidR="007A4D4F">
        <w:rPr>
          <w:noProof/>
          <w:lang w:val="en-NZ"/>
        </w:rPr>
        <w:t>d</w:t>
      </w:r>
      <w:r w:rsidR="007A4D4F">
        <w:rPr>
          <w:noProof/>
        </w:rPr>
        <w:t xml:space="preserve"> accordingingly.  </w:t>
      </w:r>
    </w:p>
    <w:p w14:paraId="3698143C" w14:textId="77777777" w:rsidR="003D05AD" w:rsidRDefault="003D05AD" w:rsidP="003D594A">
      <w:pPr>
        <w:pStyle w:val="ListParagraph"/>
        <w:numPr>
          <w:ilvl w:val="0"/>
          <w:numId w:val="25"/>
        </w:numPr>
        <w:ind w:left="0" w:firstLine="0"/>
        <w:rPr>
          <w:lang w:eastAsia="en-NZ"/>
        </w:rPr>
      </w:pPr>
      <w:r>
        <w:rPr>
          <w:lang w:eastAsia="en-NZ"/>
        </w:rPr>
        <w:t xml:space="preserve">Palladium adjust how it reports on disability-inclusion to give a clearer indication of the participation of PWD in Australia Awards in Africa. </w:t>
      </w:r>
    </w:p>
    <w:p w14:paraId="3576E13A" w14:textId="05A624C5" w:rsidR="00533E12" w:rsidRPr="00533E12" w:rsidRDefault="00533E12" w:rsidP="00533E12">
      <w:pPr>
        <w:sectPr w:rsidR="00533E12" w:rsidRPr="00533E12" w:rsidSect="00C15DB3">
          <w:headerReference w:type="first" r:id="rId16"/>
          <w:footerReference w:type="first" r:id="rId17"/>
          <w:pgSz w:w="11906" w:h="16838" w:code="9"/>
          <w:pgMar w:top="1440" w:right="1440" w:bottom="1440" w:left="1440" w:header="576" w:footer="576" w:gutter="0"/>
          <w:cols w:space="720"/>
          <w:titlePg/>
          <w:docGrid w:linePitch="286"/>
        </w:sectPr>
      </w:pPr>
      <w:bookmarkStart w:id="37" w:name="_Toc479752931"/>
      <w:bookmarkStart w:id="38" w:name="_Toc482610990"/>
    </w:p>
    <w:p w14:paraId="2CAB363A" w14:textId="77777777" w:rsidR="004850EF" w:rsidRPr="0092622F" w:rsidRDefault="004850EF" w:rsidP="0092622F">
      <w:pPr>
        <w:pStyle w:val="SectionTitle"/>
      </w:pPr>
      <w:bookmarkStart w:id="39" w:name="_Toc1729527"/>
      <w:bookmarkEnd w:id="37"/>
      <w:bookmarkEnd w:id="38"/>
      <w:r w:rsidRPr="0092622F">
        <w:lastRenderedPageBreak/>
        <w:t xml:space="preserve">Appendix </w:t>
      </w:r>
      <w:r w:rsidR="000601BC">
        <w:t>A</w:t>
      </w:r>
      <w:r w:rsidRPr="0092622F">
        <w:t>: Methodology</w:t>
      </w:r>
      <w:bookmarkEnd w:id="39"/>
    </w:p>
    <w:p w14:paraId="3F4C25D6" w14:textId="77777777" w:rsidR="005A5776" w:rsidRDefault="005A5776" w:rsidP="005A5776">
      <w:pPr>
        <w:pStyle w:val="Heading2a"/>
        <w:numPr>
          <w:ilvl w:val="0"/>
          <w:numId w:val="0"/>
        </w:numPr>
        <w:ind w:left="576" w:hanging="576"/>
      </w:pPr>
      <w:bookmarkStart w:id="40" w:name="_Hlk524856806"/>
      <w:r>
        <w:t xml:space="preserve">Approach </w:t>
      </w:r>
    </w:p>
    <w:p w14:paraId="6754699E" w14:textId="77777777" w:rsidR="00C06C8E" w:rsidRDefault="00C06C8E" w:rsidP="00C06C8E">
      <w:r w:rsidRPr="003C28CF">
        <w:t xml:space="preserve">The </w:t>
      </w:r>
      <w:r w:rsidR="005A5F3D" w:rsidRPr="003C28CF">
        <w:t xml:space="preserve">evaluation used </w:t>
      </w:r>
      <w:r w:rsidRPr="003C28CF">
        <w:t>a formative evaluation approach</w:t>
      </w:r>
      <w:r w:rsidR="0075064A" w:rsidRPr="003C28CF">
        <w:t xml:space="preserve">, focusing on identifying what is working well with Australia Awards in Africa and where improvements can be made for the remainder of the current phase of the investment. </w:t>
      </w:r>
      <w:r w:rsidR="003C28CF" w:rsidRPr="003C28CF">
        <w:t>It is expected the f</w:t>
      </w:r>
      <w:r w:rsidRPr="003C28CF">
        <w:t xml:space="preserve">indings </w:t>
      </w:r>
      <w:r w:rsidR="003C28CF" w:rsidRPr="003C28CF">
        <w:t xml:space="preserve">and recommendations </w:t>
      </w:r>
      <w:r w:rsidRPr="003C28CF">
        <w:t xml:space="preserve">will directly influence decision-making on program components for the remainder of the program, and as such, a collaborative approach to analysis and recommendation forming </w:t>
      </w:r>
      <w:r w:rsidR="003C28CF" w:rsidRPr="003C28CF">
        <w:t>wa</w:t>
      </w:r>
      <w:r w:rsidRPr="003C28CF">
        <w:t>s a key part of the evaluation process. The evaluat</w:t>
      </w:r>
      <w:r w:rsidR="003C28CF" w:rsidRPr="003C28CF">
        <w:t xml:space="preserve">or led </w:t>
      </w:r>
      <w:r w:rsidRPr="003C28CF">
        <w:t>the data collection and initial analysis stages to determine emerging findings, and then test</w:t>
      </w:r>
      <w:r w:rsidR="003C28CF" w:rsidRPr="003C28CF">
        <w:t>ed</w:t>
      </w:r>
      <w:r w:rsidRPr="003C28CF">
        <w:t xml:space="preserve"> out </w:t>
      </w:r>
      <w:r w:rsidR="003C28CF" w:rsidRPr="003C28CF">
        <w:t xml:space="preserve">the </w:t>
      </w:r>
      <w:r w:rsidRPr="003C28CF">
        <w:t xml:space="preserve">recommendations with DFAT and </w:t>
      </w:r>
      <w:r w:rsidR="003C28CF" w:rsidRPr="003C28CF">
        <w:t xml:space="preserve">Palladium (via the aide memoire) </w:t>
      </w:r>
      <w:r w:rsidRPr="003C28CF">
        <w:t xml:space="preserve">to add a level of contestability to the proposed changes going forward. </w:t>
      </w:r>
    </w:p>
    <w:p w14:paraId="2C64BB4D" w14:textId="77777777" w:rsidR="00963583" w:rsidRDefault="00963583" w:rsidP="00963583">
      <w:r w:rsidRPr="002A7500">
        <w:t xml:space="preserve">The evaluation </w:t>
      </w:r>
      <w:r>
        <w:t xml:space="preserve">used </w:t>
      </w:r>
      <w:r w:rsidRPr="002A7500">
        <w:t>a mixed methods metho</w:t>
      </w:r>
      <w:r>
        <w:t xml:space="preserve">dology, with </w:t>
      </w:r>
      <w:r w:rsidRPr="002A7500">
        <w:t>qualitative data collected during consultations</w:t>
      </w:r>
      <w:r>
        <w:t xml:space="preserve"> supplemented with </w:t>
      </w:r>
      <w:r w:rsidRPr="002A7500">
        <w:t>quantitative data from existing sources</w:t>
      </w:r>
      <w:r>
        <w:t xml:space="preserve"> </w:t>
      </w:r>
      <w:r w:rsidRPr="002A7500">
        <w:t>(</w:t>
      </w:r>
      <w:r>
        <w:t>scholar and alumni data provided by Palladium</w:t>
      </w:r>
      <w:r w:rsidRPr="002A7500">
        <w:t xml:space="preserve">, Australia Awards tracer studies, </w:t>
      </w:r>
      <w:r>
        <w:t>Australia in Africa outcomes study reports).</w:t>
      </w:r>
    </w:p>
    <w:p w14:paraId="2F7237D7" w14:textId="77777777" w:rsidR="00963583" w:rsidRDefault="00963583" w:rsidP="00963583">
      <w:r>
        <w:t xml:space="preserve">The evaluation process followed included: evaluation planning with DFAT in Canberra and Posts, culminating in an evaluation plan; a literature and data review; data collection, including in-country consultations in South Africa, Ghana and Kenya; </w:t>
      </w:r>
      <w:r w:rsidRPr="002A7500">
        <w:t>analysis of qualitative data collected during consultations, and quantitative data from existing sources</w:t>
      </w:r>
      <w:r>
        <w:t xml:space="preserve">; testing out recommendations (via the aide memoire) with DFAT and Palladium to add a level of contestability to any proposed changes going forward; and reporting writing. </w:t>
      </w:r>
    </w:p>
    <w:p w14:paraId="4BD4F5CB" w14:textId="77777777" w:rsidR="00C06C8E" w:rsidRDefault="003D1AE3" w:rsidP="00C06C8E">
      <w:pPr>
        <w:rPr>
          <w:noProof/>
          <w:lang w:eastAsia="en-NZ"/>
        </w:rPr>
      </w:pPr>
      <w:r>
        <w:rPr>
          <w:noProof/>
          <w:lang w:eastAsia="en-NZ"/>
        </w:rPr>
        <w:t xml:space="preserve">Table </w:t>
      </w:r>
      <w:r w:rsidR="00AA78CC">
        <w:rPr>
          <w:noProof/>
          <w:lang w:eastAsia="en-NZ"/>
        </w:rPr>
        <w:t xml:space="preserve">4 </w:t>
      </w:r>
      <w:r w:rsidR="00C06C8E" w:rsidRPr="00936102">
        <w:rPr>
          <w:noProof/>
          <w:lang w:eastAsia="en-NZ"/>
        </w:rPr>
        <w:t>sets out the main evaluation questions, the approach to collecting and analysing information and the sources of information.</w:t>
      </w:r>
    </w:p>
    <w:p w14:paraId="43E6398C" w14:textId="77777777" w:rsidR="005A5776" w:rsidRDefault="005A5776" w:rsidP="005A5776">
      <w:pPr>
        <w:pStyle w:val="Heading2a"/>
        <w:numPr>
          <w:ilvl w:val="0"/>
          <w:numId w:val="0"/>
        </w:numPr>
        <w:ind w:left="576" w:hanging="576"/>
      </w:pPr>
      <w:r>
        <w:t>Limitations</w:t>
      </w:r>
    </w:p>
    <w:p w14:paraId="723A90AA" w14:textId="77777777" w:rsidR="003C28CF" w:rsidRDefault="003C28CF" w:rsidP="003C28CF">
      <w:pPr>
        <w:rPr>
          <w:noProof/>
        </w:rPr>
      </w:pPr>
      <w:r>
        <w:rPr>
          <w:noProof/>
        </w:rPr>
        <w:t>Not all interviews were conducted confidentially with the independent evaluator.</w:t>
      </w:r>
      <w:r>
        <w:rPr>
          <w:rStyle w:val="FootnoteReference"/>
          <w:noProof/>
        </w:rPr>
        <w:footnoteReference w:id="58"/>
      </w:r>
      <w:r>
        <w:rPr>
          <w:noProof/>
        </w:rPr>
        <w:t xml:space="preserve">  </w:t>
      </w:r>
      <w:r w:rsidRPr="00AB6873">
        <w:t xml:space="preserve">The non-confidential nature of the discussions </w:t>
      </w:r>
      <w:r>
        <w:t xml:space="preserve">however </w:t>
      </w:r>
      <w:r w:rsidRPr="00AB6873">
        <w:t xml:space="preserve">did not appear to unduly influence stakeholders’ responses </w:t>
      </w:r>
      <w:r>
        <w:t xml:space="preserve">which appeared frank and constructive. </w:t>
      </w:r>
      <w:r w:rsidRPr="00AB6873">
        <w:t>However, some consideration to the non-confidential nature of these conversations has been</w:t>
      </w:r>
      <w:r>
        <w:t xml:space="preserve"> </w:t>
      </w:r>
      <w:proofErr w:type="gramStart"/>
      <w:r>
        <w:t xml:space="preserve">taken into </w:t>
      </w:r>
      <w:r w:rsidRPr="00AB6873">
        <w:t>account</w:t>
      </w:r>
      <w:proofErr w:type="gramEnd"/>
      <w:r>
        <w:t xml:space="preserve"> in the data collection phase</w:t>
      </w:r>
      <w:r w:rsidRPr="00AB6873">
        <w:t xml:space="preserve">, with the </w:t>
      </w:r>
      <w:r>
        <w:t xml:space="preserve">evaluator </w:t>
      </w:r>
      <w:r w:rsidRPr="00AB6873">
        <w:t>seeking</w:t>
      </w:r>
      <w:r w:rsidRPr="00AB6873">
        <w:rPr>
          <w:noProof/>
        </w:rPr>
        <w:t xml:space="preserve"> additional evidence to verify positive claims</w:t>
      </w:r>
      <w:r>
        <w:rPr>
          <w:noProof/>
        </w:rPr>
        <w:t>.</w:t>
      </w:r>
      <w:r w:rsidRPr="00AB6873">
        <w:rPr>
          <w:noProof/>
        </w:rPr>
        <w:t xml:space="preserve">   </w:t>
      </w:r>
    </w:p>
    <w:p w14:paraId="4BCCBDAC" w14:textId="77777777" w:rsidR="005A5776" w:rsidRDefault="005A5776" w:rsidP="00C06C8E">
      <w:pPr>
        <w:rPr>
          <w:noProof/>
          <w:lang w:eastAsia="en-NZ"/>
        </w:rPr>
      </w:pPr>
      <w:r w:rsidRPr="005E6D67">
        <w:rPr>
          <w:noProof/>
        </w:rPr>
        <w:t xml:space="preserve">Over the course of the evaluation, it became apparent there were differing views across DFAT </w:t>
      </w:r>
      <w:r>
        <w:rPr>
          <w:noProof/>
        </w:rPr>
        <w:t>regarding</w:t>
      </w:r>
      <w:r w:rsidRPr="005E6D67">
        <w:rPr>
          <w:noProof/>
        </w:rPr>
        <w:t xml:space="preserve"> the utility and value-for-money of undertaking this evaluation.  Some Posts reflected that the program is running well, due in no small part to high levels of engagement of Post staff</w:t>
      </w:r>
      <w:r>
        <w:rPr>
          <w:noProof/>
        </w:rPr>
        <w:t xml:space="preserve"> and productive working relationship with Palladium</w:t>
      </w:r>
      <w:r w:rsidRPr="005E6D67">
        <w:rPr>
          <w:noProof/>
        </w:rPr>
        <w:t>. For others in DFAT, the evaluation was seen as an opportunity to reflect and learn. The evaluator has tried to take into account these differing views and focus the evaluation</w:t>
      </w:r>
      <w:r>
        <w:rPr>
          <w:noProof/>
        </w:rPr>
        <w:t xml:space="preserve"> process and report</w:t>
      </w:r>
      <w:r w:rsidRPr="005E6D67">
        <w:rPr>
          <w:noProof/>
        </w:rPr>
        <w:t xml:space="preserve"> on capturing learning and providing information for Africa section to feed into other reviews occurring in tandem with this evaluation (e.g. the review of Australia Awards Global Strategy). </w:t>
      </w:r>
    </w:p>
    <w:bookmarkEnd w:id="40"/>
    <w:p w14:paraId="08954954" w14:textId="77777777" w:rsidR="00C06C8E" w:rsidRDefault="00C06C8E" w:rsidP="000601BC">
      <w:pPr>
        <w:spacing w:before="0" w:after="0" w:line="240" w:lineRule="auto"/>
      </w:pPr>
      <w:r>
        <w:rPr>
          <w:noProof/>
          <w:lang w:eastAsia="en-NZ"/>
        </w:rPr>
        <w:br w:type="page"/>
      </w:r>
    </w:p>
    <w:p w14:paraId="622AC6D3" w14:textId="77777777" w:rsidR="005A5776" w:rsidRDefault="005A5776" w:rsidP="00C06C8E">
      <w:pPr>
        <w:pStyle w:val="TableName"/>
        <w:sectPr w:rsidR="005A5776" w:rsidSect="00C06C8E">
          <w:headerReference w:type="first" r:id="rId18"/>
          <w:footerReference w:type="first" r:id="rId19"/>
          <w:pgSz w:w="11906" w:h="16838" w:code="9"/>
          <w:pgMar w:top="1440" w:right="1440" w:bottom="1440" w:left="1440" w:header="576" w:footer="576" w:gutter="0"/>
          <w:cols w:space="720"/>
          <w:titlePg/>
          <w:docGrid w:linePitch="286"/>
        </w:sectPr>
      </w:pPr>
    </w:p>
    <w:p w14:paraId="1E1A660B" w14:textId="77777777" w:rsidR="00C06C8E" w:rsidRDefault="00C06C8E" w:rsidP="00C06C8E">
      <w:pPr>
        <w:pStyle w:val="TableName"/>
      </w:pPr>
      <w:bookmarkStart w:id="41" w:name="_Toc522891936"/>
      <w:bookmarkStart w:id="42" w:name="_Toc1729542"/>
      <w:r>
        <w:lastRenderedPageBreak/>
        <w:t xml:space="preserve">Table </w:t>
      </w:r>
      <w:r w:rsidR="00FA778B">
        <w:t>4</w:t>
      </w:r>
      <w:r>
        <w:t xml:space="preserve"> </w:t>
      </w:r>
      <w:r>
        <w:tab/>
        <w:t>Evaluation approach</w:t>
      </w:r>
      <w:bookmarkEnd w:id="41"/>
      <w:bookmarkEnd w:id="42"/>
      <w:r>
        <w:t xml:space="preserve"> </w:t>
      </w:r>
    </w:p>
    <w:p w14:paraId="75C98238" w14:textId="77777777" w:rsidR="00C06C8E" w:rsidRDefault="00C06C8E" w:rsidP="00C06C8E">
      <w:pPr>
        <w:pStyle w:val="TableName"/>
      </w:pPr>
    </w:p>
    <w:tbl>
      <w:tblPr>
        <w:tblpPr w:leftFromText="181" w:rightFromText="181" w:vertAnchor="text" w:tblpX="-33" w:tblpY="1"/>
        <w:tblW w:w="5006" w:type="pct"/>
        <w:tblBorders>
          <w:top w:val="single" w:sz="4" w:space="0" w:color="007FAD"/>
          <w:bottom w:val="single" w:sz="4" w:space="0" w:color="007FAD"/>
          <w:insideH w:val="single" w:sz="4" w:space="0" w:color="007FAD"/>
        </w:tblBorders>
        <w:tblLayout w:type="fixed"/>
        <w:tblCellMar>
          <w:top w:w="85" w:type="dxa"/>
          <w:bottom w:w="85" w:type="dxa"/>
        </w:tblCellMar>
        <w:tblLook w:val="04A0" w:firstRow="1" w:lastRow="0" w:firstColumn="1" w:lastColumn="0" w:noHBand="0" w:noVBand="1"/>
      </w:tblPr>
      <w:tblGrid>
        <w:gridCol w:w="3263"/>
        <w:gridCol w:w="1983"/>
        <w:gridCol w:w="3651"/>
        <w:gridCol w:w="2247"/>
        <w:gridCol w:w="2831"/>
      </w:tblGrid>
      <w:tr w:rsidR="00945D51" w:rsidRPr="001234C9" w14:paraId="28FE4194" w14:textId="77777777" w:rsidTr="00375E8F">
        <w:trPr>
          <w:trHeight w:val="20"/>
          <w:tblHeader/>
        </w:trPr>
        <w:tc>
          <w:tcPr>
            <w:tcW w:w="1167" w:type="pct"/>
            <w:shd w:val="clear" w:color="auto" w:fill="007FAD"/>
          </w:tcPr>
          <w:p w14:paraId="4E959075" w14:textId="77777777" w:rsidR="00945D51" w:rsidRPr="001234C9" w:rsidRDefault="00945D51" w:rsidP="00375E8F">
            <w:pPr>
              <w:pStyle w:val="TableHeading"/>
              <w:spacing w:before="60" w:after="60" w:line="240" w:lineRule="auto"/>
              <w:rPr>
                <w:lang w:val="en-NZ" w:eastAsia="en-NZ"/>
              </w:rPr>
            </w:pPr>
            <w:r w:rsidRPr="001234C9">
              <w:rPr>
                <w:lang w:val="en-NZ" w:eastAsia="en-NZ"/>
              </w:rPr>
              <w:t>Evaluation question</w:t>
            </w:r>
          </w:p>
        </w:tc>
        <w:tc>
          <w:tcPr>
            <w:tcW w:w="709" w:type="pct"/>
            <w:shd w:val="clear" w:color="auto" w:fill="007FAD"/>
          </w:tcPr>
          <w:p w14:paraId="5AD3CAEB" w14:textId="77777777" w:rsidR="00945D51" w:rsidRPr="001234C9" w:rsidRDefault="00945D51" w:rsidP="00375E8F">
            <w:pPr>
              <w:pStyle w:val="TableHeading"/>
              <w:spacing w:before="60" w:after="60" w:line="240" w:lineRule="auto"/>
              <w:rPr>
                <w:lang w:val="en-NZ" w:eastAsia="en-NZ"/>
              </w:rPr>
            </w:pPr>
            <w:r w:rsidRPr="001234C9">
              <w:rPr>
                <w:lang w:val="en-NZ" w:eastAsia="en-NZ"/>
              </w:rPr>
              <w:t xml:space="preserve">Approach </w:t>
            </w:r>
          </w:p>
        </w:tc>
        <w:tc>
          <w:tcPr>
            <w:tcW w:w="1306" w:type="pct"/>
            <w:tcBorders>
              <w:bottom w:val="single" w:sz="4" w:space="0" w:color="007FAD"/>
            </w:tcBorders>
            <w:shd w:val="clear" w:color="auto" w:fill="007FAD"/>
          </w:tcPr>
          <w:p w14:paraId="0A1C813A" w14:textId="77777777" w:rsidR="00945D51" w:rsidRPr="001234C9" w:rsidRDefault="00945D51" w:rsidP="00375E8F">
            <w:pPr>
              <w:pStyle w:val="TableHeading"/>
              <w:spacing w:before="60" w:after="60" w:line="240" w:lineRule="auto"/>
              <w:rPr>
                <w:lang w:val="en-NZ" w:eastAsia="en-NZ"/>
              </w:rPr>
            </w:pPr>
            <w:r w:rsidRPr="001234C9">
              <w:rPr>
                <w:lang w:val="en-NZ" w:eastAsia="en-NZ"/>
              </w:rPr>
              <w:t xml:space="preserve">Data sources </w:t>
            </w:r>
          </w:p>
        </w:tc>
        <w:tc>
          <w:tcPr>
            <w:tcW w:w="804" w:type="pct"/>
            <w:tcBorders>
              <w:bottom w:val="single" w:sz="4" w:space="0" w:color="007FAD"/>
            </w:tcBorders>
            <w:shd w:val="clear" w:color="auto" w:fill="007FAD"/>
          </w:tcPr>
          <w:p w14:paraId="0296381C" w14:textId="77777777" w:rsidR="00945D51" w:rsidRPr="001234C9" w:rsidRDefault="00945D51" w:rsidP="00375E8F">
            <w:pPr>
              <w:pStyle w:val="TableHeading"/>
              <w:spacing w:before="60" w:after="60" w:line="240" w:lineRule="auto"/>
              <w:rPr>
                <w:lang w:val="en-NZ" w:eastAsia="en-NZ"/>
              </w:rPr>
            </w:pPr>
            <w:r w:rsidRPr="001234C9">
              <w:rPr>
                <w:lang w:val="en-NZ" w:eastAsia="en-NZ"/>
              </w:rPr>
              <w:t xml:space="preserve">Data collection </w:t>
            </w:r>
          </w:p>
        </w:tc>
        <w:tc>
          <w:tcPr>
            <w:tcW w:w="1013" w:type="pct"/>
            <w:tcBorders>
              <w:bottom w:val="single" w:sz="4" w:space="0" w:color="007FAD"/>
            </w:tcBorders>
            <w:shd w:val="clear" w:color="auto" w:fill="007FAD"/>
          </w:tcPr>
          <w:p w14:paraId="57F339D3" w14:textId="77777777" w:rsidR="00945D51" w:rsidRPr="001234C9" w:rsidRDefault="00945D51" w:rsidP="00375E8F">
            <w:pPr>
              <w:pStyle w:val="TableHeading"/>
              <w:spacing w:before="60" w:after="60" w:line="240" w:lineRule="auto"/>
              <w:rPr>
                <w:lang w:val="en-NZ" w:eastAsia="en-NZ"/>
              </w:rPr>
            </w:pPr>
            <w:r w:rsidRPr="001234C9">
              <w:rPr>
                <w:lang w:val="en-NZ" w:eastAsia="en-NZ"/>
              </w:rPr>
              <w:t>Analysis</w:t>
            </w:r>
          </w:p>
        </w:tc>
      </w:tr>
      <w:tr w:rsidR="00945D51" w:rsidRPr="001234C9" w14:paraId="017D1847" w14:textId="77777777" w:rsidTr="00375E8F">
        <w:trPr>
          <w:trHeight w:val="20"/>
        </w:trPr>
        <w:tc>
          <w:tcPr>
            <w:tcW w:w="1167" w:type="pct"/>
            <w:vMerge w:val="restart"/>
            <w:shd w:val="clear" w:color="auto" w:fill="FFFFFF"/>
          </w:tcPr>
          <w:p w14:paraId="3D2680CA" w14:textId="77777777" w:rsidR="00945D51" w:rsidRPr="001234C9" w:rsidRDefault="00945D51" w:rsidP="00375E8F">
            <w:pPr>
              <w:pStyle w:val="TableText"/>
              <w:spacing w:before="60" w:after="60" w:line="240" w:lineRule="auto"/>
              <w:rPr>
                <w:b/>
                <w:sz w:val="18"/>
                <w:lang w:val="en-NZ" w:eastAsia="en-NZ"/>
              </w:rPr>
            </w:pPr>
            <w:r w:rsidRPr="001234C9">
              <w:rPr>
                <w:b/>
                <w:sz w:val="18"/>
                <w:lang w:val="en-NZ" w:eastAsia="en-NZ"/>
              </w:rPr>
              <w:t>Relevance and alignment with new policy and aid priorities</w:t>
            </w:r>
          </w:p>
          <w:p w14:paraId="09279DCD" w14:textId="77777777" w:rsidR="00945D51" w:rsidRPr="001234C9" w:rsidRDefault="00945D51" w:rsidP="00375E8F">
            <w:pPr>
              <w:pStyle w:val="TableText"/>
              <w:spacing w:before="60" w:after="60" w:line="240" w:lineRule="auto"/>
              <w:rPr>
                <w:sz w:val="18"/>
                <w:lang w:val="en-NZ" w:eastAsia="en-NZ"/>
              </w:rPr>
            </w:pPr>
            <w:r w:rsidRPr="001234C9">
              <w:rPr>
                <w:i/>
                <w:sz w:val="18"/>
                <w:lang w:val="en-NZ" w:eastAsia="en-NZ"/>
              </w:rPr>
              <w:t>Key question</w:t>
            </w:r>
            <w:r w:rsidRPr="001234C9">
              <w:rPr>
                <w:sz w:val="18"/>
                <w:lang w:val="en-NZ" w:eastAsia="en-NZ"/>
              </w:rPr>
              <w:t>:</w:t>
            </w:r>
          </w:p>
          <w:p w14:paraId="4FDD81D6" w14:textId="77777777" w:rsidR="00945D51" w:rsidRPr="001234C9" w:rsidRDefault="00945D51" w:rsidP="00375E8F">
            <w:pPr>
              <w:pStyle w:val="TableText"/>
              <w:spacing w:before="60" w:after="60" w:line="240" w:lineRule="auto"/>
              <w:rPr>
                <w:sz w:val="18"/>
              </w:rPr>
            </w:pPr>
            <w:r w:rsidRPr="001234C9">
              <w:rPr>
                <w:sz w:val="18"/>
              </w:rPr>
              <w:t xml:space="preserve">Is the </w:t>
            </w:r>
            <w:r w:rsidR="002E591C">
              <w:rPr>
                <w:sz w:val="18"/>
              </w:rPr>
              <w:t>Australia Awards in Africa</w:t>
            </w:r>
            <w:r w:rsidRPr="001234C9">
              <w:rPr>
                <w:sz w:val="18"/>
              </w:rPr>
              <w:t xml:space="preserve"> design and M&amp;E framework fit-for-purpose and targeting the right outcomes and modalities to best support achievement of the Foreign Policy White Paper priorities?</w:t>
            </w:r>
          </w:p>
          <w:p w14:paraId="7FCAC9B4" w14:textId="77777777" w:rsidR="00945D51" w:rsidRPr="001234C9" w:rsidRDefault="00945D51" w:rsidP="00375E8F">
            <w:pPr>
              <w:pStyle w:val="TableText"/>
              <w:spacing w:before="60" w:after="60" w:line="240" w:lineRule="auto"/>
              <w:rPr>
                <w:sz w:val="18"/>
              </w:rPr>
            </w:pPr>
            <w:r w:rsidRPr="001234C9">
              <w:rPr>
                <w:i/>
                <w:sz w:val="18"/>
              </w:rPr>
              <w:t>Sub-question</w:t>
            </w:r>
            <w:r w:rsidRPr="001234C9">
              <w:rPr>
                <w:sz w:val="18"/>
              </w:rPr>
              <w:t>:</w:t>
            </w:r>
          </w:p>
          <w:p w14:paraId="21A8EBDD" w14:textId="77777777" w:rsidR="00945D51" w:rsidRPr="001234C9" w:rsidRDefault="00945D51" w:rsidP="00375E8F">
            <w:pPr>
              <w:pStyle w:val="TableText"/>
              <w:spacing w:before="60" w:after="60" w:line="240" w:lineRule="auto"/>
              <w:rPr>
                <w:sz w:val="21"/>
              </w:rPr>
            </w:pPr>
            <w:r w:rsidRPr="001234C9">
              <w:rPr>
                <w:sz w:val="18"/>
              </w:rPr>
              <w:t>Does the current approach to private sector engagement have clear realistic objectives and are they being achieved?</w:t>
            </w:r>
            <w:r w:rsidRPr="001234C9">
              <w:t xml:space="preserve"> </w:t>
            </w:r>
          </w:p>
        </w:tc>
        <w:tc>
          <w:tcPr>
            <w:tcW w:w="709" w:type="pct"/>
            <w:vMerge w:val="restart"/>
            <w:shd w:val="clear" w:color="auto" w:fill="FFFFFF"/>
          </w:tcPr>
          <w:p w14:paraId="686D3F4B" w14:textId="77777777" w:rsidR="00945D51" w:rsidRDefault="00945D51" w:rsidP="00375E8F">
            <w:pPr>
              <w:pStyle w:val="TableText"/>
              <w:spacing w:before="60" w:after="60" w:line="240" w:lineRule="auto"/>
            </w:pPr>
            <w:r w:rsidRPr="001234C9">
              <w:t xml:space="preserve">Assessment of the extent to which the three end of program </w:t>
            </w:r>
            <w:r w:rsidRPr="001234C9">
              <w:rPr>
                <w:sz w:val="18"/>
                <w:lang w:val="en-NZ" w:eastAsia="en-NZ"/>
              </w:rPr>
              <w:t>outcomes</w:t>
            </w:r>
            <w:r w:rsidRPr="001234C9">
              <w:t xml:space="preserve"> are still valid, and if the activities and outputs of the program are consistent with the attainment of these three outcomes.   </w:t>
            </w:r>
          </w:p>
          <w:p w14:paraId="4222216C" w14:textId="77777777" w:rsidR="00945D51" w:rsidRPr="001234C9" w:rsidRDefault="00945D51" w:rsidP="00375E8F">
            <w:pPr>
              <w:pStyle w:val="TableText"/>
              <w:spacing w:before="60" w:after="60" w:line="240" w:lineRule="auto"/>
            </w:pPr>
            <w:r w:rsidRPr="001234C9">
              <w:t xml:space="preserve">Assessment of the approach to private sector engagement. </w:t>
            </w:r>
            <w:r w:rsidRPr="001234C9">
              <w:rPr>
                <w:sz w:val="18"/>
                <w:lang w:val="en-NZ" w:eastAsia="en-NZ"/>
              </w:rPr>
              <w:t xml:space="preserve"> </w:t>
            </w:r>
          </w:p>
        </w:tc>
        <w:tc>
          <w:tcPr>
            <w:tcW w:w="1306" w:type="pct"/>
            <w:shd w:val="clear" w:color="auto" w:fill="FFFFFF"/>
          </w:tcPr>
          <w:p w14:paraId="32690BC5" w14:textId="77777777" w:rsidR="00945D51" w:rsidRDefault="00945D51" w:rsidP="00375E8F">
            <w:pPr>
              <w:pStyle w:val="TableText"/>
              <w:spacing w:before="60" w:after="60" w:line="240" w:lineRule="auto"/>
              <w:rPr>
                <w:sz w:val="18"/>
                <w:lang w:val="en-NZ" w:eastAsia="en-NZ"/>
              </w:rPr>
            </w:pPr>
            <w:r w:rsidRPr="001234C9">
              <w:rPr>
                <w:sz w:val="18"/>
                <w:lang w:val="en-NZ" w:eastAsia="en-NZ"/>
              </w:rPr>
              <w:t>DFAT policy and strategy documents</w:t>
            </w:r>
            <w:r>
              <w:rPr>
                <w:sz w:val="18"/>
                <w:lang w:val="en-NZ" w:eastAsia="en-NZ"/>
              </w:rPr>
              <w:t>.</w:t>
            </w:r>
            <w:r w:rsidRPr="001234C9">
              <w:rPr>
                <w:sz w:val="18"/>
                <w:lang w:val="en-NZ" w:eastAsia="en-NZ"/>
              </w:rPr>
              <w:t xml:space="preserve"> </w:t>
            </w:r>
          </w:p>
          <w:p w14:paraId="02F54EC0" w14:textId="77777777" w:rsidR="00945D51" w:rsidRPr="001234C9" w:rsidRDefault="002E591C" w:rsidP="00375E8F">
            <w:pPr>
              <w:pStyle w:val="TableText"/>
              <w:spacing w:before="60" w:after="60" w:line="240" w:lineRule="auto"/>
              <w:rPr>
                <w:sz w:val="18"/>
                <w:lang w:val="en-NZ" w:eastAsia="en-NZ"/>
              </w:rPr>
            </w:pPr>
            <w:r>
              <w:rPr>
                <w:sz w:val="18"/>
                <w:lang w:val="en-NZ" w:eastAsia="en-NZ"/>
              </w:rPr>
              <w:t>Australia Awards in Africa</w:t>
            </w:r>
            <w:r w:rsidR="00945D51" w:rsidRPr="001234C9">
              <w:rPr>
                <w:sz w:val="18"/>
                <w:lang w:val="en-NZ" w:eastAsia="en-NZ"/>
              </w:rPr>
              <w:t xml:space="preserve"> planning, </w:t>
            </w:r>
            <w:proofErr w:type="gramStart"/>
            <w:r w:rsidR="00945D51" w:rsidRPr="001234C9">
              <w:rPr>
                <w:sz w:val="18"/>
                <w:lang w:val="en-NZ" w:eastAsia="en-NZ"/>
              </w:rPr>
              <w:t>monitoring</w:t>
            </w:r>
            <w:proofErr w:type="gramEnd"/>
            <w:r w:rsidR="00945D51" w:rsidRPr="001234C9">
              <w:rPr>
                <w:sz w:val="18"/>
                <w:lang w:val="en-NZ" w:eastAsia="en-NZ"/>
              </w:rPr>
              <w:t xml:space="preserve"> and reporting documents. </w:t>
            </w:r>
          </w:p>
        </w:tc>
        <w:tc>
          <w:tcPr>
            <w:tcW w:w="804" w:type="pct"/>
            <w:shd w:val="clear" w:color="auto" w:fill="FFFFFF"/>
          </w:tcPr>
          <w:p w14:paraId="17DAC87C" w14:textId="77777777" w:rsidR="00945D51" w:rsidRDefault="00945D51" w:rsidP="00375E8F">
            <w:pPr>
              <w:pStyle w:val="TableText"/>
              <w:spacing w:before="60" w:after="60" w:line="240" w:lineRule="auto"/>
              <w:rPr>
                <w:sz w:val="18"/>
                <w:lang w:val="en-NZ" w:eastAsia="en-NZ"/>
              </w:rPr>
            </w:pPr>
            <w:r w:rsidRPr="001234C9">
              <w:rPr>
                <w:sz w:val="18"/>
                <w:lang w:val="en-NZ" w:eastAsia="en-NZ"/>
              </w:rPr>
              <w:t xml:space="preserve">Document Review. </w:t>
            </w:r>
          </w:p>
          <w:p w14:paraId="3F4A0162"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Qualitative data sourced from case studies of </w:t>
            </w:r>
            <w:r>
              <w:rPr>
                <w:sz w:val="18"/>
                <w:lang w:val="en-NZ" w:eastAsia="en-NZ"/>
              </w:rPr>
              <w:t xml:space="preserve">Australia Awards </w:t>
            </w:r>
            <w:r w:rsidRPr="001234C9">
              <w:rPr>
                <w:sz w:val="18"/>
                <w:lang w:val="en-NZ" w:eastAsia="en-NZ"/>
              </w:rPr>
              <w:t>alumni</w:t>
            </w:r>
            <w:r>
              <w:rPr>
                <w:sz w:val="18"/>
                <w:lang w:val="en-NZ" w:eastAsia="en-NZ"/>
              </w:rPr>
              <w:t>.</w:t>
            </w:r>
          </w:p>
        </w:tc>
        <w:tc>
          <w:tcPr>
            <w:tcW w:w="1013" w:type="pct"/>
            <w:vMerge w:val="restart"/>
            <w:shd w:val="clear" w:color="auto" w:fill="FFFFFF"/>
          </w:tcPr>
          <w:p w14:paraId="1523F042" w14:textId="77777777" w:rsidR="00945D51" w:rsidRDefault="00945D51" w:rsidP="00375E8F">
            <w:pPr>
              <w:pStyle w:val="TableText"/>
              <w:spacing w:before="60" w:after="60" w:line="240" w:lineRule="auto"/>
              <w:rPr>
                <w:sz w:val="18"/>
                <w:lang w:val="en-NZ" w:eastAsia="en-NZ"/>
              </w:rPr>
            </w:pPr>
            <w:r w:rsidRPr="001234C9">
              <w:rPr>
                <w:sz w:val="18"/>
                <w:lang w:val="en-NZ" w:eastAsia="en-NZ"/>
              </w:rPr>
              <w:t>Content analysis against evaluation questions.</w:t>
            </w:r>
          </w:p>
          <w:p w14:paraId="1EC4DDC9"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Descriptive analysis</w:t>
            </w:r>
            <w:r>
              <w:rPr>
                <w:sz w:val="18"/>
                <w:lang w:val="en-NZ" w:eastAsia="en-NZ"/>
              </w:rPr>
              <w:t>.</w:t>
            </w:r>
          </w:p>
        </w:tc>
      </w:tr>
      <w:tr w:rsidR="00945D51" w:rsidRPr="001234C9" w14:paraId="0A969AAE" w14:textId="77777777" w:rsidTr="00375E8F">
        <w:trPr>
          <w:trHeight w:val="20"/>
        </w:trPr>
        <w:tc>
          <w:tcPr>
            <w:tcW w:w="1167" w:type="pct"/>
            <w:vMerge/>
            <w:shd w:val="clear" w:color="auto" w:fill="FFFFFF"/>
          </w:tcPr>
          <w:p w14:paraId="37190E5F" w14:textId="77777777" w:rsidR="00945D51" w:rsidRPr="001234C9" w:rsidRDefault="00945D51" w:rsidP="00375E8F">
            <w:pPr>
              <w:pStyle w:val="TableText"/>
              <w:spacing w:before="60" w:after="60" w:line="240" w:lineRule="auto"/>
              <w:rPr>
                <w:sz w:val="18"/>
                <w:lang w:val="en-NZ" w:eastAsia="en-NZ"/>
              </w:rPr>
            </w:pPr>
          </w:p>
        </w:tc>
        <w:tc>
          <w:tcPr>
            <w:tcW w:w="709" w:type="pct"/>
            <w:vMerge/>
            <w:shd w:val="clear" w:color="auto" w:fill="FFFFFF"/>
          </w:tcPr>
          <w:p w14:paraId="57491D4A" w14:textId="77777777" w:rsidR="00945D51" w:rsidRPr="001234C9" w:rsidRDefault="00945D51" w:rsidP="00375E8F">
            <w:pPr>
              <w:pStyle w:val="TableText"/>
              <w:spacing w:before="60" w:after="60" w:line="240" w:lineRule="auto"/>
              <w:rPr>
                <w:sz w:val="18"/>
                <w:lang w:val="en-NZ" w:eastAsia="en-NZ"/>
              </w:rPr>
            </w:pPr>
          </w:p>
        </w:tc>
        <w:tc>
          <w:tcPr>
            <w:tcW w:w="1306" w:type="pct"/>
            <w:shd w:val="clear" w:color="auto" w:fill="FFFFFF"/>
          </w:tcPr>
          <w:p w14:paraId="2AF58FD4"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Stakeholders: DFAT; </w:t>
            </w:r>
            <w:r w:rsidR="002E591C">
              <w:rPr>
                <w:sz w:val="18"/>
                <w:lang w:val="en-NZ" w:eastAsia="en-NZ"/>
              </w:rPr>
              <w:t>Australia Awards in Africa</w:t>
            </w:r>
            <w:r w:rsidRPr="001234C9">
              <w:rPr>
                <w:sz w:val="18"/>
                <w:lang w:val="en-NZ" w:eastAsia="en-NZ"/>
              </w:rPr>
              <w:t xml:space="preserve"> staff; individuals/organisations directly involved in implementing </w:t>
            </w:r>
            <w:r w:rsidR="002E591C">
              <w:rPr>
                <w:sz w:val="18"/>
                <w:lang w:val="en-NZ" w:eastAsia="en-NZ"/>
              </w:rPr>
              <w:t>Australia Awards in Africa</w:t>
            </w:r>
            <w:r w:rsidRPr="001234C9">
              <w:rPr>
                <w:sz w:val="18"/>
                <w:lang w:val="en-NZ" w:eastAsia="en-NZ"/>
              </w:rPr>
              <w:t xml:space="preserve"> activities.</w:t>
            </w:r>
          </w:p>
        </w:tc>
        <w:tc>
          <w:tcPr>
            <w:tcW w:w="804" w:type="pct"/>
            <w:shd w:val="clear" w:color="auto" w:fill="FFFFFF"/>
          </w:tcPr>
          <w:p w14:paraId="299B79BB"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Face-to-face/telephone semi-structured interviews.</w:t>
            </w:r>
          </w:p>
          <w:p w14:paraId="4C99B9DF"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Roundtable discussions.</w:t>
            </w:r>
          </w:p>
          <w:p w14:paraId="407C9008" w14:textId="77777777" w:rsidR="00945D51" w:rsidRPr="001234C9" w:rsidRDefault="00945D51" w:rsidP="00375E8F">
            <w:pPr>
              <w:pStyle w:val="TableText"/>
              <w:spacing w:before="60" w:after="60" w:line="240" w:lineRule="auto"/>
              <w:rPr>
                <w:sz w:val="18"/>
                <w:lang w:val="en-NZ" w:eastAsia="en-NZ"/>
              </w:rPr>
            </w:pPr>
          </w:p>
        </w:tc>
        <w:tc>
          <w:tcPr>
            <w:tcW w:w="1013" w:type="pct"/>
            <w:vMerge/>
            <w:shd w:val="clear" w:color="auto" w:fill="FFFFFF"/>
          </w:tcPr>
          <w:p w14:paraId="05AE4B97" w14:textId="77777777" w:rsidR="00945D51" w:rsidRPr="001234C9" w:rsidRDefault="00945D51" w:rsidP="00375E8F">
            <w:pPr>
              <w:pStyle w:val="TableText"/>
              <w:spacing w:before="60" w:after="60" w:line="240" w:lineRule="auto"/>
              <w:rPr>
                <w:sz w:val="18"/>
                <w:lang w:val="en-NZ" w:eastAsia="en-NZ"/>
              </w:rPr>
            </w:pPr>
          </w:p>
        </w:tc>
      </w:tr>
      <w:tr w:rsidR="00945D51" w:rsidRPr="001234C9" w14:paraId="497C6C57" w14:textId="77777777" w:rsidTr="00375E8F">
        <w:trPr>
          <w:trHeight w:val="20"/>
        </w:trPr>
        <w:tc>
          <w:tcPr>
            <w:tcW w:w="1167" w:type="pct"/>
            <w:vMerge w:val="restart"/>
            <w:shd w:val="clear" w:color="auto" w:fill="FFFFFF"/>
          </w:tcPr>
          <w:p w14:paraId="4EB8A8E0" w14:textId="77777777" w:rsidR="00945D51" w:rsidRPr="001234C9" w:rsidRDefault="00945D51" w:rsidP="00375E8F">
            <w:pPr>
              <w:pStyle w:val="TableText"/>
              <w:spacing w:before="60" w:after="60" w:line="240" w:lineRule="auto"/>
              <w:rPr>
                <w:b/>
                <w:sz w:val="18"/>
                <w:lang w:val="en-NZ" w:eastAsia="en-NZ"/>
              </w:rPr>
            </w:pPr>
            <w:r w:rsidRPr="001234C9">
              <w:rPr>
                <w:b/>
                <w:sz w:val="18"/>
                <w:lang w:val="en-NZ" w:eastAsia="en-NZ"/>
              </w:rPr>
              <w:t xml:space="preserve">Effectiveness of the program </w:t>
            </w:r>
          </w:p>
          <w:p w14:paraId="1D3384E6" w14:textId="77777777" w:rsidR="00945D51" w:rsidRPr="001234C9" w:rsidRDefault="00945D51" w:rsidP="00375E8F">
            <w:pPr>
              <w:pStyle w:val="TableText"/>
              <w:spacing w:before="60" w:after="60" w:line="240" w:lineRule="auto"/>
              <w:rPr>
                <w:sz w:val="18"/>
                <w:lang w:val="en-NZ" w:eastAsia="en-NZ"/>
              </w:rPr>
            </w:pPr>
            <w:r w:rsidRPr="001234C9">
              <w:rPr>
                <w:i/>
                <w:sz w:val="18"/>
                <w:lang w:val="en-NZ" w:eastAsia="en-NZ"/>
              </w:rPr>
              <w:t>Key question</w:t>
            </w:r>
            <w:r w:rsidRPr="001234C9">
              <w:rPr>
                <w:sz w:val="18"/>
                <w:lang w:val="en-NZ" w:eastAsia="en-NZ"/>
              </w:rPr>
              <w:t>:</w:t>
            </w:r>
          </w:p>
          <w:p w14:paraId="5C7E3821"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To what extent are the three </w:t>
            </w:r>
            <w:r w:rsidR="002E591C">
              <w:rPr>
                <w:sz w:val="18"/>
                <w:lang w:val="en-NZ" w:eastAsia="en-NZ"/>
              </w:rPr>
              <w:t>Australia Awards in Africa</w:t>
            </w:r>
            <w:r w:rsidRPr="001234C9">
              <w:rPr>
                <w:sz w:val="18"/>
                <w:lang w:val="en-NZ" w:eastAsia="en-NZ"/>
              </w:rPr>
              <w:t xml:space="preserve"> program outcomes being achieved or are likely to be achieved?</w:t>
            </w:r>
          </w:p>
          <w:p w14:paraId="713C3C40" w14:textId="77777777" w:rsidR="00945D51" w:rsidRPr="001234C9" w:rsidRDefault="00945D51" w:rsidP="00375E8F">
            <w:pPr>
              <w:pStyle w:val="TableText"/>
              <w:spacing w:before="60" w:after="60" w:line="240" w:lineRule="auto"/>
              <w:rPr>
                <w:sz w:val="18"/>
                <w:lang w:val="en-NZ" w:eastAsia="en-NZ"/>
              </w:rPr>
            </w:pPr>
            <w:r w:rsidRPr="001234C9">
              <w:rPr>
                <w:i/>
                <w:sz w:val="18"/>
                <w:lang w:val="en-NZ" w:eastAsia="en-NZ"/>
              </w:rPr>
              <w:t>Sub-questions</w:t>
            </w:r>
            <w:r w:rsidRPr="001234C9">
              <w:rPr>
                <w:sz w:val="18"/>
                <w:lang w:val="en-NZ" w:eastAsia="en-NZ"/>
              </w:rPr>
              <w:t>:</w:t>
            </w:r>
          </w:p>
          <w:p w14:paraId="2EE06387" w14:textId="77777777" w:rsidR="00945D51" w:rsidRPr="001234C9" w:rsidRDefault="00945D51" w:rsidP="00375E8F">
            <w:pPr>
              <w:pStyle w:val="TableText"/>
              <w:spacing w:before="60" w:after="60" w:line="240" w:lineRule="auto"/>
              <w:rPr>
                <w:sz w:val="18"/>
                <w:lang w:val="en-NZ" w:eastAsia="en-NZ"/>
              </w:rPr>
            </w:pPr>
            <w:r w:rsidRPr="001234C9">
              <w:t xml:space="preserve">What </w:t>
            </w:r>
            <w:r w:rsidRPr="001234C9">
              <w:rPr>
                <w:sz w:val="18"/>
                <w:lang w:val="en-NZ" w:eastAsia="en-NZ"/>
              </w:rPr>
              <w:t>are the major factors influencing the achievement or non-achievement of the outputs and/or outcomes?</w:t>
            </w:r>
          </w:p>
          <w:p w14:paraId="71570AAE" w14:textId="77777777" w:rsidR="00945D51" w:rsidRPr="001234C9" w:rsidRDefault="00945D51" w:rsidP="00375E8F">
            <w:pPr>
              <w:pStyle w:val="TableText"/>
              <w:spacing w:before="60" w:after="60" w:line="240" w:lineRule="auto"/>
            </w:pPr>
            <w:r w:rsidRPr="001234C9">
              <w:rPr>
                <w:sz w:val="18"/>
                <w:lang w:val="en-NZ" w:eastAsia="en-NZ"/>
              </w:rPr>
              <w:t>Is the program targeting the highest priority countries</w:t>
            </w:r>
            <w:r w:rsidRPr="001234C9">
              <w:t xml:space="preserve"> and sectors?</w:t>
            </w:r>
          </w:p>
          <w:p w14:paraId="3341B0D8" w14:textId="2027AF22" w:rsidR="00945D51" w:rsidRPr="001234C9" w:rsidRDefault="00945D51" w:rsidP="00375E8F">
            <w:pPr>
              <w:pStyle w:val="TableText"/>
              <w:spacing w:before="60" w:after="60" w:line="240" w:lineRule="auto"/>
              <w:rPr>
                <w:sz w:val="18"/>
                <w:lang w:val="en-NZ" w:eastAsia="en-NZ"/>
              </w:rPr>
            </w:pPr>
            <w:r w:rsidRPr="001234C9">
              <w:t xml:space="preserve">Is the program engaging with </w:t>
            </w:r>
            <w:r w:rsidR="002E591C">
              <w:t>Australia Awards in Africa</w:t>
            </w:r>
            <w:r w:rsidRPr="001234C9">
              <w:t xml:space="preserve"> </w:t>
            </w:r>
            <w:r w:rsidR="00AB7FF1">
              <w:t>scholar</w:t>
            </w:r>
            <w:r w:rsidRPr="001234C9">
              <w:t xml:space="preserve">s and alumni to maximise program outcomes </w:t>
            </w:r>
            <w:r w:rsidRPr="001234C9">
              <w:rPr>
                <w:sz w:val="18"/>
                <w:lang w:val="en-NZ" w:eastAsia="en-NZ"/>
              </w:rPr>
              <w:t>around public diplomacy and people-to-people links?</w:t>
            </w:r>
          </w:p>
          <w:p w14:paraId="7A2A1D37" w14:textId="77777777" w:rsidR="00945D51" w:rsidRPr="001234C9" w:rsidRDefault="00945D51" w:rsidP="00945D51">
            <w:pPr>
              <w:pStyle w:val="TableText"/>
              <w:spacing w:before="60" w:after="60" w:line="240" w:lineRule="auto"/>
              <w:rPr>
                <w:sz w:val="18"/>
                <w:lang w:val="en-NZ" w:eastAsia="en-NZ"/>
              </w:rPr>
            </w:pPr>
            <w:r w:rsidRPr="001234C9">
              <w:rPr>
                <w:sz w:val="18"/>
                <w:lang w:val="en-NZ" w:eastAsia="en-NZ"/>
              </w:rPr>
              <w:lastRenderedPageBreak/>
              <w:t>Is the balance of award types</w:t>
            </w:r>
            <w:r w:rsidRPr="009A29DE">
              <w:rPr>
                <w:sz w:val="18"/>
                <w:vertAlign w:val="superscript"/>
                <w:lang w:val="en-NZ" w:eastAsia="en-NZ"/>
              </w:rPr>
              <w:footnoteReference w:id="59"/>
            </w:r>
            <w:r w:rsidRPr="009A29DE">
              <w:rPr>
                <w:sz w:val="18"/>
                <w:vertAlign w:val="superscript"/>
                <w:lang w:val="en-NZ" w:eastAsia="en-NZ"/>
              </w:rPr>
              <w:t xml:space="preserve"> </w:t>
            </w:r>
            <w:r w:rsidRPr="001234C9">
              <w:rPr>
                <w:sz w:val="18"/>
                <w:lang w:val="en-NZ" w:eastAsia="en-NZ"/>
              </w:rPr>
              <w:t>optimal?</w:t>
            </w:r>
            <w:r w:rsidRPr="001234C9">
              <w:rPr>
                <w:sz w:val="18"/>
              </w:rPr>
              <w:t xml:space="preserve"> </w:t>
            </w:r>
            <w:r>
              <w:rPr>
                <w:sz w:val="18"/>
              </w:rPr>
              <w:t xml:space="preserve">To what extent are </w:t>
            </w:r>
            <w:r w:rsidRPr="001234C9">
              <w:rPr>
                <w:sz w:val="18"/>
              </w:rPr>
              <w:t xml:space="preserve">private sector engagement </w:t>
            </w:r>
            <w:r>
              <w:rPr>
                <w:sz w:val="18"/>
              </w:rPr>
              <w:t xml:space="preserve">objectives </w:t>
            </w:r>
            <w:r w:rsidRPr="001234C9">
              <w:rPr>
                <w:sz w:val="18"/>
              </w:rPr>
              <w:t>being achieved?</w:t>
            </w:r>
            <w:r w:rsidRPr="001234C9">
              <w:t xml:space="preserve"> </w:t>
            </w:r>
            <w:r w:rsidRPr="001234C9">
              <w:rPr>
                <w:sz w:val="18"/>
                <w:lang w:val="en-NZ" w:eastAsia="en-NZ"/>
              </w:rPr>
              <w:t xml:space="preserve"> </w:t>
            </w:r>
            <w:r w:rsidRPr="001234C9">
              <w:t xml:space="preserve"> </w:t>
            </w:r>
          </w:p>
        </w:tc>
        <w:tc>
          <w:tcPr>
            <w:tcW w:w="709" w:type="pct"/>
            <w:vMerge w:val="restart"/>
            <w:shd w:val="clear" w:color="auto" w:fill="FFFFFF"/>
          </w:tcPr>
          <w:p w14:paraId="3CAFC383"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lastRenderedPageBreak/>
              <w:t xml:space="preserve">Examination of progress </w:t>
            </w:r>
            <w:r>
              <w:rPr>
                <w:sz w:val="18"/>
                <w:lang w:val="en-NZ" w:eastAsia="en-NZ"/>
              </w:rPr>
              <w:t>towards</w:t>
            </w:r>
            <w:r w:rsidRPr="001234C9">
              <w:rPr>
                <w:sz w:val="18"/>
                <w:lang w:val="en-NZ" w:eastAsia="en-NZ"/>
              </w:rPr>
              <w:t xml:space="preserve"> outcomes through </w:t>
            </w:r>
            <w:r>
              <w:rPr>
                <w:sz w:val="18"/>
                <w:lang w:val="en-NZ" w:eastAsia="en-NZ"/>
              </w:rPr>
              <w:t>r</w:t>
            </w:r>
            <w:r w:rsidRPr="001234C9">
              <w:rPr>
                <w:sz w:val="18"/>
                <w:lang w:val="en-NZ" w:eastAsia="en-NZ"/>
              </w:rPr>
              <w:t xml:space="preserve">eview of program documents, </w:t>
            </w:r>
            <w:proofErr w:type="gramStart"/>
            <w:r w:rsidRPr="001234C9">
              <w:rPr>
                <w:sz w:val="18"/>
                <w:lang w:val="en-NZ" w:eastAsia="en-NZ"/>
              </w:rPr>
              <w:t>reports</w:t>
            </w:r>
            <w:proofErr w:type="gramEnd"/>
            <w:r w:rsidRPr="001234C9">
              <w:rPr>
                <w:sz w:val="18"/>
                <w:lang w:val="en-NZ" w:eastAsia="en-NZ"/>
              </w:rPr>
              <w:t xml:space="preserve"> and existing alumni data (outcomes surveys and tracer reports) </w:t>
            </w:r>
            <w:r>
              <w:rPr>
                <w:sz w:val="18"/>
                <w:lang w:val="en-NZ" w:eastAsia="en-NZ"/>
              </w:rPr>
              <w:t>and stakeholder interviews.</w:t>
            </w:r>
          </w:p>
        </w:tc>
        <w:tc>
          <w:tcPr>
            <w:tcW w:w="1306" w:type="pct"/>
            <w:shd w:val="clear" w:color="auto" w:fill="FFFFFF"/>
          </w:tcPr>
          <w:p w14:paraId="3DEC4E3C"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DFAT policy and strategy documents; </w:t>
            </w:r>
            <w:r w:rsidR="002E591C">
              <w:rPr>
                <w:sz w:val="18"/>
                <w:lang w:val="en-NZ" w:eastAsia="en-NZ"/>
              </w:rPr>
              <w:t>Australia Awards in Africa</w:t>
            </w:r>
            <w:r w:rsidRPr="001234C9">
              <w:rPr>
                <w:sz w:val="18"/>
                <w:lang w:val="en-NZ" w:eastAsia="en-NZ"/>
              </w:rPr>
              <w:t xml:space="preserve"> planning, </w:t>
            </w:r>
            <w:proofErr w:type="gramStart"/>
            <w:r w:rsidRPr="001234C9">
              <w:rPr>
                <w:sz w:val="18"/>
                <w:lang w:val="en-NZ" w:eastAsia="en-NZ"/>
              </w:rPr>
              <w:t>monitoring</w:t>
            </w:r>
            <w:proofErr w:type="gramEnd"/>
            <w:r w:rsidRPr="001234C9">
              <w:rPr>
                <w:sz w:val="18"/>
                <w:lang w:val="en-NZ" w:eastAsia="en-NZ"/>
              </w:rPr>
              <w:t xml:space="preserve"> and reporting documents. </w:t>
            </w:r>
          </w:p>
        </w:tc>
        <w:tc>
          <w:tcPr>
            <w:tcW w:w="804" w:type="pct"/>
            <w:shd w:val="clear" w:color="auto" w:fill="FFFFFF"/>
          </w:tcPr>
          <w:p w14:paraId="2D821EE0" w14:textId="77777777" w:rsidR="00945D51" w:rsidRDefault="00945D51" w:rsidP="00375E8F">
            <w:pPr>
              <w:pStyle w:val="TableText"/>
              <w:spacing w:before="60" w:after="60" w:line="240" w:lineRule="auto"/>
              <w:rPr>
                <w:sz w:val="18"/>
                <w:lang w:val="en-NZ" w:eastAsia="en-NZ"/>
              </w:rPr>
            </w:pPr>
            <w:r w:rsidRPr="001234C9">
              <w:rPr>
                <w:sz w:val="18"/>
                <w:lang w:val="en-NZ" w:eastAsia="en-NZ"/>
              </w:rPr>
              <w:t xml:space="preserve">Document Review. </w:t>
            </w:r>
          </w:p>
          <w:p w14:paraId="73E7515C"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Qualitative data </w:t>
            </w:r>
            <w:r>
              <w:rPr>
                <w:sz w:val="18"/>
                <w:lang w:val="en-NZ" w:eastAsia="en-NZ"/>
              </w:rPr>
              <w:t xml:space="preserve">sourced from case studies of Australia Awards </w:t>
            </w:r>
            <w:r w:rsidRPr="001234C9">
              <w:rPr>
                <w:sz w:val="18"/>
                <w:lang w:val="en-NZ" w:eastAsia="en-NZ"/>
              </w:rPr>
              <w:t>alumni</w:t>
            </w:r>
            <w:r>
              <w:rPr>
                <w:sz w:val="18"/>
                <w:lang w:val="en-NZ" w:eastAsia="en-NZ"/>
              </w:rPr>
              <w:t>.</w:t>
            </w:r>
          </w:p>
        </w:tc>
        <w:tc>
          <w:tcPr>
            <w:tcW w:w="1013" w:type="pct"/>
            <w:vMerge w:val="restart"/>
            <w:shd w:val="clear" w:color="auto" w:fill="FFFFFF"/>
          </w:tcPr>
          <w:p w14:paraId="0C293C66"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Content analysis against the program logic and evaluation questions.</w:t>
            </w:r>
          </w:p>
          <w:p w14:paraId="24FEBFD7" w14:textId="77777777" w:rsidR="00945D51" w:rsidRPr="001234C9" w:rsidRDefault="00945D51" w:rsidP="00375E8F">
            <w:pPr>
              <w:pStyle w:val="TableText"/>
              <w:spacing w:before="60" w:after="60" w:line="240" w:lineRule="auto"/>
              <w:rPr>
                <w:sz w:val="18"/>
                <w:lang w:val="en-NZ" w:eastAsia="en-NZ"/>
              </w:rPr>
            </w:pPr>
          </w:p>
          <w:p w14:paraId="5C126A14"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Descriptive analysis</w:t>
            </w:r>
          </w:p>
        </w:tc>
      </w:tr>
      <w:tr w:rsidR="00945D51" w:rsidRPr="001234C9" w14:paraId="7439FCA4" w14:textId="77777777" w:rsidTr="00375E8F">
        <w:trPr>
          <w:trHeight w:val="20"/>
        </w:trPr>
        <w:tc>
          <w:tcPr>
            <w:tcW w:w="1167" w:type="pct"/>
            <w:vMerge/>
            <w:shd w:val="clear" w:color="auto" w:fill="FFFFFF"/>
          </w:tcPr>
          <w:p w14:paraId="45550EBC" w14:textId="77777777" w:rsidR="00945D51" w:rsidRPr="001234C9" w:rsidRDefault="00945D51" w:rsidP="00375E8F">
            <w:pPr>
              <w:pStyle w:val="TableText"/>
              <w:spacing w:before="60" w:after="60" w:line="240" w:lineRule="auto"/>
              <w:rPr>
                <w:sz w:val="18"/>
                <w:lang w:val="en-NZ" w:eastAsia="en-NZ"/>
              </w:rPr>
            </w:pPr>
          </w:p>
        </w:tc>
        <w:tc>
          <w:tcPr>
            <w:tcW w:w="709" w:type="pct"/>
            <w:vMerge/>
            <w:shd w:val="clear" w:color="auto" w:fill="FFFFFF"/>
          </w:tcPr>
          <w:p w14:paraId="6B2326EC" w14:textId="77777777" w:rsidR="00945D51" w:rsidRPr="001234C9" w:rsidRDefault="00945D51" w:rsidP="00375E8F">
            <w:pPr>
              <w:pStyle w:val="TableText"/>
              <w:spacing w:before="60" w:after="60" w:line="240" w:lineRule="auto"/>
              <w:rPr>
                <w:sz w:val="18"/>
                <w:lang w:val="en-NZ" w:eastAsia="en-NZ"/>
              </w:rPr>
            </w:pPr>
          </w:p>
        </w:tc>
        <w:tc>
          <w:tcPr>
            <w:tcW w:w="1306" w:type="pct"/>
            <w:shd w:val="clear" w:color="auto" w:fill="FFFFFF"/>
          </w:tcPr>
          <w:p w14:paraId="3E9929C4"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Stakeholders: DFAT; </w:t>
            </w:r>
            <w:r w:rsidR="002E591C">
              <w:rPr>
                <w:sz w:val="18"/>
                <w:lang w:val="en-NZ" w:eastAsia="en-NZ"/>
              </w:rPr>
              <w:t>Australia Awards in Africa</w:t>
            </w:r>
            <w:r w:rsidRPr="001234C9">
              <w:rPr>
                <w:sz w:val="18"/>
                <w:lang w:val="en-NZ" w:eastAsia="en-NZ"/>
              </w:rPr>
              <w:t xml:space="preserve"> staff; individuals/organisations directly involved in implementing or benefiting from </w:t>
            </w:r>
            <w:r w:rsidR="002E591C">
              <w:rPr>
                <w:sz w:val="18"/>
                <w:lang w:val="en-NZ" w:eastAsia="en-NZ"/>
              </w:rPr>
              <w:t>Australia Awards in Africa</w:t>
            </w:r>
            <w:r w:rsidRPr="001234C9">
              <w:rPr>
                <w:sz w:val="18"/>
                <w:lang w:val="en-NZ" w:eastAsia="en-NZ"/>
              </w:rPr>
              <w:t xml:space="preserve"> activities.</w:t>
            </w:r>
          </w:p>
        </w:tc>
        <w:tc>
          <w:tcPr>
            <w:tcW w:w="804" w:type="pct"/>
            <w:shd w:val="clear" w:color="auto" w:fill="FFFFFF"/>
          </w:tcPr>
          <w:p w14:paraId="14E40BC3"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Face-to-face/telephone semi-structured interviews.</w:t>
            </w:r>
          </w:p>
          <w:p w14:paraId="0BA3FD3A" w14:textId="77777777" w:rsidR="00945D51" w:rsidRDefault="00945D51" w:rsidP="00375E8F">
            <w:pPr>
              <w:pStyle w:val="TableText"/>
              <w:spacing w:before="60" w:after="60" w:line="240" w:lineRule="auto"/>
              <w:rPr>
                <w:sz w:val="18"/>
                <w:lang w:val="en-NZ" w:eastAsia="en-NZ"/>
              </w:rPr>
            </w:pPr>
            <w:r>
              <w:rPr>
                <w:sz w:val="18"/>
                <w:lang w:val="en-NZ" w:eastAsia="en-NZ"/>
              </w:rPr>
              <w:t>Roundtable discussion.</w:t>
            </w:r>
          </w:p>
          <w:p w14:paraId="2D365531" w14:textId="77777777" w:rsidR="00945D51" w:rsidRPr="001234C9" w:rsidRDefault="00945D51" w:rsidP="00375E8F">
            <w:pPr>
              <w:pStyle w:val="TableText"/>
              <w:spacing w:before="60" w:after="60" w:line="240" w:lineRule="auto"/>
              <w:rPr>
                <w:sz w:val="18"/>
                <w:lang w:val="en-NZ" w:eastAsia="en-NZ"/>
              </w:rPr>
            </w:pPr>
          </w:p>
        </w:tc>
        <w:tc>
          <w:tcPr>
            <w:tcW w:w="1013" w:type="pct"/>
            <w:vMerge/>
            <w:shd w:val="clear" w:color="auto" w:fill="FFFFFF"/>
          </w:tcPr>
          <w:p w14:paraId="186EF858" w14:textId="77777777" w:rsidR="00945D51" w:rsidRPr="001234C9" w:rsidRDefault="00945D51" w:rsidP="00375E8F">
            <w:pPr>
              <w:pStyle w:val="TableText"/>
              <w:spacing w:before="60" w:after="60" w:line="240" w:lineRule="auto"/>
              <w:rPr>
                <w:sz w:val="18"/>
                <w:lang w:val="en-NZ" w:eastAsia="en-NZ"/>
              </w:rPr>
            </w:pPr>
          </w:p>
        </w:tc>
      </w:tr>
      <w:tr w:rsidR="00945D51" w:rsidRPr="001234C9" w14:paraId="5DDD37DD" w14:textId="77777777" w:rsidTr="00375E8F">
        <w:trPr>
          <w:trHeight w:val="20"/>
        </w:trPr>
        <w:tc>
          <w:tcPr>
            <w:tcW w:w="1167" w:type="pct"/>
            <w:vMerge/>
            <w:shd w:val="clear" w:color="auto" w:fill="FFFFFF"/>
          </w:tcPr>
          <w:p w14:paraId="6F9E1404" w14:textId="77777777" w:rsidR="00945D51" w:rsidRPr="001234C9" w:rsidRDefault="00945D51" w:rsidP="00375E8F">
            <w:pPr>
              <w:pStyle w:val="TableText"/>
              <w:spacing w:before="60" w:after="60" w:line="240" w:lineRule="auto"/>
              <w:rPr>
                <w:sz w:val="18"/>
                <w:lang w:val="en-NZ" w:eastAsia="en-NZ"/>
              </w:rPr>
            </w:pPr>
          </w:p>
        </w:tc>
        <w:tc>
          <w:tcPr>
            <w:tcW w:w="709" w:type="pct"/>
            <w:vMerge/>
            <w:shd w:val="clear" w:color="auto" w:fill="FFFFFF"/>
          </w:tcPr>
          <w:p w14:paraId="1E72C1C9" w14:textId="77777777" w:rsidR="00945D51" w:rsidRPr="001234C9" w:rsidRDefault="00945D51" w:rsidP="00375E8F">
            <w:pPr>
              <w:pStyle w:val="TableText"/>
              <w:spacing w:before="60" w:after="60" w:line="240" w:lineRule="auto"/>
              <w:rPr>
                <w:sz w:val="18"/>
                <w:lang w:val="en-NZ" w:eastAsia="en-NZ"/>
              </w:rPr>
            </w:pPr>
          </w:p>
        </w:tc>
        <w:tc>
          <w:tcPr>
            <w:tcW w:w="1306" w:type="pct"/>
            <w:shd w:val="clear" w:color="auto" w:fill="FFFFFF"/>
          </w:tcPr>
          <w:p w14:paraId="3380F7E3"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Alumni tracer and case studies.</w:t>
            </w:r>
          </w:p>
        </w:tc>
        <w:tc>
          <w:tcPr>
            <w:tcW w:w="804" w:type="pct"/>
            <w:shd w:val="clear" w:color="auto" w:fill="FFFFFF"/>
          </w:tcPr>
          <w:p w14:paraId="75B29E52"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Quantitative </w:t>
            </w:r>
            <w:r>
              <w:rPr>
                <w:sz w:val="18"/>
                <w:lang w:val="en-NZ" w:eastAsia="en-NZ"/>
              </w:rPr>
              <w:t xml:space="preserve">data sourced from surveys of Australia Awards </w:t>
            </w:r>
            <w:r w:rsidRPr="001234C9">
              <w:rPr>
                <w:sz w:val="18"/>
                <w:lang w:val="en-NZ" w:eastAsia="en-NZ"/>
              </w:rPr>
              <w:t>alumni.</w:t>
            </w:r>
          </w:p>
        </w:tc>
        <w:tc>
          <w:tcPr>
            <w:tcW w:w="1013" w:type="pct"/>
            <w:shd w:val="clear" w:color="auto" w:fill="FFFFFF"/>
          </w:tcPr>
          <w:p w14:paraId="6070AE57"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Statistical analysis to be determined based on availability and reliability of data sourced.</w:t>
            </w:r>
          </w:p>
        </w:tc>
      </w:tr>
      <w:tr w:rsidR="00945D51" w:rsidRPr="001234C9" w14:paraId="5547B777" w14:textId="77777777" w:rsidTr="00375E8F">
        <w:trPr>
          <w:trHeight w:val="20"/>
        </w:trPr>
        <w:tc>
          <w:tcPr>
            <w:tcW w:w="1167" w:type="pct"/>
            <w:vMerge w:val="restart"/>
            <w:shd w:val="clear" w:color="auto" w:fill="FFFFFF"/>
          </w:tcPr>
          <w:p w14:paraId="0AB50795" w14:textId="77777777" w:rsidR="00945D51" w:rsidRPr="001234C9" w:rsidRDefault="00945D51" w:rsidP="00375E8F">
            <w:pPr>
              <w:pStyle w:val="TableText"/>
              <w:spacing w:before="60" w:after="60" w:line="240" w:lineRule="auto"/>
              <w:rPr>
                <w:b/>
                <w:sz w:val="18"/>
                <w:lang w:val="en-NZ" w:eastAsia="en-NZ"/>
              </w:rPr>
            </w:pPr>
            <w:r w:rsidRPr="001234C9">
              <w:rPr>
                <w:b/>
                <w:sz w:val="18"/>
                <w:lang w:val="en-NZ" w:eastAsia="en-NZ"/>
              </w:rPr>
              <w:t>Efficiency of program implementation</w:t>
            </w:r>
          </w:p>
          <w:p w14:paraId="5DF0A0FD" w14:textId="77777777" w:rsidR="00945D51" w:rsidRPr="001234C9" w:rsidRDefault="00945D51" w:rsidP="00375E8F">
            <w:pPr>
              <w:pStyle w:val="TableText"/>
              <w:spacing w:before="60" w:after="60" w:line="240" w:lineRule="auto"/>
              <w:rPr>
                <w:i/>
              </w:rPr>
            </w:pPr>
            <w:r w:rsidRPr="001234C9">
              <w:rPr>
                <w:i/>
              </w:rPr>
              <w:t xml:space="preserve">Key </w:t>
            </w:r>
            <w:r w:rsidRPr="001234C9">
              <w:rPr>
                <w:i/>
                <w:sz w:val="18"/>
                <w:lang w:val="en-NZ" w:eastAsia="en-NZ"/>
              </w:rPr>
              <w:t>questions</w:t>
            </w:r>
            <w:r w:rsidRPr="001234C9">
              <w:rPr>
                <w:i/>
              </w:rPr>
              <w:t>:</w:t>
            </w:r>
          </w:p>
          <w:p w14:paraId="735CFD26"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Is the managing contractor delivering efficiently on all aspects of the scope of services, including timelines and budget?</w:t>
            </w:r>
          </w:p>
          <w:p w14:paraId="51688294" w14:textId="77777777" w:rsidR="00945D51" w:rsidRPr="001234C9" w:rsidRDefault="00945D51" w:rsidP="00375E8F">
            <w:pPr>
              <w:pStyle w:val="TableText"/>
              <w:spacing w:before="60" w:after="60" w:line="240" w:lineRule="auto"/>
            </w:pPr>
            <w:r w:rsidRPr="001234C9">
              <w:rPr>
                <w:sz w:val="18"/>
                <w:lang w:val="en-NZ" w:eastAsia="en-NZ"/>
              </w:rPr>
              <w:t>Are the managing contractor’s program reports of good quality, providing fit-for</w:t>
            </w:r>
            <w:r w:rsidRPr="001234C9">
              <w:t>-purpose program data and information that is well targeted to DFAT’s accountability and program decision-making requirements?</w:t>
            </w:r>
          </w:p>
          <w:p w14:paraId="316657A3" w14:textId="77777777" w:rsidR="00945D51" w:rsidRPr="001234C9" w:rsidRDefault="00945D51" w:rsidP="00375E8F">
            <w:pPr>
              <w:pStyle w:val="TableText"/>
              <w:spacing w:before="60" w:after="60" w:line="240" w:lineRule="auto"/>
            </w:pPr>
            <w:r w:rsidRPr="001234C9">
              <w:t xml:space="preserve">Is the managing contractor’s engagement with Africa posts done in such a way as to minimise administrative burden and maximise public and economic diplomacy opportunities? </w:t>
            </w:r>
          </w:p>
          <w:p w14:paraId="3E3CC2F6" w14:textId="77777777" w:rsidR="00945D51" w:rsidRPr="001234C9" w:rsidRDefault="00945D51" w:rsidP="00375E8F">
            <w:pPr>
              <w:pStyle w:val="TableText"/>
              <w:spacing w:before="60" w:after="60" w:line="240" w:lineRule="auto"/>
              <w:rPr>
                <w:sz w:val="18"/>
                <w:lang w:val="en-NZ" w:eastAsia="en-NZ"/>
              </w:rPr>
            </w:pPr>
            <w:r w:rsidRPr="001234C9">
              <w:t>Are there options to streamline processes?</w:t>
            </w:r>
          </w:p>
        </w:tc>
        <w:tc>
          <w:tcPr>
            <w:tcW w:w="709" w:type="pct"/>
            <w:vMerge w:val="restart"/>
            <w:shd w:val="clear" w:color="auto" w:fill="FFFFFF"/>
          </w:tcPr>
          <w:p w14:paraId="3C101A6E"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Assess the program management</w:t>
            </w:r>
            <w:r>
              <w:rPr>
                <w:sz w:val="18"/>
                <w:lang w:val="en-NZ" w:eastAsia="en-NZ"/>
              </w:rPr>
              <w:t xml:space="preserve">, </w:t>
            </w:r>
            <w:proofErr w:type="gramStart"/>
            <w:r>
              <w:rPr>
                <w:sz w:val="18"/>
                <w:lang w:val="en-NZ" w:eastAsia="en-NZ"/>
              </w:rPr>
              <w:t>monitoring</w:t>
            </w:r>
            <w:proofErr w:type="gramEnd"/>
            <w:r>
              <w:rPr>
                <w:sz w:val="18"/>
                <w:lang w:val="en-NZ" w:eastAsia="en-NZ"/>
              </w:rPr>
              <w:t xml:space="preserve"> and reporting</w:t>
            </w:r>
            <w:r w:rsidRPr="001234C9">
              <w:rPr>
                <w:sz w:val="18"/>
                <w:lang w:val="en-NZ" w:eastAsia="en-NZ"/>
              </w:rPr>
              <w:t xml:space="preserve"> arrangements</w:t>
            </w:r>
            <w:r>
              <w:rPr>
                <w:sz w:val="18"/>
                <w:lang w:val="en-NZ" w:eastAsia="en-NZ"/>
              </w:rPr>
              <w:t xml:space="preserve">, with a focus on value-for-money as described in the </w:t>
            </w:r>
            <w:r w:rsidR="002E591C">
              <w:rPr>
                <w:sz w:val="18"/>
                <w:lang w:val="en-NZ" w:eastAsia="en-NZ"/>
              </w:rPr>
              <w:t>Australia Awards in Africa</w:t>
            </w:r>
            <w:r>
              <w:rPr>
                <w:sz w:val="18"/>
                <w:lang w:val="en-NZ" w:eastAsia="en-NZ"/>
              </w:rPr>
              <w:t xml:space="preserve"> design document. </w:t>
            </w:r>
          </w:p>
        </w:tc>
        <w:tc>
          <w:tcPr>
            <w:tcW w:w="1306" w:type="pct"/>
            <w:shd w:val="clear" w:color="auto" w:fill="FFFFFF"/>
          </w:tcPr>
          <w:p w14:paraId="50D2B73D"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DFAT policy and strategy documents; </w:t>
            </w:r>
            <w:r w:rsidR="002E591C">
              <w:rPr>
                <w:sz w:val="18"/>
                <w:lang w:val="en-NZ" w:eastAsia="en-NZ"/>
              </w:rPr>
              <w:t>Australia Awards in Africa</w:t>
            </w:r>
            <w:r w:rsidRPr="001234C9">
              <w:rPr>
                <w:sz w:val="18"/>
                <w:lang w:val="en-NZ" w:eastAsia="en-NZ"/>
              </w:rPr>
              <w:t xml:space="preserve"> planning, </w:t>
            </w:r>
            <w:proofErr w:type="gramStart"/>
            <w:r w:rsidRPr="001234C9">
              <w:rPr>
                <w:sz w:val="18"/>
                <w:lang w:val="en-NZ" w:eastAsia="en-NZ"/>
              </w:rPr>
              <w:t>monitoring</w:t>
            </w:r>
            <w:proofErr w:type="gramEnd"/>
            <w:r w:rsidRPr="001234C9">
              <w:rPr>
                <w:sz w:val="18"/>
                <w:lang w:val="en-NZ" w:eastAsia="en-NZ"/>
              </w:rPr>
              <w:t xml:space="preserve"> and reporting documents, and, where relevant, financial reporting and procurement procedures. </w:t>
            </w:r>
          </w:p>
        </w:tc>
        <w:tc>
          <w:tcPr>
            <w:tcW w:w="804" w:type="pct"/>
            <w:shd w:val="clear" w:color="auto" w:fill="FFFFFF"/>
          </w:tcPr>
          <w:p w14:paraId="3ECC91BA"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Document Review. </w:t>
            </w:r>
          </w:p>
        </w:tc>
        <w:tc>
          <w:tcPr>
            <w:tcW w:w="1013" w:type="pct"/>
            <w:vMerge w:val="restart"/>
            <w:shd w:val="clear" w:color="auto" w:fill="FFFFFF"/>
          </w:tcPr>
          <w:p w14:paraId="48FF5BFE"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Content analysis against evaluation questions.</w:t>
            </w:r>
          </w:p>
          <w:p w14:paraId="07790DCC" w14:textId="77777777" w:rsidR="00945D51" w:rsidRPr="001234C9" w:rsidRDefault="00945D51" w:rsidP="00375E8F">
            <w:pPr>
              <w:pStyle w:val="TableText"/>
              <w:spacing w:before="60" w:after="60" w:line="240" w:lineRule="auto"/>
              <w:rPr>
                <w:sz w:val="18"/>
                <w:lang w:val="en-NZ" w:eastAsia="en-NZ"/>
              </w:rPr>
            </w:pPr>
          </w:p>
          <w:p w14:paraId="4A12FB83" w14:textId="77777777" w:rsidR="00945D51" w:rsidRPr="001234C9" w:rsidRDefault="00945D51" w:rsidP="00375E8F">
            <w:pPr>
              <w:pStyle w:val="TableText"/>
              <w:spacing w:before="60" w:after="60" w:line="240" w:lineRule="auto"/>
              <w:rPr>
                <w:sz w:val="18"/>
                <w:lang w:val="en-NZ" w:eastAsia="en-NZ"/>
              </w:rPr>
            </w:pPr>
          </w:p>
        </w:tc>
      </w:tr>
      <w:tr w:rsidR="00945D51" w:rsidRPr="001234C9" w14:paraId="679B4716" w14:textId="77777777" w:rsidTr="00375E8F">
        <w:trPr>
          <w:trHeight w:val="20"/>
        </w:trPr>
        <w:tc>
          <w:tcPr>
            <w:tcW w:w="1167" w:type="pct"/>
            <w:vMerge/>
            <w:shd w:val="clear" w:color="auto" w:fill="FFFFFF"/>
          </w:tcPr>
          <w:p w14:paraId="3B563921" w14:textId="77777777" w:rsidR="00945D51" w:rsidRPr="001234C9" w:rsidRDefault="00945D51" w:rsidP="00375E8F">
            <w:pPr>
              <w:pStyle w:val="TableText"/>
              <w:spacing w:before="60" w:after="60" w:line="240" w:lineRule="auto"/>
              <w:rPr>
                <w:sz w:val="18"/>
                <w:lang w:val="en-NZ" w:eastAsia="en-NZ"/>
              </w:rPr>
            </w:pPr>
          </w:p>
        </w:tc>
        <w:tc>
          <w:tcPr>
            <w:tcW w:w="709" w:type="pct"/>
            <w:vMerge/>
            <w:shd w:val="clear" w:color="auto" w:fill="FFFFFF"/>
          </w:tcPr>
          <w:p w14:paraId="75DA8C37" w14:textId="77777777" w:rsidR="00945D51" w:rsidRPr="001234C9" w:rsidRDefault="00945D51" w:rsidP="00375E8F">
            <w:pPr>
              <w:pStyle w:val="TableText"/>
              <w:spacing w:before="60" w:after="60" w:line="240" w:lineRule="auto"/>
              <w:rPr>
                <w:sz w:val="18"/>
                <w:lang w:val="en-NZ" w:eastAsia="en-NZ"/>
              </w:rPr>
            </w:pPr>
          </w:p>
        </w:tc>
        <w:tc>
          <w:tcPr>
            <w:tcW w:w="1306" w:type="pct"/>
            <w:shd w:val="clear" w:color="auto" w:fill="FFFFFF"/>
          </w:tcPr>
          <w:p w14:paraId="5C420307"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Stakeholders: DFAT; </w:t>
            </w:r>
            <w:r w:rsidR="002E591C">
              <w:rPr>
                <w:sz w:val="18"/>
                <w:lang w:val="en-NZ" w:eastAsia="en-NZ"/>
              </w:rPr>
              <w:t>Australia Awards in Africa</w:t>
            </w:r>
            <w:r w:rsidRPr="001234C9">
              <w:rPr>
                <w:sz w:val="18"/>
                <w:lang w:val="en-NZ" w:eastAsia="en-NZ"/>
              </w:rPr>
              <w:t xml:space="preserve"> staff; individuals/organisations directly involved in implementing or benefiting from </w:t>
            </w:r>
            <w:r w:rsidR="002E591C">
              <w:rPr>
                <w:sz w:val="18"/>
                <w:lang w:val="en-NZ" w:eastAsia="en-NZ"/>
              </w:rPr>
              <w:t>Australia Awards in Africa</w:t>
            </w:r>
            <w:r w:rsidRPr="001234C9">
              <w:rPr>
                <w:sz w:val="18"/>
                <w:lang w:val="en-NZ" w:eastAsia="en-NZ"/>
              </w:rPr>
              <w:t xml:space="preserve"> activities.</w:t>
            </w:r>
          </w:p>
        </w:tc>
        <w:tc>
          <w:tcPr>
            <w:tcW w:w="804" w:type="pct"/>
            <w:shd w:val="clear" w:color="auto" w:fill="FFFFFF"/>
          </w:tcPr>
          <w:p w14:paraId="6B7B16DB"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Face-to-face/telephone semi-structured interviews.</w:t>
            </w:r>
          </w:p>
          <w:p w14:paraId="6C28BE4D"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Roundtable discussions.</w:t>
            </w:r>
          </w:p>
          <w:p w14:paraId="72197BCB" w14:textId="77777777" w:rsidR="00945D51" w:rsidRPr="001234C9" w:rsidRDefault="00945D51" w:rsidP="00375E8F">
            <w:pPr>
              <w:pStyle w:val="TableText"/>
              <w:spacing w:before="60" w:after="60" w:line="240" w:lineRule="auto"/>
              <w:rPr>
                <w:sz w:val="18"/>
                <w:lang w:val="en-NZ" w:eastAsia="en-NZ"/>
              </w:rPr>
            </w:pPr>
          </w:p>
          <w:p w14:paraId="56AF0345" w14:textId="77777777" w:rsidR="00945D51" w:rsidRPr="001234C9" w:rsidRDefault="00945D51" w:rsidP="00375E8F">
            <w:pPr>
              <w:pStyle w:val="TableText"/>
              <w:spacing w:before="60" w:after="60" w:line="240" w:lineRule="auto"/>
              <w:rPr>
                <w:sz w:val="18"/>
                <w:lang w:val="en-NZ" w:eastAsia="en-NZ"/>
              </w:rPr>
            </w:pPr>
          </w:p>
        </w:tc>
        <w:tc>
          <w:tcPr>
            <w:tcW w:w="1013" w:type="pct"/>
            <w:vMerge/>
            <w:shd w:val="clear" w:color="auto" w:fill="FFFFFF"/>
          </w:tcPr>
          <w:p w14:paraId="131D56E5" w14:textId="77777777" w:rsidR="00945D51" w:rsidRPr="001234C9" w:rsidRDefault="00945D51" w:rsidP="00375E8F">
            <w:pPr>
              <w:pStyle w:val="TableText"/>
              <w:spacing w:before="60" w:after="60" w:line="240" w:lineRule="auto"/>
              <w:rPr>
                <w:sz w:val="18"/>
                <w:lang w:val="en-NZ" w:eastAsia="en-NZ"/>
              </w:rPr>
            </w:pPr>
          </w:p>
        </w:tc>
      </w:tr>
      <w:tr w:rsidR="00945D51" w:rsidRPr="004C0A16" w14:paraId="16F77757" w14:textId="77777777" w:rsidTr="00375E8F">
        <w:trPr>
          <w:trHeight w:val="20"/>
        </w:trPr>
        <w:tc>
          <w:tcPr>
            <w:tcW w:w="1167" w:type="pct"/>
            <w:shd w:val="clear" w:color="auto" w:fill="FFFFFF"/>
          </w:tcPr>
          <w:p w14:paraId="4B03042A" w14:textId="77777777" w:rsidR="00945D51" w:rsidRPr="001234C9" w:rsidRDefault="00945D51" w:rsidP="00375E8F">
            <w:pPr>
              <w:pStyle w:val="TableText"/>
              <w:spacing w:before="60" w:after="60" w:line="240" w:lineRule="auto"/>
              <w:rPr>
                <w:b/>
                <w:sz w:val="18"/>
                <w:lang w:val="en-NZ" w:eastAsia="en-NZ"/>
              </w:rPr>
            </w:pPr>
            <w:r w:rsidRPr="001234C9">
              <w:rPr>
                <w:b/>
                <w:sz w:val="18"/>
                <w:lang w:val="en-NZ" w:eastAsia="en-NZ"/>
              </w:rPr>
              <w:t xml:space="preserve">Gender equality and social inclusion </w:t>
            </w:r>
          </w:p>
          <w:p w14:paraId="4DC38BAF"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What steps have been taken by the program to identify and reduce barriers to inclusion, and have they have been successful?   </w:t>
            </w:r>
          </w:p>
        </w:tc>
        <w:tc>
          <w:tcPr>
            <w:tcW w:w="709" w:type="pct"/>
            <w:shd w:val="clear" w:color="auto" w:fill="FFFFFF"/>
          </w:tcPr>
          <w:p w14:paraId="61D29CE7"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Assessment of GESI achievements will be integrated into data collection and analysis for effectiveness key evaluation questions.</w:t>
            </w:r>
          </w:p>
        </w:tc>
        <w:tc>
          <w:tcPr>
            <w:tcW w:w="1306" w:type="pct"/>
            <w:shd w:val="clear" w:color="auto" w:fill="FFFFFF"/>
          </w:tcPr>
          <w:p w14:paraId="67DA2C12"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As per ‘effectiveness’ evaluation questions </w:t>
            </w:r>
            <w:r>
              <w:rPr>
                <w:sz w:val="18"/>
                <w:lang w:val="en-NZ" w:eastAsia="en-NZ"/>
              </w:rPr>
              <w:t>data sources</w:t>
            </w:r>
            <w:r w:rsidRPr="001234C9">
              <w:rPr>
                <w:sz w:val="18"/>
                <w:lang w:val="en-NZ" w:eastAsia="en-NZ"/>
              </w:rPr>
              <w:t xml:space="preserve">. </w:t>
            </w:r>
          </w:p>
        </w:tc>
        <w:tc>
          <w:tcPr>
            <w:tcW w:w="804" w:type="pct"/>
            <w:shd w:val="clear" w:color="auto" w:fill="FFFFFF"/>
          </w:tcPr>
          <w:p w14:paraId="37D9ACCB"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 xml:space="preserve">As per ‘effectiveness’ evaluation questions </w:t>
            </w:r>
            <w:r>
              <w:rPr>
                <w:sz w:val="18"/>
                <w:lang w:val="en-NZ" w:eastAsia="en-NZ"/>
              </w:rPr>
              <w:t>data collection</w:t>
            </w:r>
            <w:r w:rsidRPr="001234C9">
              <w:rPr>
                <w:sz w:val="18"/>
                <w:lang w:val="en-NZ" w:eastAsia="en-NZ"/>
              </w:rPr>
              <w:t xml:space="preserve">. </w:t>
            </w:r>
          </w:p>
          <w:p w14:paraId="34C6C40F" w14:textId="77777777" w:rsidR="00945D51" w:rsidRPr="001234C9" w:rsidRDefault="00945D51" w:rsidP="00375E8F">
            <w:pPr>
              <w:pStyle w:val="TableText"/>
              <w:spacing w:before="60" w:after="60" w:line="240" w:lineRule="auto"/>
              <w:rPr>
                <w:sz w:val="18"/>
                <w:lang w:val="en-NZ" w:eastAsia="en-NZ"/>
              </w:rPr>
            </w:pPr>
          </w:p>
          <w:p w14:paraId="485C44E5" w14:textId="77777777" w:rsidR="00945D51" w:rsidRPr="001234C9" w:rsidRDefault="00945D51" w:rsidP="00375E8F">
            <w:pPr>
              <w:pStyle w:val="TableText"/>
              <w:spacing w:before="60" w:after="60" w:line="240" w:lineRule="auto"/>
              <w:rPr>
                <w:sz w:val="18"/>
                <w:lang w:val="en-NZ" w:eastAsia="en-NZ"/>
              </w:rPr>
            </w:pPr>
          </w:p>
        </w:tc>
        <w:tc>
          <w:tcPr>
            <w:tcW w:w="1013" w:type="pct"/>
            <w:shd w:val="clear" w:color="auto" w:fill="FFFFFF"/>
          </w:tcPr>
          <w:p w14:paraId="16CBF00B" w14:textId="77777777" w:rsidR="00945D51" w:rsidRPr="001234C9" w:rsidRDefault="00945D51" w:rsidP="00375E8F">
            <w:pPr>
              <w:pStyle w:val="TableText"/>
              <w:spacing w:before="60" w:after="60" w:line="240" w:lineRule="auto"/>
              <w:rPr>
                <w:sz w:val="18"/>
                <w:lang w:val="en-NZ" w:eastAsia="en-NZ"/>
              </w:rPr>
            </w:pPr>
            <w:r w:rsidRPr="001234C9">
              <w:rPr>
                <w:sz w:val="18"/>
                <w:lang w:val="en-NZ" w:eastAsia="en-NZ"/>
              </w:rPr>
              <w:t>Content and descriptive analyses to draw out GESI findings and recommendations.</w:t>
            </w:r>
          </w:p>
          <w:p w14:paraId="28C48A39" w14:textId="77777777" w:rsidR="00945D51" w:rsidRPr="00342401" w:rsidRDefault="00945D51" w:rsidP="00375E8F">
            <w:pPr>
              <w:pStyle w:val="TableText"/>
              <w:spacing w:before="60" w:after="60" w:line="240" w:lineRule="auto"/>
              <w:rPr>
                <w:sz w:val="18"/>
                <w:lang w:val="en-NZ" w:eastAsia="en-NZ"/>
              </w:rPr>
            </w:pPr>
            <w:r w:rsidRPr="001234C9">
              <w:rPr>
                <w:sz w:val="18"/>
                <w:lang w:val="en-NZ" w:eastAsia="en-NZ"/>
              </w:rPr>
              <w:t xml:space="preserve">Statistical analysis to </w:t>
            </w:r>
            <w:proofErr w:type="gramStart"/>
            <w:r w:rsidRPr="001234C9">
              <w:rPr>
                <w:sz w:val="18"/>
                <w:lang w:val="en-NZ" w:eastAsia="en-NZ"/>
              </w:rPr>
              <w:t>take into account</w:t>
            </w:r>
            <w:proofErr w:type="gramEnd"/>
            <w:r w:rsidRPr="001234C9">
              <w:rPr>
                <w:sz w:val="18"/>
                <w:lang w:val="en-NZ" w:eastAsia="en-NZ"/>
              </w:rPr>
              <w:t xml:space="preserve"> gender and disability (depending on availability and reliability of data sourced).</w:t>
            </w:r>
          </w:p>
        </w:tc>
      </w:tr>
    </w:tbl>
    <w:p w14:paraId="2EA9F4C9" w14:textId="77777777" w:rsidR="00945D51" w:rsidRDefault="00945D51" w:rsidP="00C06C8E">
      <w:pPr>
        <w:pStyle w:val="TableName"/>
        <w:sectPr w:rsidR="00945D51" w:rsidSect="00C06C8E">
          <w:pgSz w:w="16838" w:h="11906" w:orient="landscape" w:code="9"/>
          <w:pgMar w:top="1440" w:right="1440" w:bottom="1440" w:left="1440" w:header="578" w:footer="578" w:gutter="0"/>
          <w:cols w:space="720"/>
          <w:titlePg/>
          <w:docGrid w:linePitch="286"/>
        </w:sectPr>
      </w:pPr>
    </w:p>
    <w:p w14:paraId="492094FE" w14:textId="77777777" w:rsidR="00C06C8E" w:rsidRDefault="00C06C8E" w:rsidP="0092622F">
      <w:pPr>
        <w:pStyle w:val="Heading2a"/>
        <w:numPr>
          <w:ilvl w:val="0"/>
          <w:numId w:val="0"/>
        </w:numPr>
      </w:pPr>
      <w:r w:rsidRPr="003F58DE">
        <w:lastRenderedPageBreak/>
        <w:t xml:space="preserve">Data </w:t>
      </w:r>
      <w:r w:rsidRPr="00C741A5">
        <w:t>collection</w:t>
      </w:r>
      <w:r w:rsidRPr="003F58DE">
        <w:t xml:space="preserve"> and analysis</w:t>
      </w:r>
    </w:p>
    <w:p w14:paraId="0200A32D" w14:textId="77777777" w:rsidR="00CE3F1A" w:rsidRPr="00CE3F1A" w:rsidRDefault="00CE3F1A" w:rsidP="0092622F">
      <w:pPr>
        <w:pStyle w:val="Heading3a"/>
        <w:numPr>
          <w:ilvl w:val="0"/>
          <w:numId w:val="0"/>
        </w:numPr>
      </w:pPr>
      <w:r>
        <w:t xml:space="preserve">Literature </w:t>
      </w:r>
      <w:r w:rsidR="004F1E57">
        <w:t>and data r</w:t>
      </w:r>
      <w:r>
        <w:t>eview</w:t>
      </w:r>
    </w:p>
    <w:p w14:paraId="6D80B316" w14:textId="77777777" w:rsidR="00CE3F1A" w:rsidRDefault="00CE3F1A" w:rsidP="00E75906">
      <w:r>
        <w:t xml:space="preserve">The literature and data review </w:t>
      </w:r>
      <w:r w:rsidRPr="00AD632A">
        <w:t>provide</w:t>
      </w:r>
      <w:r w:rsidR="004F1E57">
        <w:t>d</w:t>
      </w:r>
      <w:r w:rsidRPr="00AD632A">
        <w:t xml:space="preserve"> a distilled analysis of program data provided by </w:t>
      </w:r>
      <w:r>
        <w:t xml:space="preserve">Palladium </w:t>
      </w:r>
      <w:r w:rsidR="00E75906">
        <w:t xml:space="preserve">and </w:t>
      </w:r>
      <w:r>
        <w:t>inform</w:t>
      </w:r>
      <w:r w:rsidR="00E75906">
        <w:t>ed</w:t>
      </w:r>
      <w:r>
        <w:t xml:space="preserve"> the lines of enquiry for the data collection phase of the </w:t>
      </w:r>
      <w:r w:rsidRPr="0096009A">
        <w:t>evaluation</w:t>
      </w:r>
      <w:r>
        <w:t xml:space="preserve">. </w:t>
      </w:r>
    </w:p>
    <w:p w14:paraId="7D63469B" w14:textId="77777777" w:rsidR="00CE3F1A" w:rsidRDefault="00CE3F1A" w:rsidP="00CE3F1A">
      <w:r>
        <w:t>The evaluator reviewed the program design, program reports,</w:t>
      </w:r>
      <w:r w:rsidRPr="0096009A">
        <w:t xml:space="preserve"> </w:t>
      </w:r>
      <w:r>
        <w:t xml:space="preserve">DFAT’s investment quality reports, and DFAT policies and strategies. The evaluator analysed program data and scholarships and alumni data as provided in the program reports, outcome surveys and Australia Awards tracer surveys. </w:t>
      </w:r>
    </w:p>
    <w:p w14:paraId="6498A390" w14:textId="77777777" w:rsidR="00CE3F1A" w:rsidRDefault="00CE3F1A" w:rsidP="00CE3F1A">
      <w:r>
        <w:t xml:space="preserve">Documents were coded </w:t>
      </w:r>
      <w:r w:rsidRPr="00A9340B">
        <w:t>in NV</w:t>
      </w:r>
      <w:r>
        <w:t>ivo</w:t>
      </w:r>
      <w:r>
        <w:rPr>
          <w:rStyle w:val="FootnoteReference"/>
        </w:rPr>
        <w:footnoteReference w:id="60"/>
      </w:r>
      <w:r>
        <w:t xml:space="preserve"> against the evaluation questions and themes (context, issues, success, challenges, lessons, for follow-up).  A framework matrix was used to organise the information from the literature against the evaluation questions </w:t>
      </w:r>
      <w:r w:rsidRPr="00D51F0A">
        <w:t>and traffic lighted into positive, mixed, or negative responses, giving a rough visual insight into how the literature contributes to assessments against the evaluation questions</w:t>
      </w:r>
      <w:r>
        <w:t xml:space="preserve">.  This </w:t>
      </w:r>
      <w:r w:rsidR="00E75906">
        <w:t xml:space="preserve">was </w:t>
      </w:r>
      <w:r>
        <w:t xml:space="preserve">be added to over the course of the evaluation and as additional documents are collected by the evaluator during consultations in South Africa, </w:t>
      </w:r>
      <w:proofErr w:type="gramStart"/>
      <w:r>
        <w:t>Ghana</w:t>
      </w:r>
      <w:proofErr w:type="gramEnd"/>
      <w:r>
        <w:t xml:space="preserve"> and Kenya. </w:t>
      </w:r>
    </w:p>
    <w:p w14:paraId="4EC7C3DF" w14:textId="77777777" w:rsidR="00CE3F1A" w:rsidRDefault="00CE3F1A" w:rsidP="00CE3F1A">
      <w:r>
        <w:t xml:space="preserve">Data analysis included collating the MEF data provided in the four six-monthly progress reports. Analysis of the data against the baselines/targets in the MEF included traffic lighting into met, on track, not met, giving a rough visual insight into how </w:t>
      </w:r>
      <w:r w:rsidR="00B915F5">
        <w:t>Australia Awards in Africa</w:t>
      </w:r>
      <w:r>
        <w:t xml:space="preserve"> is progressing against the achievement of its outputs and outcomes. The analysis identified issues of data measurement and where data was not fully reported as per the expectations in the MEF. In addition, high-level data from five Global Tracer Facility reports and the </w:t>
      </w:r>
      <w:r w:rsidR="00E33A40">
        <w:t xml:space="preserve">2017 </w:t>
      </w:r>
      <w:r>
        <w:t>Outcomes</w:t>
      </w:r>
      <w:r w:rsidR="00E33A40">
        <w:t xml:space="preserve"> Study </w:t>
      </w:r>
      <w:r>
        <w:t xml:space="preserve">were combined in a framework matrix against the end-of-program outcomes.  </w:t>
      </w:r>
    </w:p>
    <w:p w14:paraId="60B225D1" w14:textId="77777777" w:rsidR="002D0043" w:rsidRDefault="002D0043" w:rsidP="0092622F">
      <w:pPr>
        <w:pStyle w:val="Heading3a"/>
        <w:numPr>
          <w:ilvl w:val="0"/>
          <w:numId w:val="0"/>
        </w:numPr>
      </w:pPr>
      <w:r>
        <w:t>Data collection</w:t>
      </w:r>
    </w:p>
    <w:p w14:paraId="2D619AAB" w14:textId="5BBDDABA" w:rsidR="002D0043" w:rsidRDefault="002D0043" w:rsidP="00C0003A">
      <w:pPr>
        <w:rPr>
          <w:lang w:val="en-NZ"/>
        </w:rPr>
      </w:pPr>
      <w:r>
        <w:rPr>
          <w:lang w:val="en-NZ"/>
        </w:rPr>
        <w:t xml:space="preserve">The </w:t>
      </w:r>
      <w:r w:rsidRPr="006D7C33">
        <w:rPr>
          <w:lang w:val="en-NZ"/>
        </w:rPr>
        <w:t xml:space="preserve">scope </w:t>
      </w:r>
      <w:r>
        <w:rPr>
          <w:lang w:val="en-NZ"/>
        </w:rPr>
        <w:t xml:space="preserve">of primary data collection </w:t>
      </w:r>
      <w:r w:rsidR="00C0003A">
        <w:rPr>
          <w:lang w:val="en-NZ"/>
        </w:rPr>
        <w:t xml:space="preserve">was </w:t>
      </w:r>
      <w:r>
        <w:rPr>
          <w:lang w:val="en-NZ"/>
        </w:rPr>
        <w:t xml:space="preserve">on gathering program implementation information from key </w:t>
      </w:r>
      <w:r w:rsidRPr="00881531">
        <w:rPr>
          <w:lang w:val="en-NZ"/>
        </w:rPr>
        <w:t>stakeholders</w:t>
      </w:r>
      <w:r w:rsidR="00A0155E">
        <w:rPr>
          <w:lang w:val="en-NZ"/>
        </w:rPr>
        <w:t xml:space="preserve"> (see Appendix B for list of stakeholders consulted)</w:t>
      </w:r>
      <w:r w:rsidRPr="00881531">
        <w:rPr>
          <w:lang w:val="en-NZ"/>
        </w:rPr>
        <w:t>. There is substantial information (in the form of tracer studies and past evaluations) available on the contributions of long-term scholarships delivered under Australia Awards in Africa and globally</w:t>
      </w:r>
      <w:r>
        <w:rPr>
          <w:lang w:val="en-NZ"/>
        </w:rPr>
        <w:t>, and these form</w:t>
      </w:r>
      <w:r w:rsidR="00C0003A">
        <w:rPr>
          <w:lang w:val="en-NZ"/>
        </w:rPr>
        <w:t>ed</w:t>
      </w:r>
      <w:r>
        <w:rPr>
          <w:lang w:val="en-NZ"/>
        </w:rPr>
        <w:t xml:space="preserve"> the secondary data sources for the evaluation</w:t>
      </w:r>
      <w:r w:rsidRPr="00881531">
        <w:rPr>
          <w:lang w:val="en-NZ"/>
        </w:rPr>
        <w:t>. This evaluation d</w:t>
      </w:r>
      <w:r w:rsidR="00C0003A">
        <w:rPr>
          <w:lang w:val="en-NZ"/>
        </w:rPr>
        <w:t>id</w:t>
      </w:r>
      <w:r w:rsidRPr="00881531">
        <w:rPr>
          <w:lang w:val="en-NZ"/>
        </w:rPr>
        <w:t xml:space="preserve"> not seek to duplicate DFAT’s global Australia Awards efforts to trace alumni experiences both while studying in Australia</w:t>
      </w:r>
      <w:r w:rsidRPr="00881531">
        <w:rPr>
          <w:rStyle w:val="FootnoteReference"/>
          <w:lang w:val="en-NZ"/>
        </w:rPr>
        <w:footnoteReference w:id="61"/>
      </w:r>
      <w:r w:rsidRPr="00881531">
        <w:rPr>
          <w:lang w:val="en-NZ"/>
        </w:rPr>
        <w:t xml:space="preserve"> and following their return home</w:t>
      </w:r>
      <w:r w:rsidR="00451A0F">
        <w:rPr>
          <w:lang w:val="en-NZ"/>
        </w:rPr>
        <w:t>.</w:t>
      </w:r>
      <w:r w:rsidRPr="00881531">
        <w:rPr>
          <w:rStyle w:val="FootnoteReference"/>
          <w:lang w:val="en-NZ"/>
        </w:rPr>
        <w:footnoteReference w:id="62"/>
      </w:r>
      <w:r w:rsidRPr="00881531">
        <w:rPr>
          <w:lang w:val="en-NZ"/>
        </w:rPr>
        <w:t xml:space="preserve"> Nor </w:t>
      </w:r>
      <w:r w:rsidR="00C0003A">
        <w:rPr>
          <w:lang w:val="en-NZ"/>
        </w:rPr>
        <w:t>did</w:t>
      </w:r>
      <w:r w:rsidRPr="00881531">
        <w:rPr>
          <w:lang w:val="en-NZ"/>
        </w:rPr>
        <w:t xml:space="preserve"> the evalua</w:t>
      </w:r>
      <w:r w:rsidR="009E11A0">
        <w:rPr>
          <w:lang w:val="en-NZ"/>
        </w:rPr>
        <w:t xml:space="preserve">tion duplicate the </w:t>
      </w:r>
      <w:r w:rsidR="00C0003A">
        <w:rPr>
          <w:lang w:val="en-NZ"/>
        </w:rPr>
        <w:t>o</w:t>
      </w:r>
      <w:r w:rsidR="009E11A0">
        <w:rPr>
          <w:lang w:val="en-NZ"/>
        </w:rPr>
        <w:t xml:space="preserve">utcomes </w:t>
      </w:r>
      <w:r w:rsidR="00C0003A">
        <w:rPr>
          <w:lang w:val="en-NZ"/>
        </w:rPr>
        <w:t>s</w:t>
      </w:r>
      <w:r w:rsidR="009E11A0">
        <w:rPr>
          <w:lang w:val="en-NZ"/>
        </w:rPr>
        <w:t>tudie</w:t>
      </w:r>
      <w:r w:rsidRPr="00881531">
        <w:rPr>
          <w:lang w:val="en-NZ"/>
        </w:rPr>
        <w:t xml:space="preserve">s conducted by </w:t>
      </w:r>
      <w:r w:rsidR="002E591C">
        <w:rPr>
          <w:lang w:val="en-NZ"/>
        </w:rPr>
        <w:t>Australia Awards in Africa</w:t>
      </w:r>
      <w:r w:rsidRPr="00881531">
        <w:rPr>
          <w:lang w:val="en-NZ"/>
        </w:rPr>
        <w:t>.</w:t>
      </w:r>
      <w:r w:rsidRPr="00113080">
        <w:rPr>
          <w:lang w:val="en-NZ"/>
        </w:rPr>
        <w:t xml:space="preserve"> </w:t>
      </w:r>
      <w:r>
        <w:rPr>
          <w:lang w:val="en-NZ"/>
        </w:rPr>
        <w:t xml:space="preserve"> </w:t>
      </w:r>
      <w:r w:rsidR="00B658A0">
        <w:rPr>
          <w:noProof/>
        </w:rPr>
        <w:t>With the exception of the postdoctoral fellows, the evaluation did not include interviewing scholars to understand their on-award experience in Australia.</w:t>
      </w:r>
    </w:p>
    <w:p w14:paraId="14776080" w14:textId="77777777" w:rsidR="00B658A0" w:rsidRPr="00222881" w:rsidRDefault="00B658A0" w:rsidP="00B658A0">
      <w:r>
        <w:t>The evaluator</w:t>
      </w:r>
      <w:r w:rsidRPr="00222881">
        <w:t xml:space="preserve"> participated in briefings in </w:t>
      </w:r>
      <w:r>
        <w:t xml:space="preserve">DFAT </w:t>
      </w:r>
      <w:r w:rsidRPr="00222881">
        <w:t xml:space="preserve">Canberra </w:t>
      </w:r>
      <w:r>
        <w:t xml:space="preserve">(29-30 August 2018) </w:t>
      </w:r>
      <w:r w:rsidRPr="00222881">
        <w:t xml:space="preserve">with </w:t>
      </w:r>
      <w:r>
        <w:rPr>
          <w:noProof/>
          <w:lang w:eastAsia="en-NZ"/>
        </w:rPr>
        <w:t xml:space="preserve">Africa Branch </w:t>
      </w:r>
      <w:r w:rsidRPr="00222881">
        <w:rPr>
          <w:noProof/>
          <w:lang w:eastAsia="en-NZ"/>
        </w:rPr>
        <w:t>and relevant thematic areas (Scholarships and Alumni Branch, Development Economics, Private Sector and Agriculture Branch, Gender Equality Branch)</w:t>
      </w:r>
      <w:r>
        <w:rPr>
          <w:noProof/>
          <w:lang w:eastAsia="en-NZ"/>
        </w:rPr>
        <w:t>.</w:t>
      </w:r>
      <w:r>
        <w:t xml:space="preserve"> </w:t>
      </w:r>
      <w:r w:rsidRPr="00222881">
        <w:t xml:space="preserve">The evaluator also </w:t>
      </w:r>
      <w:r>
        <w:t>p</w:t>
      </w:r>
      <w:r w:rsidRPr="006F388C">
        <w:t>articipate</w:t>
      </w:r>
      <w:r>
        <w:t>d</w:t>
      </w:r>
      <w:r w:rsidRPr="006F388C">
        <w:t xml:space="preserve"> in </w:t>
      </w:r>
      <w:r>
        <w:t xml:space="preserve">phone </w:t>
      </w:r>
      <w:r w:rsidRPr="006F388C">
        <w:t>briefing</w:t>
      </w:r>
      <w:r>
        <w:t>s</w:t>
      </w:r>
      <w:r w:rsidRPr="006F388C">
        <w:t xml:space="preserve"> </w:t>
      </w:r>
      <w:r w:rsidRPr="00BE601E">
        <w:rPr>
          <w:noProof/>
          <w:lang w:eastAsia="en-NZ"/>
        </w:rPr>
        <w:t xml:space="preserve">with </w:t>
      </w:r>
      <w:r>
        <w:rPr>
          <w:noProof/>
          <w:lang w:eastAsia="en-NZ"/>
        </w:rPr>
        <w:t xml:space="preserve">Africa Branch </w:t>
      </w:r>
      <w:r w:rsidRPr="00BE601E">
        <w:rPr>
          <w:noProof/>
          <w:lang w:eastAsia="en-NZ"/>
        </w:rPr>
        <w:t>and post staff</w:t>
      </w:r>
      <w:r>
        <w:rPr>
          <w:rStyle w:val="FootnoteReference"/>
          <w:noProof/>
          <w:lang w:eastAsia="en-NZ"/>
        </w:rPr>
        <w:footnoteReference w:id="63"/>
      </w:r>
      <w:r>
        <w:rPr>
          <w:noProof/>
          <w:lang w:eastAsia="en-NZ"/>
        </w:rPr>
        <w:t xml:space="preserve"> and the Palladium’s Program Director o</w:t>
      </w:r>
      <w:r w:rsidRPr="006F388C">
        <w:t>n key issues</w:t>
      </w:r>
      <w:r>
        <w:t xml:space="preserve"> </w:t>
      </w:r>
      <w:r w:rsidRPr="006F388C">
        <w:t xml:space="preserve">while developing </w:t>
      </w:r>
      <w:r>
        <w:t>the consultation schedule</w:t>
      </w:r>
      <w:r w:rsidRPr="00222881">
        <w:t xml:space="preserve">. </w:t>
      </w:r>
    </w:p>
    <w:p w14:paraId="42BDC1D3" w14:textId="77777777" w:rsidR="00037F87" w:rsidRDefault="002D0043" w:rsidP="00B658A0">
      <w:r>
        <w:t>The evaluator, along with the DFAT evaluation manager, conduct</w:t>
      </w:r>
      <w:r w:rsidR="00B658A0">
        <w:t>ed</w:t>
      </w:r>
      <w:r>
        <w:t xml:space="preserve"> consultations in Ghana, </w:t>
      </w:r>
      <w:proofErr w:type="gramStart"/>
      <w:r>
        <w:t>Kenya</w:t>
      </w:r>
      <w:proofErr w:type="gramEnd"/>
      <w:r>
        <w:t xml:space="preserve"> and South Africa</w:t>
      </w:r>
      <w:r w:rsidR="00B658A0">
        <w:t xml:space="preserve"> (</w:t>
      </w:r>
      <w:r>
        <w:t>12-30 November 2018</w:t>
      </w:r>
      <w:r w:rsidR="00B658A0">
        <w:t xml:space="preserve">) </w:t>
      </w:r>
      <w:r w:rsidR="00037F87">
        <w:t>with the following stakeholders:</w:t>
      </w:r>
    </w:p>
    <w:p w14:paraId="04C1A5C1" w14:textId="77777777" w:rsidR="00037F87" w:rsidRDefault="00037F87" w:rsidP="00B74CD9">
      <w:pPr>
        <w:pStyle w:val="ListParagraph"/>
        <w:numPr>
          <w:ilvl w:val="0"/>
          <w:numId w:val="17"/>
        </w:numPr>
        <w:spacing w:before="0" w:after="200" w:line="276" w:lineRule="auto"/>
        <w:ind w:left="426"/>
      </w:pPr>
      <w:r>
        <w:t xml:space="preserve">DFAT staff at the Australian High Commissions in Pretoria, Accra and Nairobi; </w:t>
      </w:r>
    </w:p>
    <w:p w14:paraId="14009862" w14:textId="77777777" w:rsidR="00037F87" w:rsidRDefault="00037F87" w:rsidP="00B74CD9">
      <w:pPr>
        <w:pStyle w:val="ListParagraph"/>
        <w:numPr>
          <w:ilvl w:val="0"/>
          <w:numId w:val="17"/>
        </w:numPr>
        <w:spacing w:before="0" w:after="200" w:line="276" w:lineRule="auto"/>
        <w:ind w:left="426"/>
      </w:pPr>
      <w:r>
        <w:t xml:space="preserve">Coordinating authority representatives from the Governments of Botswana, </w:t>
      </w:r>
      <w:r w:rsidR="00AD4784">
        <w:rPr>
          <w:lang w:val="en-NZ"/>
        </w:rPr>
        <w:t>Es</w:t>
      </w:r>
      <w:proofErr w:type="spellStart"/>
      <w:r>
        <w:t>watini</w:t>
      </w:r>
      <w:proofErr w:type="spellEnd"/>
      <w:r>
        <w:t xml:space="preserve">, Ghana, Kenya, Mozambique, South Africa;  </w:t>
      </w:r>
    </w:p>
    <w:p w14:paraId="75E2B513" w14:textId="77777777" w:rsidR="00037F87" w:rsidRDefault="00037F87" w:rsidP="00B74CD9">
      <w:pPr>
        <w:pStyle w:val="ListParagraph"/>
        <w:numPr>
          <w:ilvl w:val="0"/>
          <w:numId w:val="17"/>
        </w:numPr>
        <w:spacing w:before="0" w:after="200" w:line="276" w:lineRule="auto"/>
        <w:ind w:left="426"/>
      </w:pPr>
      <w:r>
        <w:lastRenderedPageBreak/>
        <w:t xml:space="preserve">University of Pretoria, University of Ghana, University of Nairobi – supervisors and </w:t>
      </w:r>
      <w:r w:rsidR="001712C6">
        <w:t>postdoctoral</w:t>
      </w:r>
      <w:r>
        <w:t xml:space="preserve"> fellows; </w:t>
      </w:r>
    </w:p>
    <w:p w14:paraId="15499310" w14:textId="77777777" w:rsidR="00037F87" w:rsidRDefault="00037F87" w:rsidP="00B74CD9">
      <w:pPr>
        <w:pStyle w:val="ListParagraph"/>
        <w:numPr>
          <w:ilvl w:val="0"/>
          <w:numId w:val="17"/>
        </w:numPr>
        <w:spacing w:before="0" w:after="200" w:line="276" w:lineRule="auto"/>
        <w:ind w:left="426"/>
      </w:pPr>
      <w:r>
        <w:t>Disabled Person’s Organisations;</w:t>
      </w:r>
    </w:p>
    <w:p w14:paraId="429B9BB6" w14:textId="77777777" w:rsidR="00037F87" w:rsidRDefault="00037F87" w:rsidP="00B74CD9">
      <w:pPr>
        <w:pStyle w:val="ListParagraph"/>
        <w:numPr>
          <w:ilvl w:val="0"/>
          <w:numId w:val="17"/>
        </w:numPr>
        <w:spacing w:before="0" w:after="200" w:line="276" w:lineRule="auto"/>
        <w:ind w:left="426"/>
      </w:pPr>
      <w:r>
        <w:t xml:space="preserve">Australia Awards alumni from Botswana, Ghana, Kenya, South Africa;  </w:t>
      </w:r>
    </w:p>
    <w:p w14:paraId="66B17938" w14:textId="77777777" w:rsidR="00B658A0" w:rsidRDefault="00037F87" w:rsidP="00B74CD9">
      <w:pPr>
        <w:pStyle w:val="ListParagraph"/>
        <w:numPr>
          <w:ilvl w:val="0"/>
          <w:numId w:val="17"/>
        </w:numPr>
        <w:spacing w:before="0" w:after="200" w:line="276" w:lineRule="auto"/>
        <w:ind w:left="426"/>
      </w:pPr>
      <w:r>
        <w:t xml:space="preserve">Australian Government: </w:t>
      </w:r>
      <w:r w:rsidRPr="00A054EC">
        <w:t xml:space="preserve">Australian Trade and Investment Commission (Austrade); </w:t>
      </w:r>
      <w:r>
        <w:t>Home Affairs</w:t>
      </w:r>
      <w:r w:rsidR="00B658A0">
        <w:rPr>
          <w:lang w:val="en-NZ"/>
        </w:rPr>
        <w:t>;</w:t>
      </w:r>
    </w:p>
    <w:p w14:paraId="41844CF5" w14:textId="2341D79E" w:rsidR="00B658A0" w:rsidRDefault="00B658A0" w:rsidP="00B74CD9">
      <w:pPr>
        <w:pStyle w:val="ListParagraph"/>
        <w:numPr>
          <w:ilvl w:val="0"/>
          <w:numId w:val="17"/>
        </w:numPr>
        <w:spacing w:before="0" w:after="200" w:line="276" w:lineRule="auto"/>
        <w:ind w:left="426"/>
      </w:pPr>
      <w:r>
        <w:rPr>
          <w:lang w:val="en-NZ"/>
        </w:rPr>
        <w:t xml:space="preserve">Briefly attended </w:t>
      </w:r>
      <w:r w:rsidR="00037F87" w:rsidRPr="000C3AD7">
        <w:t>three short course</w:t>
      </w:r>
      <w:r w:rsidR="00037F87">
        <w:t xml:space="preserve">s being delivered in South Africa (Public-Private Infrastructure Partnerships), Ghana (Agribusiness) and Kenya (Increasing the development impact of agricultural research) </w:t>
      </w:r>
      <w:r w:rsidR="00037F87" w:rsidRPr="000C3AD7">
        <w:t>and</w:t>
      </w:r>
      <w:r w:rsidR="00037F87" w:rsidRPr="00953EAD">
        <w:t xml:space="preserve"> spoke with </w:t>
      </w:r>
      <w:r w:rsidR="00AB7FF1">
        <w:rPr>
          <w:lang w:val="en-NZ"/>
        </w:rPr>
        <w:t>participant</w:t>
      </w:r>
      <w:r w:rsidR="00037F87" w:rsidRPr="00953EAD">
        <w:t xml:space="preserve">s and </w:t>
      </w:r>
      <w:proofErr w:type="gramStart"/>
      <w:r w:rsidR="00037F87" w:rsidRPr="00953EAD">
        <w:t>facilitators</w:t>
      </w:r>
      <w:r>
        <w:rPr>
          <w:lang w:val="en-NZ"/>
        </w:rPr>
        <w:t>;</w:t>
      </w:r>
      <w:proofErr w:type="gramEnd"/>
    </w:p>
    <w:p w14:paraId="0B893743" w14:textId="143F8D73" w:rsidR="00037F87" w:rsidRDefault="00B658A0" w:rsidP="00B74CD9">
      <w:pPr>
        <w:pStyle w:val="ListParagraph"/>
        <w:numPr>
          <w:ilvl w:val="0"/>
          <w:numId w:val="17"/>
        </w:numPr>
        <w:spacing w:before="0" w:after="200" w:line="276" w:lineRule="auto"/>
        <w:ind w:left="426"/>
      </w:pPr>
      <w:r>
        <w:rPr>
          <w:lang w:val="en-NZ"/>
        </w:rPr>
        <w:t>Briefly</w:t>
      </w:r>
      <w:r w:rsidR="00037F87">
        <w:t xml:space="preserve"> a</w:t>
      </w:r>
      <w:r w:rsidR="00037F87" w:rsidRPr="00953EAD">
        <w:t>ttended the</w:t>
      </w:r>
      <w:r w:rsidR="00037F87">
        <w:t xml:space="preserve"> pre-departure briefing for Intake </w:t>
      </w:r>
      <w:r w:rsidR="00037F87" w:rsidRPr="00953EAD">
        <w:t xml:space="preserve">2019 </w:t>
      </w:r>
      <w:r w:rsidR="00037F87">
        <w:t>m</w:t>
      </w:r>
      <w:r w:rsidR="00037F87" w:rsidRPr="00953EAD">
        <w:t>asters</w:t>
      </w:r>
      <w:r w:rsidR="00037F87">
        <w:t xml:space="preserve">’ </w:t>
      </w:r>
      <w:r w:rsidR="00AB7FF1">
        <w:t>scholar</w:t>
      </w:r>
      <w:r w:rsidR="00037F87">
        <w:t xml:space="preserve">s from </w:t>
      </w:r>
      <w:r w:rsidR="00037F87" w:rsidRPr="00953EAD">
        <w:t xml:space="preserve">Botswana, Mozambique, South Africa and </w:t>
      </w:r>
      <w:r w:rsidR="00AD4784">
        <w:rPr>
          <w:lang w:val="en-NZ"/>
        </w:rPr>
        <w:t>Es</w:t>
      </w:r>
      <w:proofErr w:type="spellStart"/>
      <w:r w:rsidR="00037F87">
        <w:t>watini</w:t>
      </w:r>
      <w:proofErr w:type="spellEnd"/>
      <w:r w:rsidR="00037F87">
        <w:t xml:space="preserve">. </w:t>
      </w:r>
    </w:p>
    <w:p w14:paraId="2A19BA2A" w14:textId="77777777" w:rsidR="00B658A0" w:rsidRDefault="00B658A0" w:rsidP="00B658A0">
      <w:r>
        <w:t xml:space="preserve">Following the in-Africa consultations, the evaluator conducted phone interviews with additional short course providers and postdoctoral fellows in Australia. </w:t>
      </w:r>
    </w:p>
    <w:p w14:paraId="3807B945" w14:textId="77777777" w:rsidR="00B658A0" w:rsidRPr="00EC692B" w:rsidRDefault="00B658A0" w:rsidP="00B658A0">
      <w:r w:rsidRPr="00630937">
        <w:t xml:space="preserve">Data was collected from stakeholders </w:t>
      </w:r>
      <w:r>
        <w:t xml:space="preserve">using </w:t>
      </w:r>
      <w:r w:rsidRPr="00630937">
        <w:t>semi-structured interviews</w:t>
      </w:r>
      <w:r>
        <w:t xml:space="preserve">, which were </w:t>
      </w:r>
      <w:r w:rsidRPr="00630937">
        <w:t xml:space="preserve">steered </w:t>
      </w:r>
      <w:r>
        <w:t xml:space="preserve">by interview guides and </w:t>
      </w:r>
      <w:r w:rsidRPr="00630937">
        <w:t>conversational in nature. The guides acted as prompts to ensure major topics were explored and were adjust</w:t>
      </w:r>
      <w:r w:rsidRPr="00EC692B">
        <w:t>ed throughout the process to pick up new trails of data and test them in subsequent interviews.</w:t>
      </w:r>
    </w:p>
    <w:p w14:paraId="1B5B6802" w14:textId="77777777" w:rsidR="002D0043" w:rsidRPr="00DB62CF" w:rsidRDefault="002D0043" w:rsidP="0092622F">
      <w:pPr>
        <w:pStyle w:val="Heading3a"/>
        <w:numPr>
          <w:ilvl w:val="0"/>
          <w:numId w:val="0"/>
        </w:numPr>
      </w:pPr>
      <w:r>
        <w:t>Data analysis</w:t>
      </w:r>
    </w:p>
    <w:p w14:paraId="1CB1C356" w14:textId="77777777" w:rsidR="002D0043" w:rsidRPr="00EC692B" w:rsidRDefault="002D0043" w:rsidP="002D0043">
      <w:pPr>
        <w:rPr>
          <w:szCs w:val="21"/>
        </w:rPr>
      </w:pPr>
      <w:r w:rsidRPr="00897BE9">
        <w:t>Analysis of the data occur</w:t>
      </w:r>
      <w:r w:rsidR="00456B53">
        <w:t>red</w:t>
      </w:r>
      <w:r w:rsidRPr="00897BE9">
        <w:t xml:space="preserve"> on an ongoing basis during the data collection phase. The </w:t>
      </w:r>
      <w:r>
        <w:t>evaluator</w:t>
      </w:r>
      <w:r w:rsidRPr="00897BE9">
        <w:t xml:space="preserve"> </w:t>
      </w:r>
      <w:r w:rsidRPr="00EC692B">
        <w:t>recorded and tracked analytical insights during the data collection phase</w:t>
      </w:r>
      <w:r>
        <w:t xml:space="preserve">. The evaluator and the DFAT evaluation manager set aside time during the in-country consultations to </w:t>
      </w:r>
      <w:r w:rsidRPr="00EC692B">
        <w:t xml:space="preserve">briefly discuss the major observations, </w:t>
      </w:r>
      <w:proofErr w:type="gramStart"/>
      <w:r w:rsidRPr="00EC692B">
        <w:t>impressions</w:t>
      </w:r>
      <w:proofErr w:type="gramEnd"/>
      <w:r w:rsidRPr="00EC692B">
        <w:t xml:space="preserve"> and emergent sense-making of the data. </w:t>
      </w:r>
      <w:r w:rsidRPr="00EC692B">
        <w:rPr>
          <w:szCs w:val="21"/>
        </w:rPr>
        <w:t>Evidence was triangulated to ensure rigour - emerging themes from interviews were tested in subsequent interviews.</w:t>
      </w:r>
    </w:p>
    <w:p w14:paraId="6A9F6CF7" w14:textId="77777777" w:rsidR="002D0043" w:rsidRDefault="00456B53" w:rsidP="002D0043">
      <w:pPr>
        <w:rPr>
          <w:szCs w:val="21"/>
        </w:rPr>
      </w:pPr>
      <w:r>
        <w:t>E</w:t>
      </w:r>
      <w:r w:rsidRPr="00EC692B">
        <w:t xml:space="preserve">xtensive notes </w:t>
      </w:r>
      <w:r>
        <w:t xml:space="preserve">were taken </w:t>
      </w:r>
      <w:r w:rsidRPr="00EC692B">
        <w:t>of all interviews</w:t>
      </w:r>
      <w:r>
        <w:t xml:space="preserve">. The evaluator used </w:t>
      </w:r>
      <w:r w:rsidR="002D0043" w:rsidRPr="00EC692B">
        <w:t>NVivo (a qualitative research software) to code responses from interviews against the key evaluation questions</w:t>
      </w:r>
      <w:r>
        <w:t xml:space="preserve">, </w:t>
      </w:r>
      <w:r w:rsidRPr="00EC692B">
        <w:t xml:space="preserve">emerging </w:t>
      </w:r>
      <w:proofErr w:type="gramStart"/>
      <w:r w:rsidRPr="00EC692B">
        <w:t>themes</w:t>
      </w:r>
      <w:proofErr w:type="gramEnd"/>
      <w:r w:rsidRPr="00EC692B">
        <w:t xml:space="preserve"> and other insights</w:t>
      </w:r>
      <w:r w:rsidR="002D0043" w:rsidRPr="00EC692B">
        <w:t>. This helped manage large quantities of interview data and simplify the process for identifying emerging themes and gaps and drawing out findings and recommendations.</w:t>
      </w:r>
    </w:p>
    <w:p w14:paraId="01243ED0" w14:textId="77777777" w:rsidR="00456B53" w:rsidRDefault="00456B53" w:rsidP="00456B53">
      <w:r>
        <w:t>Following the in-Africa consultations, t</w:t>
      </w:r>
      <w:r w:rsidRPr="001B4F46">
        <w:t xml:space="preserve">he </w:t>
      </w:r>
      <w:r>
        <w:t>evaluator</w:t>
      </w:r>
      <w:r w:rsidRPr="001B4F46">
        <w:t xml:space="preserve"> </w:t>
      </w:r>
      <w:r w:rsidRPr="00456B53">
        <w:rPr>
          <w:szCs w:val="21"/>
        </w:rPr>
        <w:t>prepared</w:t>
      </w:r>
      <w:r>
        <w:t xml:space="preserve"> an </w:t>
      </w:r>
      <w:r w:rsidRPr="001B4F46">
        <w:t>aide memoire</w:t>
      </w:r>
      <w:r>
        <w:t xml:space="preserve"> </w:t>
      </w:r>
      <w:r w:rsidRPr="00BE601E">
        <w:rPr>
          <w:noProof/>
          <w:lang w:eastAsia="en-NZ"/>
        </w:rPr>
        <w:t xml:space="preserve">for the </w:t>
      </w:r>
      <w:r>
        <w:rPr>
          <w:noProof/>
          <w:lang w:eastAsia="en-NZ"/>
        </w:rPr>
        <w:t xml:space="preserve">evaluation </w:t>
      </w:r>
      <w:r w:rsidRPr="00BE601E">
        <w:rPr>
          <w:noProof/>
          <w:lang w:eastAsia="en-NZ"/>
        </w:rPr>
        <w:t>reference group.</w:t>
      </w:r>
      <w:r w:rsidRPr="001B4F46">
        <w:t xml:space="preserve"> </w:t>
      </w:r>
      <w:r>
        <w:t xml:space="preserve">The </w:t>
      </w:r>
      <w:r w:rsidRPr="00BF4D94">
        <w:t>aide memoire</w:t>
      </w:r>
      <w:r>
        <w:t xml:space="preserve"> provided an overview of the in-Africa consultations and </w:t>
      </w:r>
      <w:r w:rsidRPr="00BF4D94">
        <w:t>summaris</w:t>
      </w:r>
      <w:r>
        <w:t xml:space="preserve">ed preliminary </w:t>
      </w:r>
      <w:r w:rsidRPr="00BE601E">
        <w:rPr>
          <w:noProof/>
          <w:lang w:eastAsia="en-NZ"/>
        </w:rPr>
        <w:t>findings and initial recommendations</w:t>
      </w:r>
      <w:r w:rsidRPr="001B4F46">
        <w:t>.</w:t>
      </w:r>
    </w:p>
    <w:p w14:paraId="668A676F" w14:textId="77777777" w:rsidR="002D0043" w:rsidRPr="001B4F46" w:rsidRDefault="002D0043" w:rsidP="002D0043">
      <w:r w:rsidRPr="00893A21">
        <w:rPr>
          <w:szCs w:val="21"/>
        </w:rPr>
        <w:t xml:space="preserve">The </w:t>
      </w:r>
      <w:r>
        <w:rPr>
          <w:szCs w:val="21"/>
        </w:rPr>
        <w:t xml:space="preserve">evaluator </w:t>
      </w:r>
      <w:r w:rsidRPr="00EC692B">
        <w:t xml:space="preserve">then gathered further </w:t>
      </w:r>
      <w:r w:rsidRPr="00893A21">
        <w:rPr>
          <w:szCs w:val="21"/>
        </w:rPr>
        <w:t>necessary data to address gaps identified in the preliminary analysis</w:t>
      </w:r>
      <w:r>
        <w:rPr>
          <w:szCs w:val="21"/>
        </w:rPr>
        <w:t xml:space="preserve">, and then </w:t>
      </w:r>
      <w:r w:rsidRPr="00893A21">
        <w:rPr>
          <w:szCs w:val="21"/>
        </w:rPr>
        <w:t>do a final analysis of the data against: (</w:t>
      </w:r>
      <w:proofErr w:type="spellStart"/>
      <w:r w:rsidRPr="00893A21">
        <w:rPr>
          <w:szCs w:val="21"/>
        </w:rPr>
        <w:t>i</w:t>
      </w:r>
      <w:proofErr w:type="spellEnd"/>
      <w:r w:rsidRPr="00893A21">
        <w:rPr>
          <w:szCs w:val="21"/>
        </w:rPr>
        <w:t xml:space="preserve">) the key evaluation questions; </w:t>
      </w:r>
      <w:proofErr w:type="gramStart"/>
      <w:r w:rsidRPr="00893A21">
        <w:rPr>
          <w:szCs w:val="21"/>
        </w:rPr>
        <w:t>and,</w:t>
      </w:r>
      <w:proofErr w:type="gramEnd"/>
      <w:r w:rsidRPr="00893A21">
        <w:rPr>
          <w:szCs w:val="21"/>
        </w:rPr>
        <w:t xml:space="preserve"> (ii) emerging themes.</w:t>
      </w:r>
    </w:p>
    <w:p w14:paraId="66AEFE2A" w14:textId="77777777" w:rsidR="004850EF" w:rsidRDefault="004850EF" w:rsidP="004850EF">
      <w:pPr>
        <w:pStyle w:val="SectionTitle"/>
        <w:rPr>
          <w:noProof/>
        </w:rPr>
      </w:pPr>
      <w:bookmarkStart w:id="43" w:name="_Toc1729528"/>
      <w:r>
        <w:rPr>
          <w:noProof/>
        </w:rPr>
        <w:lastRenderedPageBreak/>
        <w:t xml:space="preserve">Appendix </w:t>
      </w:r>
      <w:r w:rsidR="000601BC">
        <w:rPr>
          <w:noProof/>
        </w:rPr>
        <w:t>B</w:t>
      </w:r>
      <w:r>
        <w:rPr>
          <w:noProof/>
        </w:rPr>
        <w:t>: Stakeholder</w:t>
      </w:r>
      <w:r w:rsidR="00037F87">
        <w:rPr>
          <w:noProof/>
        </w:rPr>
        <w:t>s</w:t>
      </w:r>
      <w:r>
        <w:rPr>
          <w:noProof/>
        </w:rPr>
        <w:t xml:space="preserve"> consult</w:t>
      </w:r>
      <w:r w:rsidR="00037F87">
        <w:rPr>
          <w:noProof/>
        </w:rPr>
        <w:t>ed</w:t>
      </w:r>
      <w:bookmarkEnd w:id="43"/>
    </w:p>
    <w:p w14:paraId="62598BB0" w14:textId="77777777" w:rsidR="006A5C6B" w:rsidRDefault="006A5C6B" w:rsidP="006A5C6B">
      <w:r>
        <w:t>Short course participants:</w:t>
      </w:r>
    </w:p>
    <w:p w14:paraId="2050D780" w14:textId="47CEBAB8" w:rsidR="006A5C6B" w:rsidRDefault="00AE4816" w:rsidP="00B74CD9">
      <w:pPr>
        <w:pStyle w:val="ListParagraph"/>
        <w:numPr>
          <w:ilvl w:val="0"/>
          <w:numId w:val="19"/>
        </w:numPr>
      </w:pPr>
      <w:r w:rsidRPr="00AE4816">
        <w:t>Public-Private Infrastructure Partnerships short course</w:t>
      </w:r>
      <w:r w:rsidRPr="00AE4816">
        <w:rPr>
          <w:lang w:val="en-NZ"/>
        </w:rPr>
        <w:t xml:space="preserve">: </w:t>
      </w:r>
      <w:r w:rsidR="006A5C6B" w:rsidRPr="00AE4816">
        <w:t>30 participants (18 female/12 male) from 10</w:t>
      </w:r>
      <w:r w:rsidR="006A5C6B">
        <w:t xml:space="preserve"> countries (Botswana, Cameroon, Ghana, Kenya, Lesotho, Mauritius, Nigeria, Tanzania, Uganda, Zambia).  </w:t>
      </w:r>
    </w:p>
    <w:p w14:paraId="586806F1" w14:textId="011361AC" w:rsidR="006A5C6B" w:rsidRPr="00E51A8D" w:rsidRDefault="00AE4816" w:rsidP="00B74CD9">
      <w:pPr>
        <w:pStyle w:val="ListParagraph"/>
        <w:numPr>
          <w:ilvl w:val="0"/>
          <w:numId w:val="19"/>
        </w:numPr>
      </w:pPr>
      <w:r w:rsidRPr="00AE4816">
        <w:t>Agribusiness short</w:t>
      </w:r>
      <w:r>
        <w:t xml:space="preserve"> course</w:t>
      </w:r>
      <w:r>
        <w:rPr>
          <w:lang w:val="en-NZ"/>
        </w:rPr>
        <w:t xml:space="preserve">: </w:t>
      </w:r>
      <w:r w:rsidR="006A5C6B">
        <w:t xml:space="preserve">29 participants (16 female/13 male) from 8 countries (Cameroon, Ghana, Kenya, Madagascar, Nigeria, Tanzania, Uganda, Zimbabwe). </w:t>
      </w:r>
    </w:p>
    <w:p w14:paraId="29DF234B" w14:textId="6DD0505B" w:rsidR="006A5C6B" w:rsidRDefault="006A5C6B" w:rsidP="006A5C6B">
      <w:r>
        <w:t xml:space="preserve">2019 intake </w:t>
      </w:r>
      <w:r w:rsidR="00AB7FF1">
        <w:t>scholar</w:t>
      </w:r>
      <w:r>
        <w:t>s:</w:t>
      </w:r>
    </w:p>
    <w:p w14:paraId="7059C29E" w14:textId="3E693731" w:rsidR="006A5C6B" w:rsidRDefault="006A5C6B" w:rsidP="00B74CD9">
      <w:pPr>
        <w:pStyle w:val="ListParagraph"/>
        <w:numPr>
          <w:ilvl w:val="0"/>
          <w:numId w:val="20"/>
        </w:numPr>
      </w:pPr>
      <w:r>
        <w:t xml:space="preserve">40 participants (19 female/21 male) from Botswana, </w:t>
      </w:r>
      <w:r w:rsidR="00AD4784">
        <w:rPr>
          <w:lang w:val="en-NZ"/>
        </w:rPr>
        <w:t>Es</w:t>
      </w:r>
      <w:proofErr w:type="spellStart"/>
      <w:r>
        <w:t>watini</w:t>
      </w:r>
      <w:proofErr w:type="spellEnd"/>
      <w:r>
        <w:t xml:space="preserve">, Mauritius, Mozambique, South Africa at the </w:t>
      </w:r>
      <w:r w:rsidRPr="00AE4816">
        <w:t>pre-departure briefing in South</w:t>
      </w:r>
      <w:r>
        <w:t xml:space="preserve"> Africa.  </w:t>
      </w:r>
    </w:p>
    <w:p w14:paraId="3E8C2774" w14:textId="77777777" w:rsidR="006A5C6B" w:rsidRDefault="006A5C6B" w:rsidP="006A5C6B">
      <w:r>
        <w:t>Group or individual interviews:</w:t>
      </w:r>
    </w:p>
    <w:tbl>
      <w:tblPr>
        <w:tblW w:w="4699" w:type="pct"/>
        <w:tblLayout w:type="fixed"/>
        <w:tblLook w:val="04A0" w:firstRow="1" w:lastRow="0" w:firstColumn="1" w:lastColumn="0" w:noHBand="0" w:noVBand="1"/>
      </w:tblPr>
      <w:tblGrid>
        <w:gridCol w:w="2368"/>
        <w:gridCol w:w="3856"/>
        <w:gridCol w:w="3612"/>
      </w:tblGrid>
      <w:tr w:rsidR="006A5C6B" w:rsidRPr="008D14BA" w14:paraId="3AFA3AE4" w14:textId="77777777" w:rsidTr="00A93825">
        <w:trPr>
          <w:trHeight w:val="20"/>
          <w:tblHeader/>
        </w:trPr>
        <w:tc>
          <w:tcPr>
            <w:tcW w:w="1204" w:type="pct"/>
            <w:tcBorders>
              <w:top w:val="single" w:sz="8" w:space="0" w:color="007FAD"/>
              <w:left w:val="nil"/>
              <w:bottom w:val="single" w:sz="8" w:space="0" w:color="007FAD"/>
              <w:right w:val="nil"/>
            </w:tcBorders>
            <w:shd w:val="clear" w:color="000000" w:fill="007FAD"/>
            <w:noWrap/>
          </w:tcPr>
          <w:p w14:paraId="21D250F4" w14:textId="77777777" w:rsidR="006A5C6B" w:rsidRPr="008D14BA" w:rsidRDefault="006A5C6B" w:rsidP="00A93825">
            <w:pPr>
              <w:spacing w:before="0" w:after="0" w:line="240" w:lineRule="auto"/>
              <w:rPr>
                <w:color w:val="000000"/>
                <w:sz w:val="20"/>
                <w:lang w:val="en-NZ" w:eastAsia="en-NZ"/>
              </w:rPr>
            </w:pPr>
            <w:r w:rsidRPr="008D14BA">
              <w:rPr>
                <w:color w:val="000000"/>
                <w:sz w:val="20"/>
                <w:lang w:val="en-NZ" w:eastAsia="en-NZ"/>
              </w:rPr>
              <w:t>Name</w:t>
            </w:r>
          </w:p>
        </w:tc>
        <w:tc>
          <w:tcPr>
            <w:tcW w:w="1960" w:type="pct"/>
            <w:tcBorders>
              <w:top w:val="single" w:sz="8" w:space="0" w:color="007FAD"/>
              <w:left w:val="nil"/>
              <w:bottom w:val="single" w:sz="8" w:space="0" w:color="007FAD"/>
              <w:right w:val="nil"/>
            </w:tcBorders>
            <w:shd w:val="clear" w:color="000000" w:fill="007FAD"/>
            <w:noWrap/>
          </w:tcPr>
          <w:p w14:paraId="1C7862E1" w14:textId="3B453A37" w:rsidR="006A5C6B" w:rsidRPr="008D14BA" w:rsidRDefault="006A5C6B" w:rsidP="00A93825">
            <w:pPr>
              <w:spacing w:before="0" w:after="0" w:line="240" w:lineRule="auto"/>
              <w:rPr>
                <w:color w:val="000000"/>
                <w:sz w:val="20"/>
                <w:lang w:val="en-NZ" w:eastAsia="en-NZ"/>
              </w:rPr>
            </w:pPr>
            <w:r w:rsidRPr="008D14BA">
              <w:rPr>
                <w:color w:val="000000"/>
                <w:sz w:val="20"/>
                <w:lang w:val="en-NZ" w:eastAsia="en-NZ"/>
              </w:rPr>
              <w:t>Position</w:t>
            </w:r>
            <w:r w:rsidR="00E277A7">
              <w:rPr>
                <w:color w:val="000000"/>
                <w:sz w:val="20"/>
                <w:lang w:val="en-NZ" w:eastAsia="en-NZ"/>
              </w:rPr>
              <w:t xml:space="preserve"> </w:t>
            </w:r>
          </w:p>
        </w:tc>
        <w:tc>
          <w:tcPr>
            <w:tcW w:w="1836" w:type="pct"/>
            <w:tcBorders>
              <w:top w:val="single" w:sz="8" w:space="0" w:color="007FAD"/>
              <w:left w:val="nil"/>
              <w:bottom w:val="single" w:sz="8" w:space="0" w:color="007FAD"/>
              <w:right w:val="nil"/>
            </w:tcBorders>
            <w:shd w:val="clear" w:color="000000" w:fill="007FAD"/>
            <w:noWrap/>
          </w:tcPr>
          <w:p w14:paraId="51761B18" w14:textId="77777777" w:rsidR="006A5C6B" w:rsidRPr="008D14BA" w:rsidRDefault="006A5C6B" w:rsidP="00A93825">
            <w:pPr>
              <w:spacing w:before="0" w:after="0" w:line="240" w:lineRule="auto"/>
              <w:rPr>
                <w:color w:val="000000"/>
                <w:sz w:val="20"/>
                <w:lang w:val="en-NZ" w:eastAsia="en-NZ"/>
              </w:rPr>
            </w:pPr>
            <w:r w:rsidRPr="008D14BA">
              <w:rPr>
                <w:color w:val="000000"/>
                <w:sz w:val="20"/>
                <w:lang w:val="en-NZ" w:eastAsia="en-NZ"/>
              </w:rPr>
              <w:t>Organisation</w:t>
            </w:r>
          </w:p>
        </w:tc>
      </w:tr>
      <w:tr w:rsidR="006A5C6B" w:rsidRPr="008D14BA" w14:paraId="0A797D9B" w14:textId="77777777" w:rsidTr="00A93825">
        <w:trPr>
          <w:trHeight w:val="20"/>
        </w:trPr>
        <w:tc>
          <w:tcPr>
            <w:tcW w:w="1204" w:type="pct"/>
            <w:tcBorders>
              <w:top w:val="nil"/>
              <w:left w:val="nil"/>
              <w:bottom w:val="single" w:sz="8" w:space="0" w:color="007FAD"/>
              <w:right w:val="nil"/>
            </w:tcBorders>
            <w:shd w:val="clear" w:color="000000" w:fill="DBE5F1"/>
            <w:noWrap/>
          </w:tcPr>
          <w:p w14:paraId="2CB20822" w14:textId="77777777" w:rsidR="006A5C6B" w:rsidRPr="008D14BA" w:rsidRDefault="006A5C6B" w:rsidP="00A93825">
            <w:pPr>
              <w:spacing w:before="0" w:after="0" w:line="240" w:lineRule="auto"/>
              <w:rPr>
                <w:b/>
                <w:bCs/>
                <w:color w:val="000000"/>
                <w:sz w:val="20"/>
                <w:lang w:val="en-NZ" w:eastAsia="en-NZ"/>
              </w:rPr>
            </w:pPr>
            <w:r w:rsidRPr="008D14BA">
              <w:rPr>
                <w:b/>
                <w:bCs/>
                <w:color w:val="000000"/>
                <w:sz w:val="20"/>
                <w:lang w:val="en-NZ" w:eastAsia="en-NZ"/>
              </w:rPr>
              <w:t>DFAT Canberra</w:t>
            </w:r>
          </w:p>
        </w:tc>
        <w:tc>
          <w:tcPr>
            <w:tcW w:w="1960" w:type="pct"/>
            <w:tcBorders>
              <w:top w:val="nil"/>
              <w:left w:val="nil"/>
              <w:bottom w:val="single" w:sz="8" w:space="0" w:color="007FAD"/>
              <w:right w:val="nil"/>
            </w:tcBorders>
            <w:shd w:val="clear" w:color="000000" w:fill="DBE5F1"/>
            <w:noWrap/>
          </w:tcPr>
          <w:p w14:paraId="44EEC8E2" w14:textId="77777777" w:rsidR="006A5C6B" w:rsidRPr="008D14BA" w:rsidRDefault="006A5C6B" w:rsidP="00A93825">
            <w:pPr>
              <w:spacing w:before="0" w:after="0" w:line="240" w:lineRule="auto"/>
              <w:rPr>
                <w:b/>
                <w:bCs/>
                <w:color w:val="000000"/>
                <w:sz w:val="20"/>
                <w:lang w:val="en-NZ" w:eastAsia="en-NZ"/>
              </w:rPr>
            </w:pPr>
            <w:r w:rsidRPr="008D14BA">
              <w:rPr>
                <w:b/>
                <w:bCs/>
                <w:color w:val="000000"/>
                <w:sz w:val="20"/>
                <w:lang w:val="en-NZ" w:eastAsia="en-NZ"/>
              </w:rPr>
              <w:t> </w:t>
            </w:r>
          </w:p>
        </w:tc>
        <w:tc>
          <w:tcPr>
            <w:tcW w:w="1836" w:type="pct"/>
            <w:tcBorders>
              <w:top w:val="nil"/>
              <w:left w:val="nil"/>
              <w:bottom w:val="single" w:sz="8" w:space="0" w:color="007FAD"/>
              <w:right w:val="nil"/>
            </w:tcBorders>
            <w:shd w:val="clear" w:color="000000" w:fill="DBE5F1"/>
            <w:noWrap/>
          </w:tcPr>
          <w:p w14:paraId="179D595A" w14:textId="77777777" w:rsidR="006A5C6B" w:rsidRPr="008D14BA" w:rsidRDefault="006A5C6B" w:rsidP="00A93825">
            <w:pPr>
              <w:spacing w:before="0" w:after="0" w:line="240" w:lineRule="auto"/>
              <w:rPr>
                <w:b/>
                <w:bCs/>
                <w:color w:val="000000"/>
                <w:sz w:val="20"/>
                <w:lang w:val="en-NZ" w:eastAsia="en-NZ"/>
              </w:rPr>
            </w:pPr>
            <w:r w:rsidRPr="008D14BA">
              <w:rPr>
                <w:b/>
                <w:bCs/>
                <w:color w:val="000000"/>
                <w:sz w:val="20"/>
                <w:lang w:val="en-NZ" w:eastAsia="en-NZ"/>
              </w:rPr>
              <w:t> </w:t>
            </w:r>
          </w:p>
        </w:tc>
      </w:tr>
      <w:tr w:rsidR="006A5C6B" w:rsidRPr="008D14BA" w14:paraId="00BF90FC" w14:textId="77777777" w:rsidTr="00A93825">
        <w:trPr>
          <w:trHeight w:val="20"/>
        </w:trPr>
        <w:tc>
          <w:tcPr>
            <w:tcW w:w="1204" w:type="pct"/>
            <w:tcBorders>
              <w:top w:val="nil"/>
              <w:left w:val="nil"/>
              <w:bottom w:val="single" w:sz="8" w:space="0" w:color="007FAD"/>
              <w:right w:val="nil"/>
            </w:tcBorders>
            <w:shd w:val="clear" w:color="000000" w:fill="FFFFFF"/>
            <w:noWrap/>
          </w:tcPr>
          <w:p w14:paraId="71D467B7" w14:textId="77777777" w:rsidR="006A5C6B" w:rsidRPr="008D14BA" w:rsidRDefault="006A5C6B" w:rsidP="00A93825">
            <w:pPr>
              <w:spacing w:before="0" w:after="0" w:line="240" w:lineRule="auto"/>
              <w:rPr>
                <w:color w:val="000000"/>
                <w:sz w:val="20"/>
                <w:lang w:val="en-NZ" w:eastAsia="en-NZ"/>
              </w:rPr>
            </w:pPr>
            <w:r w:rsidRPr="008D14BA">
              <w:rPr>
                <w:sz w:val="20"/>
              </w:rPr>
              <w:t>Susan Wilson</w:t>
            </w:r>
          </w:p>
        </w:tc>
        <w:tc>
          <w:tcPr>
            <w:tcW w:w="3796" w:type="pct"/>
            <w:gridSpan w:val="2"/>
            <w:tcBorders>
              <w:top w:val="single" w:sz="8" w:space="0" w:color="007FAD"/>
              <w:left w:val="nil"/>
              <w:bottom w:val="single" w:sz="8" w:space="0" w:color="007FAD"/>
              <w:right w:val="nil"/>
            </w:tcBorders>
            <w:shd w:val="clear" w:color="000000" w:fill="FFFFFF"/>
            <w:noWrap/>
          </w:tcPr>
          <w:p w14:paraId="7C9BD176" w14:textId="77777777" w:rsidR="006A5C6B" w:rsidRPr="008D14BA" w:rsidRDefault="006A5C6B" w:rsidP="00A93825">
            <w:pPr>
              <w:spacing w:before="0" w:after="0" w:line="240" w:lineRule="auto"/>
              <w:rPr>
                <w:color w:val="000000"/>
                <w:sz w:val="20"/>
                <w:lang w:val="en-NZ" w:eastAsia="en-NZ"/>
              </w:rPr>
            </w:pPr>
            <w:r w:rsidRPr="008D14BA">
              <w:rPr>
                <w:sz w:val="20"/>
              </w:rPr>
              <w:t>Director, Pan Africa and Effectiveness Section, Africa Branch</w:t>
            </w:r>
          </w:p>
        </w:tc>
      </w:tr>
      <w:tr w:rsidR="006A5C6B" w:rsidRPr="008D14BA" w14:paraId="0CD76F4D" w14:textId="77777777" w:rsidTr="00A93825">
        <w:trPr>
          <w:trHeight w:val="20"/>
        </w:trPr>
        <w:tc>
          <w:tcPr>
            <w:tcW w:w="1204" w:type="pct"/>
            <w:tcBorders>
              <w:top w:val="nil"/>
              <w:left w:val="nil"/>
              <w:bottom w:val="single" w:sz="8" w:space="0" w:color="007FAD"/>
              <w:right w:val="nil"/>
            </w:tcBorders>
            <w:shd w:val="clear" w:color="000000" w:fill="FFFFFF"/>
            <w:noWrap/>
          </w:tcPr>
          <w:p w14:paraId="5029C36D" w14:textId="65773913" w:rsidR="006A5C6B" w:rsidRPr="008D14BA" w:rsidRDefault="006A5C6B" w:rsidP="00A93825">
            <w:pPr>
              <w:spacing w:before="0" w:after="0" w:line="240" w:lineRule="auto"/>
              <w:rPr>
                <w:sz w:val="20"/>
              </w:rPr>
            </w:pPr>
            <w:r w:rsidRPr="008D14BA">
              <w:rPr>
                <w:sz w:val="20"/>
              </w:rPr>
              <w:t>Gnari Michael</w:t>
            </w:r>
          </w:p>
        </w:tc>
        <w:tc>
          <w:tcPr>
            <w:tcW w:w="3796" w:type="pct"/>
            <w:gridSpan w:val="2"/>
            <w:tcBorders>
              <w:top w:val="single" w:sz="8" w:space="0" w:color="007FAD"/>
              <w:left w:val="nil"/>
              <w:bottom w:val="single" w:sz="8" w:space="0" w:color="007FAD"/>
              <w:right w:val="nil"/>
            </w:tcBorders>
            <w:shd w:val="clear" w:color="000000" w:fill="FFFFFF"/>
            <w:noWrap/>
          </w:tcPr>
          <w:p w14:paraId="6D3B090F" w14:textId="77777777" w:rsidR="006A5C6B" w:rsidRPr="008D14BA" w:rsidRDefault="006A5C6B" w:rsidP="00A93825">
            <w:pPr>
              <w:spacing w:before="0" w:after="0" w:line="240" w:lineRule="auto"/>
              <w:rPr>
                <w:sz w:val="20"/>
              </w:rPr>
            </w:pPr>
            <w:r w:rsidRPr="008D14BA">
              <w:rPr>
                <w:sz w:val="20"/>
              </w:rPr>
              <w:t>Assistant Director, Pan Africa and Effectiveness Section, Africa Branch</w:t>
            </w:r>
          </w:p>
        </w:tc>
      </w:tr>
      <w:tr w:rsidR="006A5C6B" w:rsidRPr="008D14BA" w14:paraId="5041D4DB" w14:textId="77777777" w:rsidTr="00A93825">
        <w:trPr>
          <w:trHeight w:val="20"/>
        </w:trPr>
        <w:tc>
          <w:tcPr>
            <w:tcW w:w="1204" w:type="pct"/>
            <w:tcBorders>
              <w:top w:val="nil"/>
              <w:left w:val="nil"/>
              <w:bottom w:val="single" w:sz="8" w:space="0" w:color="007FAD"/>
              <w:right w:val="nil"/>
            </w:tcBorders>
            <w:shd w:val="clear" w:color="000000" w:fill="FFFFFF"/>
            <w:noWrap/>
          </w:tcPr>
          <w:p w14:paraId="3FD59159" w14:textId="77777777" w:rsidR="006A5C6B" w:rsidRPr="008D14BA" w:rsidRDefault="006A5C6B" w:rsidP="00A93825">
            <w:pPr>
              <w:spacing w:before="0" w:after="0" w:line="240" w:lineRule="auto"/>
              <w:rPr>
                <w:sz w:val="20"/>
              </w:rPr>
            </w:pPr>
            <w:r w:rsidRPr="008D14BA">
              <w:rPr>
                <w:sz w:val="20"/>
              </w:rPr>
              <w:t>Mark Snowden</w:t>
            </w:r>
          </w:p>
        </w:tc>
        <w:tc>
          <w:tcPr>
            <w:tcW w:w="3796" w:type="pct"/>
            <w:gridSpan w:val="2"/>
            <w:tcBorders>
              <w:top w:val="single" w:sz="8" w:space="0" w:color="007FAD"/>
              <w:left w:val="nil"/>
              <w:bottom w:val="single" w:sz="8" w:space="0" w:color="007FAD"/>
              <w:right w:val="nil"/>
            </w:tcBorders>
            <w:shd w:val="clear" w:color="000000" w:fill="FFFFFF"/>
            <w:noWrap/>
          </w:tcPr>
          <w:p w14:paraId="7F35DBE5" w14:textId="77777777" w:rsidR="006A5C6B" w:rsidRPr="008D14BA" w:rsidRDefault="006A5C6B" w:rsidP="00A93825">
            <w:pPr>
              <w:spacing w:before="0" w:after="0" w:line="240" w:lineRule="auto"/>
              <w:rPr>
                <w:sz w:val="20"/>
              </w:rPr>
            </w:pPr>
            <w:r w:rsidRPr="008D14BA">
              <w:rPr>
                <w:sz w:val="20"/>
              </w:rPr>
              <w:t>Australia Awards in Africa Manager, Middle East &amp; Africa Partnerships Section, Africa Branch</w:t>
            </w:r>
          </w:p>
        </w:tc>
      </w:tr>
      <w:tr w:rsidR="006A5C6B" w:rsidRPr="008D14BA" w14:paraId="0062B03E" w14:textId="77777777" w:rsidTr="00A93825">
        <w:trPr>
          <w:trHeight w:val="20"/>
        </w:trPr>
        <w:tc>
          <w:tcPr>
            <w:tcW w:w="1204" w:type="pct"/>
            <w:tcBorders>
              <w:top w:val="nil"/>
              <w:left w:val="nil"/>
              <w:bottom w:val="single" w:sz="8" w:space="0" w:color="007FAD"/>
              <w:right w:val="nil"/>
            </w:tcBorders>
            <w:shd w:val="clear" w:color="000000" w:fill="FFFFFF"/>
            <w:noWrap/>
          </w:tcPr>
          <w:p w14:paraId="088FA85C" w14:textId="77777777" w:rsidR="006A5C6B" w:rsidRPr="008D14BA" w:rsidRDefault="006A5C6B" w:rsidP="00A93825">
            <w:pPr>
              <w:spacing w:before="0" w:after="0" w:line="240" w:lineRule="auto"/>
              <w:rPr>
                <w:sz w:val="20"/>
              </w:rPr>
            </w:pPr>
            <w:r w:rsidRPr="008D14BA">
              <w:rPr>
                <w:sz w:val="20"/>
              </w:rPr>
              <w:t>Mika Kontiainen</w:t>
            </w:r>
          </w:p>
        </w:tc>
        <w:tc>
          <w:tcPr>
            <w:tcW w:w="3796" w:type="pct"/>
            <w:gridSpan w:val="2"/>
            <w:tcBorders>
              <w:top w:val="nil"/>
              <w:left w:val="nil"/>
              <w:bottom w:val="single" w:sz="8" w:space="0" w:color="007FAD"/>
              <w:right w:val="nil"/>
            </w:tcBorders>
            <w:shd w:val="clear" w:color="000000" w:fill="FFFFFF"/>
            <w:noWrap/>
          </w:tcPr>
          <w:p w14:paraId="0A3A79E3" w14:textId="77777777" w:rsidR="006A5C6B" w:rsidRPr="008D14BA" w:rsidRDefault="006A5C6B" w:rsidP="00A93825">
            <w:pPr>
              <w:spacing w:before="0" w:after="0" w:line="240" w:lineRule="auto"/>
              <w:rPr>
                <w:sz w:val="20"/>
              </w:rPr>
            </w:pPr>
            <w:r w:rsidRPr="008D14BA">
              <w:rPr>
                <w:sz w:val="20"/>
              </w:rPr>
              <w:t>Director Disability Section</w:t>
            </w:r>
          </w:p>
        </w:tc>
      </w:tr>
      <w:tr w:rsidR="006A5C6B" w:rsidRPr="008D14BA" w14:paraId="56F7BB9D" w14:textId="77777777" w:rsidTr="00A93825">
        <w:trPr>
          <w:trHeight w:val="20"/>
        </w:trPr>
        <w:tc>
          <w:tcPr>
            <w:tcW w:w="1204" w:type="pct"/>
            <w:tcBorders>
              <w:top w:val="nil"/>
              <w:left w:val="nil"/>
              <w:bottom w:val="single" w:sz="8" w:space="0" w:color="007FAD"/>
              <w:right w:val="nil"/>
            </w:tcBorders>
            <w:shd w:val="clear" w:color="000000" w:fill="FFFFFF"/>
            <w:noWrap/>
          </w:tcPr>
          <w:p w14:paraId="650FE588" w14:textId="77777777" w:rsidR="006A5C6B" w:rsidRPr="008D14BA" w:rsidRDefault="006A5C6B" w:rsidP="00A93825">
            <w:pPr>
              <w:spacing w:before="0" w:after="0" w:line="240" w:lineRule="auto"/>
              <w:rPr>
                <w:sz w:val="20"/>
              </w:rPr>
            </w:pPr>
            <w:r w:rsidRPr="008D14BA">
              <w:rPr>
                <w:sz w:val="20"/>
              </w:rPr>
              <w:t>Sacha Blumen</w:t>
            </w:r>
          </w:p>
        </w:tc>
        <w:tc>
          <w:tcPr>
            <w:tcW w:w="3796" w:type="pct"/>
            <w:gridSpan w:val="2"/>
            <w:tcBorders>
              <w:top w:val="single" w:sz="8" w:space="0" w:color="007FAD"/>
              <w:left w:val="nil"/>
              <w:bottom w:val="single" w:sz="8" w:space="0" w:color="007FAD"/>
              <w:right w:val="nil"/>
            </w:tcBorders>
            <w:shd w:val="clear" w:color="000000" w:fill="FFFFFF"/>
            <w:noWrap/>
          </w:tcPr>
          <w:p w14:paraId="2DE5764A" w14:textId="77777777" w:rsidR="006A5C6B" w:rsidRPr="008D14BA" w:rsidRDefault="006A5C6B" w:rsidP="00A93825">
            <w:pPr>
              <w:spacing w:before="0" w:after="0" w:line="240" w:lineRule="auto"/>
              <w:rPr>
                <w:sz w:val="20"/>
              </w:rPr>
            </w:pPr>
            <w:r w:rsidRPr="008D14BA">
              <w:rPr>
                <w:sz w:val="20"/>
              </w:rPr>
              <w:t>Assistant Director Private Sector Development Section</w:t>
            </w:r>
          </w:p>
        </w:tc>
      </w:tr>
      <w:tr w:rsidR="006A5C6B" w:rsidRPr="008D14BA" w14:paraId="67FBE9A8" w14:textId="77777777" w:rsidTr="00A93825">
        <w:trPr>
          <w:trHeight w:val="20"/>
        </w:trPr>
        <w:tc>
          <w:tcPr>
            <w:tcW w:w="1204" w:type="pct"/>
            <w:tcBorders>
              <w:top w:val="nil"/>
              <w:left w:val="nil"/>
              <w:bottom w:val="single" w:sz="8" w:space="0" w:color="007FAD"/>
              <w:right w:val="nil"/>
            </w:tcBorders>
            <w:shd w:val="clear" w:color="000000" w:fill="FFFFFF"/>
            <w:noWrap/>
          </w:tcPr>
          <w:p w14:paraId="78E561DB" w14:textId="77777777" w:rsidR="006A5C6B" w:rsidRPr="008D14BA" w:rsidRDefault="006A5C6B" w:rsidP="00A93825">
            <w:pPr>
              <w:spacing w:before="0" w:after="0" w:line="240" w:lineRule="auto"/>
              <w:rPr>
                <w:sz w:val="20"/>
              </w:rPr>
            </w:pPr>
            <w:r w:rsidRPr="008D14BA">
              <w:rPr>
                <w:sz w:val="20"/>
              </w:rPr>
              <w:t xml:space="preserve">Lyn Henderson </w:t>
            </w:r>
          </w:p>
        </w:tc>
        <w:tc>
          <w:tcPr>
            <w:tcW w:w="3796" w:type="pct"/>
            <w:gridSpan w:val="2"/>
            <w:tcBorders>
              <w:top w:val="nil"/>
              <w:left w:val="nil"/>
              <w:bottom w:val="single" w:sz="8" w:space="0" w:color="007FAD"/>
              <w:right w:val="nil"/>
            </w:tcBorders>
            <w:shd w:val="clear" w:color="000000" w:fill="FFFFFF"/>
            <w:noWrap/>
          </w:tcPr>
          <w:p w14:paraId="12E7F703" w14:textId="77777777" w:rsidR="006A5C6B" w:rsidRPr="008D14BA" w:rsidRDefault="006A5C6B" w:rsidP="00A93825">
            <w:pPr>
              <w:spacing w:before="0" w:after="0" w:line="240" w:lineRule="auto"/>
              <w:rPr>
                <w:sz w:val="20"/>
              </w:rPr>
            </w:pPr>
            <w:r w:rsidRPr="008D14BA">
              <w:rPr>
                <w:sz w:val="20"/>
              </w:rPr>
              <w:t>Assistant Director Alumni Section</w:t>
            </w:r>
            <w:r w:rsidR="00065F61">
              <w:rPr>
                <w:sz w:val="20"/>
              </w:rPr>
              <w:t xml:space="preserve">, </w:t>
            </w:r>
            <w:r w:rsidR="00065F61" w:rsidRPr="00065F61">
              <w:rPr>
                <w:sz w:val="20"/>
              </w:rPr>
              <w:t>Scholarships and Alumni Branch</w:t>
            </w:r>
            <w:r w:rsidR="00065F61" w:rsidRPr="008D14BA">
              <w:rPr>
                <w:sz w:val="20"/>
              </w:rPr>
              <w:t> </w:t>
            </w:r>
          </w:p>
        </w:tc>
      </w:tr>
      <w:tr w:rsidR="00B7688F" w:rsidRPr="008D14BA" w14:paraId="4106C155" w14:textId="77777777" w:rsidTr="00A93825">
        <w:trPr>
          <w:trHeight w:val="20"/>
        </w:trPr>
        <w:tc>
          <w:tcPr>
            <w:tcW w:w="1204" w:type="pct"/>
            <w:tcBorders>
              <w:top w:val="nil"/>
              <w:left w:val="nil"/>
              <w:bottom w:val="single" w:sz="8" w:space="0" w:color="007FAD"/>
              <w:right w:val="nil"/>
            </w:tcBorders>
            <w:shd w:val="clear" w:color="000000" w:fill="FFFFFF"/>
            <w:noWrap/>
          </w:tcPr>
          <w:p w14:paraId="463FBB61" w14:textId="77777777" w:rsidR="00B7688F" w:rsidRPr="008D14BA" w:rsidRDefault="00B7688F" w:rsidP="00B7688F">
            <w:pPr>
              <w:spacing w:before="0" w:after="0" w:line="240" w:lineRule="auto"/>
              <w:rPr>
                <w:sz w:val="20"/>
              </w:rPr>
            </w:pPr>
            <w:r w:rsidRPr="008D14BA">
              <w:rPr>
                <w:sz w:val="20"/>
              </w:rPr>
              <w:t xml:space="preserve">Kayte Davidson </w:t>
            </w:r>
          </w:p>
        </w:tc>
        <w:tc>
          <w:tcPr>
            <w:tcW w:w="3796" w:type="pct"/>
            <w:gridSpan w:val="2"/>
            <w:tcBorders>
              <w:top w:val="single" w:sz="8" w:space="0" w:color="007FAD"/>
              <w:left w:val="nil"/>
              <w:bottom w:val="single" w:sz="8" w:space="0" w:color="007FAD"/>
              <w:right w:val="nil"/>
            </w:tcBorders>
            <w:shd w:val="clear" w:color="000000" w:fill="FFFFFF"/>
            <w:noWrap/>
          </w:tcPr>
          <w:p w14:paraId="160460EA" w14:textId="77777777" w:rsidR="00B7688F" w:rsidRPr="008D14BA" w:rsidRDefault="00B7688F" w:rsidP="00065F61">
            <w:pPr>
              <w:spacing w:before="0" w:after="0" w:line="240" w:lineRule="auto"/>
              <w:rPr>
                <w:sz w:val="20"/>
              </w:rPr>
            </w:pPr>
            <w:r>
              <w:rPr>
                <w:sz w:val="20"/>
              </w:rPr>
              <w:t xml:space="preserve">Assistant </w:t>
            </w:r>
            <w:r w:rsidRPr="008D14BA">
              <w:rPr>
                <w:sz w:val="20"/>
              </w:rPr>
              <w:t xml:space="preserve">Director, Strategy and Governance Section, </w:t>
            </w:r>
            <w:r w:rsidR="00065F61" w:rsidRPr="00065F61">
              <w:rPr>
                <w:sz w:val="20"/>
              </w:rPr>
              <w:t>Scholarships and Alumni Branch</w:t>
            </w:r>
            <w:r w:rsidR="00065F61" w:rsidRPr="008D14BA">
              <w:rPr>
                <w:sz w:val="20"/>
              </w:rPr>
              <w:t> </w:t>
            </w:r>
          </w:p>
        </w:tc>
      </w:tr>
      <w:tr w:rsidR="00B7688F" w:rsidRPr="008D14BA" w14:paraId="23C7F017" w14:textId="77777777" w:rsidTr="00A93825">
        <w:trPr>
          <w:trHeight w:val="20"/>
        </w:trPr>
        <w:tc>
          <w:tcPr>
            <w:tcW w:w="1204" w:type="pct"/>
            <w:tcBorders>
              <w:top w:val="nil"/>
              <w:left w:val="nil"/>
              <w:bottom w:val="single" w:sz="8" w:space="0" w:color="007FAD"/>
              <w:right w:val="nil"/>
            </w:tcBorders>
            <w:shd w:val="clear" w:color="000000" w:fill="FFFFFF"/>
            <w:noWrap/>
          </w:tcPr>
          <w:p w14:paraId="3B33A8EE" w14:textId="77777777" w:rsidR="00B7688F" w:rsidRPr="008D14BA" w:rsidRDefault="00B7688F" w:rsidP="00B7688F">
            <w:pPr>
              <w:spacing w:before="0" w:after="0" w:line="240" w:lineRule="auto"/>
              <w:rPr>
                <w:sz w:val="20"/>
              </w:rPr>
            </w:pPr>
            <w:r w:rsidRPr="008D14BA">
              <w:rPr>
                <w:sz w:val="20"/>
              </w:rPr>
              <w:t>Kate Watson</w:t>
            </w:r>
          </w:p>
        </w:tc>
        <w:tc>
          <w:tcPr>
            <w:tcW w:w="3796" w:type="pct"/>
            <w:gridSpan w:val="2"/>
            <w:tcBorders>
              <w:top w:val="single" w:sz="8" w:space="0" w:color="007FAD"/>
              <w:left w:val="nil"/>
              <w:bottom w:val="single" w:sz="8" w:space="0" w:color="007FAD"/>
              <w:right w:val="nil"/>
            </w:tcBorders>
            <w:shd w:val="clear" w:color="000000" w:fill="FFFFFF"/>
            <w:noWrap/>
          </w:tcPr>
          <w:p w14:paraId="47E47E23" w14:textId="77777777" w:rsidR="00B7688F" w:rsidRPr="008D14BA" w:rsidRDefault="00B7688F" w:rsidP="00B7688F">
            <w:pPr>
              <w:spacing w:before="0" w:after="0" w:line="240" w:lineRule="auto"/>
              <w:rPr>
                <w:sz w:val="20"/>
              </w:rPr>
            </w:pPr>
            <w:r w:rsidRPr="008D14BA">
              <w:rPr>
                <w:sz w:val="20"/>
              </w:rPr>
              <w:t xml:space="preserve">Director, Strategy and Governance Section, </w:t>
            </w:r>
            <w:r w:rsidR="00065F61" w:rsidRPr="00065F61">
              <w:rPr>
                <w:sz w:val="20"/>
              </w:rPr>
              <w:t>Scholarships and Alumni Branch</w:t>
            </w:r>
            <w:r w:rsidR="00065F61" w:rsidRPr="008D14BA">
              <w:rPr>
                <w:sz w:val="20"/>
              </w:rPr>
              <w:t> </w:t>
            </w:r>
          </w:p>
        </w:tc>
      </w:tr>
      <w:tr w:rsidR="00B7688F" w:rsidRPr="008D14BA" w14:paraId="49BED3D2" w14:textId="77777777" w:rsidTr="00A93825">
        <w:trPr>
          <w:trHeight w:val="20"/>
        </w:trPr>
        <w:tc>
          <w:tcPr>
            <w:tcW w:w="1204" w:type="pct"/>
            <w:tcBorders>
              <w:top w:val="nil"/>
              <w:left w:val="nil"/>
              <w:bottom w:val="single" w:sz="8" w:space="0" w:color="007FAD"/>
              <w:right w:val="nil"/>
            </w:tcBorders>
            <w:shd w:val="clear" w:color="000000" w:fill="FFFFFF"/>
            <w:noWrap/>
          </w:tcPr>
          <w:p w14:paraId="485260FF" w14:textId="77777777" w:rsidR="00B7688F" w:rsidRPr="008D14BA" w:rsidRDefault="00B7688F" w:rsidP="00B7688F">
            <w:pPr>
              <w:spacing w:before="0" w:after="0" w:line="240" w:lineRule="auto"/>
              <w:rPr>
                <w:sz w:val="20"/>
              </w:rPr>
            </w:pPr>
            <w:r w:rsidRPr="008D14BA">
              <w:rPr>
                <w:sz w:val="20"/>
              </w:rPr>
              <w:t>Rachel Ingwersen</w:t>
            </w:r>
          </w:p>
        </w:tc>
        <w:tc>
          <w:tcPr>
            <w:tcW w:w="3796" w:type="pct"/>
            <w:gridSpan w:val="2"/>
            <w:tcBorders>
              <w:top w:val="nil"/>
              <w:left w:val="nil"/>
              <w:bottom w:val="single" w:sz="8" w:space="0" w:color="007FAD"/>
              <w:right w:val="nil"/>
            </w:tcBorders>
            <w:shd w:val="clear" w:color="000000" w:fill="FFFFFF"/>
            <w:noWrap/>
          </w:tcPr>
          <w:p w14:paraId="1B5FEAC9" w14:textId="77777777" w:rsidR="00B7688F" w:rsidRPr="008D14BA" w:rsidRDefault="00B7688F" w:rsidP="00B7688F">
            <w:pPr>
              <w:spacing w:before="0" w:after="0" w:line="240" w:lineRule="auto"/>
              <w:rPr>
                <w:sz w:val="20"/>
              </w:rPr>
            </w:pPr>
            <w:r w:rsidRPr="00B7688F">
              <w:rPr>
                <w:sz w:val="20"/>
              </w:rPr>
              <w:t>Assistant Director</w:t>
            </w:r>
            <w:r>
              <w:rPr>
                <w:sz w:val="20"/>
              </w:rPr>
              <w:t xml:space="preserve">, </w:t>
            </w:r>
            <w:r w:rsidRPr="00B7688F">
              <w:rPr>
                <w:sz w:val="20"/>
              </w:rPr>
              <w:t>Gender Equality Branch</w:t>
            </w:r>
          </w:p>
        </w:tc>
      </w:tr>
      <w:tr w:rsidR="00065F61" w:rsidRPr="008D14BA" w14:paraId="57E8C841" w14:textId="77777777" w:rsidTr="00065F61">
        <w:trPr>
          <w:trHeight w:val="20"/>
        </w:trPr>
        <w:tc>
          <w:tcPr>
            <w:tcW w:w="1204" w:type="pct"/>
            <w:tcBorders>
              <w:top w:val="nil"/>
              <w:left w:val="nil"/>
              <w:bottom w:val="single" w:sz="8" w:space="0" w:color="007FAD"/>
              <w:right w:val="nil"/>
            </w:tcBorders>
            <w:shd w:val="clear" w:color="000000" w:fill="FFFFFF"/>
          </w:tcPr>
          <w:p w14:paraId="38D0FEF9" w14:textId="77777777" w:rsidR="00065F61" w:rsidRPr="008D14BA" w:rsidRDefault="00065F61" w:rsidP="00B7688F">
            <w:pPr>
              <w:spacing w:before="0" w:after="0" w:line="240" w:lineRule="auto"/>
              <w:rPr>
                <w:sz w:val="20"/>
              </w:rPr>
            </w:pPr>
            <w:r w:rsidRPr="008D14BA">
              <w:rPr>
                <w:sz w:val="20"/>
              </w:rPr>
              <w:t>Michael Bergmann</w:t>
            </w:r>
          </w:p>
        </w:tc>
        <w:tc>
          <w:tcPr>
            <w:tcW w:w="3796" w:type="pct"/>
            <w:gridSpan w:val="2"/>
            <w:tcBorders>
              <w:top w:val="nil"/>
              <w:left w:val="nil"/>
              <w:bottom w:val="single" w:sz="8" w:space="0" w:color="007FAD"/>
              <w:right w:val="nil"/>
            </w:tcBorders>
            <w:shd w:val="clear" w:color="000000" w:fill="FFFFFF"/>
          </w:tcPr>
          <w:p w14:paraId="44D26E93" w14:textId="77777777" w:rsidR="00065F61" w:rsidRPr="008D14BA" w:rsidRDefault="00065F61" w:rsidP="00065F61">
            <w:pPr>
              <w:spacing w:before="0" w:after="0" w:line="240" w:lineRule="auto"/>
              <w:rPr>
                <w:sz w:val="20"/>
              </w:rPr>
            </w:pPr>
            <w:r>
              <w:rPr>
                <w:sz w:val="20"/>
              </w:rPr>
              <w:t>D</w:t>
            </w:r>
            <w:r w:rsidRPr="00065F61">
              <w:rPr>
                <w:sz w:val="20"/>
              </w:rPr>
              <w:t>irector Partnerships and Private Sector</w:t>
            </w:r>
            <w:r>
              <w:rPr>
                <w:sz w:val="20"/>
              </w:rPr>
              <w:t xml:space="preserve"> </w:t>
            </w:r>
            <w:r w:rsidRPr="00065F61">
              <w:rPr>
                <w:sz w:val="20"/>
              </w:rPr>
              <w:t>Relations, Scholarships and Alumni Branch</w:t>
            </w:r>
            <w:r w:rsidRPr="008D14BA">
              <w:rPr>
                <w:sz w:val="20"/>
              </w:rPr>
              <w:t> </w:t>
            </w:r>
          </w:p>
        </w:tc>
      </w:tr>
      <w:tr w:rsidR="00B7688F" w:rsidRPr="008D14BA" w14:paraId="325D3742" w14:textId="77777777" w:rsidTr="00A93825">
        <w:trPr>
          <w:trHeight w:val="20"/>
        </w:trPr>
        <w:tc>
          <w:tcPr>
            <w:tcW w:w="1204" w:type="pct"/>
            <w:tcBorders>
              <w:top w:val="nil"/>
              <w:left w:val="nil"/>
              <w:bottom w:val="single" w:sz="8" w:space="0" w:color="007FAD"/>
              <w:right w:val="nil"/>
            </w:tcBorders>
            <w:shd w:val="clear" w:color="000000" w:fill="FFFFFF"/>
          </w:tcPr>
          <w:p w14:paraId="18575110" w14:textId="77777777" w:rsidR="00B7688F" w:rsidRPr="008D14BA" w:rsidRDefault="00B7688F" w:rsidP="00B7688F">
            <w:pPr>
              <w:spacing w:before="0" w:after="0" w:line="240" w:lineRule="auto"/>
              <w:rPr>
                <w:sz w:val="20"/>
              </w:rPr>
            </w:pPr>
            <w:r w:rsidRPr="008D14BA">
              <w:rPr>
                <w:sz w:val="20"/>
              </w:rPr>
              <w:t>Wanda Oram-Miles</w:t>
            </w:r>
          </w:p>
        </w:tc>
        <w:tc>
          <w:tcPr>
            <w:tcW w:w="3796" w:type="pct"/>
            <w:gridSpan w:val="2"/>
            <w:tcBorders>
              <w:top w:val="nil"/>
              <w:left w:val="nil"/>
              <w:bottom w:val="single" w:sz="8" w:space="0" w:color="007FAD"/>
              <w:right w:val="nil"/>
            </w:tcBorders>
            <w:shd w:val="clear" w:color="000000" w:fill="FFFFFF"/>
          </w:tcPr>
          <w:p w14:paraId="68CD986B" w14:textId="77777777" w:rsidR="00B7688F" w:rsidRPr="008D14BA" w:rsidRDefault="00B7688F" w:rsidP="00B7688F">
            <w:pPr>
              <w:spacing w:before="0" w:after="0" w:line="240" w:lineRule="auto"/>
              <w:rPr>
                <w:sz w:val="20"/>
              </w:rPr>
            </w:pPr>
            <w:r w:rsidRPr="008D14BA">
              <w:rPr>
                <w:sz w:val="20"/>
              </w:rPr>
              <w:t>Director, Australia Awards Delivery Section, Scholarships Branch</w:t>
            </w:r>
          </w:p>
        </w:tc>
      </w:tr>
      <w:tr w:rsidR="00B7688F" w:rsidRPr="008D14BA" w14:paraId="5336DEDF" w14:textId="77777777" w:rsidTr="00A93825">
        <w:trPr>
          <w:trHeight w:val="20"/>
        </w:trPr>
        <w:tc>
          <w:tcPr>
            <w:tcW w:w="1204" w:type="pct"/>
            <w:tcBorders>
              <w:top w:val="nil"/>
              <w:left w:val="nil"/>
              <w:bottom w:val="single" w:sz="8" w:space="0" w:color="007FAD"/>
              <w:right w:val="nil"/>
            </w:tcBorders>
            <w:shd w:val="clear" w:color="000000" w:fill="DBE5F1"/>
            <w:noWrap/>
          </w:tcPr>
          <w:p w14:paraId="3D1DB884" w14:textId="77777777" w:rsidR="00B7688F" w:rsidRPr="008D14BA" w:rsidRDefault="00B7688F" w:rsidP="00B7688F">
            <w:pPr>
              <w:spacing w:before="0" w:after="0" w:line="240" w:lineRule="auto"/>
              <w:rPr>
                <w:b/>
                <w:bCs/>
                <w:color w:val="000000"/>
                <w:sz w:val="20"/>
                <w:lang w:val="en-NZ" w:eastAsia="en-NZ"/>
              </w:rPr>
            </w:pPr>
            <w:r w:rsidRPr="008D14BA">
              <w:rPr>
                <w:b/>
                <w:bCs/>
                <w:color w:val="000000"/>
                <w:sz w:val="20"/>
                <w:lang w:val="en-NZ" w:eastAsia="en-NZ"/>
              </w:rPr>
              <w:t>DFAT Post staff</w:t>
            </w:r>
          </w:p>
        </w:tc>
        <w:tc>
          <w:tcPr>
            <w:tcW w:w="1960" w:type="pct"/>
            <w:tcBorders>
              <w:top w:val="nil"/>
              <w:left w:val="nil"/>
              <w:bottom w:val="single" w:sz="8" w:space="0" w:color="007FAD"/>
              <w:right w:val="nil"/>
            </w:tcBorders>
            <w:shd w:val="clear" w:color="000000" w:fill="DBE5F1"/>
            <w:noWrap/>
          </w:tcPr>
          <w:p w14:paraId="383C7C1E" w14:textId="77777777" w:rsidR="00B7688F" w:rsidRPr="008D14BA" w:rsidRDefault="00B7688F" w:rsidP="00B7688F">
            <w:pPr>
              <w:spacing w:before="0" w:after="0" w:line="240" w:lineRule="auto"/>
              <w:rPr>
                <w:b/>
                <w:bCs/>
                <w:color w:val="000000"/>
                <w:sz w:val="20"/>
                <w:lang w:val="en-NZ" w:eastAsia="en-NZ"/>
              </w:rPr>
            </w:pPr>
            <w:r w:rsidRPr="008D14BA">
              <w:rPr>
                <w:b/>
                <w:bCs/>
                <w:color w:val="000000"/>
                <w:sz w:val="20"/>
                <w:lang w:val="en-NZ" w:eastAsia="en-NZ"/>
              </w:rPr>
              <w:t> </w:t>
            </w:r>
          </w:p>
        </w:tc>
        <w:tc>
          <w:tcPr>
            <w:tcW w:w="1836" w:type="pct"/>
            <w:tcBorders>
              <w:top w:val="nil"/>
              <w:left w:val="nil"/>
              <w:bottom w:val="single" w:sz="8" w:space="0" w:color="007FAD"/>
              <w:right w:val="nil"/>
            </w:tcBorders>
            <w:shd w:val="clear" w:color="000000" w:fill="DBE5F1"/>
            <w:noWrap/>
          </w:tcPr>
          <w:p w14:paraId="03724E6A" w14:textId="77777777" w:rsidR="00B7688F" w:rsidRPr="008D14BA" w:rsidRDefault="00B7688F" w:rsidP="00B7688F">
            <w:pPr>
              <w:spacing w:before="0" w:after="0" w:line="240" w:lineRule="auto"/>
              <w:rPr>
                <w:b/>
                <w:bCs/>
                <w:color w:val="000000"/>
                <w:sz w:val="20"/>
                <w:lang w:val="en-NZ" w:eastAsia="en-NZ"/>
              </w:rPr>
            </w:pPr>
            <w:r w:rsidRPr="008D14BA">
              <w:rPr>
                <w:b/>
                <w:bCs/>
                <w:color w:val="000000"/>
                <w:sz w:val="20"/>
                <w:lang w:val="en-NZ" w:eastAsia="en-NZ"/>
              </w:rPr>
              <w:t> </w:t>
            </w:r>
          </w:p>
        </w:tc>
      </w:tr>
      <w:tr w:rsidR="00B7688F" w:rsidRPr="008D14BA" w14:paraId="3EAFE19A" w14:textId="77777777" w:rsidTr="00A93825">
        <w:trPr>
          <w:trHeight w:val="20"/>
        </w:trPr>
        <w:tc>
          <w:tcPr>
            <w:tcW w:w="1204" w:type="pct"/>
            <w:tcBorders>
              <w:top w:val="nil"/>
              <w:left w:val="nil"/>
              <w:bottom w:val="single" w:sz="8" w:space="0" w:color="007FAD"/>
              <w:right w:val="nil"/>
            </w:tcBorders>
            <w:shd w:val="clear" w:color="000000" w:fill="FFFFFF"/>
          </w:tcPr>
          <w:p w14:paraId="7B10EAD9" w14:textId="77777777" w:rsidR="00B7688F" w:rsidRPr="008D14BA" w:rsidRDefault="00B7688F" w:rsidP="00B7688F">
            <w:pPr>
              <w:spacing w:before="0" w:after="0" w:line="240" w:lineRule="auto"/>
              <w:rPr>
                <w:color w:val="000000"/>
                <w:sz w:val="20"/>
                <w:lang w:val="en-NZ" w:eastAsia="en-NZ"/>
              </w:rPr>
            </w:pPr>
            <w:r w:rsidRPr="008D14BA">
              <w:rPr>
                <w:sz w:val="20"/>
              </w:rPr>
              <w:t>Adam McCarthy</w:t>
            </w:r>
          </w:p>
        </w:tc>
        <w:tc>
          <w:tcPr>
            <w:tcW w:w="1960" w:type="pct"/>
            <w:tcBorders>
              <w:top w:val="nil"/>
              <w:left w:val="nil"/>
              <w:bottom w:val="single" w:sz="8" w:space="0" w:color="007FAD"/>
              <w:right w:val="nil"/>
            </w:tcBorders>
            <w:shd w:val="clear" w:color="000000" w:fill="FFFFFF"/>
          </w:tcPr>
          <w:p w14:paraId="530E7ED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Head of Mission</w:t>
            </w:r>
          </w:p>
        </w:tc>
        <w:tc>
          <w:tcPr>
            <w:tcW w:w="1836" w:type="pct"/>
            <w:tcBorders>
              <w:top w:val="nil"/>
              <w:left w:val="nil"/>
              <w:bottom w:val="single" w:sz="8" w:space="0" w:color="007FAD"/>
              <w:right w:val="nil"/>
            </w:tcBorders>
            <w:shd w:val="clear" w:color="000000" w:fill="FFFFFF"/>
          </w:tcPr>
          <w:p w14:paraId="6E25E42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Pretoria</w:t>
            </w:r>
          </w:p>
        </w:tc>
      </w:tr>
      <w:tr w:rsidR="00B7688F" w:rsidRPr="008D14BA" w14:paraId="19379D40" w14:textId="77777777" w:rsidTr="00A93825">
        <w:trPr>
          <w:trHeight w:val="20"/>
        </w:trPr>
        <w:tc>
          <w:tcPr>
            <w:tcW w:w="1204" w:type="pct"/>
            <w:tcBorders>
              <w:top w:val="nil"/>
              <w:left w:val="nil"/>
              <w:bottom w:val="single" w:sz="8" w:space="0" w:color="007FAD"/>
              <w:right w:val="nil"/>
            </w:tcBorders>
            <w:shd w:val="clear" w:color="000000" w:fill="FFFFFF"/>
          </w:tcPr>
          <w:p w14:paraId="7C6E949A" w14:textId="77777777" w:rsidR="00B7688F" w:rsidRPr="008D14BA" w:rsidRDefault="00B7688F" w:rsidP="00B7688F">
            <w:pPr>
              <w:pStyle w:val="TableText"/>
              <w:rPr>
                <w:sz w:val="20"/>
                <w:szCs w:val="20"/>
                <w:lang w:val="en-NZ" w:eastAsia="en-NZ"/>
              </w:rPr>
            </w:pPr>
            <w:r w:rsidRPr="008D14BA">
              <w:rPr>
                <w:color w:val="auto"/>
                <w:sz w:val="20"/>
                <w:szCs w:val="20"/>
              </w:rPr>
              <w:t>David Eggleston</w:t>
            </w:r>
          </w:p>
        </w:tc>
        <w:tc>
          <w:tcPr>
            <w:tcW w:w="1960" w:type="pct"/>
            <w:tcBorders>
              <w:top w:val="nil"/>
              <w:left w:val="nil"/>
              <w:bottom w:val="single" w:sz="8" w:space="0" w:color="007FAD"/>
              <w:right w:val="nil"/>
            </w:tcBorders>
            <w:shd w:val="clear" w:color="000000" w:fill="FFFFFF"/>
          </w:tcPr>
          <w:p w14:paraId="3947D8F9" w14:textId="77777777" w:rsidR="00B7688F" w:rsidRPr="008D14BA" w:rsidRDefault="00B7688F" w:rsidP="00B7688F">
            <w:pPr>
              <w:pStyle w:val="TableText"/>
              <w:rPr>
                <w:sz w:val="20"/>
                <w:szCs w:val="20"/>
                <w:lang w:val="en-NZ" w:eastAsia="en-NZ"/>
              </w:rPr>
            </w:pPr>
            <w:r w:rsidRPr="008D14BA">
              <w:rPr>
                <w:color w:val="auto"/>
                <w:sz w:val="20"/>
                <w:szCs w:val="20"/>
              </w:rPr>
              <w:t xml:space="preserve">First Secretary, Political, Economic and Development </w:t>
            </w:r>
          </w:p>
        </w:tc>
        <w:tc>
          <w:tcPr>
            <w:tcW w:w="1836" w:type="pct"/>
            <w:tcBorders>
              <w:top w:val="nil"/>
              <w:left w:val="nil"/>
              <w:bottom w:val="single" w:sz="8" w:space="0" w:color="007FAD"/>
              <w:right w:val="nil"/>
            </w:tcBorders>
            <w:shd w:val="clear" w:color="000000" w:fill="FFFFFF"/>
          </w:tcPr>
          <w:p w14:paraId="145B9A3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Pretoria</w:t>
            </w:r>
          </w:p>
        </w:tc>
      </w:tr>
      <w:tr w:rsidR="00B7688F" w:rsidRPr="008D14BA" w14:paraId="11E4CB79" w14:textId="77777777" w:rsidTr="00A93825">
        <w:trPr>
          <w:trHeight w:val="20"/>
        </w:trPr>
        <w:tc>
          <w:tcPr>
            <w:tcW w:w="1204" w:type="pct"/>
            <w:tcBorders>
              <w:top w:val="nil"/>
              <w:left w:val="nil"/>
              <w:bottom w:val="single" w:sz="8" w:space="0" w:color="007FAD"/>
              <w:right w:val="nil"/>
            </w:tcBorders>
            <w:shd w:val="clear" w:color="000000" w:fill="FFFFFF"/>
          </w:tcPr>
          <w:p w14:paraId="05986A5C" w14:textId="77777777" w:rsidR="00B7688F" w:rsidRPr="008D14BA" w:rsidRDefault="00B7688F" w:rsidP="00B7688F">
            <w:pPr>
              <w:spacing w:before="0" w:after="0" w:line="240" w:lineRule="auto"/>
              <w:rPr>
                <w:color w:val="000000"/>
                <w:sz w:val="20"/>
                <w:lang w:val="en-NZ" w:eastAsia="en-NZ"/>
              </w:rPr>
            </w:pPr>
            <w:r w:rsidRPr="008D14BA">
              <w:rPr>
                <w:sz w:val="20"/>
              </w:rPr>
              <w:t xml:space="preserve">Stacey Walker </w:t>
            </w:r>
          </w:p>
        </w:tc>
        <w:tc>
          <w:tcPr>
            <w:tcW w:w="1960" w:type="pct"/>
            <w:tcBorders>
              <w:top w:val="nil"/>
              <w:left w:val="nil"/>
              <w:bottom w:val="single" w:sz="8" w:space="0" w:color="007FAD"/>
              <w:right w:val="nil"/>
            </w:tcBorders>
            <w:shd w:val="clear" w:color="000000" w:fill="FFFFFF"/>
          </w:tcPr>
          <w:p w14:paraId="4334F130" w14:textId="77777777" w:rsidR="00B7688F" w:rsidRPr="008D14BA" w:rsidRDefault="00B7688F" w:rsidP="00B7688F">
            <w:pPr>
              <w:spacing w:before="0" w:after="0" w:line="240" w:lineRule="auto"/>
              <w:rPr>
                <w:color w:val="000000"/>
                <w:sz w:val="20"/>
                <w:lang w:val="en-NZ" w:eastAsia="en-NZ"/>
              </w:rPr>
            </w:pPr>
            <w:r w:rsidRPr="008D14BA">
              <w:rPr>
                <w:sz w:val="20"/>
              </w:rPr>
              <w:t>First Secretary</w:t>
            </w:r>
          </w:p>
        </w:tc>
        <w:tc>
          <w:tcPr>
            <w:tcW w:w="1836" w:type="pct"/>
            <w:tcBorders>
              <w:top w:val="nil"/>
              <w:left w:val="nil"/>
              <w:bottom w:val="single" w:sz="8" w:space="0" w:color="007FAD"/>
              <w:right w:val="nil"/>
            </w:tcBorders>
            <w:shd w:val="clear" w:color="000000" w:fill="FFFFFF"/>
          </w:tcPr>
          <w:p w14:paraId="611586E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Pretoria</w:t>
            </w:r>
          </w:p>
        </w:tc>
      </w:tr>
      <w:tr w:rsidR="00B7688F" w:rsidRPr="008D14BA" w14:paraId="04C37085" w14:textId="77777777" w:rsidTr="00A93825">
        <w:trPr>
          <w:trHeight w:val="20"/>
        </w:trPr>
        <w:tc>
          <w:tcPr>
            <w:tcW w:w="1204" w:type="pct"/>
            <w:tcBorders>
              <w:top w:val="nil"/>
              <w:left w:val="nil"/>
              <w:bottom w:val="single" w:sz="8" w:space="0" w:color="007FAD"/>
              <w:right w:val="nil"/>
            </w:tcBorders>
            <w:shd w:val="clear" w:color="000000" w:fill="FFFFFF"/>
          </w:tcPr>
          <w:p w14:paraId="115E90F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Sarah Withers </w:t>
            </w:r>
          </w:p>
        </w:tc>
        <w:tc>
          <w:tcPr>
            <w:tcW w:w="1960" w:type="pct"/>
            <w:tcBorders>
              <w:top w:val="nil"/>
              <w:left w:val="nil"/>
              <w:bottom w:val="single" w:sz="8" w:space="0" w:color="007FAD"/>
              <w:right w:val="nil"/>
            </w:tcBorders>
            <w:shd w:val="clear" w:color="000000" w:fill="FFFFFF"/>
          </w:tcPr>
          <w:p w14:paraId="73ECFDF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Senior Research and Program Officer</w:t>
            </w:r>
          </w:p>
        </w:tc>
        <w:tc>
          <w:tcPr>
            <w:tcW w:w="1836" w:type="pct"/>
            <w:tcBorders>
              <w:top w:val="nil"/>
              <w:left w:val="nil"/>
              <w:bottom w:val="single" w:sz="8" w:space="0" w:color="007FAD"/>
              <w:right w:val="nil"/>
            </w:tcBorders>
            <w:shd w:val="clear" w:color="000000" w:fill="FFFFFF"/>
          </w:tcPr>
          <w:p w14:paraId="65D7040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Pretoria</w:t>
            </w:r>
          </w:p>
        </w:tc>
      </w:tr>
      <w:tr w:rsidR="00B7688F" w:rsidRPr="008D14BA" w14:paraId="7ED0606A" w14:textId="77777777" w:rsidTr="00A93825">
        <w:trPr>
          <w:trHeight w:val="20"/>
        </w:trPr>
        <w:tc>
          <w:tcPr>
            <w:tcW w:w="1204" w:type="pct"/>
            <w:tcBorders>
              <w:top w:val="nil"/>
              <w:left w:val="nil"/>
              <w:bottom w:val="single" w:sz="8" w:space="0" w:color="007FAD"/>
              <w:right w:val="nil"/>
            </w:tcBorders>
            <w:shd w:val="clear" w:color="000000" w:fill="FFFFFF"/>
          </w:tcPr>
          <w:p w14:paraId="58C0533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Ana </w:t>
            </w:r>
            <w:proofErr w:type="spellStart"/>
            <w:r w:rsidRPr="008D14BA">
              <w:rPr>
                <w:color w:val="000000"/>
                <w:sz w:val="20"/>
                <w:lang w:val="en-NZ" w:eastAsia="en-NZ"/>
              </w:rPr>
              <w:t>Kabalu</w:t>
            </w:r>
            <w:proofErr w:type="spellEnd"/>
          </w:p>
        </w:tc>
        <w:tc>
          <w:tcPr>
            <w:tcW w:w="1960" w:type="pct"/>
            <w:tcBorders>
              <w:top w:val="nil"/>
              <w:left w:val="nil"/>
              <w:bottom w:val="single" w:sz="8" w:space="0" w:color="007FAD"/>
              <w:right w:val="nil"/>
            </w:tcBorders>
            <w:shd w:val="clear" w:color="000000" w:fill="FFFFFF"/>
          </w:tcPr>
          <w:p w14:paraId="654547F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Research and Program Officer</w:t>
            </w:r>
          </w:p>
        </w:tc>
        <w:tc>
          <w:tcPr>
            <w:tcW w:w="1836" w:type="pct"/>
            <w:tcBorders>
              <w:top w:val="nil"/>
              <w:left w:val="nil"/>
              <w:bottom w:val="single" w:sz="8" w:space="0" w:color="007FAD"/>
              <w:right w:val="nil"/>
            </w:tcBorders>
            <w:shd w:val="clear" w:color="000000" w:fill="FFFFFF"/>
          </w:tcPr>
          <w:p w14:paraId="2DE6802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Pretoria</w:t>
            </w:r>
          </w:p>
        </w:tc>
      </w:tr>
      <w:tr w:rsidR="00B7688F" w:rsidRPr="008D14BA" w14:paraId="522B3161" w14:textId="77777777" w:rsidTr="00A93825">
        <w:trPr>
          <w:trHeight w:val="20"/>
        </w:trPr>
        <w:tc>
          <w:tcPr>
            <w:tcW w:w="1204" w:type="pct"/>
            <w:tcBorders>
              <w:top w:val="nil"/>
              <w:left w:val="nil"/>
              <w:bottom w:val="single" w:sz="8" w:space="0" w:color="007FAD"/>
              <w:right w:val="nil"/>
            </w:tcBorders>
            <w:shd w:val="clear" w:color="000000" w:fill="FFFFFF"/>
          </w:tcPr>
          <w:p w14:paraId="1B0FBE7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Andrew Barnes</w:t>
            </w:r>
          </w:p>
        </w:tc>
        <w:tc>
          <w:tcPr>
            <w:tcW w:w="1960" w:type="pct"/>
            <w:tcBorders>
              <w:top w:val="nil"/>
              <w:left w:val="nil"/>
              <w:bottom w:val="single" w:sz="8" w:space="0" w:color="007FAD"/>
              <w:right w:val="nil"/>
            </w:tcBorders>
            <w:shd w:val="clear" w:color="000000" w:fill="FFFFFF"/>
          </w:tcPr>
          <w:p w14:paraId="4609B94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Head of Mission</w:t>
            </w:r>
          </w:p>
        </w:tc>
        <w:tc>
          <w:tcPr>
            <w:tcW w:w="1836" w:type="pct"/>
            <w:tcBorders>
              <w:top w:val="nil"/>
              <w:left w:val="nil"/>
              <w:bottom w:val="single" w:sz="8" w:space="0" w:color="007FAD"/>
              <w:right w:val="nil"/>
            </w:tcBorders>
            <w:shd w:val="clear" w:color="000000" w:fill="FFFFFF"/>
          </w:tcPr>
          <w:p w14:paraId="7E16F7B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Ghana</w:t>
            </w:r>
          </w:p>
        </w:tc>
      </w:tr>
      <w:tr w:rsidR="00B7688F" w:rsidRPr="008D14BA" w14:paraId="3349A04E" w14:textId="77777777" w:rsidTr="00A93825">
        <w:trPr>
          <w:trHeight w:val="20"/>
        </w:trPr>
        <w:tc>
          <w:tcPr>
            <w:tcW w:w="1204" w:type="pct"/>
            <w:tcBorders>
              <w:top w:val="nil"/>
              <w:left w:val="nil"/>
              <w:bottom w:val="single" w:sz="8" w:space="0" w:color="007FAD"/>
              <w:right w:val="nil"/>
            </w:tcBorders>
            <w:shd w:val="clear" w:color="000000" w:fill="FFFFFF"/>
          </w:tcPr>
          <w:p w14:paraId="5E122BB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Glen Askew</w:t>
            </w:r>
          </w:p>
        </w:tc>
        <w:tc>
          <w:tcPr>
            <w:tcW w:w="1960" w:type="pct"/>
            <w:tcBorders>
              <w:top w:val="nil"/>
              <w:left w:val="nil"/>
              <w:bottom w:val="single" w:sz="8" w:space="0" w:color="007FAD"/>
              <w:right w:val="nil"/>
            </w:tcBorders>
            <w:shd w:val="clear" w:color="000000" w:fill="FFFFFF"/>
          </w:tcPr>
          <w:p w14:paraId="7A24886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Deputy Head of Mission</w:t>
            </w:r>
          </w:p>
        </w:tc>
        <w:tc>
          <w:tcPr>
            <w:tcW w:w="1836" w:type="pct"/>
            <w:tcBorders>
              <w:top w:val="nil"/>
              <w:left w:val="nil"/>
              <w:bottom w:val="single" w:sz="8" w:space="0" w:color="007FAD"/>
              <w:right w:val="nil"/>
            </w:tcBorders>
            <w:shd w:val="clear" w:color="000000" w:fill="FFFFFF"/>
          </w:tcPr>
          <w:p w14:paraId="669312E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Ghana</w:t>
            </w:r>
          </w:p>
        </w:tc>
      </w:tr>
      <w:tr w:rsidR="00B7688F" w:rsidRPr="008D14BA" w14:paraId="7157F4DF" w14:textId="77777777" w:rsidTr="00A93825">
        <w:trPr>
          <w:trHeight w:val="20"/>
        </w:trPr>
        <w:tc>
          <w:tcPr>
            <w:tcW w:w="1204" w:type="pct"/>
            <w:tcBorders>
              <w:top w:val="nil"/>
              <w:left w:val="nil"/>
              <w:bottom w:val="single" w:sz="8" w:space="0" w:color="007FAD"/>
              <w:right w:val="nil"/>
            </w:tcBorders>
            <w:shd w:val="clear" w:color="000000" w:fill="FFFFFF"/>
          </w:tcPr>
          <w:p w14:paraId="2A97AF7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Celeste Macauley</w:t>
            </w:r>
          </w:p>
        </w:tc>
        <w:tc>
          <w:tcPr>
            <w:tcW w:w="1960" w:type="pct"/>
            <w:tcBorders>
              <w:top w:val="nil"/>
              <w:left w:val="nil"/>
              <w:bottom w:val="single" w:sz="8" w:space="0" w:color="007FAD"/>
              <w:right w:val="nil"/>
            </w:tcBorders>
            <w:shd w:val="clear" w:color="000000" w:fill="FFFFFF"/>
          </w:tcPr>
          <w:p w14:paraId="183468D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Political and Economic Research Officer</w:t>
            </w:r>
          </w:p>
        </w:tc>
        <w:tc>
          <w:tcPr>
            <w:tcW w:w="1836" w:type="pct"/>
            <w:tcBorders>
              <w:top w:val="nil"/>
              <w:left w:val="nil"/>
              <w:bottom w:val="single" w:sz="8" w:space="0" w:color="007FAD"/>
              <w:right w:val="nil"/>
            </w:tcBorders>
            <w:shd w:val="clear" w:color="000000" w:fill="FFFFFF"/>
          </w:tcPr>
          <w:p w14:paraId="2DA6C17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Ghana</w:t>
            </w:r>
          </w:p>
        </w:tc>
      </w:tr>
      <w:tr w:rsidR="00B7688F" w:rsidRPr="008D14BA" w14:paraId="1F4ACF6C" w14:textId="77777777" w:rsidTr="00A93825">
        <w:trPr>
          <w:trHeight w:val="20"/>
        </w:trPr>
        <w:tc>
          <w:tcPr>
            <w:tcW w:w="1204" w:type="pct"/>
            <w:tcBorders>
              <w:top w:val="nil"/>
              <w:left w:val="nil"/>
              <w:bottom w:val="single" w:sz="8" w:space="0" w:color="007FAD"/>
              <w:right w:val="nil"/>
            </w:tcBorders>
            <w:shd w:val="clear" w:color="000000" w:fill="FFFFFF"/>
          </w:tcPr>
          <w:p w14:paraId="565A13A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Alison Chartres</w:t>
            </w:r>
          </w:p>
        </w:tc>
        <w:tc>
          <w:tcPr>
            <w:tcW w:w="1960" w:type="pct"/>
            <w:tcBorders>
              <w:top w:val="nil"/>
              <w:left w:val="nil"/>
              <w:bottom w:val="single" w:sz="8" w:space="0" w:color="007FAD"/>
              <w:right w:val="nil"/>
            </w:tcBorders>
            <w:shd w:val="clear" w:color="000000" w:fill="FFFFFF"/>
          </w:tcPr>
          <w:p w14:paraId="58B01B2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Head of Mission</w:t>
            </w:r>
          </w:p>
        </w:tc>
        <w:tc>
          <w:tcPr>
            <w:tcW w:w="1836" w:type="pct"/>
            <w:tcBorders>
              <w:top w:val="nil"/>
              <w:left w:val="nil"/>
              <w:bottom w:val="single" w:sz="8" w:space="0" w:color="007FAD"/>
              <w:right w:val="nil"/>
            </w:tcBorders>
            <w:shd w:val="clear" w:color="000000" w:fill="FFFFFF"/>
          </w:tcPr>
          <w:p w14:paraId="770F415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Nairobi</w:t>
            </w:r>
          </w:p>
        </w:tc>
      </w:tr>
      <w:tr w:rsidR="00B7688F" w:rsidRPr="008D14BA" w14:paraId="6A9810F7" w14:textId="77777777" w:rsidTr="00A93825">
        <w:trPr>
          <w:trHeight w:val="20"/>
        </w:trPr>
        <w:tc>
          <w:tcPr>
            <w:tcW w:w="1204" w:type="pct"/>
            <w:tcBorders>
              <w:top w:val="nil"/>
              <w:left w:val="nil"/>
              <w:bottom w:val="single" w:sz="8" w:space="0" w:color="007FAD"/>
              <w:right w:val="nil"/>
            </w:tcBorders>
            <w:shd w:val="clear" w:color="000000" w:fill="FFFFFF"/>
          </w:tcPr>
          <w:p w14:paraId="14041ED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Heather Rich</w:t>
            </w:r>
          </w:p>
        </w:tc>
        <w:tc>
          <w:tcPr>
            <w:tcW w:w="1960" w:type="pct"/>
            <w:tcBorders>
              <w:top w:val="nil"/>
              <w:left w:val="nil"/>
              <w:bottom w:val="single" w:sz="8" w:space="0" w:color="007FAD"/>
              <w:right w:val="nil"/>
            </w:tcBorders>
            <w:shd w:val="clear" w:color="000000" w:fill="FFFFFF"/>
          </w:tcPr>
          <w:p w14:paraId="7D20690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Second Secretary </w:t>
            </w:r>
          </w:p>
        </w:tc>
        <w:tc>
          <w:tcPr>
            <w:tcW w:w="1836" w:type="pct"/>
            <w:tcBorders>
              <w:top w:val="nil"/>
              <w:left w:val="nil"/>
              <w:bottom w:val="single" w:sz="8" w:space="0" w:color="007FAD"/>
              <w:right w:val="nil"/>
            </w:tcBorders>
            <w:shd w:val="clear" w:color="000000" w:fill="FFFFFF"/>
          </w:tcPr>
          <w:p w14:paraId="5F696D6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Nairobi</w:t>
            </w:r>
          </w:p>
        </w:tc>
      </w:tr>
      <w:tr w:rsidR="00B7688F" w:rsidRPr="008D14BA" w14:paraId="302A1092" w14:textId="77777777" w:rsidTr="00A93825">
        <w:trPr>
          <w:trHeight w:val="20"/>
        </w:trPr>
        <w:tc>
          <w:tcPr>
            <w:tcW w:w="1204" w:type="pct"/>
            <w:tcBorders>
              <w:top w:val="nil"/>
              <w:left w:val="nil"/>
              <w:bottom w:val="single" w:sz="8" w:space="0" w:color="007FAD"/>
              <w:right w:val="nil"/>
            </w:tcBorders>
            <w:shd w:val="clear" w:color="000000" w:fill="FFFFFF"/>
          </w:tcPr>
          <w:p w14:paraId="66CFC52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Caroline Mbugua</w:t>
            </w:r>
          </w:p>
          <w:p w14:paraId="4BCC02F9" w14:textId="77777777" w:rsidR="00B7688F" w:rsidRPr="008D14BA" w:rsidRDefault="00B7688F" w:rsidP="00B7688F">
            <w:pPr>
              <w:spacing w:before="0" w:after="0" w:line="240" w:lineRule="auto"/>
              <w:rPr>
                <w:color w:val="000000"/>
                <w:sz w:val="20"/>
                <w:lang w:val="en-NZ" w:eastAsia="en-NZ"/>
              </w:rPr>
            </w:pPr>
          </w:p>
        </w:tc>
        <w:tc>
          <w:tcPr>
            <w:tcW w:w="1960" w:type="pct"/>
            <w:tcBorders>
              <w:top w:val="nil"/>
              <w:left w:val="nil"/>
              <w:bottom w:val="single" w:sz="8" w:space="0" w:color="007FAD"/>
              <w:right w:val="nil"/>
            </w:tcBorders>
            <w:shd w:val="clear" w:color="000000" w:fill="FFFFFF"/>
          </w:tcPr>
          <w:p w14:paraId="6C9AEA1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Program Manager- Australia Awards</w:t>
            </w:r>
          </w:p>
          <w:p w14:paraId="0E125F54"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71DFC23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Nairobi</w:t>
            </w:r>
          </w:p>
        </w:tc>
      </w:tr>
      <w:tr w:rsidR="00B7688F" w:rsidRPr="008D14BA" w14:paraId="43CE4208" w14:textId="77777777" w:rsidTr="00A93825">
        <w:trPr>
          <w:trHeight w:val="20"/>
        </w:trPr>
        <w:tc>
          <w:tcPr>
            <w:tcW w:w="1204" w:type="pct"/>
            <w:tcBorders>
              <w:top w:val="nil"/>
              <w:left w:val="nil"/>
              <w:bottom w:val="single" w:sz="8" w:space="0" w:color="007FAD"/>
              <w:right w:val="nil"/>
            </w:tcBorders>
            <w:shd w:val="clear" w:color="000000" w:fill="FFFFFF"/>
          </w:tcPr>
          <w:p w14:paraId="58CA763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Susan Cash</w:t>
            </w:r>
          </w:p>
        </w:tc>
        <w:tc>
          <w:tcPr>
            <w:tcW w:w="1960" w:type="pct"/>
            <w:tcBorders>
              <w:top w:val="nil"/>
              <w:left w:val="nil"/>
              <w:bottom w:val="single" w:sz="8" w:space="0" w:color="007FAD"/>
              <w:right w:val="nil"/>
            </w:tcBorders>
            <w:shd w:val="clear" w:color="000000" w:fill="FFFFFF"/>
          </w:tcPr>
          <w:p w14:paraId="6A254F1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Second Secretary</w:t>
            </w:r>
          </w:p>
        </w:tc>
        <w:tc>
          <w:tcPr>
            <w:tcW w:w="1836" w:type="pct"/>
            <w:tcBorders>
              <w:top w:val="nil"/>
              <w:left w:val="nil"/>
              <w:bottom w:val="single" w:sz="8" w:space="0" w:color="007FAD"/>
              <w:right w:val="nil"/>
            </w:tcBorders>
            <w:shd w:val="clear" w:color="000000" w:fill="FFFFFF"/>
          </w:tcPr>
          <w:p w14:paraId="34588AB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Embassy, Abuja</w:t>
            </w:r>
          </w:p>
        </w:tc>
      </w:tr>
      <w:tr w:rsidR="00B7688F" w:rsidRPr="008D14BA" w14:paraId="30029216" w14:textId="77777777" w:rsidTr="00A93825">
        <w:trPr>
          <w:trHeight w:val="20"/>
        </w:trPr>
        <w:tc>
          <w:tcPr>
            <w:tcW w:w="1204" w:type="pct"/>
            <w:tcBorders>
              <w:top w:val="nil"/>
              <w:left w:val="nil"/>
              <w:bottom w:val="single" w:sz="8" w:space="0" w:color="007FAD"/>
              <w:right w:val="nil"/>
            </w:tcBorders>
            <w:shd w:val="clear" w:color="000000" w:fill="FFFFFF"/>
          </w:tcPr>
          <w:p w14:paraId="5AC8058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Rebecca Yohannes</w:t>
            </w:r>
          </w:p>
        </w:tc>
        <w:tc>
          <w:tcPr>
            <w:tcW w:w="1960" w:type="pct"/>
            <w:tcBorders>
              <w:top w:val="nil"/>
              <w:left w:val="nil"/>
              <w:bottom w:val="single" w:sz="8" w:space="0" w:color="007FAD"/>
              <w:right w:val="nil"/>
            </w:tcBorders>
            <w:shd w:val="clear" w:color="000000" w:fill="FFFFFF"/>
          </w:tcPr>
          <w:p w14:paraId="4689A12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Senior Program Manager &amp; Policy Analyst</w:t>
            </w:r>
          </w:p>
        </w:tc>
        <w:tc>
          <w:tcPr>
            <w:tcW w:w="1836" w:type="pct"/>
            <w:tcBorders>
              <w:top w:val="nil"/>
              <w:left w:val="nil"/>
              <w:bottom w:val="single" w:sz="8" w:space="0" w:color="007FAD"/>
              <w:right w:val="nil"/>
            </w:tcBorders>
            <w:shd w:val="clear" w:color="000000" w:fill="FFFFFF"/>
          </w:tcPr>
          <w:p w14:paraId="28F73D9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Australian Embassy, Addis Ababa </w:t>
            </w:r>
          </w:p>
        </w:tc>
      </w:tr>
      <w:tr w:rsidR="00B7688F" w:rsidRPr="008D14BA" w14:paraId="4BF89D0C" w14:textId="77777777" w:rsidTr="00A93825">
        <w:trPr>
          <w:trHeight w:val="20"/>
        </w:trPr>
        <w:tc>
          <w:tcPr>
            <w:tcW w:w="1204" w:type="pct"/>
            <w:tcBorders>
              <w:top w:val="nil"/>
              <w:left w:val="nil"/>
              <w:bottom w:val="single" w:sz="8" w:space="0" w:color="007FAD"/>
              <w:right w:val="nil"/>
            </w:tcBorders>
            <w:shd w:val="clear" w:color="000000" w:fill="FFFFFF"/>
          </w:tcPr>
          <w:p w14:paraId="6DAB33B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Natasha Morris</w:t>
            </w:r>
          </w:p>
        </w:tc>
        <w:tc>
          <w:tcPr>
            <w:tcW w:w="1960" w:type="pct"/>
            <w:tcBorders>
              <w:top w:val="nil"/>
              <w:left w:val="nil"/>
              <w:bottom w:val="single" w:sz="8" w:space="0" w:color="007FAD"/>
              <w:right w:val="nil"/>
            </w:tcBorders>
            <w:shd w:val="clear" w:color="000000" w:fill="FFFFFF"/>
          </w:tcPr>
          <w:p w14:paraId="5BEC495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Second Secretary</w:t>
            </w:r>
          </w:p>
        </w:tc>
        <w:tc>
          <w:tcPr>
            <w:tcW w:w="1836" w:type="pct"/>
            <w:tcBorders>
              <w:top w:val="nil"/>
              <w:left w:val="nil"/>
              <w:bottom w:val="single" w:sz="8" w:space="0" w:color="007FAD"/>
              <w:right w:val="nil"/>
            </w:tcBorders>
            <w:shd w:val="clear" w:color="000000" w:fill="FFFFFF"/>
          </w:tcPr>
          <w:p w14:paraId="12C5DE9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Port Louis</w:t>
            </w:r>
          </w:p>
        </w:tc>
      </w:tr>
      <w:tr w:rsidR="00B7688F" w:rsidRPr="008D14BA" w14:paraId="2C279F0D" w14:textId="77777777" w:rsidTr="00A93825">
        <w:trPr>
          <w:trHeight w:val="20"/>
        </w:trPr>
        <w:tc>
          <w:tcPr>
            <w:tcW w:w="1204" w:type="pct"/>
            <w:tcBorders>
              <w:top w:val="nil"/>
              <w:left w:val="nil"/>
              <w:bottom w:val="single" w:sz="8" w:space="0" w:color="007FAD"/>
              <w:right w:val="nil"/>
            </w:tcBorders>
            <w:shd w:val="clear" w:color="000000" w:fill="FFFFFF"/>
          </w:tcPr>
          <w:p w14:paraId="1BADA19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Yasmina Hosanoo</w:t>
            </w:r>
          </w:p>
          <w:p w14:paraId="6F1BE0BC" w14:textId="77777777" w:rsidR="00B7688F" w:rsidRPr="008D14BA" w:rsidRDefault="00B7688F" w:rsidP="00B7688F">
            <w:pPr>
              <w:spacing w:before="0" w:after="0" w:line="240" w:lineRule="auto"/>
              <w:rPr>
                <w:color w:val="000000"/>
                <w:sz w:val="20"/>
                <w:lang w:val="en-NZ" w:eastAsia="en-NZ"/>
              </w:rPr>
            </w:pPr>
          </w:p>
        </w:tc>
        <w:tc>
          <w:tcPr>
            <w:tcW w:w="1960" w:type="pct"/>
            <w:tcBorders>
              <w:top w:val="nil"/>
              <w:left w:val="nil"/>
              <w:bottom w:val="single" w:sz="8" w:space="0" w:color="007FAD"/>
              <w:right w:val="nil"/>
            </w:tcBorders>
            <w:shd w:val="clear" w:color="000000" w:fill="FFFFFF"/>
          </w:tcPr>
          <w:p w14:paraId="1B897AD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Senior Political and Public Diplomacy Officer</w:t>
            </w:r>
          </w:p>
        </w:tc>
        <w:tc>
          <w:tcPr>
            <w:tcW w:w="1836" w:type="pct"/>
            <w:tcBorders>
              <w:top w:val="nil"/>
              <w:left w:val="nil"/>
              <w:bottom w:val="single" w:sz="8" w:space="0" w:color="007FAD"/>
              <w:right w:val="nil"/>
            </w:tcBorders>
            <w:shd w:val="clear" w:color="000000" w:fill="FFFFFF"/>
          </w:tcPr>
          <w:p w14:paraId="04397AC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Port Louis</w:t>
            </w:r>
          </w:p>
        </w:tc>
      </w:tr>
      <w:tr w:rsidR="00B7688F" w:rsidRPr="008D14BA" w14:paraId="6E2EDF33" w14:textId="77777777" w:rsidTr="00A93825">
        <w:trPr>
          <w:trHeight w:val="20"/>
        </w:trPr>
        <w:tc>
          <w:tcPr>
            <w:tcW w:w="1204" w:type="pct"/>
            <w:tcBorders>
              <w:top w:val="nil"/>
              <w:left w:val="nil"/>
              <w:bottom w:val="single" w:sz="8" w:space="0" w:color="007FAD"/>
              <w:right w:val="nil"/>
            </w:tcBorders>
            <w:shd w:val="clear" w:color="000000" w:fill="FFFFFF"/>
          </w:tcPr>
          <w:p w14:paraId="070D742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Kiran </w:t>
            </w:r>
            <w:proofErr w:type="spellStart"/>
            <w:r w:rsidRPr="008D14BA">
              <w:rPr>
                <w:color w:val="000000"/>
                <w:sz w:val="20"/>
                <w:lang w:val="en-NZ" w:eastAsia="en-NZ"/>
              </w:rPr>
              <w:t>Seetohul</w:t>
            </w:r>
            <w:proofErr w:type="spellEnd"/>
          </w:p>
        </w:tc>
        <w:tc>
          <w:tcPr>
            <w:tcW w:w="1960" w:type="pct"/>
            <w:tcBorders>
              <w:top w:val="nil"/>
              <w:left w:val="nil"/>
              <w:bottom w:val="single" w:sz="8" w:space="0" w:color="007FAD"/>
              <w:right w:val="nil"/>
            </w:tcBorders>
            <w:shd w:val="clear" w:color="000000" w:fill="FFFFFF"/>
          </w:tcPr>
          <w:p w14:paraId="2A2D485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Political and Research Officer</w:t>
            </w:r>
          </w:p>
        </w:tc>
        <w:tc>
          <w:tcPr>
            <w:tcW w:w="1836" w:type="pct"/>
            <w:tcBorders>
              <w:top w:val="nil"/>
              <w:left w:val="nil"/>
              <w:bottom w:val="single" w:sz="8" w:space="0" w:color="007FAD"/>
              <w:right w:val="nil"/>
            </w:tcBorders>
            <w:shd w:val="clear" w:color="000000" w:fill="FFFFFF"/>
          </w:tcPr>
          <w:p w14:paraId="263C30F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Port Louis</w:t>
            </w:r>
          </w:p>
        </w:tc>
      </w:tr>
      <w:tr w:rsidR="00B7688F" w:rsidRPr="008D14BA" w14:paraId="7C03F5A2" w14:textId="77777777" w:rsidTr="00A93825">
        <w:trPr>
          <w:trHeight w:val="20"/>
        </w:trPr>
        <w:tc>
          <w:tcPr>
            <w:tcW w:w="5000" w:type="pct"/>
            <w:gridSpan w:val="3"/>
            <w:tcBorders>
              <w:top w:val="nil"/>
              <w:left w:val="nil"/>
              <w:bottom w:val="single" w:sz="8" w:space="0" w:color="007FAD"/>
              <w:right w:val="nil"/>
            </w:tcBorders>
            <w:shd w:val="clear" w:color="000000" w:fill="FFFFFF"/>
          </w:tcPr>
          <w:p w14:paraId="17358A36" w14:textId="77777777" w:rsidR="00B7688F" w:rsidRPr="008D14BA" w:rsidRDefault="00B7688F" w:rsidP="00B7688F">
            <w:pPr>
              <w:spacing w:before="0" w:after="0" w:line="240" w:lineRule="auto"/>
              <w:rPr>
                <w:b/>
                <w:color w:val="000000"/>
                <w:sz w:val="20"/>
                <w:lang w:val="en-NZ" w:eastAsia="en-NZ"/>
              </w:rPr>
            </w:pPr>
            <w:r w:rsidRPr="008D14BA">
              <w:rPr>
                <w:b/>
                <w:color w:val="000000"/>
                <w:sz w:val="20"/>
                <w:lang w:val="en-NZ" w:eastAsia="en-NZ"/>
              </w:rPr>
              <w:t>Australian government agencies</w:t>
            </w:r>
          </w:p>
        </w:tc>
      </w:tr>
      <w:tr w:rsidR="00B7688F" w:rsidRPr="008D14BA" w14:paraId="568D6F5B" w14:textId="77777777" w:rsidTr="00A93825">
        <w:trPr>
          <w:trHeight w:val="20"/>
        </w:trPr>
        <w:tc>
          <w:tcPr>
            <w:tcW w:w="1204" w:type="pct"/>
            <w:tcBorders>
              <w:top w:val="nil"/>
              <w:left w:val="nil"/>
              <w:bottom w:val="single" w:sz="8" w:space="0" w:color="007FAD"/>
              <w:right w:val="nil"/>
            </w:tcBorders>
            <w:shd w:val="clear" w:color="000000" w:fill="FFFFFF"/>
          </w:tcPr>
          <w:p w14:paraId="3EF334A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Ben </w:t>
            </w:r>
            <w:proofErr w:type="spellStart"/>
            <w:r w:rsidRPr="008D14BA">
              <w:rPr>
                <w:color w:val="000000"/>
                <w:sz w:val="20"/>
                <w:lang w:val="en-NZ" w:eastAsia="en-NZ"/>
              </w:rPr>
              <w:t>Ospray</w:t>
            </w:r>
            <w:proofErr w:type="spellEnd"/>
          </w:p>
        </w:tc>
        <w:tc>
          <w:tcPr>
            <w:tcW w:w="1960" w:type="pct"/>
            <w:tcBorders>
              <w:top w:val="nil"/>
              <w:left w:val="nil"/>
              <w:bottom w:val="single" w:sz="8" w:space="0" w:color="007FAD"/>
              <w:right w:val="nil"/>
            </w:tcBorders>
            <w:shd w:val="clear" w:color="000000" w:fill="FFFFFF"/>
          </w:tcPr>
          <w:p w14:paraId="1337944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Second Secretary, Immigration</w:t>
            </w:r>
          </w:p>
        </w:tc>
        <w:tc>
          <w:tcPr>
            <w:tcW w:w="1836" w:type="pct"/>
            <w:tcBorders>
              <w:top w:val="nil"/>
              <w:left w:val="nil"/>
              <w:bottom w:val="single" w:sz="8" w:space="0" w:color="007FAD"/>
              <w:right w:val="nil"/>
            </w:tcBorders>
            <w:shd w:val="clear" w:color="000000" w:fill="FFFFFF"/>
          </w:tcPr>
          <w:p w14:paraId="563F542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Pretoria</w:t>
            </w:r>
          </w:p>
        </w:tc>
      </w:tr>
      <w:tr w:rsidR="00B7688F" w:rsidRPr="008D14BA" w14:paraId="6B457578" w14:textId="77777777" w:rsidTr="00A93825">
        <w:trPr>
          <w:trHeight w:val="20"/>
        </w:trPr>
        <w:tc>
          <w:tcPr>
            <w:tcW w:w="1204" w:type="pct"/>
            <w:tcBorders>
              <w:top w:val="nil"/>
              <w:left w:val="nil"/>
              <w:bottom w:val="single" w:sz="8" w:space="0" w:color="007FAD"/>
              <w:right w:val="nil"/>
            </w:tcBorders>
            <w:shd w:val="clear" w:color="000000" w:fill="FFFFFF"/>
          </w:tcPr>
          <w:p w14:paraId="0AF5DF90"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Meridan</w:t>
            </w:r>
            <w:proofErr w:type="spellEnd"/>
            <w:r w:rsidRPr="008D14BA">
              <w:rPr>
                <w:color w:val="000000"/>
                <w:sz w:val="20"/>
                <w:lang w:val="en-NZ" w:eastAsia="en-NZ"/>
              </w:rPr>
              <w:t xml:space="preserve"> </w:t>
            </w:r>
            <w:proofErr w:type="spellStart"/>
            <w:r w:rsidRPr="008D14BA">
              <w:rPr>
                <w:color w:val="000000"/>
                <w:sz w:val="20"/>
                <w:lang w:val="en-NZ" w:eastAsia="en-NZ"/>
              </w:rPr>
              <w:t>Biziak</w:t>
            </w:r>
            <w:proofErr w:type="spellEnd"/>
          </w:p>
        </w:tc>
        <w:tc>
          <w:tcPr>
            <w:tcW w:w="1960" w:type="pct"/>
            <w:tcBorders>
              <w:top w:val="nil"/>
              <w:left w:val="nil"/>
              <w:bottom w:val="single" w:sz="8" w:space="0" w:color="007FAD"/>
              <w:right w:val="nil"/>
            </w:tcBorders>
            <w:shd w:val="clear" w:color="000000" w:fill="FFFFFF"/>
          </w:tcPr>
          <w:p w14:paraId="158E413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First Secretary, Immigration</w:t>
            </w:r>
          </w:p>
        </w:tc>
        <w:tc>
          <w:tcPr>
            <w:tcW w:w="1836" w:type="pct"/>
            <w:tcBorders>
              <w:top w:val="nil"/>
              <w:left w:val="nil"/>
              <w:bottom w:val="single" w:sz="8" w:space="0" w:color="007FAD"/>
              <w:right w:val="nil"/>
            </w:tcBorders>
            <w:shd w:val="clear" w:color="000000" w:fill="FFFFFF"/>
          </w:tcPr>
          <w:p w14:paraId="0D68099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High Commission, Pretoria</w:t>
            </w:r>
          </w:p>
        </w:tc>
      </w:tr>
      <w:tr w:rsidR="00B7688F" w:rsidRPr="008D14BA" w14:paraId="2C0E6234" w14:textId="77777777" w:rsidTr="00A93825">
        <w:trPr>
          <w:trHeight w:val="20"/>
        </w:trPr>
        <w:tc>
          <w:tcPr>
            <w:tcW w:w="1204" w:type="pct"/>
            <w:tcBorders>
              <w:top w:val="nil"/>
              <w:left w:val="nil"/>
              <w:bottom w:val="single" w:sz="8" w:space="0" w:color="007FAD"/>
              <w:right w:val="nil"/>
            </w:tcBorders>
            <w:shd w:val="clear" w:color="000000" w:fill="FFFFFF"/>
          </w:tcPr>
          <w:p w14:paraId="62B8679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Elizabeth </w:t>
            </w:r>
            <w:proofErr w:type="spellStart"/>
            <w:r w:rsidRPr="008D14BA">
              <w:rPr>
                <w:color w:val="000000"/>
                <w:sz w:val="20"/>
                <w:lang w:val="en-NZ" w:eastAsia="en-NZ"/>
              </w:rPr>
              <w:t>Dietrichsen</w:t>
            </w:r>
            <w:proofErr w:type="spellEnd"/>
          </w:p>
        </w:tc>
        <w:tc>
          <w:tcPr>
            <w:tcW w:w="1960" w:type="pct"/>
            <w:tcBorders>
              <w:top w:val="nil"/>
              <w:left w:val="nil"/>
              <w:bottom w:val="single" w:sz="8" w:space="0" w:color="007FAD"/>
              <w:right w:val="nil"/>
            </w:tcBorders>
            <w:shd w:val="clear" w:color="000000" w:fill="FFFFFF"/>
          </w:tcPr>
          <w:p w14:paraId="576AF46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Business Development Manager, Johannesburg, Growth &amp; Emerging Markets</w:t>
            </w:r>
          </w:p>
        </w:tc>
        <w:tc>
          <w:tcPr>
            <w:tcW w:w="1836" w:type="pct"/>
            <w:tcBorders>
              <w:top w:val="nil"/>
              <w:left w:val="nil"/>
              <w:bottom w:val="single" w:sz="8" w:space="0" w:color="007FAD"/>
              <w:right w:val="nil"/>
            </w:tcBorders>
            <w:shd w:val="clear" w:color="000000" w:fill="FFFFFF"/>
          </w:tcPr>
          <w:p w14:paraId="3D2E15F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Australian Trade and Investment Commission (Austrade), Pretoria</w:t>
            </w:r>
          </w:p>
        </w:tc>
      </w:tr>
      <w:tr w:rsidR="00B7688F" w:rsidRPr="008D14BA" w14:paraId="794134E6" w14:textId="77777777" w:rsidTr="00A93825">
        <w:trPr>
          <w:trHeight w:val="20"/>
        </w:trPr>
        <w:tc>
          <w:tcPr>
            <w:tcW w:w="1204" w:type="pct"/>
            <w:tcBorders>
              <w:top w:val="nil"/>
              <w:left w:val="nil"/>
              <w:bottom w:val="single" w:sz="8" w:space="0" w:color="007FAD"/>
              <w:right w:val="nil"/>
            </w:tcBorders>
            <w:shd w:val="clear" w:color="000000" w:fill="FFFFFF"/>
          </w:tcPr>
          <w:p w14:paraId="3EDA2FD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Brendan Coyne</w:t>
            </w:r>
          </w:p>
        </w:tc>
        <w:tc>
          <w:tcPr>
            <w:tcW w:w="1960" w:type="pct"/>
            <w:tcBorders>
              <w:top w:val="nil"/>
              <w:left w:val="nil"/>
              <w:bottom w:val="single" w:sz="8" w:space="0" w:color="007FAD"/>
              <w:right w:val="nil"/>
            </w:tcBorders>
            <w:shd w:val="clear" w:color="000000" w:fill="FFFFFF"/>
          </w:tcPr>
          <w:p w14:paraId="5369575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Austrade Commissioner</w:t>
            </w:r>
          </w:p>
        </w:tc>
        <w:tc>
          <w:tcPr>
            <w:tcW w:w="1836" w:type="pct"/>
            <w:tcBorders>
              <w:top w:val="nil"/>
              <w:left w:val="nil"/>
              <w:bottom w:val="single" w:sz="8" w:space="0" w:color="007FAD"/>
              <w:right w:val="nil"/>
            </w:tcBorders>
            <w:shd w:val="clear" w:color="000000" w:fill="FFFFFF"/>
          </w:tcPr>
          <w:p w14:paraId="0B488C7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Austrade, Ghana</w:t>
            </w:r>
          </w:p>
        </w:tc>
      </w:tr>
      <w:tr w:rsidR="00B7688F" w:rsidRPr="008D14BA" w14:paraId="1020B9C6" w14:textId="77777777" w:rsidTr="00A93825">
        <w:trPr>
          <w:trHeight w:val="20"/>
        </w:trPr>
        <w:tc>
          <w:tcPr>
            <w:tcW w:w="3164" w:type="pct"/>
            <w:gridSpan w:val="2"/>
            <w:tcBorders>
              <w:top w:val="nil"/>
              <w:left w:val="nil"/>
              <w:bottom w:val="single" w:sz="8" w:space="0" w:color="007FAD"/>
              <w:right w:val="nil"/>
            </w:tcBorders>
            <w:shd w:val="clear" w:color="000000" w:fill="DBE5F1"/>
            <w:noWrap/>
          </w:tcPr>
          <w:p w14:paraId="559757EF" w14:textId="77777777" w:rsidR="00B7688F" w:rsidRPr="008D14BA" w:rsidRDefault="00B7688F" w:rsidP="00B7688F">
            <w:pPr>
              <w:spacing w:before="0" w:after="0" w:line="240" w:lineRule="auto"/>
              <w:rPr>
                <w:color w:val="000000"/>
                <w:sz w:val="20"/>
                <w:lang w:val="en-NZ" w:eastAsia="en-NZ"/>
              </w:rPr>
            </w:pPr>
            <w:r w:rsidRPr="008D14BA">
              <w:rPr>
                <w:b/>
                <w:bCs/>
                <w:color w:val="000000"/>
                <w:sz w:val="20"/>
                <w:lang w:val="en-NZ" w:eastAsia="en-NZ"/>
              </w:rPr>
              <w:lastRenderedPageBreak/>
              <w:t>Managing Contractor staff</w:t>
            </w:r>
          </w:p>
        </w:tc>
        <w:tc>
          <w:tcPr>
            <w:tcW w:w="1836" w:type="pct"/>
            <w:tcBorders>
              <w:top w:val="nil"/>
              <w:left w:val="nil"/>
              <w:bottom w:val="single" w:sz="8" w:space="0" w:color="007FAD"/>
              <w:right w:val="nil"/>
            </w:tcBorders>
            <w:shd w:val="clear" w:color="000000" w:fill="DBE5F1"/>
            <w:noWrap/>
          </w:tcPr>
          <w:p w14:paraId="2A1559B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w:t>
            </w:r>
          </w:p>
        </w:tc>
      </w:tr>
      <w:tr w:rsidR="00B7688F" w:rsidRPr="008D14BA" w14:paraId="40D05650" w14:textId="77777777" w:rsidTr="00A93825">
        <w:trPr>
          <w:trHeight w:val="20"/>
        </w:trPr>
        <w:tc>
          <w:tcPr>
            <w:tcW w:w="1204" w:type="pct"/>
            <w:tcBorders>
              <w:top w:val="nil"/>
              <w:left w:val="nil"/>
              <w:bottom w:val="single" w:sz="8" w:space="0" w:color="007FAD"/>
              <w:right w:val="nil"/>
            </w:tcBorders>
            <w:shd w:val="clear" w:color="000000" w:fill="FFFFFF"/>
          </w:tcPr>
          <w:p w14:paraId="52839C0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Fiona </w:t>
            </w:r>
            <w:proofErr w:type="spellStart"/>
            <w:r w:rsidRPr="008D14BA">
              <w:rPr>
                <w:color w:val="000000"/>
                <w:sz w:val="20"/>
                <w:lang w:val="en-NZ" w:eastAsia="en-NZ"/>
              </w:rPr>
              <w:t>Pakoa</w:t>
            </w:r>
            <w:proofErr w:type="spellEnd"/>
          </w:p>
        </w:tc>
        <w:tc>
          <w:tcPr>
            <w:tcW w:w="1960" w:type="pct"/>
            <w:tcBorders>
              <w:top w:val="nil"/>
              <w:left w:val="nil"/>
              <w:bottom w:val="single" w:sz="8" w:space="0" w:color="007FAD"/>
              <w:right w:val="nil"/>
            </w:tcBorders>
            <w:shd w:val="clear" w:color="000000" w:fill="FFFFFF"/>
          </w:tcPr>
          <w:p w14:paraId="1E065E4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Team Leader</w:t>
            </w:r>
          </w:p>
        </w:tc>
        <w:tc>
          <w:tcPr>
            <w:tcW w:w="1836" w:type="pct"/>
            <w:tcBorders>
              <w:top w:val="nil"/>
              <w:left w:val="nil"/>
              <w:bottom w:val="single" w:sz="8" w:space="0" w:color="007FAD"/>
              <w:right w:val="nil"/>
            </w:tcBorders>
            <w:shd w:val="clear" w:color="000000" w:fill="FFFFFF"/>
          </w:tcPr>
          <w:p w14:paraId="755B0B6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045EF881" w14:textId="77777777" w:rsidTr="00A93825">
        <w:trPr>
          <w:trHeight w:val="20"/>
        </w:trPr>
        <w:tc>
          <w:tcPr>
            <w:tcW w:w="1204" w:type="pct"/>
            <w:tcBorders>
              <w:top w:val="nil"/>
              <w:left w:val="nil"/>
              <w:bottom w:val="single" w:sz="8" w:space="0" w:color="007FAD"/>
              <w:right w:val="nil"/>
            </w:tcBorders>
            <w:shd w:val="clear" w:color="000000" w:fill="FFFFFF"/>
          </w:tcPr>
          <w:p w14:paraId="138C1F6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Gugu </w:t>
            </w:r>
            <w:proofErr w:type="spellStart"/>
            <w:r w:rsidRPr="008D14BA">
              <w:rPr>
                <w:color w:val="000000"/>
                <w:sz w:val="20"/>
                <w:lang w:val="en-NZ" w:eastAsia="en-NZ"/>
              </w:rPr>
              <w:t>Makhubo</w:t>
            </w:r>
            <w:proofErr w:type="spellEnd"/>
          </w:p>
        </w:tc>
        <w:tc>
          <w:tcPr>
            <w:tcW w:w="1960" w:type="pct"/>
            <w:tcBorders>
              <w:top w:val="nil"/>
              <w:left w:val="nil"/>
              <w:bottom w:val="single" w:sz="8" w:space="0" w:color="007FAD"/>
              <w:right w:val="nil"/>
            </w:tcBorders>
            <w:shd w:val="clear" w:color="000000" w:fill="FFFFFF"/>
          </w:tcPr>
          <w:p w14:paraId="019D217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Communications Manager</w:t>
            </w:r>
          </w:p>
        </w:tc>
        <w:tc>
          <w:tcPr>
            <w:tcW w:w="1836" w:type="pct"/>
            <w:tcBorders>
              <w:top w:val="nil"/>
              <w:left w:val="nil"/>
              <w:bottom w:val="single" w:sz="8" w:space="0" w:color="007FAD"/>
              <w:right w:val="nil"/>
            </w:tcBorders>
            <w:shd w:val="clear" w:color="000000" w:fill="FFFFFF"/>
          </w:tcPr>
          <w:p w14:paraId="041A69F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00013EB3" w14:textId="77777777" w:rsidTr="00A93825">
        <w:trPr>
          <w:trHeight w:val="20"/>
        </w:trPr>
        <w:tc>
          <w:tcPr>
            <w:tcW w:w="1204" w:type="pct"/>
            <w:tcBorders>
              <w:top w:val="nil"/>
              <w:left w:val="nil"/>
              <w:bottom w:val="single" w:sz="8" w:space="0" w:color="007FAD"/>
              <w:right w:val="nil"/>
            </w:tcBorders>
            <w:shd w:val="clear" w:color="000000" w:fill="FFFFFF"/>
          </w:tcPr>
          <w:p w14:paraId="4A70237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Mark Lawrence</w:t>
            </w:r>
          </w:p>
        </w:tc>
        <w:tc>
          <w:tcPr>
            <w:tcW w:w="1960" w:type="pct"/>
            <w:tcBorders>
              <w:top w:val="nil"/>
              <w:left w:val="nil"/>
              <w:bottom w:val="single" w:sz="8" w:space="0" w:color="007FAD"/>
              <w:right w:val="nil"/>
            </w:tcBorders>
            <w:shd w:val="clear" w:color="000000" w:fill="FFFFFF"/>
          </w:tcPr>
          <w:p w14:paraId="4B0C97E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Program Operations Manager</w:t>
            </w:r>
          </w:p>
        </w:tc>
        <w:tc>
          <w:tcPr>
            <w:tcW w:w="1836" w:type="pct"/>
            <w:tcBorders>
              <w:top w:val="nil"/>
              <w:left w:val="nil"/>
              <w:bottom w:val="single" w:sz="8" w:space="0" w:color="007FAD"/>
              <w:right w:val="nil"/>
            </w:tcBorders>
            <w:shd w:val="clear" w:color="000000" w:fill="FFFFFF"/>
          </w:tcPr>
          <w:p w14:paraId="3D2CF00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2E91674D" w14:textId="77777777" w:rsidTr="00A93825">
        <w:trPr>
          <w:trHeight w:val="20"/>
        </w:trPr>
        <w:tc>
          <w:tcPr>
            <w:tcW w:w="1204" w:type="pct"/>
            <w:tcBorders>
              <w:top w:val="nil"/>
              <w:left w:val="nil"/>
              <w:bottom w:val="single" w:sz="8" w:space="0" w:color="007FAD"/>
              <w:right w:val="nil"/>
            </w:tcBorders>
            <w:shd w:val="clear" w:color="000000" w:fill="FFFFFF"/>
          </w:tcPr>
          <w:p w14:paraId="4ACEF9B2"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Ngonidzashe</w:t>
            </w:r>
            <w:proofErr w:type="spellEnd"/>
            <w:r w:rsidRPr="008D14BA">
              <w:rPr>
                <w:color w:val="000000"/>
                <w:sz w:val="20"/>
                <w:lang w:val="en-NZ" w:eastAsia="en-NZ"/>
              </w:rPr>
              <w:t xml:space="preserve"> </w:t>
            </w:r>
            <w:proofErr w:type="spellStart"/>
            <w:r w:rsidRPr="008D14BA">
              <w:rPr>
                <w:color w:val="000000"/>
                <w:sz w:val="20"/>
                <w:lang w:val="en-NZ" w:eastAsia="en-NZ"/>
              </w:rPr>
              <w:t>Chipato</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014E030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M&amp;E Manager</w:t>
            </w:r>
          </w:p>
        </w:tc>
        <w:tc>
          <w:tcPr>
            <w:tcW w:w="1836" w:type="pct"/>
            <w:tcBorders>
              <w:top w:val="nil"/>
              <w:left w:val="nil"/>
              <w:bottom w:val="single" w:sz="8" w:space="0" w:color="007FAD"/>
              <w:right w:val="nil"/>
            </w:tcBorders>
            <w:shd w:val="clear" w:color="000000" w:fill="FFFFFF"/>
          </w:tcPr>
          <w:p w14:paraId="28D5D67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3F11E825" w14:textId="77777777" w:rsidTr="00A93825">
        <w:trPr>
          <w:trHeight w:val="20"/>
        </w:trPr>
        <w:tc>
          <w:tcPr>
            <w:tcW w:w="1204" w:type="pct"/>
            <w:tcBorders>
              <w:top w:val="nil"/>
              <w:left w:val="nil"/>
              <w:bottom w:val="single" w:sz="8" w:space="0" w:color="007FAD"/>
              <w:right w:val="nil"/>
            </w:tcBorders>
            <w:shd w:val="clear" w:color="000000" w:fill="FFFFFF"/>
          </w:tcPr>
          <w:p w14:paraId="1B34D2A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Jenny Laughton</w:t>
            </w:r>
          </w:p>
        </w:tc>
        <w:tc>
          <w:tcPr>
            <w:tcW w:w="1960" w:type="pct"/>
            <w:tcBorders>
              <w:top w:val="nil"/>
              <w:left w:val="nil"/>
              <w:bottom w:val="single" w:sz="8" w:space="0" w:color="007FAD"/>
              <w:right w:val="nil"/>
            </w:tcBorders>
            <w:shd w:val="clear" w:color="000000" w:fill="FFFFFF"/>
          </w:tcPr>
          <w:p w14:paraId="5482DC9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Awards Manager</w:t>
            </w:r>
          </w:p>
        </w:tc>
        <w:tc>
          <w:tcPr>
            <w:tcW w:w="1836" w:type="pct"/>
            <w:tcBorders>
              <w:top w:val="nil"/>
              <w:left w:val="nil"/>
              <w:bottom w:val="single" w:sz="8" w:space="0" w:color="007FAD"/>
              <w:right w:val="nil"/>
            </w:tcBorders>
            <w:shd w:val="clear" w:color="000000" w:fill="FFFFFF"/>
          </w:tcPr>
          <w:p w14:paraId="3B54CB8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760F09C4" w14:textId="77777777" w:rsidTr="00A93825">
        <w:trPr>
          <w:trHeight w:val="20"/>
        </w:trPr>
        <w:tc>
          <w:tcPr>
            <w:tcW w:w="1204" w:type="pct"/>
            <w:tcBorders>
              <w:top w:val="nil"/>
              <w:left w:val="nil"/>
              <w:bottom w:val="single" w:sz="8" w:space="0" w:color="007FAD"/>
              <w:right w:val="nil"/>
            </w:tcBorders>
            <w:shd w:val="clear" w:color="000000" w:fill="FFFFFF"/>
          </w:tcPr>
          <w:p w14:paraId="2D0399F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DC Jacobs</w:t>
            </w:r>
          </w:p>
        </w:tc>
        <w:tc>
          <w:tcPr>
            <w:tcW w:w="1960" w:type="pct"/>
            <w:tcBorders>
              <w:top w:val="nil"/>
              <w:left w:val="nil"/>
              <w:bottom w:val="single" w:sz="8" w:space="0" w:color="007FAD"/>
              <w:right w:val="nil"/>
            </w:tcBorders>
            <w:shd w:val="clear" w:color="000000" w:fill="FFFFFF"/>
          </w:tcPr>
          <w:p w14:paraId="7E35D63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Alumni Engagement Manager</w:t>
            </w:r>
          </w:p>
        </w:tc>
        <w:tc>
          <w:tcPr>
            <w:tcW w:w="1836" w:type="pct"/>
            <w:tcBorders>
              <w:top w:val="nil"/>
              <w:left w:val="nil"/>
              <w:bottom w:val="single" w:sz="8" w:space="0" w:color="007FAD"/>
              <w:right w:val="nil"/>
            </w:tcBorders>
            <w:shd w:val="clear" w:color="000000" w:fill="FFFFFF"/>
          </w:tcPr>
          <w:p w14:paraId="72670A9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2C1DE79E" w14:textId="77777777" w:rsidTr="00A93825">
        <w:trPr>
          <w:trHeight w:val="20"/>
        </w:trPr>
        <w:tc>
          <w:tcPr>
            <w:tcW w:w="1204" w:type="pct"/>
            <w:tcBorders>
              <w:top w:val="nil"/>
              <w:left w:val="nil"/>
              <w:bottom w:val="single" w:sz="8" w:space="0" w:color="007FAD"/>
              <w:right w:val="nil"/>
            </w:tcBorders>
            <w:shd w:val="clear" w:color="000000" w:fill="FFFFFF"/>
          </w:tcPr>
          <w:p w14:paraId="39F6913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Danielle Stein</w:t>
            </w:r>
          </w:p>
        </w:tc>
        <w:tc>
          <w:tcPr>
            <w:tcW w:w="1960" w:type="pct"/>
            <w:tcBorders>
              <w:top w:val="nil"/>
              <w:left w:val="nil"/>
              <w:bottom w:val="single" w:sz="8" w:space="0" w:color="007FAD"/>
              <w:right w:val="nil"/>
            </w:tcBorders>
            <w:shd w:val="clear" w:color="000000" w:fill="FFFFFF"/>
          </w:tcPr>
          <w:p w14:paraId="432E1CA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M&amp;E Advisor</w:t>
            </w:r>
          </w:p>
        </w:tc>
        <w:tc>
          <w:tcPr>
            <w:tcW w:w="1836" w:type="pct"/>
            <w:tcBorders>
              <w:top w:val="nil"/>
              <w:left w:val="nil"/>
              <w:bottom w:val="single" w:sz="8" w:space="0" w:color="007FAD"/>
              <w:right w:val="nil"/>
            </w:tcBorders>
            <w:shd w:val="clear" w:color="000000" w:fill="FFFFFF"/>
          </w:tcPr>
          <w:p w14:paraId="5B0D666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7F4F95EC" w14:textId="77777777" w:rsidTr="00A93825">
        <w:trPr>
          <w:trHeight w:val="20"/>
        </w:trPr>
        <w:tc>
          <w:tcPr>
            <w:tcW w:w="1204" w:type="pct"/>
            <w:tcBorders>
              <w:top w:val="nil"/>
              <w:left w:val="nil"/>
              <w:bottom w:val="single" w:sz="8" w:space="0" w:color="007FAD"/>
              <w:right w:val="nil"/>
            </w:tcBorders>
            <w:shd w:val="clear" w:color="000000" w:fill="FFFFFF"/>
          </w:tcPr>
          <w:p w14:paraId="124B515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Nancy Biwott</w:t>
            </w:r>
          </w:p>
        </w:tc>
        <w:tc>
          <w:tcPr>
            <w:tcW w:w="1960" w:type="pct"/>
            <w:tcBorders>
              <w:top w:val="nil"/>
              <w:left w:val="nil"/>
              <w:bottom w:val="single" w:sz="8" w:space="0" w:color="007FAD"/>
              <w:right w:val="nil"/>
            </w:tcBorders>
            <w:shd w:val="clear" w:color="000000" w:fill="FFFFFF"/>
          </w:tcPr>
          <w:p w14:paraId="6E7C789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Gender Equality &amp; Social Inclusion Officer</w:t>
            </w:r>
          </w:p>
        </w:tc>
        <w:tc>
          <w:tcPr>
            <w:tcW w:w="1836" w:type="pct"/>
            <w:tcBorders>
              <w:top w:val="nil"/>
              <w:left w:val="nil"/>
              <w:bottom w:val="single" w:sz="8" w:space="0" w:color="007FAD"/>
              <w:right w:val="nil"/>
            </w:tcBorders>
            <w:shd w:val="clear" w:color="000000" w:fill="FFFFFF"/>
          </w:tcPr>
          <w:p w14:paraId="382BB1C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37CE58B0" w14:textId="77777777" w:rsidTr="00A93825">
        <w:trPr>
          <w:trHeight w:val="20"/>
        </w:trPr>
        <w:tc>
          <w:tcPr>
            <w:tcW w:w="1204" w:type="pct"/>
            <w:tcBorders>
              <w:top w:val="nil"/>
              <w:left w:val="nil"/>
              <w:bottom w:val="single" w:sz="8" w:space="0" w:color="007FAD"/>
              <w:right w:val="nil"/>
            </w:tcBorders>
            <w:shd w:val="clear" w:color="000000" w:fill="FFFFFF"/>
          </w:tcPr>
          <w:p w14:paraId="2B378A4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Samson Odongo</w:t>
            </w:r>
          </w:p>
        </w:tc>
        <w:tc>
          <w:tcPr>
            <w:tcW w:w="1960" w:type="pct"/>
            <w:tcBorders>
              <w:top w:val="nil"/>
              <w:left w:val="nil"/>
              <w:bottom w:val="single" w:sz="8" w:space="0" w:color="007FAD"/>
              <w:right w:val="nil"/>
            </w:tcBorders>
            <w:shd w:val="clear" w:color="000000" w:fill="FFFFFF"/>
          </w:tcPr>
          <w:p w14:paraId="0CBF9B7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Alumni Officer</w:t>
            </w:r>
          </w:p>
        </w:tc>
        <w:tc>
          <w:tcPr>
            <w:tcW w:w="1836" w:type="pct"/>
            <w:tcBorders>
              <w:top w:val="nil"/>
              <w:left w:val="nil"/>
              <w:bottom w:val="single" w:sz="8" w:space="0" w:color="007FAD"/>
              <w:right w:val="nil"/>
            </w:tcBorders>
            <w:shd w:val="clear" w:color="000000" w:fill="FFFFFF"/>
          </w:tcPr>
          <w:p w14:paraId="2DBC9C8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2A123DCC" w14:textId="77777777" w:rsidTr="00A93825">
        <w:trPr>
          <w:trHeight w:val="20"/>
        </w:trPr>
        <w:tc>
          <w:tcPr>
            <w:tcW w:w="1204" w:type="pct"/>
            <w:tcBorders>
              <w:top w:val="nil"/>
              <w:left w:val="nil"/>
              <w:bottom w:val="single" w:sz="8" w:space="0" w:color="007FAD"/>
              <w:right w:val="nil"/>
            </w:tcBorders>
            <w:shd w:val="clear" w:color="000000" w:fill="FFFFFF"/>
          </w:tcPr>
          <w:p w14:paraId="022D29C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Patrick Tito </w:t>
            </w:r>
            <w:proofErr w:type="spellStart"/>
            <w:r w:rsidRPr="008D14BA">
              <w:rPr>
                <w:color w:val="000000"/>
                <w:sz w:val="20"/>
                <w:lang w:val="en-NZ" w:eastAsia="en-NZ"/>
              </w:rPr>
              <w:t>Kibiego</w:t>
            </w:r>
            <w:proofErr w:type="spellEnd"/>
          </w:p>
        </w:tc>
        <w:tc>
          <w:tcPr>
            <w:tcW w:w="1960" w:type="pct"/>
            <w:tcBorders>
              <w:top w:val="nil"/>
              <w:left w:val="nil"/>
              <w:bottom w:val="single" w:sz="8" w:space="0" w:color="007FAD"/>
              <w:right w:val="nil"/>
            </w:tcBorders>
            <w:shd w:val="clear" w:color="000000" w:fill="FFFFFF"/>
          </w:tcPr>
          <w:p w14:paraId="19A7DEC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Systems Support &amp; Data Analyst</w:t>
            </w:r>
          </w:p>
        </w:tc>
        <w:tc>
          <w:tcPr>
            <w:tcW w:w="1836" w:type="pct"/>
            <w:tcBorders>
              <w:top w:val="nil"/>
              <w:left w:val="nil"/>
              <w:bottom w:val="single" w:sz="8" w:space="0" w:color="007FAD"/>
              <w:right w:val="nil"/>
            </w:tcBorders>
            <w:shd w:val="clear" w:color="000000" w:fill="FFFFFF"/>
          </w:tcPr>
          <w:p w14:paraId="581B4AD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4FD6AB3D" w14:textId="77777777" w:rsidTr="00A93825">
        <w:trPr>
          <w:trHeight w:val="20"/>
        </w:trPr>
        <w:tc>
          <w:tcPr>
            <w:tcW w:w="1204" w:type="pct"/>
            <w:tcBorders>
              <w:top w:val="nil"/>
              <w:left w:val="nil"/>
              <w:bottom w:val="single" w:sz="8" w:space="0" w:color="007FAD"/>
              <w:right w:val="nil"/>
            </w:tcBorders>
            <w:shd w:val="clear" w:color="000000" w:fill="FFFFFF"/>
          </w:tcPr>
          <w:p w14:paraId="18D976FB"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Mbindyo</w:t>
            </w:r>
            <w:proofErr w:type="spellEnd"/>
            <w:r w:rsidRPr="008D14BA">
              <w:rPr>
                <w:color w:val="000000"/>
                <w:sz w:val="20"/>
                <w:lang w:val="en-NZ" w:eastAsia="en-NZ"/>
              </w:rPr>
              <w:t xml:space="preserve"> </w:t>
            </w:r>
            <w:proofErr w:type="spellStart"/>
            <w:r w:rsidRPr="008D14BA">
              <w:rPr>
                <w:color w:val="000000"/>
                <w:sz w:val="20"/>
                <w:lang w:val="en-NZ" w:eastAsia="en-NZ"/>
              </w:rPr>
              <w:t>Kimanthi</w:t>
            </w:r>
            <w:proofErr w:type="spellEnd"/>
          </w:p>
        </w:tc>
        <w:tc>
          <w:tcPr>
            <w:tcW w:w="1960" w:type="pct"/>
            <w:tcBorders>
              <w:top w:val="nil"/>
              <w:left w:val="nil"/>
              <w:bottom w:val="single" w:sz="8" w:space="0" w:color="007FAD"/>
              <w:right w:val="nil"/>
            </w:tcBorders>
            <w:shd w:val="clear" w:color="000000" w:fill="FFFFFF"/>
          </w:tcPr>
          <w:p w14:paraId="69B633A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Stakeholder Relations Officer</w:t>
            </w:r>
          </w:p>
        </w:tc>
        <w:tc>
          <w:tcPr>
            <w:tcW w:w="1836" w:type="pct"/>
            <w:tcBorders>
              <w:top w:val="nil"/>
              <w:left w:val="nil"/>
              <w:bottom w:val="single" w:sz="8" w:space="0" w:color="007FAD"/>
              <w:right w:val="nil"/>
            </w:tcBorders>
            <w:shd w:val="clear" w:color="000000" w:fill="FFFFFF"/>
          </w:tcPr>
          <w:p w14:paraId="0DE9726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24C7F0EB" w14:textId="77777777" w:rsidTr="00A93825">
        <w:trPr>
          <w:trHeight w:val="20"/>
        </w:trPr>
        <w:tc>
          <w:tcPr>
            <w:tcW w:w="1204" w:type="pct"/>
            <w:tcBorders>
              <w:top w:val="nil"/>
              <w:left w:val="nil"/>
              <w:bottom w:val="single" w:sz="8" w:space="0" w:color="007FAD"/>
              <w:right w:val="nil"/>
            </w:tcBorders>
            <w:shd w:val="clear" w:color="000000" w:fill="FFFFFF"/>
          </w:tcPr>
          <w:p w14:paraId="79742A7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Cecilia </w:t>
            </w:r>
            <w:proofErr w:type="spellStart"/>
            <w:r w:rsidRPr="008D14BA">
              <w:rPr>
                <w:color w:val="000000"/>
                <w:sz w:val="20"/>
                <w:lang w:val="en-NZ" w:eastAsia="en-NZ"/>
              </w:rPr>
              <w:t>Mulinge</w:t>
            </w:r>
            <w:proofErr w:type="spellEnd"/>
          </w:p>
        </w:tc>
        <w:tc>
          <w:tcPr>
            <w:tcW w:w="1960" w:type="pct"/>
            <w:tcBorders>
              <w:top w:val="nil"/>
              <w:left w:val="nil"/>
              <w:bottom w:val="single" w:sz="8" w:space="0" w:color="007FAD"/>
              <w:right w:val="nil"/>
            </w:tcBorders>
            <w:shd w:val="clear" w:color="000000" w:fill="FFFFFF"/>
          </w:tcPr>
          <w:p w14:paraId="788EC36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Awards Officer</w:t>
            </w:r>
          </w:p>
        </w:tc>
        <w:tc>
          <w:tcPr>
            <w:tcW w:w="1836" w:type="pct"/>
            <w:tcBorders>
              <w:top w:val="nil"/>
              <w:left w:val="nil"/>
              <w:bottom w:val="single" w:sz="8" w:space="0" w:color="007FAD"/>
              <w:right w:val="nil"/>
            </w:tcBorders>
            <w:shd w:val="clear" w:color="000000" w:fill="FFFFFF"/>
          </w:tcPr>
          <w:p w14:paraId="17EAC65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03DC81C0" w14:textId="77777777" w:rsidTr="00A93825">
        <w:trPr>
          <w:trHeight w:val="20"/>
        </w:trPr>
        <w:tc>
          <w:tcPr>
            <w:tcW w:w="1204" w:type="pct"/>
            <w:tcBorders>
              <w:top w:val="nil"/>
              <w:left w:val="nil"/>
              <w:bottom w:val="single" w:sz="8" w:space="0" w:color="007FAD"/>
              <w:right w:val="nil"/>
            </w:tcBorders>
            <w:shd w:val="clear" w:color="000000" w:fill="FFFFFF"/>
          </w:tcPr>
          <w:p w14:paraId="25721DC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Melvin Ochieng Otieno</w:t>
            </w:r>
          </w:p>
        </w:tc>
        <w:tc>
          <w:tcPr>
            <w:tcW w:w="1960" w:type="pct"/>
            <w:tcBorders>
              <w:top w:val="nil"/>
              <w:left w:val="nil"/>
              <w:bottom w:val="single" w:sz="8" w:space="0" w:color="007FAD"/>
              <w:right w:val="nil"/>
            </w:tcBorders>
            <w:shd w:val="clear" w:color="000000" w:fill="FFFFFF"/>
          </w:tcPr>
          <w:p w14:paraId="25ECE37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Awards Officer</w:t>
            </w:r>
          </w:p>
        </w:tc>
        <w:tc>
          <w:tcPr>
            <w:tcW w:w="1836" w:type="pct"/>
            <w:tcBorders>
              <w:top w:val="nil"/>
              <w:left w:val="nil"/>
              <w:bottom w:val="single" w:sz="8" w:space="0" w:color="007FAD"/>
              <w:right w:val="nil"/>
            </w:tcBorders>
            <w:shd w:val="clear" w:color="000000" w:fill="FFFFFF"/>
          </w:tcPr>
          <w:p w14:paraId="0BDEF7FE" w14:textId="77777777" w:rsidR="00B7688F" w:rsidRPr="008D14BA" w:rsidRDefault="00B7688F" w:rsidP="00B7688F">
            <w:pPr>
              <w:spacing w:before="0" w:after="0" w:line="240" w:lineRule="auto"/>
              <w:rPr>
                <w:color w:val="000000"/>
                <w:sz w:val="20"/>
                <w:lang w:val="en-NZ" w:eastAsia="en-NZ"/>
              </w:rPr>
            </w:pPr>
          </w:p>
        </w:tc>
      </w:tr>
      <w:tr w:rsidR="00B7688F" w:rsidRPr="008D14BA" w14:paraId="3F78B035" w14:textId="77777777" w:rsidTr="00A93825">
        <w:trPr>
          <w:trHeight w:val="20"/>
        </w:trPr>
        <w:tc>
          <w:tcPr>
            <w:tcW w:w="1204" w:type="pct"/>
            <w:tcBorders>
              <w:top w:val="nil"/>
              <w:left w:val="nil"/>
              <w:bottom w:val="single" w:sz="8" w:space="0" w:color="007FAD"/>
              <w:right w:val="nil"/>
            </w:tcBorders>
            <w:shd w:val="clear" w:color="000000" w:fill="FFFFFF"/>
          </w:tcPr>
          <w:p w14:paraId="3D6A584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Grace Olango</w:t>
            </w:r>
          </w:p>
        </w:tc>
        <w:tc>
          <w:tcPr>
            <w:tcW w:w="1960" w:type="pct"/>
            <w:tcBorders>
              <w:top w:val="nil"/>
              <w:left w:val="nil"/>
              <w:bottom w:val="single" w:sz="8" w:space="0" w:color="007FAD"/>
              <w:right w:val="nil"/>
            </w:tcBorders>
            <w:shd w:val="clear" w:color="000000" w:fill="FFFFFF"/>
          </w:tcPr>
          <w:p w14:paraId="33C85D4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Awards Officer</w:t>
            </w:r>
          </w:p>
        </w:tc>
        <w:tc>
          <w:tcPr>
            <w:tcW w:w="1836" w:type="pct"/>
            <w:tcBorders>
              <w:top w:val="nil"/>
              <w:left w:val="nil"/>
              <w:bottom w:val="single" w:sz="8" w:space="0" w:color="007FAD"/>
              <w:right w:val="nil"/>
            </w:tcBorders>
            <w:shd w:val="clear" w:color="000000" w:fill="FFFFFF"/>
          </w:tcPr>
          <w:p w14:paraId="28AE3D7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Palladium</w:t>
            </w:r>
          </w:p>
        </w:tc>
      </w:tr>
      <w:tr w:rsidR="00B7688F" w:rsidRPr="008D14BA" w14:paraId="1096D815" w14:textId="77777777" w:rsidTr="00A93825">
        <w:trPr>
          <w:trHeight w:val="20"/>
        </w:trPr>
        <w:tc>
          <w:tcPr>
            <w:tcW w:w="3164" w:type="pct"/>
            <w:gridSpan w:val="2"/>
            <w:tcBorders>
              <w:top w:val="nil"/>
              <w:left w:val="nil"/>
              <w:bottom w:val="single" w:sz="8" w:space="0" w:color="007FAD"/>
              <w:right w:val="nil"/>
            </w:tcBorders>
            <w:shd w:val="clear" w:color="000000" w:fill="DCE6F1"/>
            <w:noWrap/>
          </w:tcPr>
          <w:p w14:paraId="140CC104" w14:textId="77777777" w:rsidR="00B7688F" w:rsidRPr="008D14BA" w:rsidRDefault="00B7688F" w:rsidP="00B7688F">
            <w:pPr>
              <w:spacing w:before="0" w:after="0" w:line="240" w:lineRule="auto"/>
              <w:rPr>
                <w:b/>
                <w:bCs/>
                <w:color w:val="000000"/>
                <w:sz w:val="20"/>
                <w:lang w:val="en-NZ" w:eastAsia="en-NZ"/>
              </w:rPr>
            </w:pPr>
            <w:r w:rsidRPr="008D14BA">
              <w:rPr>
                <w:b/>
                <w:bCs/>
                <w:color w:val="000000"/>
                <w:sz w:val="20"/>
                <w:lang w:val="en-NZ" w:eastAsia="en-NZ"/>
              </w:rPr>
              <w:t xml:space="preserve">Country stakeholders </w:t>
            </w:r>
          </w:p>
        </w:tc>
        <w:tc>
          <w:tcPr>
            <w:tcW w:w="1836" w:type="pct"/>
            <w:tcBorders>
              <w:top w:val="nil"/>
              <w:left w:val="nil"/>
              <w:bottom w:val="single" w:sz="8" w:space="0" w:color="007FAD"/>
              <w:right w:val="nil"/>
            </w:tcBorders>
            <w:shd w:val="clear" w:color="000000" w:fill="DCE6F1"/>
          </w:tcPr>
          <w:p w14:paraId="48556F2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w:t>
            </w:r>
          </w:p>
        </w:tc>
      </w:tr>
      <w:tr w:rsidR="00B7688F" w:rsidRPr="008D14BA" w14:paraId="47F419CB" w14:textId="77777777" w:rsidTr="00A93825">
        <w:trPr>
          <w:trHeight w:val="20"/>
        </w:trPr>
        <w:tc>
          <w:tcPr>
            <w:tcW w:w="1204" w:type="pct"/>
            <w:tcBorders>
              <w:top w:val="nil"/>
              <w:left w:val="nil"/>
              <w:bottom w:val="single" w:sz="8" w:space="0" w:color="007FAD"/>
              <w:right w:val="nil"/>
            </w:tcBorders>
            <w:shd w:val="clear" w:color="000000" w:fill="FFFFFF"/>
          </w:tcPr>
          <w:p w14:paraId="05EC6317" w14:textId="77777777" w:rsidR="00B7688F" w:rsidRPr="008D14BA" w:rsidRDefault="00B7688F" w:rsidP="00B7688F">
            <w:pPr>
              <w:spacing w:before="0" w:after="0" w:line="240" w:lineRule="auto"/>
              <w:rPr>
                <w:b/>
                <w:i/>
                <w:sz w:val="20"/>
                <w:highlight w:val="yellow"/>
              </w:rPr>
            </w:pPr>
            <w:r w:rsidRPr="008D14BA">
              <w:rPr>
                <w:b/>
                <w:i/>
                <w:sz w:val="20"/>
              </w:rPr>
              <w:t>Botswana:</w:t>
            </w:r>
          </w:p>
        </w:tc>
        <w:tc>
          <w:tcPr>
            <w:tcW w:w="1960" w:type="pct"/>
            <w:tcBorders>
              <w:top w:val="nil"/>
              <w:left w:val="nil"/>
              <w:bottom w:val="single" w:sz="8" w:space="0" w:color="007FAD"/>
              <w:right w:val="nil"/>
            </w:tcBorders>
            <w:shd w:val="clear" w:color="000000" w:fill="FFFFFF"/>
          </w:tcPr>
          <w:p w14:paraId="58A22B71" w14:textId="77777777" w:rsidR="00B7688F" w:rsidRPr="008D14BA" w:rsidRDefault="00B7688F" w:rsidP="00B7688F">
            <w:pPr>
              <w:spacing w:before="0" w:after="0" w:line="240" w:lineRule="auto"/>
              <w:rPr>
                <w:sz w:val="20"/>
              </w:rPr>
            </w:pPr>
          </w:p>
        </w:tc>
        <w:tc>
          <w:tcPr>
            <w:tcW w:w="1836" w:type="pct"/>
            <w:tcBorders>
              <w:top w:val="nil"/>
              <w:left w:val="nil"/>
              <w:bottom w:val="single" w:sz="8" w:space="0" w:color="007FAD"/>
              <w:right w:val="nil"/>
            </w:tcBorders>
            <w:shd w:val="clear" w:color="000000" w:fill="FFFFFF"/>
          </w:tcPr>
          <w:p w14:paraId="60696FD5" w14:textId="77777777" w:rsidR="00B7688F" w:rsidRPr="008D14BA" w:rsidRDefault="00B7688F" w:rsidP="00B7688F">
            <w:pPr>
              <w:spacing w:before="0" w:after="0" w:line="240" w:lineRule="auto"/>
              <w:rPr>
                <w:sz w:val="20"/>
              </w:rPr>
            </w:pPr>
          </w:p>
        </w:tc>
      </w:tr>
      <w:tr w:rsidR="00B7688F" w:rsidRPr="008D14BA" w14:paraId="029206E9" w14:textId="77777777" w:rsidTr="00A93825">
        <w:trPr>
          <w:trHeight w:val="20"/>
        </w:trPr>
        <w:tc>
          <w:tcPr>
            <w:tcW w:w="1204" w:type="pct"/>
            <w:tcBorders>
              <w:top w:val="nil"/>
              <w:left w:val="nil"/>
              <w:bottom w:val="single" w:sz="8" w:space="0" w:color="007FAD"/>
              <w:right w:val="nil"/>
            </w:tcBorders>
            <w:shd w:val="clear" w:color="000000" w:fill="FFFFFF"/>
          </w:tcPr>
          <w:p w14:paraId="7A8E4B4C" w14:textId="77777777" w:rsidR="00B7688F" w:rsidRPr="008D14BA" w:rsidRDefault="00B7688F" w:rsidP="00B7688F">
            <w:pPr>
              <w:pStyle w:val="TableText"/>
              <w:rPr>
                <w:rFonts w:cs="Arial"/>
                <w:sz w:val="20"/>
                <w:szCs w:val="20"/>
                <w:lang w:val="en-NZ" w:eastAsia="en-NZ"/>
              </w:rPr>
            </w:pPr>
            <w:r w:rsidRPr="008D14BA">
              <w:rPr>
                <w:sz w:val="20"/>
                <w:szCs w:val="20"/>
                <w:lang w:val="en-ZA"/>
              </w:rPr>
              <w:t xml:space="preserve">Rebecca </w:t>
            </w:r>
            <w:proofErr w:type="spellStart"/>
            <w:r w:rsidRPr="008D14BA">
              <w:rPr>
                <w:sz w:val="20"/>
                <w:szCs w:val="20"/>
                <w:lang w:val="en-ZA"/>
              </w:rPr>
              <w:t>Mphahudi</w:t>
            </w:r>
            <w:proofErr w:type="spellEnd"/>
          </w:p>
        </w:tc>
        <w:tc>
          <w:tcPr>
            <w:tcW w:w="1960" w:type="pct"/>
            <w:tcBorders>
              <w:top w:val="nil"/>
              <w:left w:val="nil"/>
              <w:bottom w:val="single" w:sz="8" w:space="0" w:color="007FAD"/>
              <w:right w:val="nil"/>
            </w:tcBorders>
            <w:shd w:val="clear" w:color="000000" w:fill="FFFFFF"/>
          </w:tcPr>
          <w:p w14:paraId="3FEB988C" w14:textId="77777777" w:rsidR="00B7688F" w:rsidRPr="008D14BA" w:rsidRDefault="00B7688F" w:rsidP="00B7688F">
            <w:pPr>
              <w:spacing w:before="0" w:after="0" w:line="240" w:lineRule="auto"/>
              <w:rPr>
                <w:rFonts w:cs="Arial"/>
                <w:color w:val="000000"/>
                <w:sz w:val="20"/>
                <w:lang w:val="en-NZ" w:eastAsia="en-NZ"/>
              </w:rPr>
            </w:pPr>
            <w:r w:rsidRPr="008D14BA">
              <w:rPr>
                <w:sz w:val="20"/>
                <w:lang w:val="en-ZA"/>
              </w:rPr>
              <w:t>Assistant Director</w:t>
            </w:r>
          </w:p>
        </w:tc>
        <w:tc>
          <w:tcPr>
            <w:tcW w:w="1836" w:type="pct"/>
            <w:tcBorders>
              <w:top w:val="nil"/>
              <w:left w:val="nil"/>
              <w:bottom w:val="single" w:sz="8" w:space="0" w:color="007FAD"/>
              <w:right w:val="nil"/>
            </w:tcBorders>
            <w:shd w:val="clear" w:color="000000" w:fill="FFFFFF"/>
          </w:tcPr>
          <w:p w14:paraId="4C48091A" w14:textId="77777777" w:rsidR="00B7688F" w:rsidRPr="008D14BA" w:rsidRDefault="00B7688F" w:rsidP="00B7688F">
            <w:pPr>
              <w:pStyle w:val="TableText"/>
              <w:rPr>
                <w:sz w:val="20"/>
                <w:szCs w:val="20"/>
                <w:lang w:val="en-ZA"/>
              </w:rPr>
            </w:pPr>
            <w:r w:rsidRPr="008D14BA">
              <w:rPr>
                <w:sz w:val="20"/>
                <w:szCs w:val="20"/>
                <w:lang w:val="en-ZA"/>
              </w:rPr>
              <w:t>Directorate of Public Service Management</w:t>
            </w:r>
          </w:p>
        </w:tc>
      </w:tr>
      <w:tr w:rsidR="00B7688F" w:rsidRPr="008D14BA" w14:paraId="6A531781" w14:textId="77777777" w:rsidTr="00A93825">
        <w:trPr>
          <w:trHeight w:val="20"/>
        </w:trPr>
        <w:tc>
          <w:tcPr>
            <w:tcW w:w="1204" w:type="pct"/>
            <w:tcBorders>
              <w:top w:val="nil"/>
              <w:left w:val="nil"/>
              <w:bottom w:val="single" w:sz="8" w:space="0" w:color="007FAD"/>
              <w:right w:val="nil"/>
            </w:tcBorders>
            <w:shd w:val="clear" w:color="000000" w:fill="FFFFFF"/>
          </w:tcPr>
          <w:p w14:paraId="371FD1AA" w14:textId="77777777" w:rsidR="00B7688F" w:rsidRPr="008D14BA" w:rsidRDefault="00B7688F" w:rsidP="00B7688F">
            <w:pPr>
              <w:pStyle w:val="TableText"/>
              <w:rPr>
                <w:b/>
                <w:i/>
                <w:sz w:val="20"/>
                <w:szCs w:val="20"/>
                <w:lang w:val="en-ZA"/>
              </w:rPr>
            </w:pPr>
            <w:r w:rsidRPr="008D14BA">
              <w:rPr>
                <w:b/>
                <w:i/>
                <w:sz w:val="20"/>
                <w:szCs w:val="20"/>
                <w:lang w:val="en-ZA"/>
              </w:rPr>
              <w:t>Eswatini</w:t>
            </w:r>
          </w:p>
        </w:tc>
        <w:tc>
          <w:tcPr>
            <w:tcW w:w="1960" w:type="pct"/>
            <w:tcBorders>
              <w:top w:val="nil"/>
              <w:left w:val="nil"/>
              <w:bottom w:val="single" w:sz="8" w:space="0" w:color="007FAD"/>
              <w:right w:val="nil"/>
            </w:tcBorders>
            <w:shd w:val="clear" w:color="000000" w:fill="FFFFFF"/>
          </w:tcPr>
          <w:p w14:paraId="5ABB495D" w14:textId="77777777" w:rsidR="00B7688F" w:rsidRPr="008D14BA" w:rsidRDefault="00B7688F" w:rsidP="00B7688F">
            <w:pPr>
              <w:spacing w:before="0" w:after="0" w:line="240" w:lineRule="auto"/>
              <w:rPr>
                <w:sz w:val="20"/>
                <w:lang w:val="en-ZA"/>
              </w:rPr>
            </w:pPr>
          </w:p>
        </w:tc>
        <w:tc>
          <w:tcPr>
            <w:tcW w:w="1836" w:type="pct"/>
            <w:tcBorders>
              <w:top w:val="nil"/>
              <w:left w:val="nil"/>
              <w:bottom w:val="single" w:sz="8" w:space="0" w:color="007FAD"/>
              <w:right w:val="nil"/>
            </w:tcBorders>
            <w:shd w:val="clear" w:color="000000" w:fill="FFFFFF"/>
          </w:tcPr>
          <w:p w14:paraId="5DFA6720" w14:textId="77777777" w:rsidR="00B7688F" w:rsidRPr="008D14BA" w:rsidRDefault="00B7688F" w:rsidP="00B7688F">
            <w:pPr>
              <w:spacing w:before="0" w:after="0" w:line="240" w:lineRule="auto"/>
              <w:rPr>
                <w:sz w:val="20"/>
                <w:lang w:val="en-ZA"/>
              </w:rPr>
            </w:pPr>
          </w:p>
        </w:tc>
      </w:tr>
      <w:tr w:rsidR="00B7688F" w:rsidRPr="008D14BA" w14:paraId="49C82861" w14:textId="77777777" w:rsidTr="00A93825">
        <w:trPr>
          <w:trHeight w:val="20"/>
        </w:trPr>
        <w:tc>
          <w:tcPr>
            <w:tcW w:w="1204" w:type="pct"/>
            <w:tcBorders>
              <w:top w:val="nil"/>
              <w:left w:val="nil"/>
              <w:bottom w:val="single" w:sz="8" w:space="0" w:color="007FAD"/>
              <w:right w:val="nil"/>
            </w:tcBorders>
            <w:shd w:val="clear" w:color="000000" w:fill="FFFFFF"/>
          </w:tcPr>
          <w:p w14:paraId="10B9AAC0" w14:textId="77777777" w:rsidR="00B7688F" w:rsidRPr="008D14BA" w:rsidRDefault="00B7688F" w:rsidP="00B7688F">
            <w:pPr>
              <w:pStyle w:val="TableText"/>
              <w:rPr>
                <w:sz w:val="20"/>
                <w:szCs w:val="20"/>
                <w:lang w:val="en-ZA"/>
              </w:rPr>
            </w:pPr>
            <w:r w:rsidRPr="008D14BA">
              <w:rPr>
                <w:sz w:val="20"/>
                <w:szCs w:val="20"/>
                <w:lang w:val="en-ZA"/>
              </w:rPr>
              <w:t xml:space="preserve">Mr. </w:t>
            </w:r>
            <w:proofErr w:type="spellStart"/>
            <w:r w:rsidRPr="008D14BA">
              <w:rPr>
                <w:sz w:val="20"/>
                <w:szCs w:val="20"/>
                <w:lang w:val="en-ZA"/>
              </w:rPr>
              <w:t>Nhlannhla</w:t>
            </w:r>
            <w:proofErr w:type="spellEnd"/>
            <w:r w:rsidRPr="008D14BA">
              <w:rPr>
                <w:sz w:val="20"/>
                <w:szCs w:val="20"/>
                <w:lang w:val="en-ZA"/>
              </w:rPr>
              <w:t xml:space="preserve"> Mnisi</w:t>
            </w:r>
          </w:p>
          <w:p w14:paraId="3DD83708" w14:textId="77777777" w:rsidR="00B7688F" w:rsidRPr="008D14BA" w:rsidRDefault="00B7688F" w:rsidP="00B7688F">
            <w:pPr>
              <w:spacing w:before="0" w:after="0" w:line="240" w:lineRule="auto"/>
              <w:rPr>
                <w:rFonts w:cs="Arial"/>
                <w:color w:val="000000"/>
                <w:sz w:val="20"/>
                <w:lang w:val="en-NZ" w:eastAsia="en-NZ"/>
              </w:rPr>
            </w:pPr>
          </w:p>
        </w:tc>
        <w:tc>
          <w:tcPr>
            <w:tcW w:w="1960" w:type="pct"/>
            <w:tcBorders>
              <w:top w:val="nil"/>
              <w:left w:val="nil"/>
              <w:bottom w:val="single" w:sz="8" w:space="0" w:color="007FAD"/>
              <w:right w:val="nil"/>
            </w:tcBorders>
            <w:shd w:val="clear" w:color="000000" w:fill="FFFFFF"/>
          </w:tcPr>
          <w:p w14:paraId="2AC3F8FC" w14:textId="77777777" w:rsidR="00B7688F" w:rsidRPr="008D14BA" w:rsidRDefault="00B7688F" w:rsidP="00B7688F">
            <w:pPr>
              <w:spacing w:before="0" w:after="0" w:line="240" w:lineRule="auto"/>
              <w:rPr>
                <w:rFonts w:cs="Arial"/>
                <w:color w:val="000000"/>
                <w:sz w:val="20"/>
                <w:lang w:val="en-NZ" w:eastAsia="en-NZ"/>
              </w:rPr>
            </w:pPr>
            <w:r w:rsidRPr="008D14BA">
              <w:rPr>
                <w:sz w:val="20"/>
                <w:lang w:val="en-ZA"/>
              </w:rPr>
              <w:t>Acting Under Secretary</w:t>
            </w:r>
          </w:p>
        </w:tc>
        <w:tc>
          <w:tcPr>
            <w:tcW w:w="1836" w:type="pct"/>
            <w:tcBorders>
              <w:top w:val="nil"/>
              <w:left w:val="nil"/>
              <w:bottom w:val="single" w:sz="8" w:space="0" w:color="007FAD"/>
              <w:right w:val="nil"/>
            </w:tcBorders>
            <w:shd w:val="clear" w:color="000000" w:fill="FFFFFF"/>
          </w:tcPr>
          <w:p w14:paraId="3B33B589" w14:textId="77777777" w:rsidR="00B7688F" w:rsidRPr="008D14BA" w:rsidRDefault="00B7688F" w:rsidP="00B7688F">
            <w:pPr>
              <w:spacing w:before="0" w:after="0" w:line="240" w:lineRule="auto"/>
              <w:rPr>
                <w:rFonts w:cs="Arial"/>
                <w:color w:val="000000"/>
                <w:sz w:val="20"/>
                <w:lang w:val="en-NZ" w:eastAsia="en-NZ"/>
              </w:rPr>
            </w:pPr>
            <w:r w:rsidRPr="008D14BA">
              <w:rPr>
                <w:sz w:val="20"/>
                <w:lang w:val="en-ZA"/>
              </w:rPr>
              <w:t>Ministry of Public Service and Information</w:t>
            </w:r>
          </w:p>
        </w:tc>
      </w:tr>
      <w:tr w:rsidR="00B7688F" w:rsidRPr="008D14BA" w14:paraId="22861B79" w14:textId="77777777" w:rsidTr="00A93825">
        <w:trPr>
          <w:trHeight w:val="20"/>
        </w:trPr>
        <w:tc>
          <w:tcPr>
            <w:tcW w:w="1204" w:type="pct"/>
            <w:tcBorders>
              <w:top w:val="nil"/>
              <w:left w:val="nil"/>
              <w:bottom w:val="single" w:sz="8" w:space="0" w:color="007FAD"/>
              <w:right w:val="nil"/>
            </w:tcBorders>
            <w:shd w:val="clear" w:color="000000" w:fill="FFFFFF"/>
          </w:tcPr>
          <w:p w14:paraId="1EC1E263" w14:textId="77777777" w:rsidR="00B7688F" w:rsidRPr="008D14BA" w:rsidRDefault="00B7688F" w:rsidP="00B7688F">
            <w:pPr>
              <w:spacing w:before="0" w:after="0" w:line="240" w:lineRule="auto"/>
              <w:rPr>
                <w:rFonts w:cs="Arial"/>
                <w:b/>
                <w:color w:val="000000"/>
                <w:sz w:val="20"/>
                <w:lang w:val="en-NZ" w:eastAsia="en-NZ"/>
              </w:rPr>
            </w:pPr>
            <w:r w:rsidRPr="008D14BA">
              <w:rPr>
                <w:b/>
                <w:i/>
                <w:color w:val="000000"/>
                <w:sz w:val="20"/>
                <w:lang w:val="en-NZ" w:eastAsia="en-NZ"/>
              </w:rPr>
              <w:t>Ghana:</w:t>
            </w:r>
          </w:p>
        </w:tc>
        <w:tc>
          <w:tcPr>
            <w:tcW w:w="1960" w:type="pct"/>
            <w:tcBorders>
              <w:top w:val="nil"/>
              <w:left w:val="nil"/>
              <w:bottom w:val="single" w:sz="8" w:space="0" w:color="007FAD"/>
              <w:right w:val="nil"/>
            </w:tcBorders>
            <w:shd w:val="clear" w:color="000000" w:fill="FFFFFF"/>
          </w:tcPr>
          <w:p w14:paraId="0F16BEF1" w14:textId="77777777" w:rsidR="00B7688F" w:rsidRPr="008D14BA" w:rsidRDefault="00B7688F" w:rsidP="00B7688F">
            <w:pPr>
              <w:spacing w:before="0" w:after="0" w:line="240" w:lineRule="auto"/>
              <w:rPr>
                <w:rFonts w:cs="Arial"/>
                <w:color w:val="000000"/>
                <w:sz w:val="20"/>
                <w:lang w:val="en-NZ" w:eastAsia="en-NZ"/>
              </w:rPr>
            </w:pPr>
          </w:p>
        </w:tc>
        <w:tc>
          <w:tcPr>
            <w:tcW w:w="1836" w:type="pct"/>
            <w:tcBorders>
              <w:top w:val="nil"/>
              <w:left w:val="nil"/>
              <w:bottom w:val="single" w:sz="8" w:space="0" w:color="007FAD"/>
              <w:right w:val="nil"/>
            </w:tcBorders>
            <w:shd w:val="clear" w:color="000000" w:fill="FFFFFF"/>
          </w:tcPr>
          <w:p w14:paraId="76A7E842" w14:textId="77777777" w:rsidR="00B7688F" w:rsidRPr="008D14BA" w:rsidRDefault="00B7688F" w:rsidP="00B7688F">
            <w:pPr>
              <w:spacing w:before="0" w:after="0" w:line="240" w:lineRule="auto"/>
              <w:rPr>
                <w:rFonts w:cs="Arial"/>
                <w:color w:val="000000"/>
                <w:sz w:val="20"/>
                <w:lang w:val="en-NZ" w:eastAsia="en-NZ"/>
              </w:rPr>
            </w:pPr>
          </w:p>
        </w:tc>
      </w:tr>
      <w:tr w:rsidR="00B7688F" w:rsidRPr="008D14BA" w14:paraId="724946F7" w14:textId="77777777" w:rsidTr="00A93825">
        <w:trPr>
          <w:trHeight w:val="20"/>
        </w:trPr>
        <w:tc>
          <w:tcPr>
            <w:tcW w:w="1204" w:type="pct"/>
            <w:tcBorders>
              <w:top w:val="nil"/>
              <w:left w:val="nil"/>
              <w:bottom w:val="single" w:sz="8" w:space="0" w:color="007FAD"/>
              <w:right w:val="nil"/>
            </w:tcBorders>
            <w:shd w:val="clear" w:color="000000" w:fill="FFFFFF"/>
          </w:tcPr>
          <w:p w14:paraId="0DD8AF3A" w14:textId="77777777" w:rsidR="00B7688F" w:rsidRPr="008D14BA" w:rsidRDefault="00B7688F" w:rsidP="00B7688F">
            <w:pPr>
              <w:spacing w:before="0" w:after="0" w:line="240" w:lineRule="auto"/>
              <w:rPr>
                <w:rFonts w:cs="Arial"/>
                <w:color w:val="000000"/>
                <w:sz w:val="20"/>
                <w:lang w:val="en-NZ" w:eastAsia="en-NZ"/>
              </w:rPr>
            </w:pPr>
            <w:proofErr w:type="spellStart"/>
            <w:r w:rsidRPr="008D14BA">
              <w:rPr>
                <w:sz w:val="20"/>
              </w:rPr>
              <w:t>Setor</w:t>
            </w:r>
            <w:proofErr w:type="spellEnd"/>
            <w:r w:rsidRPr="008D14BA">
              <w:rPr>
                <w:sz w:val="20"/>
              </w:rPr>
              <w:t xml:space="preserve"> Yaw </w:t>
            </w:r>
            <w:proofErr w:type="spellStart"/>
            <w:r w:rsidRPr="008D14BA">
              <w:rPr>
                <w:sz w:val="20"/>
              </w:rPr>
              <w:t>Adanuvor</w:t>
            </w:r>
            <w:proofErr w:type="spellEnd"/>
          </w:p>
        </w:tc>
        <w:tc>
          <w:tcPr>
            <w:tcW w:w="1960" w:type="pct"/>
            <w:tcBorders>
              <w:top w:val="nil"/>
              <w:left w:val="nil"/>
              <w:bottom w:val="single" w:sz="8" w:space="0" w:color="007FAD"/>
              <w:right w:val="nil"/>
            </w:tcBorders>
            <w:shd w:val="clear" w:color="000000" w:fill="FFFFFF"/>
          </w:tcPr>
          <w:p w14:paraId="4CC6F55F"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Assistant Director</w:t>
            </w:r>
          </w:p>
        </w:tc>
        <w:tc>
          <w:tcPr>
            <w:tcW w:w="1836" w:type="pct"/>
            <w:tcBorders>
              <w:top w:val="nil"/>
              <w:left w:val="nil"/>
              <w:bottom w:val="single" w:sz="8" w:space="0" w:color="007FAD"/>
              <w:right w:val="nil"/>
            </w:tcBorders>
            <w:shd w:val="clear" w:color="000000" w:fill="FFFFFF"/>
          </w:tcPr>
          <w:p w14:paraId="07C02B49"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Scholarships Secretariat</w:t>
            </w:r>
          </w:p>
        </w:tc>
      </w:tr>
      <w:tr w:rsidR="00B7688F" w:rsidRPr="008D14BA" w14:paraId="7D0BA8B6" w14:textId="77777777" w:rsidTr="00A93825">
        <w:trPr>
          <w:trHeight w:val="20"/>
        </w:trPr>
        <w:tc>
          <w:tcPr>
            <w:tcW w:w="1204" w:type="pct"/>
            <w:tcBorders>
              <w:top w:val="nil"/>
              <w:left w:val="nil"/>
              <w:bottom w:val="single" w:sz="8" w:space="0" w:color="007FAD"/>
              <w:right w:val="nil"/>
            </w:tcBorders>
            <w:shd w:val="clear" w:color="000000" w:fill="FFFFFF"/>
          </w:tcPr>
          <w:p w14:paraId="00345B75" w14:textId="77777777" w:rsidR="00B7688F" w:rsidRPr="008D14BA" w:rsidRDefault="00B7688F" w:rsidP="00B7688F">
            <w:pPr>
              <w:spacing w:before="0" w:after="0" w:line="240" w:lineRule="auto"/>
              <w:rPr>
                <w:rFonts w:cs="Arial"/>
                <w:color w:val="000000"/>
                <w:sz w:val="20"/>
                <w:lang w:val="en-NZ" w:eastAsia="en-NZ"/>
              </w:rPr>
            </w:pPr>
            <w:proofErr w:type="spellStart"/>
            <w:r w:rsidRPr="008D14BA">
              <w:rPr>
                <w:rFonts w:cs="Arial"/>
                <w:color w:val="000000"/>
                <w:sz w:val="20"/>
                <w:lang w:val="en-NZ" w:eastAsia="en-NZ"/>
              </w:rPr>
              <w:t>Mawunyo</w:t>
            </w:r>
            <w:proofErr w:type="spellEnd"/>
            <w:r w:rsidRPr="008D14BA">
              <w:rPr>
                <w:rFonts w:cs="Arial"/>
                <w:color w:val="000000"/>
                <w:sz w:val="20"/>
                <w:lang w:val="en-NZ" w:eastAsia="en-NZ"/>
              </w:rPr>
              <w:t xml:space="preserve"> </w:t>
            </w:r>
            <w:proofErr w:type="spellStart"/>
            <w:r w:rsidRPr="008D14BA">
              <w:rPr>
                <w:rFonts w:cs="Arial"/>
                <w:color w:val="000000"/>
                <w:sz w:val="20"/>
                <w:lang w:val="en-NZ" w:eastAsia="en-NZ"/>
              </w:rPr>
              <w:t>Yakor-Dagbah</w:t>
            </w:r>
            <w:proofErr w:type="spellEnd"/>
          </w:p>
        </w:tc>
        <w:tc>
          <w:tcPr>
            <w:tcW w:w="1960" w:type="pct"/>
            <w:tcBorders>
              <w:top w:val="nil"/>
              <w:left w:val="nil"/>
              <w:bottom w:val="single" w:sz="8" w:space="0" w:color="007FAD"/>
              <w:right w:val="nil"/>
            </w:tcBorders>
            <w:shd w:val="clear" w:color="000000" w:fill="FFFFFF"/>
          </w:tcPr>
          <w:p w14:paraId="73A5565E"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National Vice President</w:t>
            </w:r>
          </w:p>
        </w:tc>
        <w:tc>
          <w:tcPr>
            <w:tcW w:w="1836" w:type="pct"/>
            <w:tcBorders>
              <w:top w:val="nil"/>
              <w:left w:val="nil"/>
              <w:bottom w:val="single" w:sz="8" w:space="0" w:color="007FAD"/>
              <w:right w:val="nil"/>
            </w:tcBorders>
            <w:shd w:val="clear" w:color="000000" w:fill="FFFFFF"/>
          </w:tcPr>
          <w:p w14:paraId="28EF3D33"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Ghana Federation of Disability Organisations</w:t>
            </w:r>
          </w:p>
        </w:tc>
      </w:tr>
      <w:tr w:rsidR="00B7688F" w:rsidRPr="008D14BA" w14:paraId="493DE915" w14:textId="77777777" w:rsidTr="00A93825">
        <w:trPr>
          <w:trHeight w:val="20"/>
        </w:trPr>
        <w:tc>
          <w:tcPr>
            <w:tcW w:w="1204" w:type="pct"/>
            <w:tcBorders>
              <w:top w:val="nil"/>
              <w:left w:val="nil"/>
              <w:bottom w:val="single" w:sz="8" w:space="0" w:color="007FAD"/>
              <w:right w:val="nil"/>
            </w:tcBorders>
            <w:shd w:val="clear" w:color="000000" w:fill="FFFFFF"/>
          </w:tcPr>
          <w:p w14:paraId="4354507E"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 xml:space="preserve">Rita </w:t>
            </w:r>
            <w:proofErr w:type="spellStart"/>
            <w:r w:rsidRPr="008D14BA">
              <w:rPr>
                <w:rFonts w:cs="Arial"/>
                <w:color w:val="000000"/>
                <w:sz w:val="20"/>
                <w:lang w:val="en-NZ" w:eastAsia="en-NZ"/>
              </w:rPr>
              <w:t>Kusi</w:t>
            </w:r>
            <w:proofErr w:type="spellEnd"/>
            <w:r w:rsidRPr="008D14BA">
              <w:rPr>
                <w:rFonts w:cs="Arial"/>
                <w:color w:val="000000"/>
                <w:sz w:val="20"/>
                <w:lang w:val="en-NZ" w:eastAsia="en-NZ"/>
              </w:rPr>
              <w:t xml:space="preserve"> </w:t>
            </w:r>
            <w:proofErr w:type="spellStart"/>
            <w:r w:rsidRPr="008D14BA">
              <w:rPr>
                <w:rFonts w:cs="Arial"/>
                <w:color w:val="000000"/>
                <w:sz w:val="20"/>
                <w:lang w:val="en-NZ" w:eastAsia="en-NZ"/>
              </w:rPr>
              <w:t>Kyeremaa</w:t>
            </w:r>
            <w:proofErr w:type="spellEnd"/>
          </w:p>
        </w:tc>
        <w:tc>
          <w:tcPr>
            <w:tcW w:w="1960" w:type="pct"/>
            <w:tcBorders>
              <w:top w:val="nil"/>
              <w:left w:val="nil"/>
              <w:bottom w:val="single" w:sz="8" w:space="0" w:color="007FAD"/>
              <w:right w:val="nil"/>
            </w:tcBorders>
            <w:shd w:val="clear" w:color="000000" w:fill="FFFFFF"/>
          </w:tcPr>
          <w:p w14:paraId="14A0CDB7"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Executive Director</w:t>
            </w:r>
          </w:p>
        </w:tc>
        <w:tc>
          <w:tcPr>
            <w:tcW w:w="1836" w:type="pct"/>
            <w:tcBorders>
              <w:top w:val="nil"/>
              <w:left w:val="nil"/>
              <w:bottom w:val="single" w:sz="8" w:space="0" w:color="007FAD"/>
              <w:right w:val="nil"/>
            </w:tcBorders>
            <w:shd w:val="clear" w:color="000000" w:fill="FFFFFF"/>
          </w:tcPr>
          <w:p w14:paraId="78009415"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Ghana Federation of Disability Organisations</w:t>
            </w:r>
          </w:p>
        </w:tc>
      </w:tr>
      <w:tr w:rsidR="00B7688F" w:rsidRPr="008D14BA" w14:paraId="3318CF1B" w14:textId="77777777" w:rsidTr="00A93825">
        <w:trPr>
          <w:trHeight w:val="20"/>
        </w:trPr>
        <w:tc>
          <w:tcPr>
            <w:tcW w:w="1204" w:type="pct"/>
            <w:tcBorders>
              <w:top w:val="nil"/>
              <w:left w:val="nil"/>
              <w:bottom w:val="single" w:sz="8" w:space="0" w:color="007FAD"/>
              <w:right w:val="nil"/>
            </w:tcBorders>
            <w:shd w:val="clear" w:color="000000" w:fill="FFFFFF"/>
          </w:tcPr>
          <w:p w14:paraId="6723A36B"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 xml:space="preserve">Doris A. </w:t>
            </w:r>
            <w:proofErr w:type="spellStart"/>
            <w:r w:rsidRPr="008D14BA">
              <w:rPr>
                <w:rFonts w:cs="Arial"/>
                <w:color w:val="000000"/>
                <w:sz w:val="20"/>
                <w:lang w:val="en-NZ" w:eastAsia="en-NZ"/>
              </w:rPr>
              <w:t>Ndebugri</w:t>
            </w:r>
            <w:proofErr w:type="spellEnd"/>
          </w:p>
        </w:tc>
        <w:tc>
          <w:tcPr>
            <w:tcW w:w="1960" w:type="pct"/>
            <w:tcBorders>
              <w:top w:val="nil"/>
              <w:left w:val="nil"/>
              <w:bottom w:val="single" w:sz="8" w:space="0" w:color="007FAD"/>
              <w:right w:val="nil"/>
            </w:tcBorders>
            <w:shd w:val="clear" w:color="000000" w:fill="FFFFFF"/>
          </w:tcPr>
          <w:p w14:paraId="5D412313"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Program Officer - Employment</w:t>
            </w:r>
          </w:p>
        </w:tc>
        <w:tc>
          <w:tcPr>
            <w:tcW w:w="1836" w:type="pct"/>
            <w:tcBorders>
              <w:top w:val="nil"/>
              <w:left w:val="nil"/>
              <w:bottom w:val="single" w:sz="8" w:space="0" w:color="007FAD"/>
              <w:right w:val="nil"/>
            </w:tcBorders>
            <w:shd w:val="clear" w:color="000000" w:fill="FFFFFF"/>
          </w:tcPr>
          <w:p w14:paraId="26EB7CA0"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Ghana Federation of Disability Organisations</w:t>
            </w:r>
          </w:p>
        </w:tc>
      </w:tr>
      <w:tr w:rsidR="00B7688F" w:rsidRPr="008D14BA" w14:paraId="28C23E54" w14:textId="77777777" w:rsidTr="00A93825">
        <w:trPr>
          <w:trHeight w:val="20"/>
        </w:trPr>
        <w:tc>
          <w:tcPr>
            <w:tcW w:w="1204" w:type="pct"/>
            <w:tcBorders>
              <w:top w:val="nil"/>
              <w:left w:val="nil"/>
              <w:bottom w:val="single" w:sz="8" w:space="0" w:color="007FAD"/>
              <w:right w:val="nil"/>
            </w:tcBorders>
            <w:shd w:val="clear" w:color="000000" w:fill="FFFFFF"/>
          </w:tcPr>
          <w:p w14:paraId="59CE1580" w14:textId="77777777" w:rsidR="00B7688F" w:rsidRPr="008D14BA" w:rsidRDefault="00B7688F" w:rsidP="00B7688F">
            <w:pPr>
              <w:spacing w:before="0" w:after="0" w:line="240" w:lineRule="auto"/>
              <w:rPr>
                <w:rFonts w:cs="Arial"/>
                <w:color w:val="000000"/>
                <w:sz w:val="20"/>
                <w:lang w:val="en-NZ" w:eastAsia="en-NZ"/>
              </w:rPr>
            </w:pPr>
            <w:r w:rsidRPr="008D14BA">
              <w:rPr>
                <w:bCs/>
                <w:color w:val="000000"/>
                <w:sz w:val="20"/>
                <w:lang w:val="en-NZ" w:eastAsia="en-NZ"/>
              </w:rPr>
              <w:t>Fred</w:t>
            </w:r>
            <w:r w:rsidRPr="008D14BA">
              <w:rPr>
                <w:color w:val="000000"/>
                <w:sz w:val="20"/>
                <w:lang w:val="en-NZ" w:eastAsia="en-NZ"/>
              </w:rPr>
              <w:t xml:space="preserve"> Ofosu</w:t>
            </w:r>
          </w:p>
        </w:tc>
        <w:tc>
          <w:tcPr>
            <w:tcW w:w="1960" w:type="pct"/>
            <w:tcBorders>
              <w:top w:val="nil"/>
              <w:left w:val="nil"/>
              <w:bottom w:val="single" w:sz="8" w:space="0" w:color="007FAD"/>
              <w:right w:val="nil"/>
            </w:tcBorders>
            <w:shd w:val="clear" w:color="000000" w:fill="FFFFFF"/>
          </w:tcPr>
          <w:p w14:paraId="521BAF68" w14:textId="77777777" w:rsidR="00B7688F" w:rsidRPr="008D14BA" w:rsidRDefault="00B7688F" w:rsidP="00B7688F">
            <w:pPr>
              <w:spacing w:before="0" w:after="0" w:line="240" w:lineRule="auto"/>
              <w:rPr>
                <w:rFonts w:cs="Arial"/>
                <w:color w:val="000000"/>
                <w:sz w:val="20"/>
                <w:lang w:val="en-NZ" w:eastAsia="en-NZ"/>
              </w:rPr>
            </w:pPr>
            <w:r w:rsidRPr="008D14BA">
              <w:rPr>
                <w:color w:val="000000"/>
                <w:sz w:val="20"/>
                <w:lang w:val="en-NZ" w:eastAsia="en-NZ"/>
              </w:rPr>
              <w:t>Training &amp; Development Officer</w:t>
            </w:r>
          </w:p>
        </w:tc>
        <w:tc>
          <w:tcPr>
            <w:tcW w:w="1836" w:type="pct"/>
            <w:tcBorders>
              <w:top w:val="nil"/>
              <w:left w:val="nil"/>
              <w:bottom w:val="single" w:sz="8" w:space="0" w:color="007FAD"/>
              <w:right w:val="nil"/>
            </w:tcBorders>
            <w:shd w:val="clear" w:color="000000" w:fill="FFFFFF"/>
          </w:tcPr>
          <w:p w14:paraId="0B2515CE"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Ghana Federation of Disability Organisations</w:t>
            </w:r>
          </w:p>
        </w:tc>
      </w:tr>
      <w:tr w:rsidR="00B7688F" w:rsidRPr="008D14BA" w14:paraId="69E10E40" w14:textId="77777777" w:rsidTr="00A93825">
        <w:trPr>
          <w:trHeight w:val="20"/>
        </w:trPr>
        <w:tc>
          <w:tcPr>
            <w:tcW w:w="1204" w:type="pct"/>
            <w:tcBorders>
              <w:top w:val="nil"/>
              <w:left w:val="nil"/>
              <w:bottom w:val="single" w:sz="8" w:space="0" w:color="007FAD"/>
              <w:right w:val="nil"/>
            </w:tcBorders>
            <w:shd w:val="clear" w:color="000000" w:fill="FFFFFF"/>
          </w:tcPr>
          <w:p w14:paraId="3EDDE2B9" w14:textId="77777777" w:rsidR="00B7688F" w:rsidRPr="008D14BA" w:rsidRDefault="00B7688F" w:rsidP="00B7688F">
            <w:pPr>
              <w:spacing w:before="0" w:after="0" w:line="240" w:lineRule="auto"/>
              <w:rPr>
                <w:b/>
                <w:i/>
                <w:color w:val="000000"/>
                <w:sz w:val="20"/>
                <w:lang w:val="en-NZ" w:eastAsia="en-NZ"/>
              </w:rPr>
            </w:pPr>
            <w:r w:rsidRPr="008D14BA">
              <w:rPr>
                <w:b/>
                <w:i/>
                <w:color w:val="000000"/>
                <w:sz w:val="20"/>
                <w:lang w:val="en-NZ" w:eastAsia="en-NZ"/>
              </w:rPr>
              <w:t>Kenya:</w:t>
            </w:r>
          </w:p>
        </w:tc>
        <w:tc>
          <w:tcPr>
            <w:tcW w:w="1960" w:type="pct"/>
            <w:tcBorders>
              <w:top w:val="nil"/>
              <w:left w:val="nil"/>
              <w:bottom w:val="single" w:sz="8" w:space="0" w:color="007FAD"/>
              <w:right w:val="nil"/>
            </w:tcBorders>
            <w:shd w:val="clear" w:color="000000" w:fill="FFFFFF"/>
          </w:tcPr>
          <w:p w14:paraId="614FB49D"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49D0C9F8" w14:textId="77777777" w:rsidR="00B7688F" w:rsidRPr="008D14BA" w:rsidRDefault="00B7688F" w:rsidP="00B7688F">
            <w:pPr>
              <w:spacing w:before="0" w:after="0" w:line="240" w:lineRule="auto"/>
              <w:rPr>
                <w:color w:val="000000"/>
                <w:sz w:val="20"/>
                <w:lang w:val="en-NZ" w:eastAsia="en-NZ"/>
              </w:rPr>
            </w:pPr>
          </w:p>
        </w:tc>
      </w:tr>
      <w:tr w:rsidR="00B7688F" w:rsidRPr="008D14BA" w14:paraId="6FA07E04" w14:textId="77777777" w:rsidTr="00A93825">
        <w:trPr>
          <w:trHeight w:val="20"/>
        </w:trPr>
        <w:tc>
          <w:tcPr>
            <w:tcW w:w="1204" w:type="pct"/>
            <w:tcBorders>
              <w:top w:val="nil"/>
              <w:left w:val="nil"/>
              <w:bottom w:val="single" w:sz="8" w:space="0" w:color="007FAD"/>
              <w:right w:val="nil"/>
            </w:tcBorders>
            <w:shd w:val="clear" w:color="000000" w:fill="FFFFFF"/>
          </w:tcPr>
          <w:p w14:paraId="79ECA150"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 xml:space="preserve">Simon M. </w:t>
            </w:r>
            <w:proofErr w:type="spellStart"/>
            <w:r w:rsidRPr="008D14BA">
              <w:rPr>
                <w:rFonts w:cs="Arial"/>
                <w:color w:val="000000"/>
                <w:sz w:val="20"/>
                <w:lang w:val="en-NZ" w:eastAsia="en-NZ"/>
              </w:rPr>
              <w:t>Angote</w:t>
            </w:r>
            <w:proofErr w:type="spellEnd"/>
          </w:p>
        </w:tc>
        <w:tc>
          <w:tcPr>
            <w:tcW w:w="1960" w:type="pct"/>
            <w:tcBorders>
              <w:top w:val="nil"/>
              <w:left w:val="nil"/>
              <w:bottom w:val="single" w:sz="8" w:space="0" w:color="007FAD"/>
              <w:right w:val="nil"/>
            </w:tcBorders>
            <w:shd w:val="clear" w:color="000000" w:fill="FFFFFF"/>
          </w:tcPr>
          <w:p w14:paraId="05F561C4"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Assistant Secretary, Human Resource Development Division, Directorate of Public Service Management</w:t>
            </w:r>
          </w:p>
        </w:tc>
        <w:tc>
          <w:tcPr>
            <w:tcW w:w="1836" w:type="pct"/>
            <w:tcBorders>
              <w:top w:val="nil"/>
              <w:left w:val="nil"/>
              <w:bottom w:val="single" w:sz="8" w:space="0" w:color="007FAD"/>
              <w:right w:val="nil"/>
            </w:tcBorders>
            <w:shd w:val="clear" w:color="000000" w:fill="FFFFFF"/>
          </w:tcPr>
          <w:p w14:paraId="31B45EAA"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Ministry of Public Service, Youth and Gender Affairs</w:t>
            </w:r>
          </w:p>
        </w:tc>
      </w:tr>
      <w:tr w:rsidR="00B7688F" w:rsidRPr="008D14BA" w14:paraId="203F1024" w14:textId="77777777" w:rsidTr="00A93825">
        <w:trPr>
          <w:trHeight w:val="20"/>
        </w:trPr>
        <w:tc>
          <w:tcPr>
            <w:tcW w:w="1204" w:type="pct"/>
            <w:tcBorders>
              <w:top w:val="nil"/>
              <w:left w:val="nil"/>
              <w:bottom w:val="single" w:sz="8" w:space="0" w:color="007FAD"/>
              <w:right w:val="nil"/>
            </w:tcBorders>
            <w:shd w:val="clear" w:color="000000" w:fill="FFFFFF"/>
          </w:tcPr>
          <w:p w14:paraId="7B0F4C9F" w14:textId="77777777" w:rsidR="00B7688F" w:rsidRPr="008D14BA" w:rsidRDefault="00B7688F" w:rsidP="00B7688F">
            <w:pPr>
              <w:spacing w:before="0" w:after="0" w:line="240" w:lineRule="auto"/>
              <w:rPr>
                <w:rFonts w:cs="Arial"/>
                <w:color w:val="000000"/>
                <w:sz w:val="20"/>
                <w:lang w:val="en-NZ" w:eastAsia="en-NZ"/>
              </w:rPr>
            </w:pPr>
            <w:r w:rsidRPr="008D14BA">
              <w:rPr>
                <w:bCs/>
                <w:color w:val="000000"/>
                <w:sz w:val="20"/>
                <w:lang w:val="en-NZ" w:eastAsia="en-NZ"/>
              </w:rPr>
              <w:t>Dennis</w:t>
            </w:r>
            <w:r w:rsidRPr="008D14BA">
              <w:rPr>
                <w:color w:val="000000"/>
                <w:sz w:val="20"/>
                <w:lang w:val="en-NZ" w:eastAsia="en-NZ"/>
              </w:rPr>
              <w:t xml:space="preserve"> </w:t>
            </w:r>
            <w:proofErr w:type="spellStart"/>
            <w:r w:rsidRPr="008D14BA">
              <w:rPr>
                <w:color w:val="000000"/>
                <w:sz w:val="20"/>
                <w:lang w:val="en-NZ" w:eastAsia="en-NZ"/>
              </w:rPr>
              <w:t>Mutahi</w:t>
            </w:r>
            <w:proofErr w:type="spellEnd"/>
          </w:p>
        </w:tc>
        <w:tc>
          <w:tcPr>
            <w:tcW w:w="1960" w:type="pct"/>
            <w:tcBorders>
              <w:top w:val="nil"/>
              <w:left w:val="nil"/>
              <w:bottom w:val="single" w:sz="8" w:space="0" w:color="007FAD"/>
              <w:right w:val="nil"/>
            </w:tcBorders>
            <w:shd w:val="clear" w:color="000000" w:fill="FFFFFF"/>
          </w:tcPr>
          <w:p w14:paraId="14FB62A1"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Director, Human Resource Development Division, Directorate of Public Service Management</w:t>
            </w:r>
          </w:p>
        </w:tc>
        <w:tc>
          <w:tcPr>
            <w:tcW w:w="1836" w:type="pct"/>
            <w:tcBorders>
              <w:top w:val="nil"/>
              <w:left w:val="nil"/>
              <w:bottom w:val="single" w:sz="8" w:space="0" w:color="007FAD"/>
              <w:right w:val="nil"/>
            </w:tcBorders>
            <w:shd w:val="clear" w:color="000000" w:fill="FFFFFF"/>
          </w:tcPr>
          <w:p w14:paraId="0B037F80"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Ministry of Public Service, Youth and Gender Affairs</w:t>
            </w:r>
          </w:p>
        </w:tc>
      </w:tr>
      <w:tr w:rsidR="00B7688F" w:rsidRPr="008D14BA" w14:paraId="36A54EDB" w14:textId="77777777" w:rsidTr="00A93825">
        <w:trPr>
          <w:trHeight w:val="20"/>
        </w:trPr>
        <w:tc>
          <w:tcPr>
            <w:tcW w:w="1204" w:type="pct"/>
            <w:tcBorders>
              <w:top w:val="nil"/>
              <w:left w:val="nil"/>
              <w:bottom w:val="single" w:sz="8" w:space="0" w:color="007FAD"/>
              <w:right w:val="nil"/>
            </w:tcBorders>
            <w:shd w:val="clear" w:color="000000" w:fill="FFFFFF"/>
          </w:tcPr>
          <w:p w14:paraId="2E5B0939"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 xml:space="preserve">John </w:t>
            </w:r>
            <w:proofErr w:type="spellStart"/>
            <w:r w:rsidRPr="008D14BA">
              <w:rPr>
                <w:rFonts w:cs="Arial"/>
                <w:color w:val="000000"/>
                <w:sz w:val="20"/>
                <w:lang w:val="en-NZ" w:eastAsia="en-NZ"/>
              </w:rPr>
              <w:t>Chege</w:t>
            </w:r>
            <w:proofErr w:type="spellEnd"/>
            <w:r w:rsidRPr="008D14BA">
              <w:rPr>
                <w:rFonts w:cs="Arial"/>
                <w:color w:val="000000"/>
                <w:sz w:val="20"/>
                <w:lang w:val="en-NZ" w:eastAsia="en-NZ"/>
              </w:rPr>
              <w:t xml:space="preserve"> Waweru</w:t>
            </w:r>
          </w:p>
        </w:tc>
        <w:tc>
          <w:tcPr>
            <w:tcW w:w="1960" w:type="pct"/>
            <w:tcBorders>
              <w:top w:val="nil"/>
              <w:left w:val="nil"/>
              <w:bottom w:val="single" w:sz="8" w:space="0" w:color="007FAD"/>
              <w:right w:val="nil"/>
            </w:tcBorders>
            <w:shd w:val="clear" w:color="000000" w:fill="FFFFFF"/>
          </w:tcPr>
          <w:p w14:paraId="757DA8DE"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Programs Officer- Advocacy</w:t>
            </w:r>
          </w:p>
        </w:tc>
        <w:tc>
          <w:tcPr>
            <w:tcW w:w="1836" w:type="pct"/>
            <w:tcBorders>
              <w:top w:val="nil"/>
              <w:left w:val="nil"/>
              <w:bottom w:val="single" w:sz="8" w:space="0" w:color="007FAD"/>
              <w:right w:val="nil"/>
            </w:tcBorders>
            <w:shd w:val="clear" w:color="000000" w:fill="FFFFFF"/>
          </w:tcPr>
          <w:p w14:paraId="70C452B1"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Gender Violence Recovery Centre - The Nairobi Women's Hospital</w:t>
            </w:r>
          </w:p>
        </w:tc>
      </w:tr>
      <w:tr w:rsidR="00B7688F" w:rsidRPr="008D14BA" w14:paraId="2703745A" w14:textId="77777777" w:rsidTr="00A93825">
        <w:trPr>
          <w:trHeight w:val="20"/>
        </w:trPr>
        <w:tc>
          <w:tcPr>
            <w:tcW w:w="1204" w:type="pct"/>
            <w:tcBorders>
              <w:top w:val="nil"/>
              <w:left w:val="nil"/>
              <w:bottom w:val="single" w:sz="8" w:space="0" w:color="007FAD"/>
              <w:right w:val="nil"/>
            </w:tcBorders>
            <w:shd w:val="clear" w:color="000000" w:fill="FFFFFF"/>
          </w:tcPr>
          <w:p w14:paraId="7ECEF974"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 xml:space="preserve">Alberta </w:t>
            </w:r>
            <w:proofErr w:type="spellStart"/>
            <w:r w:rsidRPr="008D14BA">
              <w:rPr>
                <w:rFonts w:cs="Arial"/>
                <w:color w:val="000000"/>
                <w:sz w:val="20"/>
                <w:lang w:val="en-NZ" w:eastAsia="en-NZ"/>
              </w:rPr>
              <w:t>Wambua</w:t>
            </w:r>
            <w:proofErr w:type="spellEnd"/>
          </w:p>
          <w:p w14:paraId="6544C56F" w14:textId="77777777" w:rsidR="00B7688F" w:rsidRPr="008D14BA" w:rsidRDefault="00B7688F" w:rsidP="00B7688F">
            <w:pPr>
              <w:spacing w:before="0" w:after="0" w:line="240" w:lineRule="auto"/>
              <w:rPr>
                <w:rFonts w:cs="Arial"/>
                <w:color w:val="000000"/>
                <w:sz w:val="20"/>
                <w:lang w:val="en-NZ" w:eastAsia="en-NZ"/>
              </w:rPr>
            </w:pPr>
          </w:p>
        </w:tc>
        <w:tc>
          <w:tcPr>
            <w:tcW w:w="1960" w:type="pct"/>
            <w:tcBorders>
              <w:top w:val="nil"/>
              <w:left w:val="nil"/>
              <w:bottom w:val="single" w:sz="8" w:space="0" w:color="007FAD"/>
              <w:right w:val="nil"/>
            </w:tcBorders>
            <w:shd w:val="clear" w:color="000000" w:fill="FFFFFF"/>
          </w:tcPr>
          <w:p w14:paraId="1A571B8D"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Executive Director</w:t>
            </w:r>
          </w:p>
          <w:p w14:paraId="1AC8BD1A" w14:textId="77777777" w:rsidR="00B7688F" w:rsidRPr="008D14BA" w:rsidRDefault="00B7688F" w:rsidP="00B7688F">
            <w:pPr>
              <w:spacing w:before="0" w:after="0" w:line="240" w:lineRule="auto"/>
              <w:rPr>
                <w:rFonts w:cs="Arial"/>
                <w:color w:val="000000"/>
                <w:sz w:val="20"/>
                <w:lang w:val="en-NZ" w:eastAsia="en-NZ"/>
              </w:rPr>
            </w:pPr>
          </w:p>
        </w:tc>
        <w:tc>
          <w:tcPr>
            <w:tcW w:w="1836" w:type="pct"/>
            <w:tcBorders>
              <w:top w:val="nil"/>
              <w:left w:val="nil"/>
              <w:bottom w:val="single" w:sz="8" w:space="0" w:color="007FAD"/>
              <w:right w:val="nil"/>
            </w:tcBorders>
            <w:shd w:val="clear" w:color="000000" w:fill="FFFFFF"/>
          </w:tcPr>
          <w:p w14:paraId="220B4FDC"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Gender Violence Recovery Centre - The Nairobi Women's Hospital</w:t>
            </w:r>
          </w:p>
        </w:tc>
      </w:tr>
      <w:tr w:rsidR="00B7688F" w:rsidRPr="008D14BA" w14:paraId="7AE5E915" w14:textId="77777777" w:rsidTr="00A93825">
        <w:trPr>
          <w:trHeight w:val="20"/>
        </w:trPr>
        <w:tc>
          <w:tcPr>
            <w:tcW w:w="1204" w:type="pct"/>
            <w:tcBorders>
              <w:top w:val="nil"/>
              <w:left w:val="nil"/>
              <w:bottom w:val="single" w:sz="8" w:space="0" w:color="007FAD"/>
              <w:right w:val="nil"/>
            </w:tcBorders>
            <w:shd w:val="clear" w:color="000000" w:fill="FFFFFF"/>
          </w:tcPr>
          <w:p w14:paraId="4A937AD5"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Moses Njeru</w:t>
            </w:r>
          </w:p>
        </w:tc>
        <w:tc>
          <w:tcPr>
            <w:tcW w:w="1960" w:type="pct"/>
            <w:tcBorders>
              <w:top w:val="nil"/>
              <w:left w:val="nil"/>
              <w:bottom w:val="single" w:sz="8" w:space="0" w:color="007FAD"/>
              <w:right w:val="nil"/>
            </w:tcBorders>
            <w:shd w:val="clear" w:color="000000" w:fill="FFFFFF"/>
          </w:tcPr>
          <w:p w14:paraId="16DC2AED"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Chief Executive Officer</w:t>
            </w:r>
          </w:p>
        </w:tc>
        <w:tc>
          <w:tcPr>
            <w:tcW w:w="1836" w:type="pct"/>
            <w:tcBorders>
              <w:top w:val="nil"/>
              <w:left w:val="nil"/>
              <w:bottom w:val="single" w:sz="8" w:space="0" w:color="007FAD"/>
              <w:right w:val="nil"/>
            </w:tcBorders>
            <w:shd w:val="clear" w:color="000000" w:fill="FFFFFF"/>
          </w:tcPr>
          <w:p w14:paraId="17678F01"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Kenya Chamber of Mines</w:t>
            </w:r>
          </w:p>
        </w:tc>
      </w:tr>
      <w:tr w:rsidR="00B7688F" w:rsidRPr="008D14BA" w14:paraId="4ADE9F3A" w14:textId="77777777" w:rsidTr="00A93825">
        <w:trPr>
          <w:trHeight w:val="20"/>
        </w:trPr>
        <w:tc>
          <w:tcPr>
            <w:tcW w:w="1204" w:type="pct"/>
            <w:tcBorders>
              <w:top w:val="nil"/>
              <w:left w:val="nil"/>
              <w:bottom w:val="single" w:sz="8" w:space="0" w:color="007FAD"/>
              <w:right w:val="nil"/>
            </w:tcBorders>
            <w:shd w:val="clear" w:color="000000" w:fill="FFFFFF"/>
          </w:tcPr>
          <w:p w14:paraId="612BD505" w14:textId="77777777" w:rsidR="00B7688F" w:rsidRPr="008D14BA" w:rsidRDefault="00B7688F" w:rsidP="00B7688F">
            <w:pPr>
              <w:spacing w:before="0" w:after="0" w:line="240" w:lineRule="auto"/>
              <w:rPr>
                <w:i/>
                <w:color w:val="000000"/>
                <w:sz w:val="20"/>
                <w:lang w:val="en-NZ" w:eastAsia="en-NZ"/>
              </w:rPr>
            </w:pPr>
            <w:r w:rsidRPr="008D14BA">
              <w:rPr>
                <w:b/>
                <w:i/>
                <w:sz w:val="20"/>
              </w:rPr>
              <w:t>Mozambique:</w:t>
            </w:r>
          </w:p>
        </w:tc>
        <w:tc>
          <w:tcPr>
            <w:tcW w:w="1960" w:type="pct"/>
            <w:tcBorders>
              <w:top w:val="nil"/>
              <w:left w:val="nil"/>
              <w:bottom w:val="single" w:sz="8" w:space="0" w:color="007FAD"/>
              <w:right w:val="nil"/>
            </w:tcBorders>
            <w:shd w:val="clear" w:color="000000" w:fill="FFFFFF"/>
          </w:tcPr>
          <w:p w14:paraId="69980D89"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094C301E" w14:textId="77777777" w:rsidR="00B7688F" w:rsidRPr="008D14BA" w:rsidRDefault="00B7688F" w:rsidP="00B7688F">
            <w:pPr>
              <w:spacing w:before="0" w:after="0" w:line="240" w:lineRule="auto"/>
              <w:rPr>
                <w:color w:val="000000"/>
                <w:sz w:val="20"/>
                <w:lang w:val="en-NZ" w:eastAsia="en-NZ"/>
              </w:rPr>
            </w:pPr>
          </w:p>
        </w:tc>
      </w:tr>
      <w:tr w:rsidR="00B7688F" w:rsidRPr="008D14BA" w14:paraId="39082993" w14:textId="77777777" w:rsidTr="00A93825">
        <w:trPr>
          <w:trHeight w:val="20"/>
        </w:trPr>
        <w:tc>
          <w:tcPr>
            <w:tcW w:w="1204" w:type="pct"/>
            <w:tcBorders>
              <w:top w:val="nil"/>
              <w:left w:val="nil"/>
              <w:bottom w:val="single" w:sz="8" w:space="0" w:color="007FAD"/>
              <w:right w:val="nil"/>
            </w:tcBorders>
            <w:shd w:val="clear" w:color="000000" w:fill="FFFFFF"/>
          </w:tcPr>
          <w:p w14:paraId="598F53FA" w14:textId="77777777" w:rsidR="00B7688F" w:rsidRPr="008D14BA" w:rsidRDefault="00B7688F" w:rsidP="00B7688F">
            <w:pPr>
              <w:pStyle w:val="TableText"/>
              <w:rPr>
                <w:sz w:val="20"/>
                <w:szCs w:val="20"/>
                <w:lang w:val="en-NZ" w:eastAsia="en-NZ"/>
              </w:rPr>
            </w:pPr>
            <w:r w:rsidRPr="008D14BA">
              <w:rPr>
                <w:sz w:val="20"/>
                <w:szCs w:val="20"/>
                <w:lang w:val="en-ZA"/>
              </w:rPr>
              <w:t xml:space="preserve">Ester Fernanda </w:t>
            </w:r>
            <w:proofErr w:type="spellStart"/>
            <w:r w:rsidRPr="008D14BA">
              <w:rPr>
                <w:sz w:val="20"/>
                <w:szCs w:val="20"/>
                <w:lang w:val="en-ZA"/>
              </w:rPr>
              <w:t>Tinga</w:t>
            </w:r>
            <w:proofErr w:type="spellEnd"/>
            <w:r w:rsidRPr="008D14BA">
              <w:rPr>
                <w:sz w:val="20"/>
                <w:szCs w:val="20"/>
                <w:lang w:val="en-ZA"/>
              </w:rPr>
              <w:t xml:space="preserve"> </w:t>
            </w:r>
          </w:p>
        </w:tc>
        <w:tc>
          <w:tcPr>
            <w:tcW w:w="1960" w:type="pct"/>
            <w:tcBorders>
              <w:top w:val="nil"/>
              <w:left w:val="nil"/>
              <w:bottom w:val="single" w:sz="8" w:space="0" w:color="007FAD"/>
              <w:right w:val="nil"/>
            </w:tcBorders>
            <w:shd w:val="clear" w:color="000000" w:fill="FFFFFF"/>
          </w:tcPr>
          <w:p w14:paraId="6A958AD7" w14:textId="77777777" w:rsidR="00B7688F" w:rsidRPr="008D14BA" w:rsidRDefault="00B7688F" w:rsidP="00B7688F">
            <w:pPr>
              <w:pStyle w:val="TableText"/>
              <w:rPr>
                <w:sz w:val="20"/>
                <w:szCs w:val="20"/>
                <w:lang w:val="en-NZ" w:eastAsia="en-NZ"/>
              </w:rPr>
            </w:pPr>
            <w:r w:rsidRPr="008D14BA">
              <w:rPr>
                <w:sz w:val="20"/>
                <w:szCs w:val="20"/>
                <w:lang w:val="en-ZA"/>
              </w:rPr>
              <w:t xml:space="preserve">Head of Cooperation and Post Graduate Studies </w:t>
            </w:r>
          </w:p>
        </w:tc>
        <w:tc>
          <w:tcPr>
            <w:tcW w:w="1836" w:type="pct"/>
            <w:tcBorders>
              <w:top w:val="nil"/>
              <w:left w:val="nil"/>
              <w:bottom w:val="single" w:sz="8" w:space="0" w:color="007FAD"/>
              <w:right w:val="nil"/>
            </w:tcBorders>
            <w:shd w:val="clear" w:color="000000" w:fill="FFFFFF"/>
          </w:tcPr>
          <w:p w14:paraId="05FC3EF6" w14:textId="77777777" w:rsidR="00B7688F" w:rsidRPr="008D14BA" w:rsidRDefault="00B7688F" w:rsidP="00B7688F">
            <w:pPr>
              <w:spacing w:before="0" w:after="0" w:line="240" w:lineRule="auto"/>
              <w:rPr>
                <w:color w:val="000000"/>
                <w:sz w:val="20"/>
                <w:lang w:val="en-NZ" w:eastAsia="en-NZ"/>
              </w:rPr>
            </w:pPr>
            <w:r w:rsidRPr="008D14BA">
              <w:rPr>
                <w:sz w:val="20"/>
                <w:lang w:val="en-ZA"/>
              </w:rPr>
              <w:t>Institute of Scholarships, Mozambique</w:t>
            </w:r>
          </w:p>
        </w:tc>
      </w:tr>
      <w:tr w:rsidR="00B7688F" w:rsidRPr="008D14BA" w14:paraId="71322F4A" w14:textId="77777777" w:rsidTr="00A93825">
        <w:trPr>
          <w:trHeight w:val="20"/>
        </w:trPr>
        <w:tc>
          <w:tcPr>
            <w:tcW w:w="1204" w:type="pct"/>
            <w:tcBorders>
              <w:top w:val="nil"/>
              <w:left w:val="nil"/>
              <w:bottom w:val="single" w:sz="8" w:space="0" w:color="007FAD"/>
              <w:right w:val="nil"/>
            </w:tcBorders>
            <w:shd w:val="clear" w:color="000000" w:fill="FFFFFF"/>
          </w:tcPr>
          <w:p w14:paraId="092FCDD0" w14:textId="77777777" w:rsidR="00B7688F" w:rsidRPr="008D14BA" w:rsidRDefault="00B7688F" w:rsidP="00B7688F">
            <w:pPr>
              <w:spacing w:before="0" w:after="0" w:line="240" w:lineRule="auto"/>
              <w:rPr>
                <w:b/>
                <w:color w:val="000000"/>
                <w:sz w:val="20"/>
                <w:lang w:val="en-NZ" w:eastAsia="en-NZ"/>
              </w:rPr>
            </w:pPr>
            <w:r w:rsidRPr="008D14BA">
              <w:rPr>
                <w:b/>
                <w:i/>
                <w:sz w:val="20"/>
              </w:rPr>
              <w:t>South Africa:</w:t>
            </w:r>
          </w:p>
        </w:tc>
        <w:tc>
          <w:tcPr>
            <w:tcW w:w="1960" w:type="pct"/>
            <w:tcBorders>
              <w:top w:val="nil"/>
              <w:left w:val="nil"/>
              <w:bottom w:val="single" w:sz="8" w:space="0" w:color="007FAD"/>
              <w:right w:val="nil"/>
            </w:tcBorders>
            <w:shd w:val="clear" w:color="000000" w:fill="FFFFFF"/>
          </w:tcPr>
          <w:p w14:paraId="09F75D23"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71BCC082" w14:textId="77777777" w:rsidR="00B7688F" w:rsidRPr="008D14BA" w:rsidRDefault="00B7688F" w:rsidP="00B7688F">
            <w:pPr>
              <w:spacing w:before="0" w:after="0" w:line="240" w:lineRule="auto"/>
              <w:rPr>
                <w:color w:val="000000"/>
                <w:sz w:val="20"/>
                <w:lang w:val="en-NZ" w:eastAsia="en-NZ"/>
              </w:rPr>
            </w:pPr>
          </w:p>
        </w:tc>
      </w:tr>
      <w:tr w:rsidR="00B7688F" w:rsidRPr="008D14BA" w14:paraId="74CA85D1" w14:textId="77777777" w:rsidTr="00A93825">
        <w:trPr>
          <w:trHeight w:val="20"/>
        </w:trPr>
        <w:tc>
          <w:tcPr>
            <w:tcW w:w="1204" w:type="pct"/>
            <w:tcBorders>
              <w:top w:val="nil"/>
              <w:left w:val="nil"/>
              <w:bottom w:val="single" w:sz="8" w:space="0" w:color="007FAD"/>
              <w:right w:val="nil"/>
            </w:tcBorders>
            <w:shd w:val="clear" w:color="000000" w:fill="FFFFFF"/>
          </w:tcPr>
          <w:p w14:paraId="2D4D11A9" w14:textId="77777777" w:rsidR="00B7688F" w:rsidRPr="008D14BA" w:rsidRDefault="00B7688F" w:rsidP="00B7688F">
            <w:pPr>
              <w:spacing w:before="0" w:after="0" w:line="240" w:lineRule="auto"/>
              <w:rPr>
                <w:color w:val="000000"/>
                <w:sz w:val="20"/>
                <w:lang w:val="en-NZ" w:eastAsia="en-NZ"/>
              </w:rPr>
            </w:pPr>
            <w:proofErr w:type="spellStart"/>
            <w:r w:rsidRPr="008D14BA">
              <w:rPr>
                <w:rFonts w:cs="Arial"/>
                <w:color w:val="000000"/>
                <w:sz w:val="20"/>
                <w:lang w:val="en-NZ" w:eastAsia="en-NZ"/>
              </w:rPr>
              <w:t>Sebenzile</w:t>
            </w:r>
            <w:proofErr w:type="spellEnd"/>
            <w:r w:rsidRPr="008D14BA">
              <w:rPr>
                <w:rFonts w:cs="Arial"/>
                <w:color w:val="000000"/>
                <w:sz w:val="20"/>
                <w:lang w:val="en-NZ" w:eastAsia="en-NZ"/>
              </w:rPr>
              <w:t xml:space="preserve"> </w:t>
            </w:r>
            <w:proofErr w:type="spellStart"/>
            <w:r w:rsidRPr="008D14BA">
              <w:rPr>
                <w:rFonts w:cs="Arial"/>
                <w:color w:val="000000"/>
                <w:sz w:val="20"/>
                <w:lang w:val="en-NZ" w:eastAsia="en-NZ"/>
              </w:rPr>
              <w:t>Matsebula</w:t>
            </w:r>
            <w:proofErr w:type="spellEnd"/>
          </w:p>
        </w:tc>
        <w:tc>
          <w:tcPr>
            <w:tcW w:w="1960" w:type="pct"/>
            <w:tcBorders>
              <w:top w:val="nil"/>
              <w:left w:val="nil"/>
              <w:bottom w:val="single" w:sz="8" w:space="0" w:color="007FAD"/>
              <w:right w:val="nil"/>
            </w:tcBorders>
            <w:shd w:val="clear" w:color="000000" w:fill="FFFFFF"/>
          </w:tcPr>
          <w:p w14:paraId="00AB49E7"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 xml:space="preserve">Executive Director </w:t>
            </w:r>
          </w:p>
        </w:tc>
        <w:tc>
          <w:tcPr>
            <w:tcW w:w="1836" w:type="pct"/>
            <w:tcBorders>
              <w:top w:val="nil"/>
              <w:left w:val="nil"/>
              <w:bottom w:val="single" w:sz="8" w:space="0" w:color="007FAD"/>
              <w:right w:val="nil"/>
            </w:tcBorders>
            <w:shd w:val="clear" w:color="000000" w:fill="FFFFFF"/>
          </w:tcPr>
          <w:p w14:paraId="463EDDA9" w14:textId="77777777" w:rsidR="00B7688F" w:rsidRPr="008D14BA" w:rsidRDefault="00B7688F" w:rsidP="00B7688F">
            <w:pPr>
              <w:spacing w:before="0" w:after="0" w:line="240" w:lineRule="auto"/>
              <w:rPr>
                <w:color w:val="000000"/>
                <w:sz w:val="20"/>
                <w:lang w:val="en-NZ" w:eastAsia="en-NZ"/>
              </w:rPr>
            </w:pPr>
            <w:proofErr w:type="spellStart"/>
            <w:r w:rsidRPr="008D14BA">
              <w:rPr>
                <w:rFonts w:cs="Arial"/>
                <w:color w:val="000000"/>
                <w:sz w:val="20"/>
                <w:lang w:val="en-NZ" w:eastAsia="en-NZ"/>
              </w:rPr>
              <w:t>Motswako</w:t>
            </w:r>
            <w:proofErr w:type="spellEnd"/>
            <w:r w:rsidRPr="008D14BA">
              <w:rPr>
                <w:rFonts w:cs="Arial"/>
                <w:color w:val="000000"/>
                <w:sz w:val="20"/>
                <w:lang w:val="en-NZ" w:eastAsia="en-NZ"/>
              </w:rPr>
              <w:t xml:space="preserve"> - Office Solutions, South Africa</w:t>
            </w:r>
          </w:p>
        </w:tc>
      </w:tr>
      <w:tr w:rsidR="00B7688F" w:rsidRPr="008D14BA" w14:paraId="3E424F7F" w14:textId="77777777" w:rsidTr="00A93825">
        <w:trPr>
          <w:trHeight w:val="20"/>
        </w:trPr>
        <w:tc>
          <w:tcPr>
            <w:tcW w:w="1204" w:type="pct"/>
            <w:tcBorders>
              <w:top w:val="nil"/>
              <w:left w:val="nil"/>
              <w:bottom w:val="single" w:sz="8" w:space="0" w:color="007FAD"/>
              <w:right w:val="nil"/>
            </w:tcBorders>
            <w:shd w:val="clear" w:color="000000" w:fill="FFFFFF"/>
          </w:tcPr>
          <w:p w14:paraId="187C9E09"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Andrew Kudakwashe Dube</w:t>
            </w:r>
          </w:p>
        </w:tc>
        <w:tc>
          <w:tcPr>
            <w:tcW w:w="1960" w:type="pct"/>
            <w:tcBorders>
              <w:top w:val="nil"/>
              <w:left w:val="nil"/>
              <w:bottom w:val="single" w:sz="8" w:space="0" w:color="007FAD"/>
              <w:right w:val="nil"/>
            </w:tcBorders>
            <w:shd w:val="clear" w:color="000000" w:fill="FFFFFF"/>
          </w:tcPr>
          <w:p w14:paraId="7FC78387"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Chief Executive Officer</w:t>
            </w:r>
          </w:p>
        </w:tc>
        <w:tc>
          <w:tcPr>
            <w:tcW w:w="1836" w:type="pct"/>
            <w:tcBorders>
              <w:top w:val="nil"/>
              <w:left w:val="nil"/>
              <w:bottom w:val="single" w:sz="8" w:space="0" w:color="007FAD"/>
              <w:right w:val="nil"/>
            </w:tcBorders>
            <w:shd w:val="clear" w:color="000000" w:fill="FFFFFF"/>
          </w:tcPr>
          <w:p w14:paraId="240DBE17"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Africa Disability Alliance, South Africa</w:t>
            </w:r>
          </w:p>
        </w:tc>
      </w:tr>
      <w:tr w:rsidR="00B7688F" w:rsidRPr="008D14BA" w14:paraId="442D3E3C" w14:textId="77777777" w:rsidTr="00A93825">
        <w:trPr>
          <w:trHeight w:val="20"/>
        </w:trPr>
        <w:tc>
          <w:tcPr>
            <w:tcW w:w="1204" w:type="pct"/>
            <w:tcBorders>
              <w:top w:val="nil"/>
              <w:left w:val="nil"/>
              <w:bottom w:val="single" w:sz="8" w:space="0" w:color="007FAD"/>
              <w:right w:val="nil"/>
            </w:tcBorders>
            <w:shd w:val="clear" w:color="000000" w:fill="FFFFFF"/>
          </w:tcPr>
          <w:p w14:paraId="10F09E7F"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 xml:space="preserve">Dr Whitfield Green </w:t>
            </w:r>
          </w:p>
        </w:tc>
        <w:tc>
          <w:tcPr>
            <w:tcW w:w="1960" w:type="pct"/>
            <w:tcBorders>
              <w:top w:val="nil"/>
              <w:left w:val="nil"/>
              <w:bottom w:val="single" w:sz="8" w:space="0" w:color="007FAD"/>
              <w:right w:val="nil"/>
            </w:tcBorders>
            <w:shd w:val="clear" w:color="000000" w:fill="FFFFFF"/>
          </w:tcPr>
          <w:p w14:paraId="79FD1C11"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Chief Director, Teaching and Learning Development,</w:t>
            </w:r>
          </w:p>
        </w:tc>
        <w:tc>
          <w:tcPr>
            <w:tcW w:w="1836" w:type="pct"/>
            <w:tcBorders>
              <w:top w:val="nil"/>
              <w:left w:val="nil"/>
              <w:bottom w:val="single" w:sz="8" w:space="0" w:color="007FAD"/>
              <w:right w:val="nil"/>
            </w:tcBorders>
            <w:shd w:val="clear" w:color="000000" w:fill="FFFFFF"/>
          </w:tcPr>
          <w:p w14:paraId="7E2A9F46"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Department of Higher Education and Training, South Africa</w:t>
            </w:r>
          </w:p>
        </w:tc>
      </w:tr>
      <w:tr w:rsidR="00B7688F" w:rsidRPr="008D14BA" w14:paraId="42B8A55A" w14:textId="77777777" w:rsidTr="00A93825">
        <w:trPr>
          <w:trHeight w:val="20"/>
        </w:trPr>
        <w:tc>
          <w:tcPr>
            <w:tcW w:w="1204" w:type="pct"/>
            <w:tcBorders>
              <w:top w:val="nil"/>
              <w:left w:val="nil"/>
              <w:bottom w:val="single" w:sz="8" w:space="0" w:color="007FAD"/>
              <w:right w:val="nil"/>
            </w:tcBorders>
            <w:shd w:val="clear" w:color="000000" w:fill="FFFFFF"/>
          </w:tcPr>
          <w:p w14:paraId="16B95CBD"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Ruth Roberts-Chen</w:t>
            </w:r>
          </w:p>
        </w:tc>
        <w:tc>
          <w:tcPr>
            <w:tcW w:w="1960" w:type="pct"/>
            <w:tcBorders>
              <w:top w:val="nil"/>
              <w:left w:val="nil"/>
              <w:bottom w:val="single" w:sz="8" w:space="0" w:color="007FAD"/>
              <w:right w:val="nil"/>
            </w:tcBorders>
            <w:shd w:val="clear" w:color="000000" w:fill="FFFFFF"/>
          </w:tcPr>
          <w:p w14:paraId="60278970"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Director, International Scholarships</w:t>
            </w:r>
          </w:p>
        </w:tc>
        <w:tc>
          <w:tcPr>
            <w:tcW w:w="1836" w:type="pct"/>
            <w:tcBorders>
              <w:top w:val="nil"/>
              <w:left w:val="nil"/>
              <w:bottom w:val="single" w:sz="8" w:space="0" w:color="007FAD"/>
              <w:right w:val="nil"/>
            </w:tcBorders>
            <w:shd w:val="clear" w:color="000000" w:fill="FFFFFF"/>
          </w:tcPr>
          <w:p w14:paraId="67D0722A"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Department of Higher Education and Training, South Africa</w:t>
            </w:r>
          </w:p>
        </w:tc>
      </w:tr>
      <w:tr w:rsidR="00B7688F" w:rsidRPr="008D14BA" w14:paraId="45F06A5D" w14:textId="77777777" w:rsidTr="00A93825">
        <w:trPr>
          <w:trHeight w:val="20"/>
        </w:trPr>
        <w:tc>
          <w:tcPr>
            <w:tcW w:w="1204" w:type="pct"/>
            <w:tcBorders>
              <w:top w:val="nil"/>
              <w:left w:val="nil"/>
              <w:bottom w:val="single" w:sz="8" w:space="0" w:color="007FAD"/>
              <w:right w:val="nil"/>
            </w:tcBorders>
            <w:shd w:val="clear" w:color="000000" w:fill="FFFFFF"/>
          </w:tcPr>
          <w:p w14:paraId="40AC3D58" w14:textId="77777777" w:rsidR="00B7688F" w:rsidRPr="008D14BA"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 xml:space="preserve">Victor </w:t>
            </w:r>
            <w:proofErr w:type="spellStart"/>
            <w:r w:rsidRPr="008D14BA">
              <w:rPr>
                <w:rFonts w:cs="Arial"/>
                <w:color w:val="000000"/>
                <w:sz w:val="20"/>
                <w:lang w:val="en-NZ" w:eastAsia="en-NZ"/>
              </w:rPr>
              <w:t>Modubu</w:t>
            </w:r>
            <w:proofErr w:type="spellEnd"/>
          </w:p>
          <w:p w14:paraId="2ABA3608" w14:textId="77777777" w:rsidR="00B7688F" w:rsidRPr="008D14BA" w:rsidRDefault="00B7688F" w:rsidP="00B7688F">
            <w:pPr>
              <w:spacing w:before="0" w:after="0" w:line="240" w:lineRule="auto"/>
              <w:rPr>
                <w:color w:val="000000"/>
                <w:sz w:val="20"/>
                <w:lang w:val="en-NZ" w:eastAsia="en-NZ"/>
              </w:rPr>
            </w:pPr>
          </w:p>
        </w:tc>
        <w:tc>
          <w:tcPr>
            <w:tcW w:w="1960" w:type="pct"/>
            <w:tcBorders>
              <w:top w:val="nil"/>
              <w:left w:val="nil"/>
              <w:bottom w:val="single" w:sz="8" w:space="0" w:color="007FAD"/>
              <w:right w:val="nil"/>
            </w:tcBorders>
            <w:shd w:val="clear" w:color="000000" w:fill="FFFFFF"/>
          </w:tcPr>
          <w:p w14:paraId="44B79B4F" w14:textId="77777777" w:rsidR="00B7688F" w:rsidRPr="008D14BA" w:rsidRDefault="00B7688F" w:rsidP="00B7688F">
            <w:pPr>
              <w:spacing w:before="0" w:after="0" w:line="240" w:lineRule="auto"/>
              <w:rPr>
                <w:color w:val="000000"/>
                <w:sz w:val="20"/>
                <w:lang w:val="en-NZ" w:eastAsia="en-NZ"/>
              </w:rPr>
            </w:pPr>
            <w:r w:rsidRPr="008D14BA">
              <w:rPr>
                <w:rFonts w:cs="Arial"/>
                <w:color w:val="000000"/>
                <w:sz w:val="20"/>
                <w:lang w:val="en-NZ" w:eastAsia="en-NZ"/>
              </w:rPr>
              <w:t>Acting Chief Director, Human Resource Development</w:t>
            </w:r>
          </w:p>
        </w:tc>
        <w:tc>
          <w:tcPr>
            <w:tcW w:w="1836" w:type="pct"/>
            <w:tcBorders>
              <w:top w:val="nil"/>
              <w:left w:val="nil"/>
              <w:bottom w:val="single" w:sz="8" w:space="0" w:color="007FAD"/>
              <w:right w:val="nil"/>
            </w:tcBorders>
            <w:shd w:val="clear" w:color="000000" w:fill="FFFFFF"/>
          </w:tcPr>
          <w:p w14:paraId="70BE3525" w14:textId="77777777" w:rsidR="00B7688F" w:rsidRDefault="00B7688F" w:rsidP="00B7688F">
            <w:pPr>
              <w:spacing w:before="0" w:after="0" w:line="240" w:lineRule="auto"/>
              <w:rPr>
                <w:rFonts w:cs="Arial"/>
                <w:color w:val="000000"/>
                <w:sz w:val="20"/>
                <w:lang w:val="en-NZ" w:eastAsia="en-NZ"/>
              </w:rPr>
            </w:pPr>
            <w:r w:rsidRPr="008D14BA">
              <w:rPr>
                <w:rFonts w:cs="Arial"/>
                <w:color w:val="000000"/>
                <w:sz w:val="20"/>
                <w:lang w:val="en-NZ" w:eastAsia="en-NZ"/>
              </w:rPr>
              <w:t>Department of Public Service and Administration, South Africa</w:t>
            </w:r>
          </w:p>
          <w:p w14:paraId="52CE0DB3" w14:textId="5BD0B50A" w:rsidR="00855D99" w:rsidRPr="008D14BA" w:rsidRDefault="00855D99" w:rsidP="00B7688F">
            <w:pPr>
              <w:spacing w:before="0" w:after="0" w:line="240" w:lineRule="auto"/>
              <w:rPr>
                <w:color w:val="000000"/>
                <w:sz w:val="20"/>
                <w:lang w:val="en-NZ" w:eastAsia="en-NZ"/>
              </w:rPr>
            </w:pPr>
          </w:p>
        </w:tc>
      </w:tr>
      <w:tr w:rsidR="00B7688F" w:rsidRPr="008D14BA" w14:paraId="2751751B" w14:textId="77777777" w:rsidTr="00A93825">
        <w:trPr>
          <w:trHeight w:val="20"/>
        </w:trPr>
        <w:tc>
          <w:tcPr>
            <w:tcW w:w="3164" w:type="pct"/>
            <w:gridSpan w:val="2"/>
            <w:tcBorders>
              <w:top w:val="nil"/>
              <w:left w:val="nil"/>
              <w:bottom w:val="single" w:sz="8" w:space="0" w:color="007FAD"/>
              <w:right w:val="nil"/>
            </w:tcBorders>
            <w:shd w:val="clear" w:color="000000" w:fill="DBE5F1"/>
            <w:noWrap/>
          </w:tcPr>
          <w:p w14:paraId="332D3F90" w14:textId="77777777" w:rsidR="00B7688F" w:rsidRPr="008D14BA" w:rsidRDefault="00B7688F" w:rsidP="00B7688F">
            <w:pPr>
              <w:spacing w:before="0" w:after="0" w:line="240" w:lineRule="auto"/>
              <w:rPr>
                <w:b/>
                <w:bCs/>
                <w:color w:val="000000"/>
                <w:sz w:val="20"/>
                <w:lang w:val="en-NZ" w:eastAsia="en-NZ"/>
              </w:rPr>
            </w:pPr>
            <w:r w:rsidRPr="008D14BA">
              <w:rPr>
                <w:b/>
                <w:color w:val="000000"/>
                <w:sz w:val="20"/>
                <w:lang w:val="en-NZ" w:eastAsia="en-NZ"/>
              </w:rPr>
              <w:lastRenderedPageBreak/>
              <w:t xml:space="preserve">Post-doctoral fellows and supervisors </w:t>
            </w:r>
          </w:p>
        </w:tc>
        <w:tc>
          <w:tcPr>
            <w:tcW w:w="1836" w:type="pct"/>
            <w:tcBorders>
              <w:top w:val="nil"/>
              <w:left w:val="nil"/>
              <w:bottom w:val="single" w:sz="8" w:space="0" w:color="007FAD"/>
              <w:right w:val="nil"/>
            </w:tcBorders>
            <w:shd w:val="clear" w:color="000000" w:fill="DBE5F1"/>
            <w:noWrap/>
          </w:tcPr>
          <w:p w14:paraId="69EC3F9E" w14:textId="77777777" w:rsidR="00B7688F" w:rsidRPr="008D14BA" w:rsidRDefault="00B7688F" w:rsidP="00B7688F">
            <w:pPr>
              <w:spacing w:before="0" w:after="0" w:line="240" w:lineRule="auto"/>
              <w:rPr>
                <w:b/>
                <w:bCs/>
                <w:color w:val="000000"/>
                <w:sz w:val="20"/>
                <w:lang w:val="en-NZ" w:eastAsia="en-NZ"/>
              </w:rPr>
            </w:pPr>
          </w:p>
        </w:tc>
      </w:tr>
      <w:tr w:rsidR="00B7688F" w:rsidRPr="008D14BA" w14:paraId="5ACA51BE" w14:textId="77777777" w:rsidTr="00A93825">
        <w:trPr>
          <w:trHeight w:val="20"/>
        </w:trPr>
        <w:tc>
          <w:tcPr>
            <w:tcW w:w="1204" w:type="pct"/>
            <w:tcBorders>
              <w:top w:val="nil"/>
              <w:left w:val="nil"/>
              <w:bottom w:val="single" w:sz="8" w:space="0" w:color="007FAD"/>
              <w:right w:val="nil"/>
            </w:tcBorders>
            <w:shd w:val="clear" w:color="000000" w:fill="FFFFFF"/>
          </w:tcPr>
          <w:p w14:paraId="7B06451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Professor Lyndy McGaw</w:t>
            </w:r>
          </w:p>
        </w:tc>
        <w:tc>
          <w:tcPr>
            <w:tcW w:w="1960" w:type="pct"/>
            <w:tcBorders>
              <w:top w:val="nil"/>
              <w:left w:val="nil"/>
              <w:bottom w:val="single" w:sz="8" w:space="0" w:color="007FAD"/>
              <w:right w:val="nil"/>
            </w:tcBorders>
            <w:shd w:val="clear" w:color="000000" w:fill="FFFFFF"/>
          </w:tcPr>
          <w:p w14:paraId="3A94F9E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Faculty of Veterinary Science </w:t>
            </w:r>
          </w:p>
        </w:tc>
        <w:tc>
          <w:tcPr>
            <w:tcW w:w="1836" w:type="pct"/>
            <w:tcBorders>
              <w:top w:val="nil"/>
              <w:left w:val="nil"/>
              <w:bottom w:val="single" w:sz="8" w:space="0" w:color="007FAD"/>
              <w:right w:val="nil"/>
            </w:tcBorders>
            <w:shd w:val="clear" w:color="000000" w:fill="FFFFFF"/>
          </w:tcPr>
          <w:p w14:paraId="0044645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Pretoria</w:t>
            </w:r>
          </w:p>
        </w:tc>
      </w:tr>
      <w:tr w:rsidR="00B7688F" w:rsidRPr="008D14BA" w14:paraId="3E51264B" w14:textId="77777777" w:rsidTr="00A93825">
        <w:trPr>
          <w:trHeight w:val="20"/>
        </w:trPr>
        <w:tc>
          <w:tcPr>
            <w:tcW w:w="1204" w:type="pct"/>
            <w:tcBorders>
              <w:top w:val="nil"/>
              <w:left w:val="nil"/>
              <w:bottom w:val="single" w:sz="8" w:space="0" w:color="007FAD"/>
              <w:right w:val="nil"/>
            </w:tcBorders>
            <w:shd w:val="clear" w:color="000000" w:fill="FFFFFF"/>
          </w:tcPr>
          <w:p w14:paraId="1EAED4B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Richard </w:t>
            </w:r>
            <w:proofErr w:type="spellStart"/>
            <w:r w:rsidRPr="008D14BA">
              <w:rPr>
                <w:color w:val="000000"/>
                <w:sz w:val="20"/>
                <w:lang w:val="en-NZ" w:eastAsia="en-NZ"/>
              </w:rPr>
              <w:t>Ikuesan</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34227D6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Department of Computer Science</w:t>
            </w:r>
          </w:p>
        </w:tc>
        <w:tc>
          <w:tcPr>
            <w:tcW w:w="1836" w:type="pct"/>
            <w:tcBorders>
              <w:top w:val="nil"/>
              <w:left w:val="nil"/>
              <w:bottom w:val="single" w:sz="8" w:space="0" w:color="007FAD"/>
              <w:right w:val="nil"/>
            </w:tcBorders>
            <w:shd w:val="clear" w:color="000000" w:fill="FFFFFF"/>
          </w:tcPr>
          <w:p w14:paraId="2A313F2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Pretoria</w:t>
            </w:r>
          </w:p>
        </w:tc>
      </w:tr>
      <w:tr w:rsidR="00B7688F" w:rsidRPr="008D14BA" w14:paraId="7AF8A101" w14:textId="77777777" w:rsidTr="00A93825">
        <w:trPr>
          <w:trHeight w:val="20"/>
        </w:trPr>
        <w:tc>
          <w:tcPr>
            <w:tcW w:w="1204" w:type="pct"/>
            <w:tcBorders>
              <w:top w:val="nil"/>
              <w:left w:val="nil"/>
              <w:bottom w:val="single" w:sz="8" w:space="0" w:color="007FAD"/>
              <w:right w:val="nil"/>
            </w:tcBorders>
            <w:shd w:val="clear" w:color="000000" w:fill="FFFFFF"/>
          </w:tcPr>
          <w:p w14:paraId="4A36E4A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Professor Hein Venter</w:t>
            </w:r>
          </w:p>
        </w:tc>
        <w:tc>
          <w:tcPr>
            <w:tcW w:w="1960" w:type="pct"/>
            <w:tcBorders>
              <w:top w:val="nil"/>
              <w:left w:val="nil"/>
              <w:bottom w:val="single" w:sz="8" w:space="0" w:color="007FAD"/>
              <w:right w:val="nil"/>
            </w:tcBorders>
            <w:shd w:val="clear" w:color="000000" w:fill="FFFFFF"/>
          </w:tcPr>
          <w:p w14:paraId="36EE0F7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Department of Computer Science. </w:t>
            </w:r>
          </w:p>
          <w:p w14:paraId="65D32DC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Head, Digital Forensic Science (</w:t>
            </w:r>
            <w:proofErr w:type="spellStart"/>
            <w:r w:rsidRPr="008D14BA">
              <w:rPr>
                <w:color w:val="000000"/>
                <w:sz w:val="20"/>
                <w:lang w:val="en-NZ" w:eastAsia="en-NZ"/>
              </w:rPr>
              <w:t>DigiForS</w:t>
            </w:r>
            <w:proofErr w:type="spellEnd"/>
            <w:r w:rsidRPr="008D14BA">
              <w:rPr>
                <w:color w:val="000000"/>
                <w:sz w:val="20"/>
                <w:lang w:val="en-NZ" w:eastAsia="en-NZ"/>
              </w:rPr>
              <w:t xml:space="preserve">) Research Group </w:t>
            </w:r>
          </w:p>
        </w:tc>
        <w:tc>
          <w:tcPr>
            <w:tcW w:w="1836" w:type="pct"/>
            <w:tcBorders>
              <w:top w:val="nil"/>
              <w:left w:val="nil"/>
              <w:bottom w:val="single" w:sz="8" w:space="0" w:color="007FAD"/>
              <w:right w:val="nil"/>
            </w:tcBorders>
            <w:shd w:val="clear" w:color="000000" w:fill="FFFFFF"/>
          </w:tcPr>
          <w:p w14:paraId="719103C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Pretoria</w:t>
            </w:r>
          </w:p>
          <w:p w14:paraId="634C2371" w14:textId="77777777" w:rsidR="00B7688F" w:rsidRPr="008D14BA" w:rsidRDefault="00B7688F" w:rsidP="00B7688F">
            <w:pPr>
              <w:spacing w:before="0" w:after="0" w:line="240" w:lineRule="auto"/>
              <w:rPr>
                <w:color w:val="000000"/>
                <w:sz w:val="20"/>
                <w:lang w:val="en-NZ" w:eastAsia="en-NZ"/>
              </w:rPr>
            </w:pPr>
          </w:p>
        </w:tc>
      </w:tr>
      <w:tr w:rsidR="00B7688F" w:rsidRPr="008D14BA" w14:paraId="40DD4CEF" w14:textId="77777777" w:rsidTr="00A93825">
        <w:trPr>
          <w:trHeight w:val="20"/>
        </w:trPr>
        <w:tc>
          <w:tcPr>
            <w:tcW w:w="1204" w:type="pct"/>
            <w:tcBorders>
              <w:top w:val="nil"/>
              <w:left w:val="nil"/>
              <w:bottom w:val="single" w:sz="8" w:space="0" w:color="007FAD"/>
              <w:right w:val="nil"/>
            </w:tcBorders>
            <w:shd w:val="clear" w:color="000000" w:fill="FFFFFF"/>
          </w:tcPr>
          <w:p w14:paraId="2F45A65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Steven Hussey </w:t>
            </w:r>
          </w:p>
        </w:tc>
        <w:tc>
          <w:tcPr>
            <w:tcW w:w="1960" w:type="pct"/>
            <w:tcBorders>
              <w:top w:val="nil"/>
              <w:left w:val="nil"/>
              <w:bottom w:val="single" w:sz="8" w:space="0" w:color="007FAD"/>
              <w:right w:val="nil"/>
            </w:tcBorders>
            <w:shd w:val="clear" w:color="000000" w:fill="FFFFFF"/>
          </w:tcPr>
          <w:p w14:paraId="1E0B1E9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Department of Genetics.</w:t>
            </w:r>
          </w:p>
        </w:tc>
        <w:tc>
          <w:tcPr>
            <w:tcW w:w="1836" w:type="pct"/>
            <w:tcBorders>
              <w:top w:val="nil"/>
              <w:left w:val="nil"/>
              <w:bottom w:val="single" w:sz="8" w:space="0" w:color="007FAD"/>
              <w:right w:val="nil"/>
            </w:tcBorders>
            <w:shd w:val="clear" w:color="000000" w:fill="FFFFFF"/>
          </w:tcPr>
          <w:p w14:paraId="2BA054A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Pretoria</w:t>
            </w:r>
          </w:p>
        </w:tc>
      </w:tr>
      <w:tr w:rsidR="00B7688F" w:rsidRPr="008D14BA" w14:paraId="12E45575" w14:textId="77777777" w:rsidTr="00A93825">
        <w:trPr>
          <w:trHeight w:val="20"/>
        </w:trPr>
        <w:tc>
          <w:tcPr>
            <w:tcW w:w="1204" w:type="pct"/>
            <w:tcBorders>
              <w:top w:val="nil"/>
              <w:left w:val="nil"/>
              <w:bottom w:val="single" w:sz="8" w:space="0" w:color="007FAD"/>
              <w:right w:val="nil"/>
            </w:tcBorders>
            <w:shd w:val="clear" w:color="000000" w:fill="FFFFFF"/>
          </w:tcPr>
          <w:p w14:paraId="04DD4FB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Professor Zander </w:t>
            </w:r>
            <w:proofErr w:type="spellStart"/>
            <w:r w:rsidRPr="008D14BA">
              <w:rPr>
                <w:color w:val="000000"/>
                <w:sz w:val="20"/>
                <w:lang w:val="en-NZ" w:eastAsia="en-NZ"/>
              </w:rPr>
              <w:t>Myburg</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394889C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Department of Genetics. Chair: Forest Genomics and Biotechnology. </w:t>
            </w:r>
          </w:p>
        </w:tc>
        <w:tc>
          <w:tcPr>
            <w:tcW w:w="1836" w:type="pct"/>
            <w:tcBorders>
              <w:top w:val="nil"/>
              <w:left w:val="nil"/>
              <w:bottom w:val="single" w:sz="8" w:space="0" w:color="007FAD"/>
              <w:right w:val="nil"/>
            </w:tcBorders>
            <w:shd w:val="clear" w:color="000000" w:fill="FFFFFF"/>
          </w:tcPr>
          <w:p w14:paraId="2EDA971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Pretoria</w:t>
            </w:r>
          </w:p>
        </w:tc>
      </w:tr>
      <w:tr w:rsidR="00B7688F" w:rsidRPr="008D14BA" w14:paraId="124E2B0D" w14:textId="77777777" w:rsidTr="00A93825">
        <w:trPr>
          <w:trHeight w:val="20"/>
        </w:trPr>
        <w:tc>
          <w:tcPr>
            <w:tcW w:w="1204" w:type="pct"/>
            <w:tcBorders>
              <w:top w:val="nil"/>
              <w:left w:val="nil"/>
              <w:bottom w:val="single" w:sz="8" w:space="0" w:color="007FAD"/>
              <w:right w:val="nil"/>
            </w:tcBorders>
            <w:shd w:val="clear" w:color="000000" w:fill="FFFFFF"/>
          </w:tcPr>
          <w:p w14:paraId="5CAF312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Professor Don Cowan</w:t>
            </w:r>
          </w:p>
        </w:tc>
        <w:tc>
          <w:tcPr>
            <w:tcW w:w="1960" w:type="pct"/>
            <w:tcBorders>
              <w:top w:val="nil"/>
              <w:left w:val="nil"/>
              <w:bottom w:val="single" w:sz="8" w:space="0" w:color="007FAD"/>
              <w:right w:val="nil"/>
            </w:tcBorders>
            <w:shd w:val="clear" w:color="000000" w:fill="FFFFFF"/>
          </w:tcPr>
          <w:p w14:paraId="47FCD81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Director, Genomics Research Institute Director, Centre for Microbial Ecology and Genomics</w:t>
            </w:r>
          </w:p>
        </w:tc>
        <w:tc>
          <w:tcPr>
            <w:tcW w:w="1836" w:type="pct"/>
            <w:tcBorders>
              <w:top w:val="nil"/>
              <w:left w:val="nil"/>
              <w:bottom w:val="single" w:sz="8" w:space="0" w:color="007FAD"/>
              <w:right w:val="nil"/>
            </w:tcBorders>
            <w:shd w:val="clear" w:color="000000" w:fill="FFFFFF"/>
          </w:tcPr>
          <w:p w14:paraId="49F9E18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Pretoria</w:t>
            </w:r>
          </w:p>
        </w:tc>
      </w:tr>
      <w:tr w:rsidR="00B7688F" w:rsidRPr="008D14BA" w14:paraId="0E37B750" w14:textId="77777777" w:rsidTr="00A93825">
        <w:trPr>
          <w:trHeight w:val="20"/>
        </w:trPr>
        <w:tc>
          <w:tcPr>
            <w:tcW w:w="1204" w:type="pct"/>
            <w:tcBorders>
              <w:top w:val="nil"/>
              <w:left w:val="nil"/>
              <w:bottom w:val="single" w:sz="8" w:space="0" w:color="007FAD"/>
              <w:right w:val="nil"/>
            </w:tcBorders>
            <w:shd w:val="clear" w:color="000000" w:fill="FFFFFF"/>
          </w:tcPr>
          <w:p w14:paraId="5BD642E0" w14:textId="74710EAF"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Esther </w:t>
            </w:r>
            <w:proofErr w:type="spellStart"/>
            <w:r w:rsidRPr="008D14BA">
              <w:rPr>
                <w:color w:val="000000"/>
                <w:sz w:val="20"/>
                <w:lang w:val="en-NZ" w:eastAsia="en-NZ"/>
              </w:rPr>
              <w:t>Muema</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45D06B3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Forestry &amp; Agricultural Biotechnology Institute </w:t>
            </w:r>
          </w:p>
        </w:tc>
        <w:tc>
          <w:tcPr>
            <w:tcW w:w="1836" w:type="pct"/>
            <w:tcBorders>
              <w:top w:val="nil"/>
              <w:left w:val="nil"/>
              <w:bottom w:val="single" w:sz="8" w:space="0" w:color="007FAD"/>
              <w:right w:val="nil"/>
            </w:tcBorders>
            <w:shd w:val="clear" w:color="000000" w:fill="FFFFFF"/>
          </w:tcPr>
          <w:p w14:paraId="67ADB64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Pretoria</w:t>
            </w:r>
          </w:p>
        </w:tc>
      </w:tr>
      <w:tr w:rsidR="00B7688F" w:rsidRPr="008D14BA" w14:paraId="2F78A720" w14:textId="77777777" w:rsidTr="00A93825">
        <w:trPr>
          <w:trHeight w:val="20"/>
        </w:trPr>
        <w:tc>
          <w:tcPr>
            <w:tcW w:w="1204" w:type="pct"/>
            <w:tcBorders>
              <w:top w:val="nil"/>
              <w:left w:val="nil"/>
              <w:bottom w:val="single" w:sz="8" w:space="0" w:color="007FAD"/>
              <w:right w:val="nil"/>
            </w:tcBorders>
            <w:shd w:val="clear" w:color="000000" w:fill="FFFFFF"/>
          </w:tcPr>
          <w:p w14:paraId="0A803DE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Vitus </w:t>
            </w:r>
            <w:proofErr w:type="spellStart"/>
            <w:r w:rsidRPr="008D14BA">
              <w:rPr>
                <w:color w:val="000000"/>
                <w:sz w:val="20"/>
                <w:lang w:val="en-NZ" w:eastAsia="en-NZ"/>
              </w:rPr>
              <w:t>Apalangya</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74D35F1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Lecturer, Department of Food Process Engineering</w:t>
            </w:r>
          </w:p>
        </w:tc>
        <w:tc>
          <w:tcPr>
            <w:tcW w:w="1836" w:type="pct"/>
            <w:tcBorders>
              <w:top w:val="nil"/>
              <w:left w:val="nil"/>
              <w:bottom w:val="single" w:sz="8" w:space="0" w:color="007FAD"/>
              <w:right w:val="nil"/>
            </w:tcBorders>
            <w:shd w:val="clear" w:color="000000" w:fill="FFFFFF"/>
          </w:tcPr>
          <w:p w14:paraId="6BF4F56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Ghana</w:t>
            </w:r>
          </w:p>
        </w:tc>
      </w:tr>
      <w:tr w:rsidR="00B7688F" w:rsidRPr="008D14BA" w14:paraId="0971D2E8" w14:textId="77777777" w:rsidTr="00A93825">
        <w:trPr>
          <w:trHeight w:val="20"/>
        </w:trPr>
        <w:tc>
          <w:tcPr>
            <w:tcW w:w="1204" w:type="pct"/>
            <w:tcBorders>
              <w:top w:val="nil"/>
              <w:left w:val="nil"/>
              <w:bottom w:val="single" w:sz="8" w:space="0" w:color="007FAD"/>
              <w:right w:val="nil"/>
            </w:tcBorders>
            <w:shd w:val="clear" w:color="000000" w:fill="FFFFFF"/>
          </w:tcPr>
          <w:p w14:paraId="42B03D9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Dr Abu Yaya</w:t>
            </w:r>
          </w:p>
        </w:tc>
        <w:tc>
          <w:tcPr>
            <w:tcW w:w="1960" w:type="pct"/>
            <w:tcBorders>
              <w:top w:val="nil"/>
              <w:left w:val="nil"/>
              <w:bottom w:val="single" w:sz="8" w:space="0" w:color="007FAD"/>
              <w:right w:val="nil"/>
            </w:tcBorders>
            <w:shd w:val="clear" w:color="000000" w:fill="FFFFFF"/>
          </w:tcPr>
          <w:p w14:paraId="7E37577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Senior Lecturer &amp; Head of Department, Department of Materials Science and Engineering</w:t>
            </w:r>
          </w:p>
        </w:tc>
        <w:tc>
          <w:tcPr>
            <w:tcW w:w="1836" w:type="pct"/>
            <w:tcBorders>
              <w:top w:val="nil"/>
              <w:left w:val="nil"/>
              <w:bottom w:val="single" w:sz="8" w:space="0" w:color="007FAD"/>
              <w:right w:val="nil"/>
            </w:tcBorders>
            <w:shd w:val="clear" w:color="000000" w:fill="FFFFFF"/>
          </w:tcPr>
          <w:p w14:paraId="2C2458D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Ghana</w:t>
            </w:r>
          </w:p>
        </w:tc>
      </w:tr>
      <w:tr w:rsidR="00B7688F" w:rsidRPr="008D14BA" w14:paraId="28F0FEC9" w14:textId="77777777" w:rsidTr="00A93825">
        <w:trPr>
          <w:trHeight w:val="20"/>
        </w:trPr>
        <w:tc>
          <w:tcPr>
            <w:tcW w:w="1204" w:type="pct"/>
            <w:tcBorders>
              <w:top w:val="nil"/>
              <w:left w:val="nil"/>
              <w:bottom w:val="single" w:sz="8" w:space="0" w:color="007FAD"/>
              <w:right w:val="nil"/>
            </w:tcBorders>
            <w:shd w:val="clear" w:color="000000" w:fill="FFFFFF"/>
          </w:tcPr>
          <w:p w14:paraId="6EB4BFB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Afua Yeboah</w:t>
            </w:r>
          </w:p>
        </w:tc>
        <w:tc>
          <w:tcPr>
            <w:tcW w:w="1960" w:type="pct"/>
            <w:tcBorders>
              <w:top w:val="nil"/>
              <w:left w:val="nil"/>
              <w:bottom w:val="single" w:sz="8" w:space="0" w:color="007FAD"/>
              <w:right w:val="nil"/>
            </w:tcBorders>
            <w:shd w:val="clear" w:color="000000" w:fill="FFFFFF"/>
          </w:tcPr>
          <w:p w14:paraId="272C64A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Senior Assistant Registrar, Office of Research, Innovation and Development</w:t>
            </w:r>
          </w:p>
        </w:tc>
        <w:tc>
          <w:tcPr>
            <w:tcW w:w="1836" w:type="pct"/>
            <w:tcBorders>
              <w:top w:val="nil"/>
              <w:left w:val="nil"/>
              <w:bottom w:val="single" w:sz="8" w:space="0" w:color="007FAD"/>
              <w:right w:val="nil"/>
            </w:tcBorders>
            <w:shd w:val="clear" w:color="000000" w:fill="FFFFFF"/>
          </w:tcPr>
          <w:p w14:paraId="6D1DBD3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Ghana</w:t>
            </w:r>
          </w:p>
        </w:tc>
      </w:tr>
      <w:tr w:rsidR="00B7688F" w:rsidRPr="008D14BA" w14:paraId="0DE696C9" w14:textId="77777777" w:rsidTr="00A93825">
        <w:trPr>
          <w:trHeight w:val="20"/>
        </w:trPr>
        <w:tc>
          <w:tcPr>
            <w:tcW w:w="1204" w:type="pct"/>
            <w:tcBorders>
              <w:top w:val="nil"/>
              <w:left w:val="nil"/>
              <w:bottom w:val="single" w:sz="8" w:space="0" w:color="007FAD"/>
              <w:right w:val="nil"/>
            </w:tcBorders>
            <w:shd w:val="clear" w:color="000000" w:fill="FFFFFF"/>
          </w:tcPr>
          <w:p w14:paraId="406B3F29"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Selasie</w:t>
            </w:r>
            <w:proofErr w:type="spellEnd"/>
            <w:r w:rsidRPr="008D14BA">
              <w:rPr>
                <w:color w:val="000000"/>
                <w:sz w:val="20"/>
                <w:lang w:val="en-NZ" w:eastAsia="en-NZ"/>
              </w:rPr>
              <w:t xml:space="preserve"> </w:t>
            </w:r>
            <w:proofErr w:type="spellStart"/>
            <w:r w:rsidRPr="008D14BA">
              <w:rPr>
                <w:color w:val="000000"/>
                <w:sz w:val="20"/>
                <w:lang w:val="en-NZ" w:eastAsia="en-NZ"/>
              </w:rPr>
              <w:t>Agamah</w:t>
            </w:r>
            <w:proofErr w:type="spellEnd"/>
          </w:p>
        </w:tc>
        <w:tc>
          <w:tcPr>
            <w:tcW w:w="1960" w:type="pct"/>
            <w:tcBorders>
              <w:top w:val="nil"/>
              <w:left w:val="nil"/>
              <w:bottom w:val="single" w:sz="8" w:space="0" w:color="007FAD"/>
              <w:right w:val="nil"/>
            </w:tcBorders>
            <w:shd w:val="clear" w:color="000000" w:fill="FFFFFF"/>
          </w:tcPr>
          <w:p w14:paraId="6D62CF1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Research Development Officer, Office of Research, Innovation and Development</w:t>
            </w:r>
          </w:p>
        </w:tc>
        <w:tc>
          <w:tcPr>
            <w:tcW w:w="1836" w:type="pct"/>
            <w:tcBorders>
              <w:top w:val="nil"/>
              <w:left w:val="nil"/>
              <w:bottom w:val="single" w:sz="8" w:space="0" w:color="007FAD"/>
              <w:right w:val="nil"/>
            </w:tcBorders>
            <w:shd w:val="clear" w:color="000000" w:fill="FFFFFF"/>
          </w:tcPr>
          <w:p w14:paraId="02AEFB2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Ghana</w:t>
            </w:r>
          </w:p>
        </w:tc>
      </w:tr>
      <w:tr w:rsidR="00B7688F" w:rsidRPr="008D14BA" w14:paraId="5672C0F2" w14:textId="77777777" w:rsidTr="00A93825">
        <w:trPr>
          <w:trHeight w:val="20"/>
        </w:trPr>
        <w:tc>
          <w:tcPr>
            <w:tcW w:w="1204" w:type="pct"/>
            <w:tcBorders>
              <w:top w:val="nil"/>
              <w:left w:val="nil"/>
              <w:bottom w:val="single" w:sz="8" w:space="0" w:color="007FAD"/>
              <w:right w:val="nil"/>
            </w:tcBorders>
            <w:shd w:val="clear" w:color="000000" w:fill="FFFFFF"/>
          </w:tcPr>
          <w:p w14:paraId="623361A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Professor Nicaise </w:t>
            </w:r>
            <w:proofErr w:type="spellStart"/>
            <w:r w:rsidRPr="008D14BA">
              <w:rPr>
                <w:color w:val="000000"/>
                <w:sz w:val="20"/>
                <w:lang w:val="en-NZ" w:eastAsia="en-NZ"/>
              </w:rPr>
              <w:t>Ndam</w:t>
            </w:r>
            <w:proofErr w:type="spellEnd"/>
          </w:p>
        </w:tc>
        <w:tc>
          <w:tcPr>
            <w:tcW w:w="1960" w:type="pct"/>
            <w:tcBorders>
              <w:top w:val="nil"/>
              <w:left w:val="nil"/>
              <w:bottom w:val="single" w:sz="8" w:space="0" w:color="007FAD"/>
              <w:right w:val="nil"/>
            </w:tcBorders>
            <w:shd w:val="clear" w:color="000000" w:fill="FFFFFF"/>
          </w:tcPr>
          <w:p w14:paraId="6836433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Parasitology Department, Noguchi Memorial Institute for Medical Research</w:t>
            </w:r>
          </w:p>
        </w:tc>
        <w:tc>
          <w:tcPr>
            <w:tcW w:w="1836" w:type="pct"/>
            <w:tcBorders>
              <w:top w:val="nil"/>
              <w:left w:val="nil"/>
              <w:bottom w:val="single" w:sz="8" w:space="0" w:color="007FAD"/>
              <w:right w:val="nil"/>
            </w:tcBorders>
            <w:shd w:val="clear" w:color="000000" w:fill="FFFFFF"/>
          </w:tcPr>
          <w:p w14:paraId="04BCB4D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Ghana</w:t>
            </w:r>
          </w:p>
        </w:tc>
      </w:tr>
      <w:tr w:rsidR="00B7688F" w:rsidRPr="008D14BA" w14:paraId="136517A3" w14:textId="77777777" w:rsidTr="00A93825">
        <w:trPr>
          <w:trHeight w:val="20"/>
        </w:trPr>
        <w:tc>
          <w:tcPr>
            <w:tcW w:w="1204" w:type="pct"/>
            <w:tcBorders>
              <w:top w:val="nil"/>
              <w:left w:val="nil"/>
              <w:bottom w:val="single" w:sz="8" w:space="0" w:color="007FAD"/>
              <w:right w:val="nil"/>
            </w:tcBorders>
            <w:shd w:val="clear" w:color="000000" w:fill="FFFFFF"/>
          </w:tcPr>
          <w:p w14:paraId="0B60F52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Rev. Dr Richard Osei-</w:t>
            </w:r>
            <w:proofErr w:type="spellStart"/>
            <w:r w:rsidRPr="008D14BA">
              <w:rPr>
                <w:color w:val="000000"/>
                <w:sz w:val="20"/>
                <w:lang w:val="en-NZ" w:eastAsia="en-NZ"/>
              </w:rPr>
              <w:t>Amponsah</w:t>
            </w:r>
            <w:proofErr w:type="spellEnd"/>
          </w:p>
        </w:tc>
        <w:tc>
          <w:tcPr>
            <w:tcW w:w="1960" w:type="pct"/>
            <w:tcBorders>
              <w:top w:val="nil"/>
              <w:left w:val="nil"/>
              <w:bottom w:val="single" w:sz="8" w:space="0" w:color="007FAD"/>
              <w:right w:val="nil"/>
            </w:tcBorders>
            <w:shd w:val="clear" w:color="000000" w:fill="FFFFFF"/>
          </w:tcPr>
          <w:p w14:paraId="21A8DE7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Senior Lecturer, Department of Animal Science</w:t>
            </w:r>
          </w:p>
        </w:tc>
        <w:tc>
          <w:tcPr>
            <w:tcW w:w="1836" w:type="pct"/>
            <w:tcBorders>
              <w:top w:val="nil"/>
              <w:left w:val="nil"/>
              <w:bottom w:val="single" w:sz="8" w:space="0" w:color="007FAD"/>
              <w:right w:val="nil"/>
            </w:tcBorders>
            <w:shd w:val="clear" w:color="000000" w:fill="FFFFFF"/>
          </w:tcPr>
          <w:p w14:paraId="666A344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Ghana</w:t>
            </w:r>
          </w:p>
        </w:tc>
      </w:tr>
      <w:tr w:rsidR="00B7688F" w:rsidRPr="008D14BA" w14:paraId="71EBAD51" w14:textId="77777777" w:rsidTr="00A93825">
        <w:trPr>
          <w:trHeight w:val="20"/>
        </w:trPr>
        <w:tc>
          <w:tcPr>
            <w:tcW w:w="1204" w:type="pct"/>
            <w:tcBorders>
              <w:top w:val="nil"/>
              <w:left w:val="nil"/>
              <w:bottom w:val="single" w:sz="8" w:space="0" w:color="007FAD"/>
              <w:right w:val="nil"/>
            </w:tcBorders>
            <w:shd w:val="clear" w:color="000000" w:fill="FFFFFF"/>
          </w:tcPr>
          <w:p w14:paraId="28487B6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Marian </w:t>
            </w:r>
            <w:proofErr w:type="spellStart"/>
            <w:r w:rsidRPr="008D14BA">
              <w:rPr>
                <w:color w:val="000000"/>
                <w:sz w:val="20"/>
                <w:lang w:val="en-NZ" w:eastAsia="en-NZ"/>
              </w:rPr>
              <w:t>Sapah</w:t>
            </w:r>
            <w:proofErr w:type="spellEnd"/>
          </w:p>
        </w:tc>
        <w:tc>
          <w:tcPr>
            <w:tcW w:w="1960" w:type="pct"/>
            <w:tcBorders>
              <w:top w:val="nil"/>
              <w:left w:val="nil"/>
              <w:bottom w:val="single" w:sz="8" w:space="0" w:color="007FAD"/>
              <w:right w:val="nil"/>
            </w:tcBorders>
            <w:shd w:val="clear" w:color="000000" w:fill="FFFFFF"/>
          </w:tcPr>
          <w:p w14:paraId="7FB2877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Lecturer, Department of Earth Science</w:t>
            </w:r>
          </w:p>
        </w:tc>
        <w:tc>
          <w:tcPr>
            <w:tcW w:w="1836" w:type="pct"/>
            <w:tcBorders>
              <w:top w:val="nil"/>
              <w:left w:val="nil"/>
              <w:bottom w:val="single" w:sz="8" w:space="0" w:color="007FAD"/>
              <w:right w:val="nil"/>
            </w:tcBorders>
            <w:shd w:val="clear" w:color="000000" w:fill="FFFFFF"/>
          </w:tcPr>
          <w:p w14:paraId="7F04B04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Ghana</w:t>
            </w:r>
          </w:p>
        </w:tc>
      </w:tr>
      <w:tr w:rsidR="00B7688F" w:rsidRPr="008D14BA" w14:paraId="0385AF92" w14:textId="77777777" w:rsidTr="00A93825">
        <w:trPr>
          <w:trHeight w:val="20"/>
        </w:trPr>
        <w:tc>
          <w:tcPr>
            <w:tcW w:w="1204" w:type="pct"/>
            <w:tcBorders>
              <w:top w:val="nil"/>
              <w:left w:val="nil"/>
              <w:bottom w:val="single" w:sz="8" w:space="0" w:color="007FAD"/>
              <w:right w:val="nil"/>
            </w:tcBorders>
            <w:shd w:val="clear" w:color="000000" w:fill="FFFFFF"/>
          </w:tcPr>
          <w:p w14:paraId="796503A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Professor S. G. Kiama</w:t>
            </w:r>
          </w:p>
        </w:tc>
        <w:tc>
          <w:tcPr>
            <w:tcW w:w="1960" w:type="pct"/>
            <w:tcBorders>
              <w:top w:val="nil"/>
              <w:left w:val="nil"/>
              <w:bottom w:val="single" w:sz="8" w:space="0" w:color="007FAD"/>
              <w:right w:val="nil"/>
            </w:tcBorders>
            <w:shd w:val="clear" w:color="000000" w:fill="FFFFFF"/>
          </w:tcPr>
          <w:p w14:paraId="334AB21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Principal, College of Agriculture &amp; Veterinary Sciences</w:t>
            </w:r>
          </w:p>
        </w:tc>
        <w:tc>
          <w:tcPr>
            <w:tcW w:w="1836" w:type="pct"/>
            <w:tcBorders>
              <w:top w:val="nil"/>
              <w:left w:val="nil"/>
              <w:bottom w:val="single" w:sz="8" w:space="0" w:color="007FAD"/>
              <w:right w:val="nil"/>
            </w:tcBorders>
            <w:shd w:val="clear" w:color="000000" w:fill="FFFFFF"/>
          </w:tcPr>
          <w:p w14:paraId="539E85F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Nairobi</w:t>
            </w:r>
          </w:p>
        </w:tc>
      </w:tr>
      <w:tr w:rsidR="00B7688F" w:rsidRPr="008D14BA" w14:paraId="65EB1772" w14:textId="77777777" w:rsidTr="00A93825">
        <w:trPr>
          <w:trHeight w:val="20"/>
        </w:trPr>
        <w:tc>
          <w:tcPr>
            <w:tcW w:w="1204" w:type="pct"/>
            <w:tcBorders>
              <w:top w:val="nil"/>
              <w:left w:val="nil"/>
              <w:bottom w:val="single" w:sz="8" w:space="0" w:color="007FAD"/>
              <w:right w:val="nil"/>
            </w:tcBorders>
            <w:shd w:val="clear" w:color="000000" w:fill="FFFFFF"/>
          </w:tcPr>
          <w:p w14:paraId="3AAD23E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Professor Margaret </w:t>
            </w:r>
            <w:proofErr w:type="spellStart"/>
            <w:r w:rsidRPr="008D14BA">
              <w:rPr>
                <w:color w:val="000000"/>
                <w:sz w:val="20"/>
                <w:lang w:val="en-NZ" w:eastAsia="en-NZ"/>
              </w:rPr>
              <w:t>Hutchson</w:t>
            </w:r>
            <w:proofErr w:type="spellEnd"/>
          </w:p>
        </w:tc>
        <w:tc>
          <w:tcPr>
            <w:tcW w:w="1960" w:type="pct"/>
            <w:tcBorders>
              <w:top w:val="nil"/>
              <w:left w:val="nil"/>
              <w:bottom w:val="single" w:sz="8" w:space="0" w:color="007FAD"/>
              <w:right w:val="nil"/>
            </w:tcBorders>
            <w:shd w:val="clear" w:color="000000" w:fill="FFFFFF"/>
          </w:tcPr>
          <w:p w14:paraId="1F47CAD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Chair, Department of Plant Science and Crop Protection</w:t>
            </w:r>
          </w:p>
        </w:tc>
        <w:tc>
          <w:tcPr>
            <w:tcW w:w="1836" w:type="pct"/>
            <w:tcBorders>
              <w:top w:val="nil"/>
              <w:left w:val="nil"/>
              <w:bottom w:val="single" w:sz="8" w:space="0" w:color="007FAD"/>
              <w:right w:val="nil"/>
            </w:tcBorders>
            <w:shd w:val="clear" w:color="000000" w:fill="FFFFFF"/>
          </w:tcPr>
          <w:p w14:paraId="203D2CC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Nairobi</w:t>
            </w:r>
          </w:p>
        </w:tc>
      </w:tr>
      <w:tr w:rsidR="00B7688F" w:rsidRPr="008D14BA" w14:paraId="6C65BAEC" w14:textId="77777777" w:rsidTr="00A93825">
        <w:trPr>
          <w:trHeight w:val="20"/>
        </w:trPr>
        <w:tc>
          <w:tcPr>
            <w:tcW w:w="1204" w:type="pct"/>
            <w:tcBorders>
              <w:top w:val="nil"/>
              <w:left w:val="nil"/>
              <w:bottom w:val="single" w:sz="8" w:space="0" w:color="007FAD"/>
              <w:right w:val="nil"/>
            </w:tcBorders>
            <w:shd w:val="clear" w:color="000000" w:fill="FFFFFF"/>
          </w:tcPr>
          <w:p w14:paraId="06EF4BC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Professor Michael Okoth</w:t>
            </w:r>
          </w:p>
        </w:tc>
        <w:tc>
          <w:tcPr>
            <w:tcW w:w="1960" w:type="pct"/>
            <w:tcBorders>
              <w:top w:val="nil"/>
              <w:left w:val="nil"/>
              <w:bottom w:val="single" w:sz="8" w:space="0" w:color="007FAD"/>
              <w:right w:val="nil"/>
            </w:tcBorders>
            <w:shd w:val="clear" w:color="000000" w:fill="FFFFFF"/>
          </w:tcPr>
          <w:p w14:paraId="2539EEB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Food Science, Nutrition &amp; Technology</w:t>
            </w:r>
          </w:p>
        </w:tc>
        <w:tc>
          <w:tcPr>
            <w:tcW w:w="1836" w:type="pct"/>
            <w:tcBorders>
              <w:top w:val="nil"/>
              <w:left w:val="nil"/>
              <w:bottom w:val="single" w:sz="8" w:space="0" w:color="007FAD"/>
              <w:right w:val="nil"/>
            </w:tcBorders>
            <w:shd w:val="clear" w:color="000000" w:fill="FFFFFF"/>
          </w:tcPr>
          <w:p w14:paraId="3A871CB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Nairobi</w:t>
            </w:r>
          </w:p>
        </w:tc>
      </w:tr>
      <w:tr w:rsidR="00B7688F" w:rsidRPr="008D14BA" w14:paraId="187B4018" w14:textId="77777777" w:rsidTr="00A93825">
        <w:trPr>
          <w:trHeight w:val="20"/>
        </w:trPr>
        <w:tc>
          <w:tcPr>
            <w:tcW w:w="1204" w:type="pct"/>
            <w:tcBorders>
              <w:top w:val="nil"/>
              <w:left w:val="nil"/>
              <w:bottom w:val="single" w:sz="8" w:space="0" w:color="007FAD"/>
              <w:right w:val="nil"/>
            </w:tcBorders>
            <w:shd w:val="clear" w:color="000000" w:fill="FFFFFF"/>
          </w:tcPr>
          <w:p w14:paraId="15C0E826"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Dr.</w:t>
            </w:r>
            <w:proofErr w:type="spellEnd"/>
            <w:r w:rsidRPr="008D14BA">
              <w:rPr>
                <w:color w:val="000000"/>
                <w:sz w:val="20"/>
                <w:lang w:val="en-NZ" w:eastAsia="en-NZ"/>
              </w:rPr>
              <w:t xml:space="preserve"> Esther </w:t>
            </w:r>
            <w:proofErr w:type="spellStart"/>
            <w:r w:rsidRPr="008D14BA">
              <w:rPr>
                <w:color w:val="000000"/>
                <w:sz w:val="20"/>
                <w:lang w:val="en-NZ" w:eastAsia="en-NZ"/>
              </w:rPr>
              <w:t>Kanduma</w:t>
            </w:r>
            <w:proofErr w:type="spellEnd"/>
          </w:p>
        </w:tc>
        <w:tc>
          <w:tcPr>
            <w:tcW w:w="1960" w:type="pct"/>
            <w:tcBorders>
              <w:top w:val="nil"/>
              <w:left w:val="nil"/>
              <w:bottom w:val="single" w:sz="8" w:space="0" w:color="007FAD"/>
              <w:right w:val="nil"/>
            </w:tcBorders>
            <w:shd w:val="clear" w:color="000000" w:fill="FFFFFF"/>
          </w:tcPr>
          <w:p w14:paraId="2496A96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Department of Biochemistry</w:t>
            </w:r>
          </w:p>
        </w:tc>
        <w:tc>
          <w:tcPr>
            <w:tcW w:w="1836" w:type="pct"/>
            <w:tcBorders>
              <w:top w:val="nil"/>
              <w:left w:val="nil"/>
              <w:bottom w:val="single" w:sz="8" w:space="0" w:color="007FAD"/>
              <w:right w:val="nil"/>
            </w:tcBorders>
            <w:shd w:val="clear" w:color="000000" w:fill="FFFFFF"/>
          </w:tcPr>
          <w:p w14:paraId="42ECFB8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Nairobi</w:t>
            </w:r>
          </w:p>
        </w:tc>
      </w:tr>
      <w:tr w:rsidR="00B7688F" w:rsidRPr="008D14BA" w14:paraId="11856C40" w14:textId="77777777" w:rsidTr="00A93825">
        <w:trPr>
          <w:trHeight w:val="20"/>
        </w:trPr>
        <w:tc>
          <w:tcPr>
            <w:tcW w:w="1204" w:type="pct"/>
            <w:tcBorders>
              <w:top w:val="nil"/>
              <w:left w:val="nil"/>
              <w:bottom w:val="single" w:sz="8" w:space="0" w:color="007FAD"/>
              <w:right w:val="nil"/>
            </w:tcBorders>
            <w:shd w:val="clear" w:color="000000" w:fill="FFFFFF"/>
          </w:tcPr>
          <w:p w14:paraId="4B56937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George </w:t>
            </w:r>
            <w:proofErr w:type="spellStart"/>
            <w:r w:rsidRPr="008D14BA">
              <w:rPr>
                <w:color w:val="000000"/>
                <w:sz w:val="20"/>
                <w:lang w:val="en-NZ" w:eastAsia="en-NZ"/>
              </w:rPr>
              <w:t>Obiero</w:t>
            </w:r>
            <w:proofErr w:type="spellEnd"/>
          </w:p>
        </w:tc>
        <w:tc>
          <w:tcPr>
            <w:tcW w:w="1960" w:type="pct"/>
            <w:tcBorders>
              <w:top w:val="nil"/>
              <w:left w:val="nil"/>
              <w:bottom w:val="single" w:sz="8" w:space="0" w:color="007FAD"/>
              <w:right w:val="nil"/>
            </w:tcBorders>
            <w:shd w:val="clear" w:color="000000" w:fill="FFFFFF"/>
          </w:tcPr>
          <w:p w14:paraId="5363FF4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Director, Centre for Biotechnology &amp; Bioinformatics</w:t>
            </w:r>
          </w:p>
        </w:tc>
        <w:tc>
          <w:tcPr>
            <w:tcW w:w="1836" w:type="pct"/>
            <w:tcBorders>
              <w:top w:val="nil"/>
              <w:left w:val="nil"/>
              <w:bottom w:val="single" w:sz="8" w:space="0" w:color="007FAD"/>
              <w:right w:val="nil"/>
            </w:tcBorders>
            <w:shd w:val="clear" w:color="000000" w:fill="FFFFFF"/>
          </w:tcPr>
          <w:p w14:paraId="3E45A98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Nairobi</w:t>
            </w:r>
          </w:p>
        </w:tc>
      </w:tr>
      <w:tr w:rsidR="00B7688F" w:rsidRPr="008D14BA" w14:paraId="493DA10C" w14:textId="77777777" w:rsidTr="00A93825">
        <w:trPr>
          <w:trHeight w:val="20"/>
        </w:trPr>
        <w:tc>
          <w:tcPr>
            <w:tcW w:w="1204" w:type="pct"/>
            <w:tcBorders>
              <w:top w:val="nil"/>
              <w:left w:val="nil"/>
              <w:bottom w:val="single" w:sz="8" w:space="0" w:color="007FAD"/>
              <w:right w:val="nil"/>
            </w:tcBorders>
            <w:shd w:val="clear" w:color="000000" w:fill="FFFFFF"/>
          </w:tcPr>
          <w:p w14:paraId="46967C5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Richard </w:t>
            </w:r>
            <w:proofErr w:type="spellStart"/>
            <w:r w:rsidRPr="008D14BA">
              <w:rPr>
                <w:color w:val="000000"/>
                <w:sz w:val="20"/>
                <w:lang w:val="en-NZ" w:eastAsia="en-NZ"/>
              </w:rPr>
              <w:t>Onwonga</w:t>
            </w:r>
            <w:proofErr w:type="spellEnd"/>
          </w:p>
        </w:tc>
        <w:tc>
          <w:tcPr>
            <w:tcW w:w="1960" w:type="pct"/>
            <w:tcBorders>
              <w:top w:val="nil"/>
              <w:left w:val="nil"/>
              <w:bottom w:val="single" w:sz="8" w:space="0" w:color="007FAD"/>
              <w:right w:val="nil"/>
            </w:tcBorders>
            <w:shd w:val="clear" w:color="000000" w:fill="FFFFFF"/>
          </w:tcPr>
          <w:p w14:paraId="162BD13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Land Resource Management &amp; Agricultural Technology</w:t>
            </w:r>
          </w:p>
        </w:tc>
        <w:tc>
          <w:tcPr>
            <w:tcW w:w="1836" w:type="pct"/>
            <w:tcBorders>
              <w:top w:val="nil"/>
              <w:left w:val="nil"/>
              <w:bottom w:val="single" w:sz="8" w:space="0" w:color="007FAD"/>
              <w:right w:val="nil"/>
            </w:tcBorders>
            <w:shd w:val="clear" w:color="000000" w:fill="FFFFFF"/>
          </w:tcPr>
          <w:p w14:paraId="2A06281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Nairobi</w:t>
            </w:r>
          </w:p>
        </w:tc>
      </w:tr>
      <w:tr w:rsidR="00B7688F" w:rsidRPr="008D14BA" w14:paraId="7D59BC59" w14:textId="77777777" w:rsidTr="00A93825">
        <w:trPr>
          <w:trHeight w:val="20"/>
        </w:trPr>
        <w:tc>
          <w:tcPr>
            <w:tcW w:w="1204" w:type="pct"/>
            <w:tcBorders>
              <w:top w:val="nil"/>
              <w:left w:val="nil"/>
              <w:bottom w:val="single" w:sz="8" w:space="0" w:color="007FAD"/>
              <w:right w:val="nil"/>
            </w:tcBorders>
            <w:shd w:val="clear" w:color="000000" w:fill="FFFFFF"/>
          </w:tcPr>
          <w:p w14:paraId="5C58324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w:t>
            </w:r>
            <w:proofErr w:type="spellStart"/>
            <w:r w:rsidRPr="008D14BA">
              <w:rPr>
                <w:color w:val="000000"/>
                <w:sz w:val="20"/>
                <w:lang w:val="en-NZ" w:eastAsia="en-NZ"/>
              </w:rPr>
              <w:t>Izidine</w:t>
            </w:r>
            <w:proofErr w:type="spellEnd"/>
            <w:r w:rsidRPr="008D14BA">
              <w:rPr>
                <w:color w:val="000000"/>
                <w:sz w:val="20"/>
                <w:lang w:val="en-NZ" w:eastAsia="en-NZ"/>
              </w:rPr>
              <w:t xml:space="preserve"> Pinto</w:t>
            </w:r>
          </w:p>
        </w:tc>
        <w:tc>
          <w:tcPr>
            <w:tcW w:w="1960" w:type="pct"/>
            <w:tcBorders>
              <w:top w:val="nil"/>
              <w:left w:val="nil"/>
              <w:bottom w:val="single" w:sz="8" w:space="0" w:color="007FAD"/>
              <w:right w:val="nil"/>
            </w:tcBorders>
            <w:shd w:val="clear" w:color="000000" w:fill="FFFFFF"/>
          </w:tcPr>
          <w:p w14:paraId="3E8CF33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Postdoctoral Research Fellow, Climate Systems Analysis Group</w:t>
            </w:r>
          </w:p>
        </w:tc>
        <w:tc>
          <w:tcPr>
            <w:tcW w:w="1836" w:type="pct"/>
            <w:tcBorders>
              <w:top w:val="nil"/>
              <w:left w:val="nil"/>
              <w:bottom w:val="single" w:sz="8" w:space="0" w:color="007FAD"/>
              <w:right w:val="nil"/>
            </w:tcBorders>
            <w:shd w:val="clear" w:color="000000" w:fill="FFFFFF"/>
          </w:tcPr>
          <w:p w14:paraId="405AFAF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Cape Town</w:t>
            </w:r>
          </w:p>
        </w:tc>
      </w:tr>
      <w:tr w:rsidR="00B7688F" w:rsidRPr="008D14BA" w14:paraId="53D97301" w14:textId="77777777" w:rsidTr="00A93825">
        <w:trPr>
          <w:trHeight w:val="20"/>
        </w:trPr>
        <w:tc>
          <w:tcPr>
            <w:tcW w:w="1204" w:type="pct"/>
            <w:tcBorders>
              <w:top w:val="nil"/>
              <w:left w:val="nil"/>
              <w:bottom w:val="single" w:sz="8" w:space="0" w:color="007FAD"/>
              <w:right w:val="nil"/>
            </w:tcBorders>
            <w:shd w:val="clear" w:color="000000" w:fill="FFFFFF"/>
          </w:tcPr>
          <w:p w14:paraId="769BA98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Brian </w:t>
            </w:r>
            <w:proofErr w:type="spellStart"/>
            <w:r w:rsidRPr="008D14BA">
              <w:rPr>
                <w:color w:val="000000"/>
                <w:sz w:val="20"/>
                <w:lang w:val="en-NZ" w:eastAsia="en-NZ"/>
              </w:rPr>
              <w:t>Kullin</w:t>
            </w:r>
            <w:proofErr w:type="spellEnd"/>
          </w:p>
        </w:tc>
        <w:tc>
          <w:tcPr>
            <w:tcW w:w="1960" w:type="pct"/>
            <w:tcBorders>
              <w:top w:val="nil"/>
              <w:left w:val="nil"/>
              <w:bottom w:val="single" w:sz="8" w:space="0" w:color="007FAD"/>
              <w:right w:val="nil"/>
            </w:tcBorders>
            <w:shd w:val="clear" w:color="000000" w:fill="FFFFFF"/>
          </w:tcPr>
          <w:p w14:paraId="4CC2876A" w14:textId="77777777" w:rsidR="00B7688F" w:rsidRPr="008D14BA" w:rsidRDefault="00B7688F" w:rsidP="00B7688F">
            <w:pPr>
              <w:spacing w:before="0" w:after="0" w:line="240" w:lineRule="auto"/>
              <w:rPr>
                <w:color w:val="000000"/>
                <w:sz w:val="20"/>
                <w:lang w:val="en-NZ" w:eastAsia="en-NZ"/>
              </w:rPr>
            </w:pPr>
            <w:r w:rsidRPr="00855D99">
              <w:rPr>
                <w:color w:val="000000"/>
                <w:sz w:val="20"/>
                <w:lang w:val="en-NZ" w:eastAsia="en-NZ"/>
              </w:rPr>
              <w:t>Department of Molecular and Cell Biology</w:t>
            </w:r>
          </w:p>
        </w:tc>
        <w:tc>
          <w:tcPr>
            <w:tcW w:w="1836" w:type="pct"/>
            <w:tcBorders>
              <w:top w:val="nil"/>
              <w:left w:val="nil"/>
              <w:bottom w:val="single" w:sz="8" w:space="0" w:color="007FAD"/>
              <w:right w:val="nil"/>
            </w:tcBorders>
            <w:shd w:val="clear" w:color="000000" w:fill="FFFFFF"/>
          </w:tcPr>
          <w:p w14:paraId="5DD1C75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University of Cape Town</w:t>
            </w:r>
          </w:p>
        </w:tc>
      </w:tr>
      <w:tr w:rsidR="00855D99" w:rsidRPr="008D14BA" w14:paraId="7777A793" w14:textId="77777777" w:rsidTr="00A93825">
        <w:trPr>
          <w:trHeight w:val="20"/>
        </w:trPr>
        <w:tc>
          <w:tcPr>
            <w:tcW w:w="1204" w:type="pct"/>
            <w:tcBorders>
              <w:top w:val="nil"/>
              <w:left w:val="nil"/>
              <w:bottom w:val="single" w:sz="8" w:space="0" w:color="007FAD"/>
              <w:right w:val="nil"/>
            </w:tcBorders>
            <w:shd w:val="clear" w:color="000000" w:fill="FFFFFF"/>
          </w:tcPr>
          <w:p w14:paraId="3A842E62" w14:textId="3916CDDF" w:rsidR="00855D99" w:rsidRPr="00855D99" w:rsidRDefault="00855D99" w:rsidP="00855D99">
            <w:pPr>
              <w:spacing w:before="0" w:after="0" w:line="240" w:lineRule="auto"/>
              <w:rPr>
                <w:color w:val="000000"/>
                <w:sz w:val="20"/>
                <w:lang w:val="en-NZ" w:eastAsia="en-NZ"/>
              </w:rPr>
            </w:pPr>
            <w:r>
              <w:rPr>
                <w:color w:val="000000"/>
                <w:sz w:val="20"/>
                <w:lang w:val="en-NZ" w:eastAsia="en-NZ"/>
              </w:rPr>
              <w:t xml:space="preserve">Dr </w:t>
            </w:r>
            <w:r w:rsidRPr="00855D99">
              <w:rPr>
                <w:color w:val="000000"/>
                <w:sz w:val="20"/>
                <w:lang w:val="en-NZ" w:eastAsia="en-NZ"/>
              </w:rPr>
              <w:t xml:space="preserve">Olumide </w:t>
            </w:r>
            <w:proofErr w:type="spellStart"/>
            <w:r w:rsidRPr="00855D99">
              <w:rPr>
                <w:color w:val="000000"/>
                <w:sz w:val="20"/>
                <w:lang w:val="en-NZ" w:eastAsia="en-NZ"/>
              </w:rPr>
              <w:t>Ogunmodimu</w:t>
            </w:r>
            <w:proofErr w:type="spellEnd"/>
          </w:p>
          <w:p w14:paraId="3D6E347E" w14:textId="0C8D8D7A" w:rsidR="00855D99" w:rsidRPr="008D14BA" w:rsidRDefault="00855D99" w:rsidP="00855D99">
            <w:pPr>
              <w:spacing w:before="0" w:after="0" w:line="240" w:lineRule="auto"/>
              <w:rPr>
                <w:color w:val="000000"/>
                <w:sz w:val="20"/>
                <w:lang w:val="en-NZ" w:eastAsia="en-NZ"/>
              </w:rPr>
            </w:pPr>
            <w:r w:rsidRPr="00855D99">
              <w:rPr>
                <w:color w:val="000000"/>
                <w:sz w:val="20"/>
                <w:lang w:val="en-NZ" w:eastAsia="en-NZ"/>
              </w:rPr>
              <w:t> </w:t>
            </w:r>
          </w:p>
        </w:tc>
        <w:tc>
          <w:tcPr>
            <w:tcW w:w="1960" w:type="pct"/>
            <w:tcBorders>
              <w:top w:val="nil"/>
              <w:left w:val="nil"/>
              <w:bottom w:val="single" w:sz="8" w:space="0" w:color="007FAD"/>
              <w:right w:val="nil"/>
            </w:tcBorders>
            <w:shd w:val="clear" w:color="000000" w:fill="FFFFFF"/>
          </w:tcPr>
          <w:p w14:paraId="47E09A84" w14:textId="7C837FF4" w:rsidR="00855D99" w:rsidRPr="00855D99" w:rsidRDefault="00855D99" w:rsidP="00855D99">
            <w:pPr>
              <w:spacing w:before="0" w:after="0" w:line="240" w:lineRule="auto"/>
              <w:rPr>
                <w:color w:val="000000"/>
                <w:sz w:val="20"/>
                <w:lang w:val="en-NZ" w:eastAsia="en-NZ"/>
              </w:rPr>
            </w:pPr>
            <w:r w:rsidRPr="00855D99">
              <w:rPr>
                <w:color w:val="000000"/>
                <w:sz w:val="20"/>
                <w:lang w:val="en-NZ" w:eastAsia="en-NZ"/>
              </w:rPr>
              <w:t>Applied Physics Group,</w:t>
            </w:r>
            <w:r>
              <w:rPr>
                <w:color w:val="000000"/>
                <w:sz w:val="20"/>
                <w:lang w:val="en-NZ" w:eastAsia="en-NZ"/>
              </w:rPr>
              <w:t xml:space="preserve"> </w:t>
            </w:r>
            <w:proofErr w:type="spellStart"/>
            <w:r w:rsidRPr="00855D99">
              <w:rPr>
                <w:color w:val="000000"/>
                <w:sz w:val="20"/>
                <w:lang w:val="en-NZ" w:eastAsia="en-NZ"/>
              </w:rPr>
              <w:t>Center</w:t>
            </w:r>
            <w:proofErr w:type="spellEnd"/>
            <w:r w:rsidRPr="00855D99">
              <w:rPr>
                <w:color w:val="000000"/>
                <w:sz w:val="20"/>
                <w:lang w:val="en-NZ" w:eastAsia="en-NZ"/>
              </w:rPr>
              <w:t xml:space="preserve"> for Minerals Research,</w:t>
            </w:r>
            <w:r>
              <w:rPr>
                <w:color w:val="000000"/>
                <w:sz w:val="20"/>
                <w:lang w:val="en-NZ" w:eastAsia="en-NZ"/>
              </w:rPr>
              <w:t xml:space="preserve"> </w:t>
            </w:r>
            <w:r w:rsidRPr="00855D99">
              <w:rPr>
                <w:color w:val="000000"/>
                <w:sz w:val="20"/>
                <w:lang w:val="en-NZ" w:eastAsia="en-NZ"/>
              </w:rPr>
              <w:t>Department of Chemical Engineering</w:t>
            </w:r>
            <w:r>
              <w:rPr>
                <w:color w:val="000000"/>
                <w:sz w:val="20"/>
                <w:lang w:val="en-NZ" w:eastAsia="en-NZ"/>
              </w:rPr>
              <w:t xml:space="preserve"> </w:t>
            </w:r>
          </w:p>
        </w:tc>
        <w:tc>
          <w:tcPr>
            <w:tcW w:w="1836" w:type="pct"/>
            <w:tcBorders>
              <w:top w:val="nil"/>
              <w:left w:val="nil"/>
              <w:bottom w:val="single" w:sz="8" w:space="0" w:color="007FAD"/>
              <w:right w:val="nil"/>
            </w:tcBorders>
            <w:shd w:val="clear" w:color="000000" w:fill="FFFFFF"/>
          </w:tcPr>
          <w:p w14:paraId="0E94A481" w14:textId="64BE170D" w:rsidR="00855D99" w:rsidRPr="008D14BA" w:rsidRDefault="00855D99" w:rsidP="00B7688F">
            <w:pPr>
              <w:spacing w:before="0" w:after="0" w:line="240" w:lineRule="auto"/>
              <w:rPr>
                <w:color w:val="000000"/>
                <w:sz w:val="20"/>
                <w:lang w:val="en-NZ" w:eastAsia="en-NZ"/>
              </w:rPr>
            </w:pPr>
            <w:r w:rsidRPr="008D14BA">
              <w:rPr>
                <w:color w:val="000000"/>
                <w:sz w:val="20"/>
                <w:lang w:val="en-NZ" w:eastAsia="en-NZ"/>
              </w:rPr>
              <w:t>University of Cape Town</w:t>
            </w:r>
          </w:p>
        </w:tc>
      </w:tr>
      <w:tr w:rsidR="00B7688F" w:rsidRPr="008D14BA" w14:paraId="5E74DE66" w14:textId="77777777" w:rsidTr="00A93825">
        <w:trPr>
          <w:trHeight w:val="20"/>
        </w:trPr>
        <w:tc>
          <w:tcPr>
            <w:tcW w:w="1204" w:type="pct"/>
            <w:tcBorders>
              <w:top w:val="nil"/>
              <w:left w:val="nil"/>
              <w:bottom w:val="single" w:sz="8" w:space="0" w:color="007FAD"/>
              <w:right w:val="nil"/>
            </w:tcBorders>
            <w:shd w:val="clear" w:color="000000" w:fill="DBE5F1"/>
          </w:tcPr>
          <w:p w14:paraId="581DC6C0" w14:textId="77777777" w:rsidR="00B7688F" w:rsidRPr="008D14BA" w:rsidRDefault="00B7688F" w:rsidP="00B7688F">
            <w:pPr>
              <w:spacing w:before="0" w:after="0" w:line="240" w:lineRule="auto"/>
              <w:rPr>
                <w:b/>
                <w:bCs/>
                <w:color w:val="000000"/>
                <w:sz w:val="20"/>
                <w:lang w:val="en-NZ" w:eastAsia="en-NZ"/>
              </w:rPr>
            </w:pPr>
            <w:r w:rsidRPr="008D14BA">
              <w:rPr>
                <w:b/>
                <w:bCs/>
                <w:color w:val="000000"/>
                <w:sz w:val="20"/>
                <w:lang w:val="en-NZ" w:eastAsia="en-NZ"/>
              </w:rPr>
              <w:t>Alumni roundtables</w:t>
            </w:r>
          </w:p>
        </w:tc>
        <w:tc>
          <w:tcPr>
            <w:tcW w:w="1960" w:type="pct"/>
            <w:tcBorders>
              <w:top w:val="nil"/>
              <w:left w:val="nil"/>
              <w:bottom w:val="single" w:sz="8" w:space="0" w:color="007FAD"/>
              <w:right w:val="nil"/>
            </w:tcBorders>
            <w:shd w:val="clear" w:color="000000" w:fill="DBE5F1"/>
          </w:tcPr>
          <w:p w14:paraId="095EA858"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DBE5F1"/>
          </w:tcPr>
          <w:p w14:paraId="0F6CDD5C" w14:textId="77777777" w:rsidR="00B7688F" w:rsidRPr="008D14BA" w:rsidRDefault="00B7688F" w:rsidP="00B7688F">
            <w:pPr>
              <w:spacing w:before="0" w:after="0" w:line="240" w:lineRule="auto"/>
              <w:rPr>
                <w:color w:val="000000"/>
                <w:sz w:val="20"/>
                <w:lang w:val="en-NZ" w:eastAsia="en-NZ"/>
              </w:rPr>
            </w:pPr>
          </w:p>
        </w:tc>
      </w:tr>
      <w:tr w:rsidR="00B7688F" w:rsidRPr="008D14BA" w14:paraId="707C8321" w14:textId="77777777" w:rsidTr="00A93825">
        <w:trPr>
          <w:trHeight w:val="20"/>
        </w:trPr>
        <w:tc>
          <w:tcPr>
            <w:tcW w:w="1204" w:type="pct"/>
            <w:tcBorders>
              <w:top w:val="nil"/>
              <w:left w:val="nil"/>
              <w:bottom w:val="single" w:sz="8" w:space="0" w:color="007FAD"/>
              <w:right w:val="nil"/>
            </w:tcBorders>
            <w:shd w:val="clear" w:color="000000" w:fill="FFFFFF"/>
          </w:tcPr>
          <w:p w14:paraId="4484CFF0" w14:textId="77777777" w:rsidR="00B7688F" w:rsidRPr="008D14BA" w:rsidRDefault="00B7688F" w:rsidP="00B7688F">
            <w:pPr>
              <w:spacing w:before="0" w:after="0" w:line="240" w:lineRule="auto"/>
              <w:rPr>
                <w:b/>
                <w:i/>
                <w:color w:val="000000"/>
                <w:sz w:val="20"/>
                <w:lang w:val="en-NZ" w:eastAsia="en-NZ"/>
              </w:rPr>
            </w:pPr>
            <w:r w:rsidRPr="008D14BA">
              <w:rPr>
                <w:b/>
                <w:i/>
                <w:color w:val="000000"/>
                <w:sz w:val="20"/>
                <w:lang w:val="en-NZ" w:eastAsia="en-NZ"/>
              </w:rPr>
              <w:t>South Africa:</w:t>
            </w:r>
          </w:p>
        </w:tc>
        <w:tc>
          <w:tcPr>
            <w:tcW w:w="1960" w:type="pct"/>
            <w:tcBorders>
              <w:top w:val="nil"/>
              <w:left w:val="nil"/>
              <w:bottom w:val="single" w:sz="8" w:space="0" w:color="007FAD"/>
              <w:right w:val="nil"/>
            </w:tcBorders>
            <w:shd w:val="clear" w:color="000000" w:fill="FFFFFF"/>
          </w:tcPr>
          <w:p w14:paraId="3629FEB5"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041D3B67" w14:textId="77777777" w:rsidR="00B7688F" w:rsidRPr="008D14BA" w:rsidRDefault="00B7688F" w:rsidP="00B7688F">
            <w:pPr>
              <w:spacing w:before="0" w:after="0" w:line="240" w:lineRule="auto"/>
              <w:rPr>
                <w:color w:val="000000"/>
                <w:sz w:val="20"/>
                <w:lang w:val="en-NZ" w:eastAsia="en-NZ"/>
              </w:rPr>
            </w:pPr>
          </w:p>
        </w:tc>
      </w:tr>
      <w:tr w:rsidR="00B7688F" w:rsidRPr="008D14BA" w14:paraId="105E1BBA" w14:textId="77777777" w:rsidTr="00A93825">
        <w:trPr>
          <w:trHeight w:val="20"/>
        </w:trPr>
        <w:tc>
          <w:tcPr>
            <w:tcW w:w="1204" w:type="pct"/>
            <w:tcBorders>
              <w:top w:val="nil"/>
              <w:left w:val="nil"/>
              <w:bottom w:val="single" w:sz="8" w:space="0" w:color="007FAD"/>
              <w:right w:val="nil"/>
            </w:tcBorders>
            <w:shd w:val="clear" w:color="000000" w:fill="FFFFFF"/>
          </w:tcPr>
          <w:p w14:paraId="73BF895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Baldwin </w:t>
            </w:r>
            <w:proofErr w:type="spellStart"/>
            <w:r w:rsidRPr="008D14BA">
              <w:rPr>
                <w:color w:val="000000"/>
                <w:sz w:val="20"/>
                <w:lang w:val="en-NZ" w:eastAsia="en-NZ"/>
              </w:rPr>
              <w:t>Nengovhela</w:t>
            </w:r>
            <w:proofErr w:type="spellEnd"/>
          </w:p>
        </w:tc>
        <w:tc>
          <w:tcPr>
            <w:tcW w:w="1960" w:type="pct"/>
            <w:tcBorders>
              <w:top w:val="nil"/>
              <w:left w:val="nil"/>
              <w:bottom w:val="single" w:sz="8" w:space="0" w:color="007FAD"/>
              <w:right w:val="nil"/>
            </w:tcBorders>
            <w:shd w:val="clear" w:color="000000" w:fill="FFFFFF"/>
          </w:tcPr>
          <w:p w14:paraId="1604AE4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Scientific Manager</w:t>
            </w:r>
          </w:p>
        </w:tc>
        <w:tc>
          <w:tcPr>
            <w:tcW w:w="1836" w:type="pct"/>
            <w:tcBorders>
              <w:top w:val="nil"/>
              <w:left w:val="nil"/>
              <w:bottom w:val="single" w:sz="8" w:space="0" w:color="007FAD"/>
              <w:right w:val="nil"/>
            </w:tcBorders>
            <w:shd w:val="clear" w:color="000000" w:fill="FFFFFF"/>
          </w:tcPr>
          <w:p w14:paraId="4C9F251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Department of Agriculture, Forestry &amp; Fisheries</w:t>
            </w:r>
          </w:p>
        </w:tc>
      </w:tr>
      <w:tr w:rsidR="00B7688F" w:rsidRPr="008D14BA" w14:paraId="3F16EA68" w14:textId="77777777" w:rsidTr="00A93825">
        <w:trPr>
          <w:trHeight w:val="20"/>
        </w:trPr>
        <w:tc>
          <w:tcPr>
            <w:tcW w:w="1204" w:type="pct"/>
            <w:tcBorders>
              <w:top w:val="nil"/>
              <w:left w:val="nil"/>
              <w:bottom w:val="single" w:sz="8" w:space="0" w:color="007FAD"/>
              <w:right w:val="nil"/>
            </w:tcBorders>
            <w:shd w:val="clear" w:color="000000" w:fill="FFFFFF"/>
          </w:tcPr>
          <w:p w14:paraId="055A6F8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Gugu Mona</w:t>
            </w:r>
          </w:p>
        </w:tc>
        <w:tc>
          <w:tcPr>
            <w:tcW w:w="1960" w:type="pct"/>
            <w:tcBorders>
              <w:top w:val="nil"/>
              <w:left w:val="nil"/>
              <w:bottom w:val="single" w:sz="8" w:space="0" w:color="007FAD"/>
              <w:right w:val="nil"/>
            </w:tcBorders>
            <w:shd w:val="clear" w:color="000000" w:fill="FFFFFF"/>
          </w:tcPr>
          <w:p w14:paraId="7975A0C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Public Health Specialist</w:t>
            </w:r>
          </w:p>
        </w:tc>
        <w:tc>
          <w:tcPr>
            <w:tcW w:w="1836" w:type="pct"/>
            <w:tcBorders>
              <w:top w:val="nil"/>
              <w:left w:val="nil"/>
              <w:bottom w:val="single" w:sz="8" w:space="0" w:color="007FAD"/>
              <w:right w:val="nil"/>
            </w:tcBorders>
            <w:shd w:val="clear" w:color="000000" w:fill="FFFFFF"/>
          </w:tcPr>
          <w:p w14:paraId="30A4D89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PEPFAR</w:t>
            </w:r>
          </w:p>
        </w:tc>
      </w:tr>
      <w:tr w:rsidR="00B7688F" w:rsidRPr="008D14BA" w14:paraId="6E4539C9" w14:textId="77777777" w:rsidTr="00A93825">
        <w:trPr>
          <w:trHeight w:val="20"/>
        </w:trPr>
        <w:tc>
          <w:tcPr>
            <w:tcW w:w="1204" w:type="pct"/>
            <w:tcBorders>
              <w:top w:val="nil"/>
              <w:left w:val="nil"/>
              <w:bottom w:val="single" w:sz="8" w:space="0" w:color="007FAD"/>
              <w:right w:val="nil"/>
            </w:tcBorders>
            <w:shd w:val="clear" w:color="000000" w:fill="FFFFFF"/>
          </w:tcPr>
          <w:p w14:paraId="6D2B7CC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Jacqueline </w:t>
            </w:r>
            <w:proofErr w:type="spellStart"/>
            <w:r w:rsidRPr="008D14BA">
              <w:rPr>
                <w:color w:val="000000"/>
                <w:sz w:val="20"/>
                <w:lang w:val="en-NZ" w:eastAsia="en-NZ"/>
              </w:rPr>
              <w:t>Nkhate</w:t>
            </w:r>
            <w:proofErr w:type="spellEnd"/>
          </w:p>
        </w:tc>
        <w:tc>
          <w:tcPr>
            <w:tcW w:w="1960" w:type="pct"/>
            <w:tcBorders>
              <w:top w:val="nil"/>
              <w:left w:val="nil"/>
              <w:bottom w:val="single" w:sz="8" w:space="0" w:color="007FAD"/>
              <w:right w:val="nil"/>
            </w:tcBorders>
            <w:shd w:val="clear" w:color="000000" w:fill="FFFFFF"/>
          </w:tcPr>
          <w:p w14:paraId="385EFF2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Deputy Director: Knowledge Management </w:t>
            </w:r>
          </w:p>
        </w:tc>
        <w:tc>
          <w:tcPr>
            <w:tcW w:w="1836" w:type="pct"/>
            <w:tcBorders>
              <w:top w:val="nil"/>
              <w:left w:val="nil"/>
              <w:bottom w:val="single" w:sz="8" w:space="0" w:color="007FAD"/>
              <w:right w:val="nil"/>
            </w:tcBorders>
            <w:shd w:val="clear" w:color="000000" w:fill="FFFFFF"/>
          </w:tcPr>
          <w:p w14:paraId="2F6FC78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National School of Government </w:t>
            </w:r>
          </w:p>
        </w:tc>
      </w:tr>
      <w:tr w:rsidR="00B7688F" w:rsidRPr="008D14BA" w14:paraId="63DFC2A8" w14:textId="77777777" w:rsidTr="00A93825">
        <w:trPr>
          <w:trHeight w:val="20"/>
        </w:trPr>
        <w:tc>
          <w:tcPr>
            <w:tcW w:w="1204" w:type="pct"/>
            <w:tcBorders>
              <w:top w:val="nil"/>
              <w:left w:val="nil"/>
              <w:bottom w:val="single" w:sz="8" w:space="0" w:color="007FAD"/>
              <w:right w:val="nil"/>
            </w:tcBorders>
            <w:shd w:val="clear" w:color="000000" w:fill="FFFFFF"/>
          </w:tcPr>
          <w:p w14:paraId="70C6CE6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Harry Dube</w:t>
            </w:r>
          </w:p>
        </w:tc>
        <w:tc>
          <w:tcPr>
            <w:tcW w:w="1960" w:type="pct"/>
            <w:tcBorders>
              <w:top w:val="nil"/>
              <w:left w:val="nil"/>
              <w:bottom w:val="single" w:sz="8" w:space="0" w:color="007FAD"/>
              <w:right w:val="nil"/>
            </w:tcBorders>
            <w:shd w:val="clear" w:color="000000" w:fill="FFFFFF"/>
          </w:tcPr>
          <w:p w14:paraId="15E82A8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Technical Advisor</w:t>
            </w:r>
          </w:p>
        </w:tc>
        <w:tc>
          <w:tcPr>
            <w:tcW w:w="1836" w:type="pct"/>
            <w:tcBorders>
              <w:top w:val="nil"/>
              <w:left w:val="nil"/>
              <w:bottom w:val="single" w:sz="8" w:space="0" w:color="007FAD"/>
              <w:right w:val="nil"/>
            </w:tcBorders>
            <w:shd w:val="clear" w:color="000000" w:fill="FFFFFF"/>
          </w:tcPr>
          <w:p w14:paraId="06B4DF1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Department of Agriculture, Forestry and Fisheries</w:t>
            </w:r>
          </w:p>
        </w:tc>
      </w:tr>
      <w:tr w:rsidR="00B7688F" w:rsidRPr="008D14BA" w14:paraId="17F18038" w14:textId="77777777" w:rsidTr="00A93825">
        <w:trPr>
          <w:trHeight w:val="20"/>
        </w:trPr>
        <w:tc>
          <w:tcPr>
            <w:tcW w:w="1204" w:type="pct"/>
            <w:tcBorders>
              <w:top w:val="nil"/>
              <w:left w:val="nil"/>
              <w:bottom w:val="single" w:sz="8" w:space="0" w:color="007FAD"/>
              <w:right w:val="nil"/>
            </w:tcBorders>
            <w:shd w:val="clear" w:color="000000" w:fill="FFFFFF"/>
          </w:tcPr>
          <w:p w14:paraId="1A3B9B8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Nompumelelo Radebe</w:t>
            </w:r>
          </w:p>
        </w:tc>
        <w:tc>
          <w:tcPr>
            <w:tcW w:w="1960" w:type="pct"/>
            <w:tcBorders>
              <w:top w:val="nil"/>
              <w:left w:val="nil"/>
              <w:bottom w:val="single" w:sz="8" w:space="0" w:color="007FAD"/>
              <w:right w:val="nil"/>
            </w:tcBorders>
            <w:shd w:val="clear" w:color="000000" w:fill="FFFFFF"/>
          </w:tcPr>
          <w:p w14:paraId="7BCB0EA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Director: Public Finance Division </w:t>
            </w:r>
          </w:p>
        </w:tc>
        <w:tc>
          <w:tcPr>
            <w:tcW w:w="1836" w:type="pct"/>
            <w:tcBorders>
              <w:top w:val="nil"/>
              <w:left w:val="nil"/>
              <w:bottom w:val="single" w:sz="8" w:space="0" w:color="007FAD"/>
              <w:right w:val="nil"/>
            </w:tcBorders>
            <w:shd w:val="clear" w:color="000000" w:fill="FFFFFF"/>
          </w:tcPr>
          <w:p w14:paraId="37FDA00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National Treasury</w:t>
            </w:r>
          </w:p>
        </w:tc>
      </w:tr>
      <w:tr w:rsidR="00B7688F" w:rsidRPr="008D14BA" w14:paraId="6C83E0B1" w14:textId="77777777" w:rsidTr="00A93825">
        <w:trPr>
          <w:trHeight w:val="20"/>
        </w:trPr>
        <w:tc>
          <w:tcPr>
            <w:tcW w:w="1204" w:type="pct"/>
            <w:tcBorders>
              <w:top w:val="nil"/>
              <w:left w:val="nil"/>
              <w:bottom w:val="single" w:sz="8" w:space="0" w:color="007FAD"/>
              <w:right w:val="nil"/>
            </w:tcBorders>
            <w:shd w:val="clear" w:color="000000" w:fill="FFFFFF"/>
          </w:tcPr>
          <w:p w14:paraId="26D09CF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Joshua </w:t>
            </w:r>
            <w:proofErr w:type="spellStart"/>
            <w:r w:rsidRPr="008D14BA">
              <w:rPr>
                <w:color w:val="000000"/>
                <w:sz w:val="20"/>
                <w:lang w:val="en-NZ" w:eastAsia="en-NZ"/>
              </w:rPr>
              <w:t>Magomani</w:t>
            </w:r>
            <w:proofErr w:type="spellEnd"/>
          </w:p>
        </w:tc>
        <w:tc>
          <w:tcPr>
            <w:tcW w:w="1960" w:type="pct"/>
            <w:tcBorders>
              <w:top w:val="nil"/>
              <w:left w:val="nil"/>
              <w:bottom w:val="single" w:sz="8" w:space="0" w:color="007FAD"/>
              <w:right w:val="nil"/>
            </w:tcBorders>
            <w:shd w:val="clear" w:color="000000" w:fill="FFFFFF"/>
          </w:tcPr>
          <w:p w14:paraId="2C237C0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Agricultural Economist</w:t>
            </w:r>
          </w:p>
        </w:tc>
        <w:tc>
          <w:tcPr>
            <w:tcW w:w="1836" w:type="pct"/>
            <w:tcBorders>
              <w:top w:val="nil"/>
              <w:left w:val="nil"/>
              <w:bottom w:val="single" w:sz="8" w:space="0" w:color="007FAD"/>
              <w:right w:val="nil"/>
            </w:tcBorders>
            <w:shd w:val="clear" w:color="000000" w:fill="FFFFFF"/>
          </w:tcPr>
          <w:p w14:paraId="685A553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Department of Agriculture Forestry and Fisheries</w:t>
            </w:r>
          </w:p>
        </w:tc>
      </w:tr>
      <w:tr w:rsidR="00B7688F" w:rsidRPr="008D14BA" w14:paraId="2E200B55" w14:textId="77777777" w:rsidTr="00A93825">
        <w:trPr>
          <w:trHeight w:val="20"/>
        </w:trPr>
        <w:tc>
          <w:tcPr>
            <w:tcW w:w="1204" w:type="pct"/>
            <w:tcBorders>
              <w:top w:val="nil"/>
              <w:left w:val="nil"/>
              <w:bottom w:val="single" w:sz="8" w:space="0" w:color="007FAD"/>
              <w:right w:val="nil"/>
            </w:tcBorders>
            <w:shd w:val="clear" w:color="000000" w:fill="FFFFFF"/>
          </w:tcPr>
          <w:p w14:paraId="1A4FCB9B"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Zulaigha</w:t>
            </w:r>
            <w:proofErr w:type="spellEnd"/>
            <w:r w:rsidRPr="008D14BA">
              <w:rPr>
                <w:color w:val="000000"/>
                <w:sz w:val="20"/>
                <w:lang w:val="en-NZ" w:eastAsia="en-NZ"/>
              </w:rPr>
              <w:t xml:space="preserve"> Ismail</w:t>
            </w:r>
          </w:p>
        </w:tc>
        <w:tc>
          <w:tcPr>
            <w:tcW w:w="1960" w:type="pct"/>
            <w:tcBorders>
              <w:top w:val="nil"/>
              <w:left w:val="nil"/>
              <w:bottom w:val="single" w:sz="8" w:space="0" w:color="007FAD"/>
              <w:right w:val="nil"/>
            </w:tcBorders>
            <w:shd w:val="clear" w:color="000000" w:fill="FFFFFF"/>
          </w:tcPr>
          <w:p w14:paraId="0242C2F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Aerospace Engineer</w:t>
            </w:r>
          </w:p>
        </w:tc>
        <w:tc>
          <w:tcPr>
            <w:tcW w:w="1836" w:type="pct"/>
            <w:tcBorders>
              <w:top w:val="nil"/>
              <w:left w:val="nil"/>
              <w:bottom w:val="single" w:sz="8" w:space="0" w:color="007FAD"/>
              <w:right w:val="nil"/>
            </w:tcBorders>
            <w:shd w:val="clear" w:color="000000" w:fill="FFFFFF"/>
          </w:tcPr>
          <w:p w14:paraId="563E466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Denel Aeronautics</w:t>
            </w:r>
          </w:p>
        </w:tc>
      </w:tr>
      <w:tr w:rsidR="00B7688F" w:rsidRPr="008D14BA" w14:paraId="45A893D8" w14:textId="77777777" w:rsidTr="00A93825">
        <w:trPr>
          <w:trHeight w:val="20"/>
        </w:trPr>
        <w:tc>
          <w:tcPr>
            <w:tcW w:w="1204" w:type="pct"/>
            <w:tcBorders>
              <w:top w:val="nil"/>
              <w:left w:val="nil"/>
              <w:bottom w:val="single" w:sz="8" w:space="0" w:color="007FAD"/>
              <w:right w:val="nil"/>
            </w:tcBorders>
            <w:shd w:val="clear" w:color="000000" w:fill="FFFFFF"/>
          </w:tcPr>
          <w:p w14:paraId="1E5F768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Precious </w:t>
            </w:r>
            <w:proofErr w:type="spellStart"/>
            <w:r w:rsidRPr="008D14BA">
              <w:rPr>
                <w:color w:val="000000"/>
                <w:sz w:val="20"/>
                <w:lang w:val="en-NZ" w:eastAsia="en-NZ"/>
              </w:rPr>
              <w:t>Mlaudzi</w:t>
            </w:r>
            <w:proofErr w:type="spellEnd"/>
          </w:p>
        </w:tc>
        <w:tc>
          <w:tcPr>
            <w:tcW w:w="1960" w:type="pct"/>
            <w:tcBorders>
              <w:top w:val="nil"/>
              <w:left w:val="nil"/>
              <w:bottom w:val="single" w:sz="8" w:space="0" w:color="007FAD"/>
              <w:right w:val="nil"/>
            </w:tcBorders>
            <w:shd w:val="clear" w:color="000000" w:fill="FFFFFF"/>
          </w:tcPr>
          <w:p w14:paraId="4F53BB5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Director</w:t>
            </w:r>
          </w:p>
        </w:tc>
        <w:tc>
          <w:tcPr>
            <w:tcW w:w="1836" w:type="pct"/>
            <w:tcBorders>
              <w:top w:val="nil"/>
              <w:left w:val="nil"/>
              <w:bottom w:val="single" w:sz="8" w:space="0" w:color="007FAD"/>
              <w:right w:val="nil"/>
            </w:tcBorders>
            <w:shd w:val="clear" w:color="000000" w:fill="FFFFFF"/>
          </w:tcPr>
          <w:p w14:paraId="5A45DFD3"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Vusela</w:t>
            </w:r>
            <w:proofErr w:type="spellEnd"/>
            <w:r w:rsidRPr="008D14BA">
              <w:rPr>
                <w:color w:val="000000"/>
                <w:sz w:val="20"/>
                <w:lang w:val="en-NZ" w:eastAsia="en-NZ"/>
              </w:rPr>
              <w:t xml:space="preserve"> Quantity Surveyors</w:t>
            </w:r>
          </w:p>
        </w:tc>
      </w:tr>
      <w:tr w:rsidR="00B7688F" w:rsidRPr="008D14BA" w14:paraId="3187FD3C" w14:textId="77777777" w:rsidTr="00A93825">
        <w:trPr>
          <w:trHeight w:val="20"/>
        </w:trPr>
        <w:tc>
          <w:tcPr>
            <w:tcW w:w="1204" w:type="pct"/>
            <w:tcBorders>
              <w:top w:val="nil"/>
              <w:left w:val="nil"/>
              <w:bottom w:val="single" w:sz="8" w:space="0" w:color="007FAD"/>
              <w:right w:val="nil"/>
            </w:tcBorders>
            <w:shd w:val="clear" w:color="000000" w:fill="FFFFFF"/>
            <w:vAlign w:val="center"/>
          </w:tcPr>
          <w:p w14:paraId="6F3C9869"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Mankaleme</w:t>
            </w:r>
            <w:proofErr w:type="spellEnd"/>
            <w:r w:rsidRPr="008D14BA">
              <w:rPr>
                <w:color w:val="000000"/>
                <w:sz w:val="20"/>
                <w:lang w:val="en-NZ" w:eastAsia="en-NZ"/>
              </w:rPr>
              <w:t xml:space="preserve"> </w:t>
            </w:r>
            <w:proofErr w:type="spellStart"/>
            <w:r w:rsidRPr="008D14BA">
              <w:rPr>
                <w:color w:val="000000"/>
                <w:sz w:val="20"/>
                <w:lang w:val="en-NZ" w:eastAsia="en-NZ"/>
              </w:rPr>
              <w:t>Letswalo</w:t>
            </w:r>
            <w:proofErr w:type="spellEnd"/>
          </w:p>
        </w:tc>
        <w:tc>
          <w:tcPr>
            <w:tcW w:w="1960" w:type="pct"/>
            <w:tcBorders>
              <w:top w:val="nil"/>
              <w:left w:val="nil"/>
              <w:bottom w:val="single" w:sz="8" w:space="0" w:color="007FAD"/>
              <w:right w:val="nil"/>
            </w:tcBorders>
            <w:shd w:val="clear" w:color="000000" w:fill="FFFFFF"/>
            <w:vAlign w:val="center"/>
          </w:tcPr>
          <w:p w14:paraId="02AFF74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Deputy Director-Asia Bilateral Relations</w:t>
            </w:r>
          </w:p>
        </w:tc>
        <w:tc>
          <w:tcPr>
            <w:tcW w:w="1836" w:type="pct"/>
            <w:tcBorders>
              <w:top w:val="nil"/>
              <w:left w:val="nil"/>
              <w:bottom w:val="single" w:sz="8" w:space="0" w:color="007FAD"/>
              <w:right w:val="nil"/>
            </w:tcBorders>
            <w:shd w:val="clear" w:color="000000" w:fill="FFFFFF"/>
            <w:vAlign w:val="center"/>
          </w:tcPr>
          <w:p w14:paraId="33ADE71C"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Department of Trade and Industry</w:t>
            </w:r>
          </w:p>
        </w:tc>
      </w:tr>
      <w:tr w:rsidR="00B7688F" w:rsidRPr="008D14BA" w14:paraId="09412F07" w14:textId="77777777" w:rsidTr="00A93825">
        <w:trPr>
          <w:trHeight w:val="20"/>
        </w:trPr>
        <w:tc>
          <w:tcPr>
            <w:tcW w:w="1204" w:type="pct"/>
            <w:tcBorders>
              <w:top w:val="nil"/>
              <w:left w:val="nil"/>
              <w:bottom w:val="single" w:sz="8" w:space="0" w:color="007FAD"/>
              <w:right w:val="nil"/>
            </w:tcBorders>
            <w:shd w:val="clear" w:color="000000" w:fill="FFFFFF"/>
            <w:vAlign w:val="center"/>
          </w:tcPr>
          <w:p w14:paraId="490AAC0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Kagiso </w:t>
            </w:r>
            <w:proofErr w:type="spellStart"/>
            <w:r w:rsidRPr="008D14BA">
              <w:rPr>
                <w:color w:val="000000"/>
                <w:sz w:val="20"/>
                <w:lang w:val="en-NZ" w:eastAsia="en-NZ"/>
              </w:rPr>
              <w:t>Nnoi</w:t>
            </w:r>
            <w:proofErr w:type="spellEnd"/>
          </w:p>
        </w:tc>
        <w:tc>
          <w:tcPr>
            <w:tcW w:w="1960" w:type="pct"/>
            <w:tcBorders>
              <w:top w:val="nil"/>
              <w:left w:val="nil"/>
              <w:bottom w:val="single" w:sz="8" w:space="0" w:color="007FAD"/>
              <w:right w:val="nil"/>
            </w:tcBorders>
            <w:shd w:val="clear" w:color="000000" w:fill="FFFFFF"/>
            <w:vAlign w:val="center"/>
          </w:tcPr>
          <w:p w14:paraId="3976827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Geologist</w:t>
            </w:r>
          </w:p>
        </w:tc>
        <w:tc>
          <w:tcPr>
            <w:tcW w:w="1836" w:type="pct"/>
            <w:tcBorders>
              <w:top w:val="nil"/>
              <w:left w:val="nil"/>
              <w:bottom w:val="single" w:sz="8" w:space="0" w:color="007FAD"/>
              <w:right w:val="nil"/>
            </w:tcBorders>
            <w:shd w:val="clear" w:color="000000" w:fill="FFFFFF"/>
            <w:vAlign w:val="center"/>
          </w:tcPr>
          <w:p w14:paraId="127763E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Department of Geological Survey, Botswana</w:t>
            </w:r>
          </w:p>
        </w:tc>
      </w:tr>
      <w:tr w:rsidR="00B7688F" w:rsidRPr="008D14BA" w14:paraId="73ED8612" w14:textId="77777777" w:rsidTr="00A93825">
        <w:trPr>
          <w:trHeight w:val="20"/>
        </w:trPr>
        <w:tc>
          <w:tcPr>
            <w:tcW w:w="1204" w:type="pct"/>
            <w:tcBorders>
              <w:top w:val="nil"/>
              <w:left w:val="nil"/>
              <w:bottom w:val="single" w:sz="8" w:space="0" w:color="007FAD"/>
              <w:right w:val="nil"/>
            </w:tcBorders>
            <w:shd w:val="clear" w:color="000000" w:fill="FFFFFF"/>
          </w:tcPr>
          <w:p w14:paraId="24B5CE4D" w14:textId="77777777" w:rsidR="00B7688F" w:rsidRPr="008D14BA" w:rsidRDefault="00B7688F" w:rsidP="00B7688F">
            <w:pPr>
              <w:spacing w:before="0" w:after="0" w:line="240" w:lineRule="auto"/>
              <w:rPr>
                <w:b/>
                <w:i/>
                <w:color w:val="000000"/>
                <w:sz w:val="20"/>
                <w:lang w:val="en-NZ" w:eastAsia="en-NZ"/>
              </w:rPr>
            </w:pPr>
            <w:r w:rsidRPr="008D14BA">
              <w:rPr>
                <w:b/>
                <w:i/>
                <w:color w:val="000000"/>
                <w:sz w:val="20"/>
                <w:lang w:val="en-NZ" w:eastAsia="en-NZ"/>
              </w:rPr>
              <w:lastRenderedPageBreak/>
              <w:t>Ghana:</w:t>
            </w:r>
          </w:p>
        </w:tc>
        <w:tc>
          <w:tcPr>
            <w:tcW w:w="1960" w:type="pct"/>
            <w:tcBorders>
              <w:top w:val="nil"/>
              <w:left w:val="nil"/>
              <w:bottom w:val="single" w:sz="8" w:space="0" w:color="007FAD"/>
              <w:right w:val="nil"/>
            </w:tcBorders>
            <w:shd w:val="clear" w:color="000000" w:fill="FFFFFF"/>
          </w:tcPr>
          <w:p w14:paraId="6DB820A2"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4BC8DDB0" w14:textId="77777777" w:rsidR="00B7688F" w:rsidRPr="008D14BA" w:rsidRDefault="00B7688F" w:rsidP="00B7688F">
            <w:pPr>
              <w:spacing w:before="0" w:after="0" w:line="240" w:lineRule="auto"/>
              <w:rPr>
                <w:color w:val="000000"/>
                <w:sz w:val="20"/>
                <w:lang w:val="en-NZ" w:eastAsia="en-NZ"/>
              </w:rPr>
            </w:pPr>
          </w:p>
        </w:tc>
      </w:tr>
      <w:tr w:rsidR="00B7688F" w:rsidRPr="008D14BA" w14:paraId="396EDC0D" w14:textId="77777777" w:rsidTr="00A93825">
        <w:trPr>
          <w:trHeight w:val="20"/>
        </w:trPr>
        <w:tc>
          <w:tcPr>
            <w:tcW w:w="1204" w:type="pct"/>
            <w:tcBorders>
              <w:top w:val="nil"/>
              <w:left w:val="nil"/>
              <w:bottom w:val="single" w:sz="8" w:space="0" w:color="007FAD"/>
              <w:right w:val="nil"/>
            </w:tcBorders>
            <w:shd w:val="clear" w:color="000000" w:fill="FFFFFF"/>
          </w:tcPr>
          <w:p w14:paraId="7A3D584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Bright Kwesi </w:t>
            </w:r>
            <w:proofErr w:type="spellStart"/>
            <w:r w:rsidRPr="008D14BA">
              <w:rPr>
                <w:color w:val="000000"/>
                <w:sz w:val="20"/>
                <w:lang w:val="en-NZ" w:eastAsia="en-NZ"/>
              </w:rPr>
              <w:t>Awuye</w:t>
            </w:r>
            <w:proofErr w:type="spellEnd"/>
          </w:p>
        </w:tc>
        <w:tc>
          <w:tcPr>
            <w:tcW w:w="1960" w:type="pct"/>
            <w:tcBorders>
              <w:top w:val="nil"/>
              <w:left w:val="nil"/>
              <w:bottom w:val="single" w:sz="8" w:space="0" w:color="007FAD"/>
              <w:right w:val="nil"/>
            </w:tcBorders>
            <w:shd w:val="clear" w:color="000000" w:fill="FFFFFF"/>
          </w:tcPr>
          <w:p w14:paraId="1E70597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Research Officer</w:t>
            </w:r>
          </w:p>
        </w:tc>
        <w:tc>
          <w:tcPr>
            <w:tcW w:w="1836" w:type="pct"/>
            <w:tcBorders>
              <w:top w:val="nil"/>
              <w:left w:val="nil"/>
              <w:bottom w:val="single" w:sz="8" w:space="0" w:color="007FAD"/>
              <w:right w:val="nil"/>
            </w:tcBorders>
            <w:shd w:val="clear" w:color="000000" w:fill="FFFFFF"/>
          </w:tcPr>
          <w:p w14:paraId="5724CA3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Global Alliance for Trade Facilitation</w:t>
            </w:r>
          </w:p>
        </w:tc>
      </w:tr>
      <w:tr w:rsidR="00B7688F" w:rsidRPr="008D14BA" w14:paraId="3B782DE6" w14:textId="77777777" w:rsidTr="00A93825">
        <w:trPr>
          <w:trHeight w:val="20"/>
        </w:trPr>
        <w:tc>
          <w:tcPr>
            <w:tcW w:w="1204" w:type="pct"/>
            <w:tcBorders>
              <w:top w:val="nil"/>
              <w:left w:val="nil"/>
              <w:bottom w:val="single" w:sz="8" w:space="0" w:color="007FAD"/>
              <w:right w:val="nil"/>
            </w:tcBorders>
            <w:shd w:val="clear" w:color="000000" w:fill="FFFFFF"/>
          </w:tcPr>
          <w:p w14:paraId="6CFCB56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Lydia Amina ACHEL</w:t>
            </w:r>
          </w:p>
        </w:tc>
        <w:tc>
          <w:tcPr>
            <w:tcW w:w="1960" w:type="pct"/>
            <w:tcBorders>
              <w:top w:val="nil"/>
              <w:left w:val="nil"/>
              <w:bottom w:val="single" w:sz="8" w:space="0" w:color="007FAD"/>
              <w:right w:val="nil"/>
            </w:tcBorders>
            <w:shd w:val="clear" w:color="000000" w:fill="FFFFFF"/>
          </w:tcPr>
          <w:p w14:paraId="35C8836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Chief Superintendent </w:t>
            </w:r>
          </w:p>
        </w:tc>
        <w:tc>
          <w:tcPr>
            <w:tcW w:w="1836" w:type="pct"/>
            <w:tcBorders>
              <w:top w:val="nil"/>
              <w:left w:val="nil"/>
              <w:bottom w:val="single" w:sz="8" w:space="0" w:color="007FAD"/>
              <w:right w:val="nil"/>
            </w:tcBorders>
            <w:shd w:val="clear" w:color="000000" w:fill="FFFFFF"/>
          </w:tcPr>
          <w:p w14:paraId="6866668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Ghana Immigration Service (Ghana Government)</w:t>
            </w:r>
          </w:p>
        </w:tc>
      </w:tr>
      <w:tr w:rsidR="00B7688F" w:rsidRPr="008D14BA" w14:paraId="4F0D6286" w14:textId="77777777" w:rsidTr="00A93825">
        <w:trPr>
          <w:trHeight w:val="20"/>
        </w:trPr>
        <w:tc>
          <w:tcPr>
            <w:tcW w:w="1204" w:type="pct"/>
            <w:tcBorders>
              <w:top w:val="nil"/>
              <w:left w:val="nil"/>
              <w:bottom w:val="single" w:sz="8" w:space="0" w:color="007FAD"/>
              <w:right w:val="nil"/>
            </w:tcBorders>
            <w:shd w:val="clear" w:color="000000" w:fill="FFFFFF"/>
          </w:tcPr>
          <w:p w14:paraId="0C8596C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Emmanuel </w:t>
            </w:r>
            <w:proofErr w:type="spellStart"/>
            <w:r w:rsidRPr="008D14BA">
              <w:rPr>
                <w:color w:val="000000"/>
                <w:sz w:val="20"/>
                <w:lang w:val="en-NZ" w:eastAsia="en-NZ"/>
              </w:rPr>
              <w:t>Ebo</w:t>
            </w:r>
            <w:proofErr w:type="spellEnd"/>
            <w:r w:rsidRPr="008D14BA">
              <w:rPr>
                <w:color w:val="000000"/>
                <w:sz w:val="20"/>
                <w:lang w:val="en-NZ" w:eastAsia="en-NZ"/>
              </w:rPr>
              <w:t xml:space="preserve"> Arthur</w:t>
            </w:r>
          </w:p>
        </w:tc>
        <w:tc>
          <w:tcPr>
            <w:tcW w:w="1960" w:type="pct"/>
            <w:tcBorders>
              <w:top w:val="nil"/>
              <w:left w:val="nil"/>
              <w:bottom w:val="single" w:sz="8" w:space="0" w:color="007FAD"/>
              <w:right w:val="nil"/>
            </w:tcBorders>
            <w:shd w:val="clear" w:color="000000" w:fill="FFFFFF"/>
          </w:tcPr>
          <w:p w14:paraId="7BF5983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District GNAT Secretary</w:t>
            </w:r>
          </w:p>
        </w:tc>
        <w:tc>
          <w:tcPr>
            <w:tcW w:w="1836" w:type="pct"/>
            <w:tcBorders>
              <w:top w:val="nil"/>
              <w:left w:val="nil"/>
              <w:bottom w:val="single" w:sz="8" w:space="0" w:color="007FAD"/>
              <w:right w:val="nil"/>
            </w:tcBorders>
            <w:shd w:val="clear" w:color="000000" w:fill="FFFFFF"/>
          </w:tcPr>
          <w:p w14:paraId="17DE87D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Ghana National Association of Teachers (GNAT) </w:t>
            </w:r>
          </w:p>
        </w:tc>
      </w:tr>
      <w:tr w:rsidR="00B7688F" w:rsidRPr="008D14BA" w14:paraId="34923035" w14:textId="77777777" w:rsidTr="00A93825">
        <w:trPr>
          <w:trHeight w:val="20"/>
        </w:trPr>
        <w:tc>
          <w:tcPr>
            <w:tcW w:w="1204" w:type="pct"/>
            <w:tcBorders>
              <w:top w:val="nil"/>
              <w:left w:val="nil"/>
              <w:bottom w:val="single" w:sz="8" w:space="0" w:color="007FAD"/>
              <w:right w:val="nil"/>
            </w:tcBorders>
            <w:shd w:val="clear" w:color="000000" w:fill="FFFFFF"/>
          </w:tcPr>
          <w:p w14:paraId="4F89835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Joyce Caitlyn </w:t>
            </w:r>
            <w:proofErr w:type="spellStart"/>
            <w:r w:rsidRPr="008D14BA">
              <w:rPr>
                <w:color w:val="000000"/>
                <w:sz w:val="20"/>
                <w:lang w:val="en-NZ" w:eastAsia="en-NZ"/>
              </w:rPr>
              <w:t>Ocansey</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6980D0E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Environmental Governance and Gender Specialist</w:t>
            </w:r>
          </w:p>
        </w:tc>
        <w:tc>
          <w:tcPr>
            <w:tcW w:w="1836" w:type="pct"/>
            <w:tcBorders>
              <w:top w:val="nil"/>
              <w:left w:val="nil"/>
              <w:bottom w:val="single" w:sz="8" w:space="0" w:color="007FAD"/>
              <w:right w:val="nil"/>
            </w:tcBorders>
            <w:shd w:val="clear" w:color="000000" w:fill="FFFFFF"/>
          </w:tcPr>
          <w:p w14:paraId="0DDB63D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Ministry of Energy </w:t>
            </w:r>
          </w:p>
        </w:tc>
      </w:tr>
      <w:tr w:rsidR="00B7688F" w:rsidRPr="008D14BA" w14:paraId="259FCFA0" w14:textId="77777777" w:rsidTr="00A93825">
        <w:trPr>
          <w:trHeight w:val="20"/>
        </w:trPr>
        <w:tc>
          <w:tcPr>
            <w:tcW w:w="1204" w:type="pct"/>
            <w:tcBorders>
              <w:top w:val="nil"/>
              <w:left w:val="nil"/>
              <w:bottom w:val="single" w:sz="8" w:space="0" w:color="007FAD"/>
              <w:right w:val="nil"/>
            </w:tcBorders>
            <w:shd w:val="clear" w:color="000000" w:fill="FFFFFF"/>
          </w:tcPr>
          <w:p w14:paraId="675039D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Frederick </w:t>
            </w:r>
            <w:proofErr w:type="spellStart"/>
            <w:r w:rsidRPr="008D14BA">
              <w:rPr>
                <w:color w:val="000000"/>
                <w:sz w:val="20"/>
                <w:lang w:val="en-NZ" w:eastAsia="en-NZ"/>
              </w:rPr>
              <w:t>Nsatimba</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0BC6FB9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Principal health tutor (Nurses Training College, </w:t>
            </w:r>
            <w:proofErr w:type="spellStart"/>
            <w:r w:rsidRPr="008D14BA">
              <w:rPr>
                <w:color w:val="000000"/>
                <w:sz w:val="20"/>
                <w:lang w:val="en-NZ" w:eastAsia="en-NZ"/>
              </w:rPr>
              <w:t>Pantang</w:t>
            </w:r>
            <w:proofErr w:type="spellEnd"/>
            <w:r w:rsidRPr="008D14BA">
              <w:rPr>
                <w:color w:val="000000"/>
                <w:sz w:val="20"/>
                <w:lang w:val="en-NZ" w:eastAsia="en-NZ"/>
              </w:rPr>
              <w:t>)</w:t>
            </w:r>
          </w:p>
        </w:tc>
        <w:tc>
          <w:tcPr>
            <w:tcW w:w="1836" w:type="pct"/>
            <w:tcBorders>
              <w:top w:val="nil"/>
              <w:left w:val="nil"/>
              <w:bottom w:val="single" w:sz="8" w:space="0" w:color="007FAD"/>
              <w:right w:val="nil"/>
            </w:tcBorders>
            <w:shd w:val="clear" w:color="000000" w:fill="FFFFFF"/>
          </w:tcPr>
          <w:p w14:paraId="6BAEA29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Ministry of Health</w:t>
            </w:r>
          </w:p>
        </w:tc>
      </w:tr>
      <w:tr w:rsidR="00B7688F" w:rsidRPr="008D14BA" w14:paraId="010902A1" w14:textId="77777777" w:rsidTr="00A93825">
        <w:trPr>
          <w:trHeight w:val="20"/>
        </w:trPr>
        <w:tc>
          <w:tcPr>
            <w:tcW w:w="1204" w:type="pct"/>
            <w:tcBorders>
              <w:top w:val="nil"/>
              <w:left w:val="nil"/>
              <w:bottom w:val="single" w:sz="8" w:space="0" w:color="007FAD"/>
              <w:right w:val="nil"/>
            </w:tcBorders>
            <w:shd w:val="clear" w:color="000000" w:fill="FFFFFF"/>
          </w:tcPr>
          <w:p w14:paraId="7EECE817" w14:textId="304D36FA"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Patience A </w:t>
            </w:r>
            <w:proofErr w:type="spellStart"/>
            <w:r w:rsidRPr="008D14BA">
              <w:rPr>
                <w:color w:val="000000"/>
                <w:sz w:val="20"/>
                <w:lang w:val="en-NZ" w:eastAsia="en-NZ"/>
              </w:rPr>
              <w:t>Nsatimba</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6190B8AF"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Principal Nursing Officer (Nurse manager) </w:t>
            </w:r>
          </w:p>
        </w:tc>
        <w:tc>
          <w:tcPr>
            <w:tcW w:w="1836" w:type="pct"/>
            <w:tcBorders>
              <w:top w:val="nil"/>
              <w:left w:val="nil"/>
              <w:bottom w:val="single" w:sz="8" w:space="0" w:color="007FAD"/>
              <w:right w:val="nil"/>
            </w:tcBorders>
            <w:shd w:val="clear" w:color="000000" w:fill="FFFFFF"/>
          </w:tcPr>
          <w:p w14:paraId="0809F50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Ministry of Health</w:t>
            </w:r>
          </w:p>
        </w:tc>
      </w:tr>
      <w:tr w:rsidR="00B7688F" w:rsidRPr="008D14BA" w14:paraId="3851FE60" w14:textId="77777777" w:rsidTr="00A93825">
        <w:trPr>
          <w:trHeight w:val="20"/>
        </w:trPr>
        <w:tc>
          <w:tcPr>
            <w:tcW w:w="1204" w:type="pct"/>
            <w:tcBorders>
              <w:top w:val="nil"/>
              <w:left w:val="nil"/>
              <w:bottom w:val="single" w:sz="8" w:space="0" w:color="007FAD"/>
              <w:right w:val="nil"/>
            </w:tcBorders>
            <w:shd w:val="clear" w:color="000000" w:fill="FFFFFF"/>
          </w:tcPr>
          <w:p w14:paraId="51B6971B" w14:textId="1D42E1C6"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Paul Adjei </w:t>
            </w:r>
            <w:proofErr w:type="spellStart"/>
            <w:r w:rsidRPr="008D14BA">
              <w:rPr>
                <w:color w:val="000000"/>
                <w:sz w:val="20"/>
                <w:lang w:val="en-NZ" w:eastAsia="en-NZ"/>
              </w:rPr>
              <w:t>Onyina</w:t>
            </w:r>
            <w:proofErr w:type="spellEnd"/>
          </w:p>
        </w:tc>
        <w:tc>
          <w:tcPr>
            <w:tcW w:w="1960" w:type="pct"/>
            <w:tcBorders>
              <w:top w:val="nil"/>
              <w:left w:val="nil"/>
              <w:bottom w:val="single" w:sz="8" w:space="0" w:color="007FAD"/>
              <w:right w:val="nil"/>
            </w:tcBorders>
            <w:shd w:val="clear" w:color="000000" w:fill="FFFFFF"/>
          </w:tcPr>
          <w:p w14:paraId="64CFBEA0"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10D0E0F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Pentecost University College</w:t>
            </w:r>
          </w:p>
        </w:tc>
      </w:tr>
      <w:tr w:rsidR="00B7688F" w:rsidRPr="008D14BA" w14:paraId="78CF70F8" w14:textId="77777777" w:rsidTr="00A93825">
        <w:trPr>
          <w:trHeight w:val="20"/>
        </w:trPr>
        <w:tc>
          <w:tcPr>
            <w:tcW w:w="1204" w:type="pct"/>
            <w:tcBorders>
              <w:top w:val="nil"/>
              <w:left w:val="nil"/>
              <w:bottom w:val="single" w:sz="8" w:space="0" w:color="007FAD"/>
              <w:right w:val="nil"/>
            </w:tcBorders>
            <w:shd w:val="clear" w:color="000000" w:fill="FFFFFF"/>
          </w:tcPr>
          <w:p w14:paraId="3C9882A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Martha Lewis </w:t>
            </w:r>
            <w:proofErr w:type="spellStart"/>
            <w:r w:rsidRPr="008D14BA">
              <w:rPr>
                <w:color w:val="000000"/>
                <w:sz w:val="20"/>
                <w:lang w:val="en-NZ" w:eastAsia="en-NZ"/>
              </w:rPr>
              <w:t>Korku</w:t>
            </w:r>
            <w:proofErr w:type="spellEnd"/>
          </w:p>
        </w:tc>
        <w:tc>
          <w:tcPr>
            <w:tcW w:w="1960" w:type="pct"/>
            <w:tcBorders>
              <w:top w:val="nil"/>
              <w:left w:val="nil"/>
              <w:bottom w:val="single" w:sz="8" w:space="0" w:color="007FAD"/>
              <w:right w:val="nil"/>
            </w:tcBorders>
            <w:shd w:val="clear" w:color="000000" w:fill="FFFFFF"/>
          </w:tcPr>
          <w:p w14:paraId="41D8984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Superintendent Pharmacist</w:t>
            </w:r>
          </w:p>
        </w:tc>
        <w:tc>
          <w:tcPr>
            <w:tcW w:w="1836" w:type="pct"/>
            <w:tcBorders>
              <w:top w:val="nil"/>
              <w:left w:val="nil"/>
              <w:bottom w:val="single" w:sz="8" w:space="0" w:color="007FAD"/>
              <w:right w:val="nil"/>
            </w:tcBorders>
            <w:shd w:val="clear" w:color="000000" w:fill="FFFFFF"/>
          </w:tcPr>
          <w:p w14:paraId="2D56DFA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Ghana Health Service</w:t>
            </w:r>
          </w:p>
        </w:tc>
      </w:tr>
      <w:tr w:rsidR="00B7688F" w:rsidRPr="008D14BA" w14:paraId="1EC6866E" w14:textId="77777777" w:rsidTr="00A93825">
        <w:trPr>
          <w:trHeight w:val="20"/>
        </w:trPr>
        <w:tc>
          <w:tcPr>
            <w:tcW w:w="1204" w:type="pct"/>
            <w:tcBorders>
              <w:top w:val="nil"/>
              <w:left w:val="nil"/>
              <w:bottom w:val="single" w:sz="8" w:space="0" w:color="007FAD"/>
              <w:right w:val="nil"/>
            </w:tcBorders>
            <w:shd w:val="clear" w:color="000000" w:fill="FFFFFF"/>
          </w:tcPr>
          <w:p w14:paraId="492DCFBB"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Gordon Okyere Adjei</w:t>
            </w:r>
          </w:p>
        </w:tc>
        <w:tc>
          <w:tcPr>
            <w:tcW w:w="1960" w:type="pct"/>
            <w:tcBorders>
              <w:top w:val="nil"/>
              <w:left w:val="nil"/>
              <w:bottom w:val="single" w:sz="8" w:space="0" w:color="007FAD"/>
              <w:right w:val="nil"/>
            </w:tcBorders>
            <w:shd w:val="clear" w:color="000000" w:fill="FFFFFF"/>
          </w:tcPr>
          <w:p w14:paraId="7D8719A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Deputy Head, Safety Monitoring Department</w:t>
            </w:r>
          </w:p>
        </w:tc>
        <w:tc>
          <w:tcPr>
            <w:tcW w:w="1836" w:type="pct"/>
            <w:tcBorders>
              <w:top w:val="nil"/>
              <w:left w:val="nil"/>
              <w:bottom w:val="single" w:sz="8" w:space="0" w:color="007FAD"/>
              <w:right w:val="nil"/>
            </w:tcBorders>
            <w:shd w:val="clear" w:color="000000" w:fill="FFFFFF"/>
          </w:tcPr>
          <w:p w14:paraId="42F07BB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Food and Drugs Authority </w:t>
            </w:r>
          </w:p>
        </w:tc>
      </w:tr>
      <w:tr w:rsidR="00B7688F" w:rsidRPr="008D14BA" w14:paraId="7ED97A87" w14:textId="77777777" w:rsidTr="00A93825">
        <w:trPr>
          <w:trHeight w:val="20"/>
        </w:trPr>
        <w:tc>
          <w:tcPr>
            <w:tcW w:w="1204" w:type="pct"/>
            <w:tcBorders>
              <w:top w:val="nil"/>
              <w:left w:val="nil"/>
              <w:bottom w:val="single" w:sz="8" w:space="0" w:color="007FAD"/>
              <w:right w:val="nil"/>
            </w:tcBorders>
            <w:shd w:val="clear" w:color="000000" w:fill="FFFFFF"/>
          </w:tcPr>
          <w:p w14:paraId="411FDBD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Daniel </w:t>
            </w:r>
            <w:proofErr w:type="spellStart"/>
            <w:r w:rsidRPr="008D14BA">
              <w:rPr>
                <w:color w:val="000000"/>
                <w:sz w:val="20"/>
                <w:lang w:val="en-NZ" w:eastAsia="en-NZ"/>
              </w:rPr>
              <w:t>Ninson</w:t>
            </w:r>
            <w:proofErr w:type="spellEnd"/>
          </w:p>
        </w:tc>
        <w:tc>
          <w:tcPr>
            <w:tcW w:w="1960" w:type="pct"/>
            <w:tcBorders>
              <w:top w:val="nil"/>
              <w:left w:val="nil"/>
              <w:bottom w:val="single" w:sz="8" w:space="0" w:color="007FAD"/>
              <w:right w:val="nil"/>
            </w:tcBorders>
            <w:shd w:val="clear" w:color="000000" w:fill="FFFFFF"/>
          </w:tcPr>
          <w:p w14:paraId="7E428612"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591E6A1B" w14:textId="77777777" w:rsidR="00B7688F" w:rsidRPr="008D14BA" w:rsidRDefault="00B7688F" w:rsidP="00B7688F">
            <w:pPr>
              <w:spacing w:before="0" w:after="0" w:line="240" w:lineRule="auto"/>
              <w:rPr>
                <w:color w:val="000000"/>
                <w:sz w:val="20"/>
                <w:lang w:val="en-NZ" w:eastAsia="en-NZ"/>
              </w:rPr>
            </w:pPr>
          </w:p>
        </w:tc>
      </w:tr>
      <w:tr w:rsidR="00B7688F" w:rsidRPr="008D14BA" w14:paraId="63296BDC" w14:textId="77777777" w:rsidTr="00A93825">
        <w:trPr>
          <w:trHeight w:val="20"/>
        </w:trPr>
        <w:tc>
          <w:tcPr>
            <w:tcW w:w="1204" w:type="pct"/>
            <w:tcBorders>
              <w:top w:val="nil"/>
              <w:left w:val="nil"/>
              <w:bottom w:val="single" w:sz="8" w:space="0" w:color="007FAD"/>
              <w:right w:val="nil"/>
            </w:tcBorders>
            <w:shd w:val="clear" w:color="000000" w:fill="FFFFFF"/>
          </w:tcPr>
          <w:p w14:paraId="783E7C62" w14:textId="77777777" w:rsidR="00B7688F" w:rsidRPr="008D14BA" w:rsidRDefault="00B7688F" w:rsidP="00B7688F">
            <w:pPr>
              <w:spacing w:before="0" w:after="0" w:line="240" w:lineRule="auto"/>
              <w:rPr>
                <w:b/>
                <w:i/>
                <w:color w:val="000000"/>
                <w:sz w:val="20"/>
                <w:lang w:val="en-NZ" w:eastAsia="en-NZ"/>
              </w:rPr>
            </w:pPr>
            <w:r w:rsidRPr="008D14BA">
              <w:rPr>
                <w:b/>
                <w:i/>
                <w:color w:val="000000"/>
                <w:sz w:val="20"/>
                <w:lang w:val="en-NZ" w:eastAsia="en-NZ"/>
              </w:rPr>
              <w:t>Kenya:</w:t>
            </w:r>
          </w:p>
        </w:tc>
        <w:tc>
          <w:tcPr>
            <w:tcW w:w="1960" w:type="pct"/>
            <w:tcBorders>
              <w:top w:val="nil"/>
              <w:left w:val="nil"/>
              <w:bottom w:val="single" w:sz="8" w:space="0" w:color="007FAD"/>
              <w:right w:val="nil"/>
            </w:tcBorders>
            <w:shd w:val="clear" w:color="000000" w:fill="FFFFFF"/>
          </w:tcPr>
          <w:p w14:paraId="1036B8CF"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1E5CA4C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w:t>
            </w:r>
          </w:p>
        </w:tc>
      </w:tr>
      <w:tr w:rsidR="00B7688F" w:rsidRPr="008D14BA" w14:paraId="00F0FC18" w14:textId="77777777" w:rsidTr="00A93825">
        <w:trPr>
          <w:trHeight w:val="20"/>
        </w:trPr>
        <w:tc>
          <w:tcPr>
            <w:tcW w:w="1204" w:type="pct"/>
            <w:tcBorders>
              <w:top w:val="nil"/>
              <w:left w:val="nil"/>
              <w:bottom w:val="single" w:sz="8" w:space="0" w:color="007FAD"/>
              <w:right w:val="nil"/>
            </w:tcBorders>
            <w:shd w:val="clear" w:color="000000" w:fill="FFFFFF"/>
          </w:tcPr>
          <w:p w14:paraId="471BB867"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Angella</w:t>
            </w:r>
            <w:proofErr w:type="spellEnd"/>
            <w:r w:rsidRPr="008D14BA">
              <w:rPr>
                <w:color w:val="000000"/>
                <w:sz w:val="20"/>
                <w:lang w:val="en-NZ" w:eastAsia="en-NZ"/>
              </w:rPr>
              <w:t xml:space="preserve"> </w:t>
            </w:r>
            <w:proofErr w:type="spellStart"/>
            <w:r w:rsidRPr="008D14BA">
              <w:rPr>
                <w:color w:val="000000"/>
                <w:sz w:val="20"/>
                <w:lang w:val="en-NZ" w:eastAsia="en-NZ"/>
              </w:rPr>
              <w:t>Gichaga</w:t>
            </w:r>
            <w:proofErr w:type="spellEnd"/>
          </w:p>
        </w:tc>
        <w:tc>
          <w:tcPr>
            <w:tcW w:w="1960" w:type="pct"/>
            <w:tcBorders>
              <w:top w:val="nil"/>
              <w:left w:val="nil"/>
              <w:bottom w:val="single" w:sz="8" w:space="0" w:color="007FAD"/>
              <w:right w:val="nil"/>
            </w:tcBorders>
            <w:shd w:val="clear" w:color="000000" w:fill="FFFFFF"/>
          </w:tcPr>
          <w:p w14:paraId="0D7E2D5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Chief Executive Officer</w:t>
            </w:r>
          </w:p>
        </w:tc>
        <w:tc>
          <w:tcPr>
            <w:tcW w:w="1836" w:type="pct"/>
            <w:tcBorders>
              <w:top w:val="nil"/>
              <w:left w:val="nil"/>
              <w:bottom w:val="single" w:sz="8" w:space="0" w:color="007FAD"/>
              <w:right w:val="nil"/>
            </w:tcBorders>
            <w:shd w:val="clear" w:color="000000" w:fill="FFFFFF"/>
          </w:tcPr>
          <w:p w14:paraId="3C9D7DD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The Financing Alliance for Health</w:t>
            </w:r>
          </w:p>
        </w:tc>
      </w:tr>
      <w:tr w:rsidR="00B7688F" w:rsidRPr="008D14BA" w14:paraId="41388CC6" w14:textId="77777777" w:rsidTr="00A93825">
        <w:trPr>
          <w:trHeight w:val="20"/>
        </w:trPr>
        <w:tc>
          <w:tcPr>
            <w:tcW w:w="1204" w:type="pct"/>
            <w:tcBorders>
              <w:top w:val="nil"/>
              <w:left w:val="nil"/>
              <w:bottom w:val="single" w:sz="8" w:space="0" w:color="007FAD"/>
              <w:right w:val="nil"/>
            </w:tcBorders>
            <w:shd w:val="clear" w:color="000000" w:fill="FFFFFF"/>
          </w:tcPr>
          <w:p w14:paraId="3803E28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Paul </w:t>
            </w:r>
            <w:proofErr w:type="spellStart"/>
            <w:r w:rsidRPr="008D14BA">
              <w:rPr>
                <w:color w:val="000000"/>
                <w:sz w:val="20"/>
                <w:lang w:val="en-NZ" w:eastAsia="en-NZ"/>
              </w:rPr>
              <w:t>Mirie</w:t>
            </w:r>
            <w:proofErr w:type="spellEnd"/>
          </w:p>
        </w:tc>
        <w:tc>
          <w:tcPr>
            <w:tcW w:w="1960" w:type="pct"/>
            <w:tcBorders>
              <w:top w:val="nil"/>
              <w:left w:val="nil"/>
              <w:bottom w:val="single" w:sz="8" w:space="0" w:color="007FAD"/>
              <w:right w:val="nil"/>
            </w:tcBorders>
            <w:shd w:val="clear" w:color="000000" w:fill="FFFFFF"/>
          </w:tcPr>
          <w:p w14:paraId="081675F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Mineral Economist</w:t>
            </w:r>
          </w:p>
        </w:tc>
        <w:tc>
          <w:tcPr>
            <w:tcW w:w="1836" w:type="pct"/>
            <w:tcBorders>
              <w:top w:val="nil"/>
              <w:left w:val="nil"/>
              <w:bottom w:val="single" w:sz="8" w:space="0" w:color="007FAD"/>
              <w:right w:val="nil"/>
            </w:tcBorders>
            <w:shd w:val="clear" w:color="000000" w:fill="FFFFFF"/>
          </w:tcPr>
          <w:p w14:paraId="60B9568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Ministry of Petroleum and Mining</w:t>
            </w:r>
          </w:p>
        </w:tc>
      </w:tr>
      <w:tr w:rsidR="00B7688F" w:rsidRPr="008D14BA" w14:paraId="78898B94" w14:textId="77777777" w:rsidTr="00A93825">
        <w:trPr>
          <w:trHeight w:val="20"/>
        </w:trPr>
        <w:tc>
          <w:tcPr>
            <w:tcW w:w="1204" w:type="pct"/>
            <w:tcBorders>
              <w:top w:val="nil"/>
              <w:left w:val="nil"/>
              <w:bottom w:val="single" w:sz="8" w:space="0" w:color="007FAD"/>
              <w:right w:val="nil"/>
            </w:tcBorders>
            <w:shd w:val="clear" w:color="000000" w:fill="FFFFFF"/>
          </w:tcPr>
          <w:p w14:paraId="317D4FB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Mary </w:t>
            </w:r>
            <w:proofErr w:type="spellStart"/>
            <w:r w:rsidRPr="008D14BA">
              <w:rPr>
                <w:color w:val="000000"/>
                <w:sz w:val="20"/>
                <w:lang w:val="en-NZ" w:eastAsia="en-NZ"/>
              </w:rPr>
              <w:t>Onsarigo</w:t>
            </w:r>
            <w:proofErr w:type="spellEnd"/>
            <w:r w:rsidRPr="008D14BA">
              <w:rPr>
                <w:color w:val="000000"/>
                <w:sz w:val="20"/>
                <w:lang w:val="en-NZ" w:eastAsia="en-NZ"/>
              </w:rPr>
              <w:t xml:space="preserve"> </w:t>
            </w:r>
          </w:p>
        </w:tc>
        <w:tc>
          <w:tcPr>
            <w:tcW w:w="1960" w:type="pct"/>
            <w:tcBorders>
              <w:top w:val="nil"/>
              <w:left w:val="nil"/>
              <w:bottom w:val="single" w:sz="8" w:space="0" w:color="007FAD"/>
              <w:right w:val="nil"/>
            </w:tcBorders>
            <w:shd w:val="clear" w:color="000000" w:fill="FFFFFF"/>
          </w:tcPr>
          <w:p w14:paraId="2F67D36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Senior Scientist</w:t>
            </w:r>
          </w:p>
        </w:tc>
        <w:tc>
          <w:tcPr>
            <w:tcW w:w="1836" w:type="pct"/>
            <w:tcBorders>
              <w:top w:val="nil"/>
              <w:left w:val="nil"/>
              <w:bottom w:val="single" w:sz="8" w:space="0" w:color="007FAD"/>
              <w:right w:val="nil"/>
            </w:tcBorders>
            <w:shd w:val="clear" w:color="000000" w:fill="FFFFFF"/>
          </w:tcPr>
          <w:p w14:paraId="3D2611E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National Commission for Science Technology and Innovation (NACOSTI)</w:t>
            </w:r>
          </w:p>
        </w:tc>
      </w:tr>
      <w:tr w:rsidR="00B7688F" w:rsidRPr="008D14BA" w14:paraId="3CB006E1" w14:textId="77777777" w:rsidTr="00A93825">
        <w:trPr>
          <w:trHeight w:val="20"/>
        </w:trPr>
        <w:tc>
          <w:tcPr>
            <w:tcW w:w="1204" w:type="pct"/>
            <w:tcBorders>
              <w:top w:val="nil"/>
              <w:left w:val="nil"/>
              <w:bottom w:val="single" w:sz="8" w:space="0" w:color="007FAD"/>
              <w:right w:val="nil"/>
            </w:tcBorders>
            <w:shd w:val="clear" w:color="000000" w:fill="FFFFFF"/>
          </w:tcPr>
          <w:p w14:paraId="4FBCA39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Dr </w:t>
            </w:r>
            <w:proofErr w:type="spellStart"/>
            <w:r w:rsidRPr="008D14BA">
              <w:rPr>
                <w:color w:val="000000"/>
                <w:sz w:val="20"/>
                <w:lang w:val="en-NZ" w:eastAsia="en-NZ"/>
              </w:rPr>
              <w:t>Benard</w:t>
            </w:r>
            <w:proofErr w:type="spellEnd"/>
            <w:r w:rsidRPr="008D14BA">
              <w:rPr>
                <w:color w:val="000000"/>
                <w:sz w:val="20"/>
                <w:lang w:val="en-NZ" w:eastAsia="en-NZ"/>
              </w:rPr>
              <w:t xml:space="preserve"> </w:t>
            </w:r>
            <w:proofErr w:type="spellStart"/>
            <w:r w:rsidRPr="008D14BA">
              <w:rPr>
                <w:color w:val="000000"/>
                <w:sz w:val="20"/>
                <w:lang w:val="en-NZ" w:eastAsia="en-NZ"/>
              </w:rPr>
              <w:t>Mware</w:t>
            </w:r>
            <w:proofErr w:type="spellEnd"/>
          </w:p>
        </w:tc>
        <w:tc>
          <w:tcPr>
            <w:tcW w:w="1960" w:type="pct"/>
            <w:tcBorders>
              <w:top w:val="nil"/>
              <w:left w:val="nil"/>
              <w:bottom w:val="single" w:sz="8" w:space="0" w:color="007FAD"/>
              <w:right w:val="nil"/>
            </w:tcBorders>
            <w:shd w:val="clear" w:color="000000" w:fill="FFFFFF"/>
          </w:tcPr>
          <w:p w14:paraId="12DD2816"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Postdoctoral Fellow</w:t>
            </w:r>
          </w:p>
        </w:tc>
        <w:tc>
          <w:tcPr>
            <w:tcW w:w="1836" w:type="pct"/>
            <w:tcBorders>
              <w:top w:val="nil"/>
              <w:left w:val="nil"/>
              <w:bottom w:val="single" w:sz="8" w:space="0" w:color="007FAD"/>
              <w:right w:val="nil"/>
            </w:tcBorders>
            <w:shd w:val="clear" w:color="000000" w:fill="FFFFFF"/>
          </w:tcPr>
          <w:p w14:paraId="49577F0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International Institute of Tropical Agriculture</w:t>
            </w:r>
          </w:p>
        </w:tc>
      </w:tr>
      <w:tr w:rsidR="00B7688F" w:rsidRPr="008D14BA" w14:paraId="214CF6D3" w14:textId="77777777" w:rsidTr="00A93825">
        <w:trPr>
          <w:trHeight w:val="20"/>
        </w:trPr>
        <w:tc>
          <w:tcPr>
            <w:tcW w:w="1204" w:type="pct"/>
            <w:tcBorders>
              <w:top w:val="nil"/>
              <w:left w:val="nil"/>
              <w:bottom w:val="single" w:sz="8" w:space="0" w:color="007FAD"/>
              <w:right w:val="nil"/>
            </w:tcBorders>
            <w:shd w:val="clear" w:color="000000" w:fill="FFFFFF"/>
          </w:tcPr>
          <w:p w14:paraId="4804C47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Charles </w:t>
            </w:r>
            <w:proofErr w:type="spellStart"/>
            <w:r w:rsidRPr="008D14BA">
              <w:rPr>
                <w:color w:val="000000"/>
                <w:sz w:val="20"/>
                <w:lang w:val="en-NZ" w:eastAsia="en-NZ"/>
              </w:rPr>
              <w:t>Ngunjiri</w:t>
            </w:r>
            <w:proofErr w:type="spellEnd"/>
          </w:p>
        </w:tc>
        <w:tc>
          <w:tcPr>
            <w:tcW w:w="1960" w:type="pct"/>
            <w:tcBorders>
              <w:top w:val="nil"/>
              <w:left w:val="nil"/>
              <w:bottom w:val="single" w:sz="8" w:space="0" w:color="007FAD"/>
              <w:right w:val="nil"/>
            </w:tcBorders>
            <w:shd w:val="clear" w:color="000000" w:fill="FFFFFF"/>
          </w:tcPr>
          <w:p w14:paraId="79F13A0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Senior Assistant Director</w:t>
            </w:r>
          </w:p>
        </w:tc>
        <w:tc>
          <w:tcPr>
            <w:tcW w:w="1836" w:type="pct"/>
            <w:tcBorders>
              <w:top w:val="nil"/>
              <w:left w:val="nil"/>
              <w:bottom w:val="single" w:sz="8" w:space="0" w:color="007FAD"/>
              <w:right w:val="nil"/>
            </w:tcBorders>
            <w:shd w:val="clear" w:color="000000" w:fill="FFFFFF"/>
          </w:tcPr>
          <w:p w14:paraId="364C1EF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Ministry of East African Community</w:t>
            </w:r>
          </w:p>
        </w:tc>
      </w:tr>
      <w:tr w:rsidR="00B7688F" w:rsidRPr="008D14BA" w14:paraId="53AF2749" w14:textId="77777777" w:rsidTr="00A93825">
        <w:trPr>
          <w:trHeight w:val="20"/>
        </w:trPr>
        <w:tc>
          <w:tcPr>
            <w:tcW w:w="1204" w:type="pct"/>
            <w:tcBorders>
              <w:top w:val="nil"/>
              <w:left w:val="nil"/>
              <w:bottom w:val="single" w:sz="8" w:space="0" w:color="007FAD"/>
              <w:right w:val="nil"/>
            </w:tcBorders>
            <w:shd w:val="clear" w:color="000000" w:fill="FFFFFF"/>
          </w:tcPr>
          <w:p w14:paraId="20A5B141"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Regina Opondo</w:t>
            </w:r>
          </w:p>
        </w:tc>
        <w:tc>
          <w:tcPr>
            <w:tcW w:w="1960" w:type="pct"/>
            <w:tcBorders>
              <w:top w:val="nil"/>
              <w:left w:val="nil"/>
              <w:bottom w:val="single" w:sz="8" w:space="0" w:color="007FAD"/>
              <w:right w:val="nil"/>
            </w:tcBorders>
            <w:shd w:val="clear" w:color="000000" w:fill="FFFFFF"/>
          </w:tcPr>
          <w:p w14:paraId="0F8DD1B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Director of Education</w:t>
            </w:r>
          </w:p>
        </w:tc>
        <w:tc>
          <w:tcPr>
            <w:tcW w:w="1836" w:type="pct"/>
            <w:tcBorders>
              <w:top w:val="nil"/>
              <w:left w:val="nil"/>
              <w:bottom w:val="single" w:sz="8" w:space="0" w:color="007FAD"/>
              <w:right w:val="nil"/>
            </w:tcBorders>
            <w:shd w:val="clear" w:color="000000" w:fill="FFFFFF"/>
          </w:tcPr>
          <w:p w14:paraId="4EB3682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Kiambu County Government</w:t>
            </w:r>
          </w:p>
        </w:tc>
      </w:tr>
      <w:tr w:rsidR="00B7688F" w:rsidRPr="008D14BA" w14:paraId="684CFC75" w14:textId="77777777" w:rsidTr="00A93825">
        <w:trPr>
          <w:trHeight w:val="20"/>
        </w:trPr>
        <w:tc>
          <w:tcPr>
            <w:tcW w:w="1204" w:type="pct"/>
            <w:tcBorders>
              <w:top w:val="nil"/>
              <w:left w:val="nil"/>
              <w:bottom w:val="single" w:sz="8" w:space="0" w:color="007FAD"/>
              <w:right w:val="nil"/>
            </w:tcBorders>
            <w:shd w:val="clear" w:color="000000" w:fill="FFFFFF"/>
          </w:tcPr>
          <w:p w14:paraId="0182FF2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Caroline </w:t>
            </w:r>
            <w:proofErr w:type="spellStart"/>
            <w:r w:rsidRPr="008D14BA">
              <w:rPr>
                <w:color w:val="000000"/>
                <w:sz w:val="20"/>
                <w:lang w:val="en-NZ" w:eastAsia="en-NZ"/>
              </w:rPr>
              <w:t>Kisato</w:t>
            </w:r>
            <w:proofErr w:type="spellEnd"/>
          </w:p>
        </w:tc>
        <w:tc>
          <w:tcPr>
            <w:tcW w:w="1960" w:type="pct"/>
            <w:tcBorders>
              <w:top w:val="nil"/>
              <w:left w:val="nil"/>
              <w:bottom w:val="single" w:sz="8" w:space="0" w:color="007FAD"/>
              <w:right w:val="nil"/>
            </w:tcBorders>
            <w:shd w:val="clear" w:color="000000" w:fill="FFFFFF"/>
          </w:tcPr>
          <w:p w14:paraId="19842B2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Local Advisory Council</w:t>
            </w:r>
          </w:p>
        </w:tc>
        <w:tc>
          <w:tcPr>
            <w:tcW w:w="1836" w:type="pct"/>
            <w:tcBorders>
              <w:top w:val="nil"/>
              <w:left w:val="nil"/>
              <w:bottom w:val="single" w:sz="8" w:space="0" w:color="007FAD"/>
              <w:right w:val="nil"/>
            </w:tcBorders>
            <w:shd w:val="clear" w:color="000000" w:fill="FFFFFF"/>
          </w:tcPr>
          <w:p w14:paraId="7E784DC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Kids to School Foundation</w:t>
            </w:r>
          </w:p>
        </w:tc>
      </w:tr>
      <w:tr w:rsidR="00B7688F" w:rsidRPr="008D14BA" w14:paraId="74D48A10" w14:textId="77777777" w:rsidTr="00A93825">
        <w:trPr>
          <w:trHeight w:val="20"/>
        </w:trPr>
        <w:tc>
          <w:tcPr>
            <w:tcW w:w="1204" w:type="pct"/>
            <w:tcBorders>
              <w:top w:val="nil"/>
              <w:left w:val="nil"/>
              <w:bottom w:val="single" w:sz="8" w:space="0" w:color="007FAD"/>
              <w:right w:val="nil"/>
            </w:tcBorders>
            <w:shd w:val="clear" w:color="000000" w:fill="FFFFFF"/>
          </w:tcPr>
          <w:p w14:paraId="6C7E1467"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Njoki</w:t>
            </w:r>
            <w:proofErr w:type="spellEnd"/>
            <w:r w:rsidRPr="008D14BA">
              <w:rPr>
                <w:color w:val="000000"/>
                <w:sz w:val="20"/>
                <w:lang w:val="en-NZ" w:eastAsia="en-NZ"/>
              </w:rPr>
              <w:t xml:space="preserve"> </w:t>
            </w:r>
            <w:proofErr w:type="spellStart"/>
            <w:r w:rsidRPr="008D14BA">
              <w:rPr>
                <w:color w:val="000000"/>
                <w:sz w:val="20"/>
                <w:lang w:val="en-NZ" w:eastAsia="en-NZ"/>
              </w:rPr>
              <w:t>Kahiga</w:t>
            </w:r>
            <w:proofErr w:type="spellEnd"/>
          </w:p>
        </w:tc>
        <w:tc>
          <w:tcPr>
            <w:tcW w:w="1960" w:type="pct"/>
            <w:tcBorders>
              <w:top w:val="nil"/>
              <w:left w:val="nil"/>
              <w:bottom w:val="single" w:sz="8" w:space="0" w:color="007FAD"/>
              <w:right w:val="nil"/>
            </w:tcBorders>
            <w:shd w:val="clear" w:color="000000" w:fill="FFFFFF"/>
          </w:tcPr>
          <w:p w14:paraId="3BE1B5F2"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Commissioner (former)</w:t>
            </w:r>
          </w:p>
        </w:tc>
        <w:tc>
          <w:tcPr>
            <w:tcW w:w="1836" w:type="pct"/>
            <w:tcBorders>
              <w:top w:val="nil"/>
              <w:left w:val="nil"/>
              <w:bottom w:val="single" w:sz="8" w:space="0" w:color="007FAD"/>
              <w:right w:val="nil"/>
            </w:tcBorders>
            <w:shd w:val="clear" w:color="000000" w:fill="FFFFFF"/>
          </w:tcPr>
          <w:p w14:paraId="5D0DC893"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Kenya Law Reform Commission</w:t>
            </w:r>
          </w:p>
        </w:tc>
      </w:tr>
      <w:tr w:rsidR="00B7688F" w:rsidRPr="008D14BA" w14:paraId="52FFF744" w14:textId="77777777" w:rsidTr="00A93825">
        <w:trPr>
          <w:trHeight w:val="20"/>
        </w:trPr>
        <w:tc>
          <w:tcPr>
            <w:tcW w:w="1204" w:type="pct"/>
            <w:tcBorders>
              <w:top w:val="nil"/>
              <w:left w:val="nil"/>
              <w:bottom w:val="single" w:sz="8" w:space="0" w:color="007FAD"/>
              <w:right w:val="nil"/>
            </w:tcBorders>
            <w:shd w:val="clear" w:color="000000" w:fill="FFFFFF"/>
          </w:tcPr>
          <w:p w14:paraId="18C17FC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Philip </w:t>
            </w:r>
            <w:proofErr w:type="spellStart"/>
            <w:r w:rsidRPr="008D14BA">
              <w:rPr>
                <w:color w:val="000000"/>
                <w:sz w:val="20"/>
                <w:lang w:val="en-NZ" w:eastAsia="en-NZ"/>
              </w:rPr>
              <w:t>Lang’at</w:t>
            </w:r>
            <w:proofErr w:type="spellEnd"/>
          </w:p>
        </w:tc>
        <w:tc>
          <w:tcPr>
            <w:tcW w:w="1960" w:type="pct"/>
            <w:tcBorders>
              <w:top w:val="nil"/>
              <w:left w:val="nil"/>
              <w:bottom w:val="single" w:sz="8" w:space="0" w:color="007FAD"/>
              <w:right w:val="nil"/>
            </w:tcBorders>
            <w:shd w:val="clear" w:color="000000" w:fill="FFFFFF"/>
          </w:tcPr>
          <w:p w14:paraId="524FA16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Assistant Director- Livestock Production</w:t>
            </w:r>
          </w:p>
        </w:tc>
        <w:tc>
          <w:tcPr>
            <w:tcW w:w="1836" w:type="pct"/>
            <w:tcBorders>
              <w:top w:val="nil"/>
              <w:left w:val="nil"/>
              <w:bottom w:val="single" w:sz="8" w:space="0" w:color="007FAD"/>
              <w:right w:val="nil"/>
            </w:tcBorders>
            <w:shd w:val="clear" w:color="000000" w:fill="FFFFFF"/>
          </w:tcPr>
          <w:p w14:paraId="53F0ABE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Ministry of Agriculture and Livestock</w:t>
            </w:r>
          </w:p>
        </w:tc>
      </w:tr>
      <w:tr w:rsidR="00B7688F" w:rsidRPr="008D14BA" w14:paraId="7B220458" w14:textId="77777777" w:rsidTr="00A93825">
        <w:trPr>
          <w:trHeight w:val="20"/>
        </w:trPr>
        <w:tc>
          <w:tcPr>
            <w:tcW w:w="1204" w:type="pct"/>
            <w:tcBorders>
              <w:top w:val="nil"/>
              <w:left w:val="nil"/>
              <w:bottom w:val="single" w:sz="8" w:space="0" w:color="007FAD"/>
              <w:right w:val="nil"/>
            </w:tcBorders>
            <w:shd w:val="clear" w:color="000000" w:fill="FFFFFF"/>
          </w:tcPr>
          <w:p w14:paraId="40BDBB94"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 xml:space="preserve">Caroline </w:t>
            </w:r>
            <w:proofErr w:type="spellStart"/>
            <w:r w:rsidRPr="008D14BA">
              <w:rPr>
                <w:color w:val="000000"/>
                <w:sz w:val="20"/>
                <w:lang w:val="en-NZ" w:eastAsia="en-NZ"/>
              </w:rPr>
              <w:t>Nyongesa</w:t>
            </w:r>
            <w:proofErr w:type="spellEnd"/>
          </w:p>
        </w:tc>
        <w:tc>
          <w:tcPr>
            <w:tcW w:w="1960" w:type="pct"/>
            <w:tcBorders>
              <w:top w:val="nil"/>
              <w:left w:val="nil"/>
              <w:bottom w:val="single" w:sz="8" w:space="0" w:color="007FAD"/>
              <w:right w:val="nil"/>
            </w:tcBorders>
            <w:shd w:val="clear" w:color="000000" w:fill="FFFFFF"/>
          </w:tcPr>
          <w:p w14:paraId="49D1E85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Regional Advisor</w:t>
            </w:r>
          </w:p>
        </w:tc>
        <w:tc>
          <w:tcPr>
            <w:tcW w:w="1836" w:type="pct"/>
            <w:tcBorders>
              <w:top w:val="nil"/>
              <w:left w:val="nil"/>
              <w:bottom w:val="single" w:sz="8" w:space="0" w:color="007FAD"/>
              <w:right w:val="nil"/>
            </w:tcBorders>
            <w:shd w:val="clear" w:color="000000" w:fill="FFFFFF"/>
          </w:tcPr>
          <w:p w14:paraId="14CC428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Malteser International</w:t>
            </w:r>
          </w:p>
        </w:tc>
      </w:tr>
      <w:tr w:rsidR="00B7688F" w:rsidRPr="008D14BA" w14:paraId="1F5F43D2" w14:textId="77777777" w:rsidTr="00A93825">
        <w:trPr>
          <w:trHeight w:val="20"/>
        </w:trPr>
        <w:tc>
          <w:tcPr>
            <w:tcW w:w="1204" w:type="pct"/>
            <w:tcBorders>
              <w:top w:val="nil"/>
              <w:left w:val="nil"/>
              <w:bottom w:val="single" w:sz="8" w:space="0" w:color="007FAD"/>
              <w:right w:val="nil"/>
            </w:tcBorders>
            <w:shd w:val="clear" w:color="000000" w:fill="FFFFFF"/>
            <w:vAlign w:val="center"/>
          </w:tcPr>
          <w:p w14:paraId="630D9E1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Anbar Ganatra</w:t>
            </w:r>
          </w:p>
        </w:tc>
        <w:tc>
          <w:tcPr>
            <w:tcW w:w="1960" w:type="pct"/>
            <w:tcBorders>
              <w:top w:val="nil"/>
              <w:left w:val="nil"/>
              <w:bottom w:val="single" w:sz="8" w:space="0" w:color="007FAD"/>
              <w:right w:val="nil"/>
            </w:tcBorders>
            <w:shd w:val="clear" w:color="000000" w:fill="FFFFFF"/>
            <w:vAlign w:val="center"/>
          </w:tcPr>
          <w:p w14:paraId="1C772849"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County Dentist</w:t>
            </w:r>
          </w:p>
        </w:tc>
        <w:tc>
          <w:tcPr>
            <w:tcW w:w="1836" w:type="pct"/>
            <w:tcBorders>
              <w:top w:val="nil"/>
              <w:left w:val="nil"/>
              <w:bottom w:val="single" w:sz="8" w:space="0" w:color="007FAD"/>
              <w:right w:val="nil"/>
            </w:tcBorders>
            <w:shd w:val="clear" w:color="000000" w:fill="FFFFFF"/>
            <w:vAlign w:val="center"/>
          </w:tcPr>
          <w:p w14:paraId="22512E0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Ministry of Health- Kiambu</w:t>
            </w:r>
          </w:p>
        </w:tc>
      </w:tr>
      <w:tr w:rsidR="00B7688F" w:rsidRPr="008D14BA" w14:paraId="07EC02B5" w14:textId="77777777" w:rsidTr="00A93825">
        <w:trPr>
          <w:trHeight w:val="20"/>
        </w:trPr>
        <w:tc>
          <w:tcPr>
            <w:tcW w:w="1204" w:type="pct"/>
            <w:tcBorders>
              <w:top w:val="nil"/>
              <w:left w:val="nil"/>
              <w:bottom w:val="single" w:sz="8" w:space="0" w:color="007FAD"/>
              <w:right w:val="nil"/>
            </w:tcBorders>
            <w:shd w:val="clear" w:color="000000" w:fill="FFFFFF"/>
          </w:tcPr>
          <w:p w14:paraId="24B98623" w14:textId="77777777" w:rsidR="00B7688F" w:rsidRPr="008D14BA" w:rsidRDefault="00B7688F" w:rsidP="00B7688F">
            <w:pPr>
              <w:spacing w:before="0" w:after="0" w:line="240" w:lineRule="auto"/>
              <w:rPr>
                <w:color w:val="000000"/>
                <w:sz w:val="20"/>
                <w:lang w:val="en-NZ" w:eastAsia="en-NZ"/>
              </w:rPr>
            </w:pPr>
            <w:proofErr w:type="spellStart"/>
            <w:r w:rsidRPr="008D14BA">
              <w:rPr>
                <w:color w:val="000000"/>
                <w:sz w:val="20"/>
                <w:lang w:val="en-NZ" w:eastAsia="en-NZ"/>
              </w:rPr>
              <w:t>Anderw</w:t>
            </w:r>
            <w:proofErr w:type="spellEnd"/>
            <w:r w:rsidRPr="008D14BA">
              <w:rPr>
                <w:color w:val="000000"/>
                <w:sz w:val="20"/>
                <w:lang w:val="en-NZ" w:eastAsia="en-NZ"/>
              </w:rPr>
              <w:t xml:space="preserve"> Wanga</w:t>
            </w:r>
          </w:p>
        </w:tc>
        <w:tc>
          <w:tcPr>
            <w:tcW w:w="1960" w:type="pct"/>
            <w:tcBorders>
              <w:top w:val="nil"/>
              <w:left w:val="nil"/>
              <w:bottom w:val="single" w:sz="8" w:space="0" w:color="007FAD"/>
              <w:right w:val="nil"/>
            </w:tcBorders>
            <w:shd w:val="clear" w:color="000000" w:fill="FFFFFF"/>
          </w:tcPr>
          <w:p w14:paraId="7C5BC50D"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Deputy Head of Internal Audit</w:t>
            </w:r>
          </w:p>
        </w:tc>
        <w:tc>
          <w:tcPr>
            <w:tcW w:w="1836" w:type="pct"/>
            <w:tcBorders>
              <w:top w:val="nil"/>
              <w:left w:val="nil"/>
              <w:bottom w:val="single" w:sz="8" w:space="0" w:color="007FAD"/>
              <w:right w:val="nil"/>
            </w:tcBorders>
            <w:shd w:val="clear" w:color="000000" w:fill="FFFFFF"/>
          </w:tcPr>
          <w:p w14:paraId="67A389D8"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Agricultural Finance Corporation</w:t>
            </w:r>
          </w:p>
        </w:tc>
      </w:tr>
      <w:tr w:rsidR="00B7688F" w:rsidRPr="008D14BA" w14:paraId="218577C4" w14:textId="77777777" w:rsidTr="00A93825">
        <w:trPr>
          <w:trHeight w:val="20"/>
        </w:trPr>
        <w:tc>
          <w:tcPr>
            <w:tcW w:w="1204" w:type="pct"/>
            <w:tcBorders>
              <w:top w:val="nil"/>
              <w:left w:val="nil"/>
              <w:bottom w:val="single" w:sz="8" w:space="0" w:color="007FAD"/>
              <w:right w:val="nil"/>
            </w:tcBorders>
            <w:shd w:val="clear" w:color="000000" w:fill="FFFFFF"/>
          </w:tcPr>
          <w:p w14:paraId="04308810"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Jane Kamau</w:t>
            </w:r>
          </w:p>
        </w:tc>
        <w:tc>
          <w:tcPr>
            <w:tcW w:w="1960" w:type="pct"/>
            <w:tcBorders>
              <w:top w:val="nil"/>
              <w:left w:val="nil"/>
              <w:bottom w:val="single" w:sz="8" w:space="0" w:color="007FAD"/>
              <w:right w:val="nil"/>
            </w:tcBorders>
            <w:shd w:val="clear" w:color="000000" w:fill="FFFFFF"/>
          </w:tcPr>
          <w:p w14:paraId="54E08B07"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Centre Manager</w:t>
            </w:r>
          </w:p>
        </w:tc>
        <w:tc>
          <w:tcPr>
            <w:tcW w:w="1836" w:type="pct"/>
            <w:tcBorders>
              <w:top w:val="nil"/>
              <w:left w:val="nil"/>
              <w:bottom w:val="single" w:sz="8" w:space="0" w:color="007FAD"/>
              <w:right w:val="nil"/>
            </w:tcBorders>
            <w:shd w:val="clear" w:color="000000" w:fill="FFFFFF"/>
          </w:tcPr>
          <w:p w14:paraId="454274BE"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National Industrial Training Authority</w:t>
            </w:r>
          </w:p>
        </w:tc>
      </w:tr>
      <w:tr w:rsidR="00B7688F" w:rsidRPr="008D14BA" w14:paraId="5B900014" w14:textId="77777777" w:rsidTr="00A93825">
        <w:trPr>
          <w:trHeight w:val="20"/>
        </w:trPr>
        <w:tc>
          <w:tcPr>
            <w:tcW w:w="5000" w:type="pct"/>
            <w:gridSpan w:val="3"/>
            <w:tcBorders>
              <w:top w:val="single" w:sz="8" w:space="0" w:color="007FAD"/>
              <w:left w:val="nil"/>
              <w:bottom w:val="single" w:sz="8" w:space="0" w:color="007FAD"/>
              <w:right w:val="nil"/>
            </w:tcBorders>
            <w:shd w:val="clear" w:color="000000" w:fill="DBE5F1"/>
          </w:tcPr>
          <w:p w14:paraId="18504C68" w14:textId="77777777" w:rsidR="00B7688F" w:rsidRPr="008D14BA" w:rsidRDefault="00B7688F" w:rsidP="00B7688F">
            <w:pPr>
              <w:spacing w:before="0" w:after="0" w:line="240" w:lineRule="auto"/>
              <w:rPr>
                <w:b/>
                <w:bCs/>
                <w:color w:val="000000"/>
                <w:sz w:val="20"/>
                <w:lang w:val="en-NZ" w:eastAsia="en-NZ"/>
              </w:rPr>
            </w:pPr>
            <w:r w:rsidRPr="008D14BA">
              <w:rPr>
                <w:b/>
                <w:bCs/>
                <w:color w:val="000000"/>
                <w:sz w:val="20"/>
                <w:lang w:val="en-NZ" w:eastAsia="en-NZ"/>
              </w:rPr>
              <w:t>Short Course providers</w:t>
            </w:r>
          </w:p>
        </w:tc>
      </w:tr>
      <w:tr w:rsidR="00B7688F" w:rsidRPr="008D14BA" w14:paraId="21CD529E" w14:textId="77777777" w:rsidTr="00A93825">
        <w:trPr>
          <w:trHeight w:val="20"/>
        </w:trPr>
        <w:tc>
          <w:tcPr>
            <w:tcW w:w="1204" w:type="pct"/>
            <w:tcBorders>
              <w:top w:val="nil"/>
              <w:left w:val="nil"/>
              <w:bottom w:val="single" w:sz="8" w:space="0" w:color="007FAD"/>
              <w:right w:val="nil"/>
            </w:tcBorders>
            <w:shd w:val="clear" w:color="000000" w:fill="FFFFFF"/>
          </w:tcPr>
          <w:p w14:paraId="3E5FF85A" w14:textId="77777777" w:rsidR="00B7688F" w:rsidRPr="008D14BA" w:rsidRDefault="00B7688F" w:rsidP="00B7688F">
            <w:pPr>
              <w:pStyle w:val="TableText"/>
              <w:rPr>
                <w:sz w:val="20"/>
                <w:szCs w:val="20"/>
              </w:rPr>
            </w:pPr>
            <w:r w:rsidRPr="008D14BA">
              <w:rPr>
                <w:color w:val="auto"/>
                <w:sz w:val="20"/>
                <w:szCs w:val="20"/>
              </w:rPr>
              <w:t xml:space="preserve">John </w:t>
            </w:r>
            <w:proofErr w:type="spellStart"/>
            <w:r w:rsidRPr="008D14BA">
              <w:rPr>
                <w:color w:val="auto"/>
                <w:sz w:val="20"/>
                <w:szCs w:val="20"/>
              </w:rPr>
              <w:t>Brighenti</w:t>
            </w:r>
            <w:proofErr w:type="spellEnd"/>
          </w:p>
        </w:tc>
        <w:tc>
          <w:tcPr>
            <w:tcW w:w="1960" w:type="pct"/>
            <w:tcBorders>
              <w:top w:val="nil"/>
              <w:left w:val="nil"/>
              <w:bottom w:val="single" w:sz="8" w:space="0" w:color="007FAD"/>
              <w:right w:val="nil"/>
            </w:tcBorders>
            <w:shd w:val="clear" w:color="000000" w:fill="FFFFFF"/>
          </w:tcPr>
          <w:p w14:paraId="02C75C8E" w14:textId="77777777" w:rsidR="00B7688F" w:rsidRPr="008D14BA" w:rsidRDefault="00B7688F" w:rsidP="00B7688F">
            <w:pPr>
              <w:pStyle w:val="TableText"/>
              <w:rPr>
                <w:color w:val="auto"/>
                <w:sz w:val="20"/>
                <w:szCs w:val="20"/>
              </w:rPr>
            </w:pPr>
            <w:r w:rsidRPr="008D14BA">
              <w:rPr>
                <w:color w:val="auto"/>
                <w:sz w:val="20"/>
                <w:szCs w:val="20"/>
              </w:rPr>
              <w:t>Manager</w:t>
            </w:r>
          </w:p>
          <w:p w14:paraId="35366E7B" w14:textId="77777777" w:rsidR="00B7688F" w:rsidRPr="008D14BA" w:rsidRDefault="00B7688F" w:rsidP="00B7688F">
            <w:pPr>
              <w:spacing w:before="0" w:after="0" w:line="240" w:lineRule="auto"/>
              <w:rPr>
                <w:color w:val="000000"/>
                <w:sz w:val="20"/>
                <w:lang w:val="en-NZ" w:eastAsia="en-NZ"/>
              </w:rPr>
            </w:pPr>
          </w:p>
        </w:tc>
        <w:tc>
          <w:tcPr>
            <w:tcW w:w="1836" w:type="pct"/>
            <w:tcBorders>
              <w:top w:val="nil"/>
              <w:left w:val="nil"/>
              <w:bottom w:val="single" w:sz="8" w:space="0" w:color="007FAD"/>
              <w:right w:val="nil"/>
            </w:tcBorders>
            <w:shd w:val="clear" w:color="000000" w:fill="FFFFFF"/>
          </w:tcPr>
          <w:p w14:paraId="043935B0" w14:textId="77777777" w:rsidR="00B7688F" w:rsidRPr="008D14BA" w:rsidRDefault="00B7688F" w:rsidP="00B7688F">
            <w:pPr>
              <w:spacing w:before="0" w:after="0" w:line="240" w:lineRule="auto"/>
              <w:rPr>
                <w:color w:val="000000"/>
                <w:sz w:val="20"/>
                <w:lang w:val="en-NZ" w:eastAsia="en-NZ"/>
              </w:rPr>
            </w:pPr>
            <w:r w:rsidRPr="008D14BA">
              <w:rPr>
                <w:sz w:val="20"/>
              </w:rPr>
              <w:t>University of Queensland International Development</w:t>
            </w:r>
          </w:p>
        </w:tc>
      </w:tr>
      <w:tr w:rsidR="00B7688F" w:rsidRPr="008D14BA" w14:paraId="6918AE61" w14:textId="77777777" w:rsidTr="00A93825">
        <w:trPr>
          <w:trHeight w:val="20"/>
        </w:trPr>
        <w:tc>
          <w:tcPr>
            <w:tcW w:w="1204" w:type="pct"/>
            <w:tcBorders>
              <w:top w:val="nil"/>
              <w:left w:val="nil"/>
              <w:bottom w:val="single" w:sz="8" w:space="0" w:color="007FAD"/>
              <w:right w:val="nil"/>
            </w:tcBorders>
            <w:shd w:val="clear" w:color="000000" w:fill="FFFFFF"/>
          </w:tcPr>
          <w:p w14:paraId="5CE73B48" w14:textId="77777777" w:rsidR="00B7688F" w:rsidRPr="008D14BA" w:rsidRDefault="00B7688F" w:rsidP="00B7688F">
            <w:pPr>
              <w:spacing w:before="0" w:after="0" w:line="240" w:lineRule="auto"/>
              <w:rPr>
                <w:color w:val="000000"/>
                <w:sz w:val="20"/>
                <w:lang w:val="en-NZ" w:eastAsia="en-NZ"/>
              </w:rPr>
            </w:pPr>
            <w:proofErr w:type="spellStart"/>
            <w:r w:rsidRPr="008D14BA">
              <w:rPr>
                <w:sz w:val="20"/>
              </w:rPr>
              <w:t>Badrul</w:t>
            </w:r>
            <w:proofErr w:type="spellEnd"/>
            <w:r w:rsidRPr="008D14BA">
              <w:rPr>
                <w:sz w:val="20"/>
              </w:rPr>
              <w:t xml:space="preserve"> Alam </w:t>
            </w:r>
          </w:p>
        </w:tc>
        <w:tc>
          <w:tcPr>
            <w:tcW w:w="1960" w:type="pct"/>
            <w:tcBorders>
              <w:top w:val="nil"/>
              <w:left w:val="nil"/>
              <w:bottom w:val="single" w:sz="8" w:space="0" w:color="007FAD"/>
              <w:right w:val="nil"/>
            </w:tcBorders>
            <w:shd w:val="clear" w:color="000000" w:fill="FFFFFF"/>
          </w:tcPr>
          <w:p w14:paraId="2DDA28BA"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Development Coordinator</w:t>
            </w:r>
          </w:p>
        </w:tc>
        <w:tc>
          <w:tcPr>
            <w:tcW w:w="1836" w:type="pct"/>
            <w:tcBorders>
              <w:top w:val="nil"/>
              <w:left w:val="nil"/>
              <w:bottom w:val="single" w:sz="8" w:space="0" w:color="007FAD"/>
              <w:right w:val="nil"/>
            </w:tcBorders>
            <w:shd w:val="clear" w:color="000000" w:fill="FFFFFF"/>
          </w:tcPr>
          <w:p w14:paraId="25592CCE" w14:textId="77777777" w:rsidR="00B7688F" w:rsidRPr="008D14BA" w:rsidRDefault="00B7688F" w:rsidP="00B7688F">
            <w:pPr>
              <w:spacing w:before="0" w:after="0" w:line="240" w:lineRule="auto"/>
              <w:rPr>
                <w:color w:val="000000"/>
                <w:sz w:val="20"/>
                <w:lang w:val="en-NZ" w:eastAsia="en-NZ"/>
              </w:rPr>
            </w:pPr>
            <w:r w:rsidRPr="008D14BA">
              <w:rPr>
                <w:sz w:val="20"/>
              </w:rPr>
              <w:t>University of Queensland International Development</w:t>
            </w:r>
          </w:p>
        </w:tc>
      </w:tr>
      <w:tr w:rsidR="00B7688F" w:rsidRPr="008D14BA" w14:paraId="558D9FCF" w14:textId="77777777" w:rsidTr="00A93825">
        <w:trPr>
          <w:trHeight w:val="20"/>
        </w:trPr>
        <w:tc>
          <w:tcPr>
            <w:tcW w:w="1204" w:type="pct"/>
            <w:tcBorders>
              <w:top w:val="nil"/>
              <w:left w:val="nil"/>
              <w:bottom w:val="single" w:sz="8" w:space="0" w:color="007FAD"/>
              <w:right w:val="nil"/>
            </w:tcBorders>
            <w:shd w:val="clear" w:color="000000" w:fill="FFFFFF"/>
          </w:tcPr>
          <w:p w14:paraId="72E6AD61" w14:textId="77777777" w:rsidR="00B7688F" w:rsidRPr="008D14BA" w:rsidRDefault="00B7688F" w:rsidP="00B7688F">
            <w:pPr>
              <w:spacing w:before="0" w:after="0" w:line="240" w:lineRule="auto"/>
              <w:rPr>
                <w:sz w:val="20"/>
              </w:rPr>
            </w:pPr>
            <w:r w:rsidRPr="008D14BA">
              <w:rPr>
                <w:sz w:val="20"/>
              </w:rPr>
              <w:t>Associate Professor Neil Paulsen</w:t>
            </w:r>
          </w:p>
        </w:tc>
        <w:tc>
          <w:tcPr>
            <w:tcW w:w="1960" w:type="pct"/>
            <w:tcBorders>
              <w:top w:val="nil"/>
              <w:left w:val="nil"/>
              <w:bottom w:val="single" w:sz="8" w:space="0" w:color="007FAD"/>
              <w:right w:val="nil"/>
            </w:tcBorders>
            <w:shd w:val="clear" w:color="000000" w:fill="FFFFFF"/>
          </w:tcPr>
          <w:p w14:paraId="169662E5" w14:textId="77777777" w:rsidR="00B7688F" w:rsidRPr="008D14BA" w:rsidRDefault="00B7688F" w:rsidP="00B7688F">
            <w:pPr>
              <w:spacing w:before="0" w:after="0" w:line="240" w:lineRule="auto"/>
              <w:rPr>
                <w:color w:val="000000"/>
                <w:sz w:val="20"/>
                <w:lang w:val="en-NZ" w:eastAsia="en-NZ"/>
              </w:rPr>
            </w:pPr>
            <w:r w:rsidRPr="008D14BA">
              <w:rPr>
                <w:color w:val="000000"/>
                <w:sz w:val="20"/>
                <w:lang w:val="en-NZ" w:eastAsia="en-NZ"/>
              </w:rPr>
              <w:t>Business School</w:t>
            </w:r>
          </w:p>
        </w:tc>
        <w:tc>
          <w:tcPr>
            <w:tcW w:w="1836" w:type="pct"/>
            <w:tcBorders>
              <w:top w:val="nil"/>
              <w:left w:val="nil"/>
              <w:bottom w:val="single" w:sz="8" w:space="0" w:color="007FAD"/>
              <w:right w:val="nil"/>
            </w:tcBorders>
            <w:shd w:val="clear" w:color="000000" w:fill="FFFFFF"/>
          </w:tcPr>
          <w:p w14:paraId="225C9A06" w14:textId="77777777" w:rsidR="00B7688F" w:rsidRPr="008D14BA" w:rsidRDefault="00B7688F" w:rsidP="00B7688F">
            <w:pPr>
              <w:spacing w:before="0" w:after="0" w:line="240" w:lineRule="auto"/>
              <w:rPr>
                <w:color w:val="000000"/>
                <w:sz w:val="20"/>
                <w:lang w:val="en-NZ" w:eastAsia="en-NZ"/>
              </w:rPr>
            </w:pPr>
            <w:r w:rsidRPr="008D14BA">
              <w:rPr>
                <w:sz w:val="20"/>
              </w:rPr>
              <w:t>University of Queensland</w:t>
            </w:r>
          </w:p>
        </w:tc>
      </w:tr>
      <w:tr w:rsidR="00B7688F" w:rsidRPr="008D14BA" w14:paraId="6C16391D" w14:textId="77777777" w:rsidTr="00A93825">
        <w:trPr>
          <w:trHeight w:val="20"/>
        </w:trPr>
        <w:tc>
          <w:tcPr>
            <w:tcW w:w="1204" w:type="pct"/>
            <w:tcBorders>
              <w:top w:val="nil"/>
              <w:left w:val="nil"/>
              <w:bottom w:val="single" w:sz="8" w:space="0" w:color="007FAD"/>
              <w:right w:val="nil"/>
            </w:tcBorders>
            <w:shd w:val="clear" w:color="000000" w:fill="FFFFFF"/>
          </w:tcPr>
          <w:p w14:paraId="3538BAEA" w14:textId="77777777" w:rsidR="00B7688F" w:rsidRPr="008D14BA" w:rsidRDefault="00B7688F" w:rsidP="00B7688F">
            <w:pPr>
              <w:spacing w:before="0" w:after="0" w:line="240" w:lineRule="auto"/>
              <w:rPr>
                <w:color w:val="000000"/>
                <w:sz w:val="20"/>
                <w:lang w:val="en-NZ" w:eastAsia="en-NZ"/>
              </w:rPr>
            </w:pPr>
            <w:r w:rsidRPr="008D14BA">
              <w:rPr>
                <w:sz w:val="20"/>
              </w:rPr>
              <w:t xml:space="preserve">Professor Paul </w:t>
            </w:r>
            <w:proofErr w:type="spellStart"/>
            <w:r w:rsidRPr="008D14BA">
              <w:rPr>
                <w:sz w:val="20"/>
              </w:rPr>
              <w:t>Kibuuka</w:t>
            </w:r>
            <w:proofErr w:type="spellEnd"/>
          </w:p>
        </w:tc>
        <w:tc>
          <w:tcPr>
            <w:tcW w:w="1960" w:type="pct"/>
            <w:tcBorders>
              <w:top w:val="nil"/>
              <w:left w:val="nil"/>
              <w:bottom w:val="single" w:sz="8" w:space="0" w:color="007FAD"/>
              <w:right w:val="nil"/>
            </w:tcBorders>
            <w:shd w:val="clear" w:color="000000" w:fill="FFFFFF"/>
          </w:tcPr>
          <w:p w14:paraId="5C67805E" w14:textId="29DC3150" w:rsidR="00B7688F" w:rsidRPr="008D14BA" w:rsidRDefault="00B7688F" w:rsidP="00B7688F">
            <w:pPr>
              <w:spacing w:before="0" w:after="0" w:line="240" w:lineRule="auto"/>
              <w:rPr>
                <w:color w:val="000000"/>
                <w:sz w:val="20"/>
                <w:lang w:val="en-NZ" w:eastAsia="en-NZ"/>
              </w:rPr>
            </w:pPr>
            <w:r>
              <w:rPr>
                <w:color w:val="000000"/>
                <w:sz w:val="20"/>
                <w:lang w:val="en-NZ" w:eastAsia="en-NZ"/>
              </w:rPr>
              <w:t>Economic Research Div</w:t>
            </w:r>
            <w:r w:rsidR="00EC527D">
              <w:rPr>
                <w:color w:val="000000"/>
                <w:sz w:val="20"/>
                <w:lang w:val="en-NZ" w:eastAsia="en-NZ"/>
              </w:rPr>
              <w:t>i</w:t>
            </w:r>
            <w:r>
              <w:rPr>
                <w:color w:val="000000"/>
                <w:sz w:val="20"/>
                <w:lang w:val="en-NZ" w:eastAsia="en-NZ"/>
              </w:rPr>
              <w:t>sion</w:t>
            </w:r>
          </w:p>
        </w:tc>
        <w:tc>
          <w:tcPr>
            <w:tcW w:w="1836" w:type="pct"/>
            <w:tcBorders>
              <w:top w:val="nil"/>
              <w:left w:val="nil"/>
              <w:bottom w:val="single" w:sz="8" w:space="0" w:color="007FAD"/>
              <w:right w:val="nil"/>
            </w:tcBorders>
            <w:shd w:val="clear" w:color="000000" w:fill="FFFFFF"/>
          </w:tcPr>
          <w:p w14:paraId="09B47C6E" w14:textId="77777777" w:rsidR="00B7688F" w:rsidRPr="008D14BA" w:rsidRDefault="00B7688F" w:rsidP="00B7688F">
            <w:pPr>
              <w:spacing w:before="0" w:after="0" w:line="240" w:lineRule="auto"/>
              <w:rPr>
                <w:color w:val="000000"/>
                <w:sz w:val="20"/>
                <w:lang w:val="en-NZ" w:eastAsia="en-NZ"/>
              </w:rPr>
            </w:pPr>
            <w:r w:rsidRPr="008D14BA">
              <w:rPr>
                <w:sz w:val="20"/>
              </w:rPr>
              <w:t xml:space="preserve">University of </w:t>
            </w:r>
            <w:r>
              <w:rPr>
                <w:sz w:val="20"/>
              </w:rPr>
              <w:t>South Africa</w:t>
            </w:r>
          </w:p>
        </w:tc>
      </w:tr>
      <w:tr w:rsidR="00B7688F" w:rsidRPr="008D14BA" w14:paraId="17313A97" w14:textId="77777777" w:rsidTr="00A93825">
        <w:trPr>
          <w:trHeight w:val="20"/>
        </w:trPr>
        <w:tc>
          <w:tcPr>
            <w:tcW w:w="1204" w:type="pct"/>
            <w:tcBorders>
              <w:top w:val="nil"/>
              <w:left w:val="nil"/>
              <w:bottom w:val="single" w:sz="8" w:space="0" w:color="007FAD"/>
              <w:right w:val="nil"/>
            </w:tcBorders>
            <w:shd w:val="clear" w:color="000000" w:fill="FFFFFF"/>
          </w:tcPr>
          <w:p w14:paraId="2B99ED5F" w14:textId="77777777" w:rsidR="00B7688F" w:rsidRPr="008D14BA" w:rsidRDefault="00B7688F" w:rsidP="00B7688F">
            <w:pPr>
              <w:spacing w:before="0" w:after="0" w:line="240" w:lineRule="auto"/>
              <w:rPr>
                <w:color w:val="000000"/>
                <w:sz w:val="20"/>
                <w:lang w:val="en-NZ" w:eastAsia="en-NZ"/>
              </w:rPr>
            </w:pPr>
            <w:r w:rsidRPr="008D14BA">
              <w:rPr>
                <w:sz w:val="20"/>
              </w:rPr>
              <w:t xml:space="preserve">Professor David Fourie </w:t>
            </w:r>
          </w:p>
        </w:tc>
        <w:tc>
          <w:tcPr>
            <w:tcW w:w="1960" w:type="pct"/>
            <w:tcBorders>
              <w:top w:val="nil"/>
              <w:left w:val="nil"/>
              <w:bottom w:val="single" w:sz="8" w:space="0" w:color="007FAD"/>
              <w:right w:val="nil"/>
            </w:tcBorders>
            <w:shd w:val="clear" w:color="000000" w:fill="FFFFFF"/>
          </w:tcPr>
          <w:p w14:paraId="4B341546" w14:textId="77777777" w:rsidR="00B7688F" w:rsidRPr="008D14BA" w:rsidRDefault="00B7688F" w:rsidP="00B7688F">
            <w:pPr>
              <w:spacing w:before="0" w:after="0" w:line="240" w:lineRule="auto"/>
              <w:rPr>
                <w:color w:val="000000"/>
                <w:sz w:val="20"/>
                <w:lang w:val="en-NZ" w:eastAsia="en-NZ"/>
              </w:rPr>
            </w:pPr>
            <w:r>
              <w:rPr>
                <w:color w:val="000000"/>
                <w:sz w:val="20"/>
                <w:lang w:val="en-NZ" w:eastAsia="en-NZ"/>
              </w:rPr>
              <w:t>School of Public Management and Administration</w:t>
            </w:r>
          </w:p>
        </w:tc>
        <w:tc>
          <w:tcPr>
            <w:tcW w:w="1836" w:type="pct"/>
            <w:tcBorders>
              <w:top w:val="nil"/>
              <w:left w:val="nil"/>
              <w:bottom w:val="single" w:sz="8" w:space="0" w:color="007FAD"/>
              <w:right w:val="nil"/>
            </w:tcBorders>
            <w:shd w:val="clear" w:color="000000" w:fill="FFFFFF"/>
          </w:tcPr>
          <w:p w14:paraId="28210E60" w14:textId="77777777" w:rsidR="00B7688F" w:rsidRPr="008D14BA" w:rsidRDefault="00B7688F" w:rsidP="00B7688F">
            <w:pPr>
              <w:spacing w:before="0" w:after="0" w:line="240" w:lineRule="auto"/>
              <w:rPr>
                <w:color w:val="000000"/>
                <w:sz w:val="20"/>
                <w:lang w:val="en-NZ" w:eastAsia="en-NZ"/>
              </w:rPr>
            </w:pPr>
            <w:r w:rsidRPr="008D14BA">
              <w:rPr>
                <w:sz w:val="20"/>
              </w:rPr>
              <w:t>University of Pretoria</w:t>
            </w:r>
          </w:p>
        </w:tc>
      </w:tr>
      <w:tr w:rsidR="00B7688F" w:rsidRPr="008D14BA" w14:paraId="6BF19248" w14:textId="77777777" w:rsidTr="00A93825">
        <w:trPr>
          <w:trHeight w:val="20"/>
        </w:trPr>
        <w:tc>
          <w:tcPr>
            <w:tcW w:w="1204" w:type="pct"/>
            <w:tcBorders>
              <w:top w:val="nil"/>
              <w:left w:val="nil"/>
              <w:bottom w:val="single" w:sz="8" w:space="0" w:color="007FAD"/>
              <w:right w:val="nil"/>
            </w:tcBorders>
          </w:tcPr>
          <w:p w14:paraId="56A171CB" w14:textId="77777777" w:rsidR="00B7688F" w:rsidRPr="008D14BA" w:rsidRDefault="00B7688F" w:rsidP="00B7688F">
            <w:pPr>
              <w:spacing w:before="0" w:after="0" w:line="240" w:lineRule="auto"/>
              <w:rPr>
                <w:color w:val="000000"/>
                <w:sz w:val="20"/>
                <w:lang w:val="en-NZ" w:eastAsia="en-NZ"/>
              </w:rPr>
            </w:pPr>
            <w:r w:rsidRPr="008D14BA">
              <w:rPr>
                <w:sz w:val="20"/>
              </w:rPr>
              <w:t xml:space="preserve">Karen Martin </w:t>
            </w:r>
          </w:p>
        </w:tc>
        <w:tc>
          <w:tcPr>
            <w:tcW w:w="1960" w:type="pct"/>
            <w:tcBorders>
              <w:top w:val="nil"/>
              <w:left w:val="nil"/>
              <w:bottom w:val="single" w:sz="8" w:space="0" w:color="007FAD"/>
              <w:right w:val="nil"/>
            </w:tcBorders>
          </w:tcPr>
          <w:p w14:paraId="0A9768C4" w14:textId="77777777" w:rsidR="00B7688F" w:rsidRPr="008D14BA" w:rsidRDefault="00B7688F" w:rsidP="00B7688F">
            <w:pPr>
              <w:spacing w:before="0" w:after="0" w:line="240" w:lineRule="auto"/>
              <w:rPr>
                <w:color w:val="000000"/>
                <w:sz w:val="20"/>
                <w:lang w:val="en-NZ" w:eastAsia="en-NZ"/>
              </w:rPr>
            </w:pPr>
            <w:r>
              <w:rPr>
                <w:color w:val="000000"/>
                <w:sz w:val="20"/>
                <w:lang w:val="en-NZ" w:eastAsia="en-NZ"/>
              </w:rPr>
              <w:t>Programme Manager</w:t>
            </w:r>
          </w:p>
        </w:tc>
        <w:tc>
          <w:tcPr>
            <w:tcW w:w="1836" w:type="pct"/>
            <w:tcBorders>
              <w:top w:val="nil"/>
              <w:left w:val="nil"/>
              <w:bottom w:val="single" w:sz="8" w:space="0" w:color="007FAD"/>
              <w:right w:val="nil"/>
            </w:tcBorders>
          </w:tcPr>
          <w:p w14:paraId="6D9AEFE2" w14:textId="77777777" w:rsidR="00B7688F" w:rsidRPr="008D14BA" w:rsidRDefault="00B7688F" w:rsidP="00B7688F">
            <w:pPr>
              <w:spacing w:before="0" w:after="0" w:line="240" w:lineRule="auto"/>
              <w:rPr>
                <w:color w:val="000000"/>
                <w:sz w:val="20"/>
                <w:lang w:val="en-NZ" w:eastAsia="en-NZ"/>
              </w:rPr>
            </w:pPr>
            <w:r w:rsidRPr="008D14BA">
              <w:rPr>
                <w:sz w:val="20"/>
              </w:rPr>
              <w:t>Enterprises University of Pretoria</w:t>
            </w:r>
          </w:p>
        </w:tc>
      </w:tr>
      <w:tr w:rsidR="00B7688F" w:rsidRPr="008D14BA" w14:paraId="5932E0B5" w14:textId="77777777" w:rsidTr="00A93825">
        <w:trPr>
          <w:trHeight w:val="20"/>
        </w:trPr>
        <w:tc>
          <w:tcPr>
            <w:tcW w:w="1204" w:type="pct"/>
            <w:tcBorders>
              <w:top w:val="nil"/>
              <w:left w:val="nil"/>
              <w:bottom w:val="single" w:sz="8" w:space="0" w:color="007FAD"/>
              <w:right w:val="nil"/>
            </w:tcBorders>
          </w:tcPr>
          <w:p w14:paraId="2D85C4A0" w14:textId="77777777" w:rsidR="00B7688F" w:rsidRPr="008D14BA" w:rsidRDefault="00B7688F" w:rsidP="00B7688F">
            <w:pPr>
              <w:pStyle w:val="TableText"/>
              <w:rPr>
                <w:color w:val="auto"/>
                <w:sz w:val="20"/>
                <w:szCs w:val="20"/>
              </w:rPr>
            </w:pPr>
            <w:r w:rsidRPr="008D14BA">
              <w:rPr>
                <w:color w:val="auto"/>
                <w:sz w:val="20"/>
                <w:szCs w:val="20"/>
              </w:rPr>
              <w:t xml:space="preserve">Professor Robyn </w:t>
            </w:r>
            <w:proofErr w:type="spellStart"/>
            <w:r w:rsidRPr="008D14BA">
              <w:rPr>
                <w:color w:val="auto"/>
                <w:sz w:val="20"/>
                <w:szCs w:val="20"/>
              </w:rPr>
              <w:t>McConchie</w:t>
            </w:r>
            <w:proofErr w:type="spellEnd"/>
          </w:p>
        </w:tc>
        <w:tc>
          <w:tcPr>
            <w:tcW w:w="1960" w:type="pct"/>
            <w:tcBorders>
              <w:top w:val="nil"/>
              <w:left w:val="nil"/>
              <w:bottom w:val="single" w:sz="8" w:space="0" w:color="007FAD"/>
              <w:right w:val="nil"/>
            </w:tcBorders>
          </w:tcPr>
          <w:p w14:paraId="7FD4FA53" w14:textId="77777777" w:rsidR="00B7688F" w:rsidRPr="008D14BA" w:rsidRDefault="00B7688F" w:rsidP="00B7688F">
            <w:pPr>
              <w:spacing w:before="0" w:after="0" w:line="240" w:lineRule="auto"/>
              <w:rPr>
                <w:color w:val="000000"/>
                <w:sz w:val="20"/>
                <w:lang w:val="en-NZ" w:eastAsia="en-NZ"/>
              </w:rPr>
            </w:pPr>
            <w:r>
              <w:rPr>
                <w:color w:val="000000"/>
                <w:sz w:val="20"/>
                <w:lang w:val="en-NZ" w:eastAsia="en-NZ"/>
              </w:rPr>
              <w:t>Director, ARC Centre for Food Safety in Fresh Produce</w:t>
            </w:r>
          </w:p>
        </w:tc>
        <w:tc>
          <w:tcPr>
            <w:tcW w:w="1836" w:type="pct"/>
            <w:tcBorders>
              <w:top w:val="nil"/>
              <w:left w:val="nil"/>
              <w:bottom w:val="single" w:sz="8" w:space="0" w:color="007FAD"/>
              <w:right w:val="nil"/>
            </w:tcBorders>
          </w:tcPr>
          <w:p w14:paraId="289437F1" w14:textId="77777777" w:rsidR="00B7688F" w:rsidRPr="008D14BA" w:rsidRDefault="00B7688F" w:rsidP="00B7688F">
            <w:pPr>
              <w:spacing w:before="0" w:after="0" w:line="240" w:lineRule="auto"/>
              <w:rPr>
                <w:color w:val="000000"/>
                <w:sz w:val="20"/>
                <w:lang w:val="en-NZ" w:eastAsia="en-NZ"/>
              </w:rPr>
            </w:pPr>
            <w:r w:rsidRPr="008D14BA">
              <w:rPr>
                <w:sz w:val="20"/>
              </w:rPr>
              <w:t>University of Sydney</w:t>
            </w:r>
          </w:p>
        </w:tc>
      </w:tr>
      <w:tr w:rsidR="00B7688F" w:rsidRPr="008D14BA" w14:paraId="34ABE342" w14:textId="77777777" w:rsidTr="00A93825">
        <w:trPr>
          <w:trHeight w:val="20"/>
        </w:trPr>
        <w:tc>
          <w:tcPr>
            <w:tcW w:w="1204" w:type="pct"/>
            <w:tcBorders>
              <w:top w:val="nil"/>
              <w:left w:val="nil"/>
              <w:bottom w:val="single" w:sz="8" w:space="0" w:color="007FAD"/>
              <w:right w:val="nil"/>
            </w:tcBorders>
          </w:tcPr>
          <w:p w14:paraId="0FE35686" w14:textId="77777777" w:rsidR="00B7688F" w:rsidRPr="008D14BA" w:rsidRDefault="00B7688F" w:rsidP="00B7688F">
            <w:pPr>
              <w:spacing w:before="0" w:after="0" w:line="240" w:lineRule="auto"/>
              <w:rPr>
                <w:sz w:val="20"/>
              </w:rPr>
            </w:pPr>
            <w:r w:rsidRPr="008D14BA">
              <w:rPr>
                <w:sz w:val="20"/>
              </w:rPr>
              <w:t xml:space="preserve">Vivian </w:t>
            </w:r>
            <w:proofErr w:type="spellStart"/>
            <w:r w:rsidRPr="008D14BA">
              <w:rPr>
                <w:sz w:val="20"/>
              </w:rPr>
              <w:t>Atieno</w:t>
            </w:r>
            <w:proofErr w:type="spellEnd"/>
          </w:p>
        </w:tc>
        <w:tc>
          <w:tcPr>
            <w:tcW w:w="1960" w:type="pct"/>
            <w:tcBorders>
              <w:top w:val="nil"/>
              <w:left w:val="nil"/>
              <w:bottom w:val="single" w:sz="8" w:space="0" w:color="007FAD"/>
              <w:right w:val="nil"/>
            </w:tcBorders>
          </w:tcPr>
          <w:p w14:paraId="1F7B1332" w14:textId="77777777" w:rsidR="00B7688F" w:rsidRPr="008D14BA" w:rsidRDefault="00B7688F" w:rsidP="00B7688F">
            <w:pPr>
              <w:spacing w:before="0" w:after="0" w:line="240" w:lineRule="auto"/>
              <w:rPr>
                <w:color w:val="000000"/>
                <w:sz w:val="20"/>
                <w:lang w:val="en-NZ" w:eastAsia="en-NZ"/>
              </w:rPr>
            </w:pPr>
            <w:r>
              <w:rPr>
                <w:color w:val="000000"/>
                <w:sz w:val="20"/>
                <w:lang w:val="en-NZ" w:eastAsia="en-NZ"/>
              </w:rPr>
              <w:t>Capacity Building Officer</w:t>
            </w:r>
          </w:p>
        </w:tc>
        <w:tc>
          <w:tcPr>
            <w:tcW w:w="1836" w:type="pct"/>
            <w:tcBorders>
              <w:top w:val="nil"/>
              <w:left w:val="nil"/>
              <w:bottom w:val="single" w:sz="8" w:space="0" w:color="007FAD"/>
              <w:right w:val="nil"/>
            </w:tcBorders>
          </w:tcPr>
          <w:p w14:paraId="4F9C27B3" w14:textId="77777777" w:rsidR="00B7688F" w:rsidRPr="008D14BA" w:rsidRDefault="00B7688F" w:rsidP="00B7688F">
            <w:pPr>
              <w:spacing w:before="0" w:after="0" w:line="240" w:lineRule="auto"/>
              <w:rPr>
                <w:color w:val="000000"/>
                <w:sz w:val="20"/>
                <w:lang w:val="en-NZ" w:eastAsia="en-NZ"/>
              </w:rPr>
            </w:pPr>
            <w:r w:rsidRPr="008D14BA">
              <w:rPr>
                <w:sz w:val="20"/>
              </w:rPr>
              <w:t>African Insect Science for Food and Health (ICIPE)</w:t>
            </w:r>
          </w:p>
        </w:tc>
      </w:tr>
      <w:tr w:rsidR="00B7688F" w:rsidRPr="008D14BA" w14:paraId="6EB9BD06" w14:textId="77777777" w:rsidTr="00A93825">
        <w:trPr>
          <w:trHeight w:val="20"/>
        </w:trPr>
        <w:tc>
          <w:tcPr>
            <w:tcW w:w="1204" w:type="pct"/>
            <w:tcBorders>
              <w:top w:val="nil"/>
              <w:left w:val="nil"/>
              <w:bottom w:val="single" w:sz="8" w:space="0" w:color="007FAD"/>
              <w:right w:val="nil"/>
            </w:tcBorders>
          </w:tcPr>
          <w:p w14:paraId="413A1DAA" w14:textId="77777777" w:rsidR="00B7688F" w:rsidRPr="00D22B48" w:rsidRDefault="00B7688F" w:rsidP="00B7688F">
            <w:pPr>
              <w:spacing w:before="0" w:after="0" w:line="240" w:lineRule="auto"/>
              <w:rPr>
                <w:color w:val="000000"/>
                <w:sz w:val="20"/>
                <w:lang w:val="en-NZ" w:eastAsia="en-NZ"/>
              </w:rPr>
            </w:pPr>
            <w:r w:rsidRPr="00D22B48">
              <w:rPr>
                <w:color w:val="000000"/>
                <w:sz w:val="20"/>
                <w:lang w:val="en-NZ" w:eastAsia="en-NZ"/>
              </w:rPr>
              <w:t xml:space="preserve">Professor Florence </w:t>
            </w:r>
            <w:proofErr w:type="spellStart"/>
            <w:r w:rsidRPr="00D22B48">
              <w:rPr>
                <w:color w:val="000000"/>
                <w:sz w:val="20"/>
                <w:lang w:val="en-NZ" w:eastAsia="en-NZ"/>
              </w:rPr>
              <w:t>Olubayo</w:t>
            </w:r>
            <w:proofErr w:type="spellEnd"/>
          </w:p>
        </w:tc>
        <w:tc>
          <w:tcPr>
            <w:tcW w:w="1960" w:type="pct"/>
            <w:tcBorders>
              <w:top w:val="nil"/>
              <w:left w:val="nil"/>
              <w:bottom w:val="single" w:sz="8" w:space="0" w:color="007FAD"/>
              <w:right w:val="nil"/>
            </w:tcBorders>
          </w:tcPr>
          <w:p w14:paraId="6D90CF8F" w14:textId="77777777" w:rsidR="00B7688F" w:rsidRPr="008D14BA" w:rsidRDefault="00B7688F" w:rsidP="00B7688F">
            <w:pPr>
              <w:spacing w:before="0" w:after="0" w:line="240" w:lineRule="auto"/>
              <w:rPr>
                <w:color w:val="000000"/>
                <w:sz w:val="20"/>
                <w:lang w:val="en-NZ" w:eastAsia="en-NZ"/>
              </w:rPr>
            </w:pPr>
            <w:r>
              <w:rPr>
                <w:color w:val="000000"/>
                <w:sz w:val="20"/>
                <w:lang w:val="en-NZ" w:eastAsia="en-NZ"/>
              </w:rPr>
              <w:t>Agricultural Scientist, Department of Plant Science and Crop Protection</w:t>
            </w:r>
          </w:p>
        </w:tc>
        <w:tc>
          <w:tcPr>
            <w:tcW w:w="1836" w:type="pct"/>
            <w:tcBorders>
              <w:top w:val="nil"/>
              <w:left w:val="nil"/>
              <w:bottom w:val="single" w:sz="8" w:space="0" w:color="007FAD"/>
              <w:right w:val="nil"/>
            </w:tcBorders>
          </w:tcPr>
          <w:p w14:paraId="677781C1" w14:textId="77777777" w:rsidR="00B7688F" w:rsidRPr="008D14BA" w:rsidRDefault="00B7688F" w:rsidP="00B7688F">
            <w:pPr>
              <w:spacing w:before="0" w:after="0" w:line="240" w:lineRule="auto"/>
              <w:rPr>
                <w:color w:val="000000"/>
                <w:sz w:val="20"/>
                <w:lang w:val="en-NZ" w:eastAsia="en-NZ"/>
              </w:rPr>
            </w:pPr>
            <w:r w:rsidRPr="00D22B48">
              <w:rPr>
                <w:color w:val="000000"/>
                <w:sz w:val="20"/>
                <w:lang w:val="en-NZ" w:eastAsia="en-NZ"/>
              </w:rPr>
              <w:t>University of Nairobi</w:t>
            </w:r>
          </w:p>
        </w:tc>
      </w:tr>
      <w:tr w:rsidR="00B7688F" w:rsidRPr="008D14BA" w14:paraId="46951690" w14:textId="77777777" w:rsidTr="00A93825">
        <w:trPr>
          <w:trHeight w:val="20"/>
        </w:trPr>
        <w:tc>
          <w:tcPr>
            <w:tcW w:w="1204" w:type="pct"/>
            <w:tcBorders>
              <w:top w:val="nil"/>
              <w:left w:val="nil"/>
              <w:bottom w:val="single" w:sz="8" w:space="0" w:color="007FAD"/>
              <w:right w:val="nil"/>
            </w:tcBorders>
          </w:tcPr>
          <w:p w14:paraId="66958F4E" w14:textId="77777777" w:rsidR="00B7688F" w:rsidRPr="00D22B48" w:rsidRDefault="00B7688F" w:rsidP="00B7688F">
            <w:pPr>
              <w:spacing w:before="0" w:after="0" w:line="240" w:lineRule="auto"/>
              <w:rPr>
                <w:color w:val="000000"/>
                <w:sz w:val="20"/>
                <w:lang w:val="en-NZ" w:eastAsia="en-NZ"/>
              </w:rPr>
            </w:pPr>
            <w:r w:rsidRPr="00D22B48">
              <w:rPr>
                <w:color w:val="000000"/>
                <w:sz w:val="20"/>
                <w:lang w:val="en-NZ" w:eastAsia="en-NZ"/>
              </w:rPr>
              <w:t>Keith Wilson</w:t>
            </w:r>
          </w:p>
          <w:p w14:paraId="12A7948E" w14:textId="77777777" w:rsidR="00B7688F" w:rsidRPr="00D22B48" w:rsidRDefault="00B7688F" w:rsidP="00B7688F">
            <w:pPr>
              <w:spacing w:before="0" w:after="0" w:line="240" w:lineRule="auto"/>
              <w:rPr>
                <w:color w:val="000000"/>
                <w:sz w:val="20"/>
                <w:lang w:val="en-NZ" w:eastAsia="en-NZ"/>
              </w:rPr>
            </w:pPr>
          </w:p>
        </w:tc>
        <w:tc>
          <w:tcPr>
            <w:tcW w:w="1960" w:type="pct"/>
            <w:tcBorders>
              <w:top w:val="nil"/>
              <w:left w:val="nil"/>
              <w:bottom w:val="single" w:sz="8" w:space="0" w:color="007FAD"/>
              <w:right w:val="nil"/>
            </w:tcBorders>
          </w:tcPr>
          <w:p w14:paraId="41FAD0AC" w14:textId="77777777" w:rsidR="00B7688F" w:rsidRPr="008D14BA" w:rsidRDefault="00B7688F" w:rsidP="00B7688F">
            <w:pPr>
              <w:spacing w:before="0" w:after="0" w:line="240" w:lineRule="auto"/>
              <w:rPr>
                <w:color w:val="000000"/>
                <w:sz w:val="20"/>
                <w:lang w:val="en-NZ" w:eastAsia="en-NZ"/>
              </w:rPr>
            </w:pPr>
            <w:r w:rsidRPr="00D22B48">
              <w:rPr>
                <w:color w:val="000000"/>
                <w:sz w:val="20"/>
                <w:lang w:val="en-NZ" w:eastAsia="en-NZ"/>
              </w:rPr>
              <w:t>Senior International Trade Law Counsellor</w:t>
            </w:r>
            <w:r>
              <w:rPr>
                <w:color w:val="000000"/>
                <w:sz w:val="20"/>
                <w:lang w:val="en-NZ" w:eastAsia="en-NZ"/>
              </w:rPr>
              <w:t xml:space="preserve">, </w:t>
            </w:r>
            <w:r w:rsidRPr="00D22B48">
              <w:rPr>
                <w:color w:val="000000"/>
                <w:sz w:val="20"/>
                <w:lang w:val="en-NZ" w:eastAsia="en-NZ"/>
              </w:rPr>
              <w:t>Institute for International Trade</w:t>
            </w:r>
          </w:p>
        </w:tc>
        <w:tc>
          <w:tcPr>
            <w:tcW w:w="1836" w:type="pct"/>
            <w:tcBorders>
              <w:top w:val="nil"/>
              <w:left w:val="nil"/>
              <w:bottom w:val="single" w:sz="8" w:space="0" w:color="007FAD"/>
              <w:right w:val="nil"/>
            </w:tcBorders>
          </w:tcPr>
          <w:p w14:paraId="4E241C18" w14:textId="77777777" w:rsidR="00B7688F" w:rsidRPr="00D22B48" w:rsidRDefault="00B7688F" w:rsidP="00B7688F">
            <w:pPr>
              <w:spacing w:before="0" w:after="0" w:line="240" w:lineRule="auto"/>
              <w:rPr>
                <w:color w:val="000000"/>
                <w:sz w:val="20"/>
                <w:lang w:val="en-NZ" w:eastAsia="en-NZ"/>
              </w:rPr>
            </w:pPr>
            <w:r w:rsidRPr="00D22B48">
              <w:rPr>
                <w:color w:val="000000"/>
                <w:sz w:val="20"/>
                <w:lang w:val="en-NZ" w:eastAsia="en-NZ"/>
              </w:rPr>
              <w:t>The University of Adelaide</w:t>
            </w:r>
          </w:p>
          <w:p w14:paraId="5A5694BE" w14:textId="77777777" w:rsidR="00B7688F" w:rsidRPr="008D14BA" w:rsidRDefault="00B7688F" w:rsidP="00B7688F">
            <w:pPr>
              <w:spacing w:before="0" w:after="0" w:line="240" w:lineRule="auto"/>
              <w:rPr>
                <w:color w:val="000000"/>
                <w:sz w:val="20"/>
                <w:lang w:val="en-NZ" w:eastAsia="en-NZ"/>
              </w:rPr>
            </w:pPr>
          </w:p>
        </w:tc>
      </w:tr>
    </w:tbl>
    <w:p w14:paraId="608F6E79" w14:textId="77777777" w:rsidR="006A5C6B" w:rsidRDefault="006A5C6B" w:rsidP="006A5C6B"/>
    <w:p w14:paraId="798E01D4" w14:textId="77777777" w:rsidR="004850EF" w:rsidRDefault="004850EF" w:rsidP="004850EF"/>
    <w:p w14:paraId="57E9151B" w14:textId="77777777" w:rsidR="00897D68" w:rsidRDefault="00897D68" w:rsidP="004850EF"/>
    <w:p w14:paraId="23DB86A6" w14:textId="77777777" w:rsidR="004850EF" w:rsidRPr="004850EF" w:rsidRDefault="004850EF" w:rsidP="004850EF"/>
    <w:p w14:paraId="37C95FFA" w14:textId="77777777" w:rsidR="00161B37" w:rsidRDefault="00161B37" w:rsidP="00161B37">
      <w:pPr>
        <w:pStyle w:val="SectionTitle"/>
        <w:rPr>
          <w:noProof/>
        </w:rPr>
      </w:pPr>
      <w:bookmarkStart w:id="44" w:name="_Toc1729529"/>
      <w:r>
        <w:rPr>
          <w:noProof/>
        </w:rPr>
        <w:lastRenderedPageBreak/>
        <w:t xml:space="preserve">Appendix </w:t>
      </w:r>
      <w:r w:rsidR="000601BC">
        <w:rPr>
          <w:noProof/>
        </w:rPr>
        <w:t>C</w:t>
      </w:r>
      <w:r>
        <w:rPr>
          <w:noProof/>
        </w:rPr>
        <w:t xml:space="preserve">: </w:t>
      </w:r>
      <w:r w:rsidR="00437CBE">
        <w:rPr>
          <w:noProof/>
        </w:rPr>
        <w:t>High level r</w:t>
      </w:r>
      <w:r>
        <w:rPr>
          <w:noProof/>
        </w:rPr>
        <w:t>esults</w:t>
      </w:r>
      <w:bookmarkEnd w:id="44"/>
      <w:r>
        <w:rPr>
          <w:noProof/>
        </w:rPr>
        <w:t xml:space="preserve"> </w:t>
      </w:r>
    </w:p>
    <w:p w14:paraId="4373D336" w14:textId="77777777" w:rsidR="00161B37" w:rsidRDefault="00161B37" w:rsidP="00161B37">
      <w:r>
        <w:t>The expe</w:t>
      </w:r>
      <w:r w:rsidRPr="0095418F">
        <w:t>cted results are listed below, with original text or number as per the design in italics in parentheses</w:t>
      </w:r>
      <w:r>
        <w:t xml:space="preserve">. </w:t>
      </w:r>
      <w:r w:rsidR="006B1E8A">
        <w:t xml:space="preserve">The results data included in the table is for the current phase of the Australia Awards in Africa investment (that is, 2016 onwards). </w:t>
      </w:r>
    </w:p>
    <w:p w14:paraId="4D7A8CD8" w14:textId="641A476B" w:rsidR="00161B37" w:rsidRDefault="00161B37" w:rsidP="00161B37">
      <w:r>
        <w:t xml:space="preserve">Unless otherwise indicated the results data in Table </w:t>
      </w:r>
      <w:r w:rsidR="00BF6533">
        <w:t>5</w:t>
      </w:r>
      <w:r>
        <w:t xml:space="preserve"> has been taken from </w:t>
      </w:r>
      <w:r w:rsidR="001C4F76">
        <w:t>excel spreadsheet proved by Palladium to the evaluator in November 2018. T</w:t>
      </w:r>
      <w:r>
        <w:t xml:space="preserve">his results data may differ from more up-to-date results reported by Palladium to DFAT, and as such these results should not be used for official reporting purposes.  </w:t>
      </w:r>
    </w:p>
    <w:p w14:paraId="717A0638" w14:textId="77777777" w:rsidR="00161B37" w:rsidRDefault="007C75B3" w:rsidP="00161B37">
      <w:pPr>
        <w:pStyle w:val="TableName"/>
      </w:pPr>
      <w:bookmarkStart w:id="45" w:name="_Toc527411610"/>
      <w:bookmarkStart w:id="46" w:name="_Toc1729543"/>
      <w:r>
        <w:t xml:space="preserve">Table </w:t>
      </w:r>
      <w:r w:rsidR="00A93825">
        <w:t>5</w:t>
      </w:r>
      <w:r w:rsidR="00161B37">
        <w:tab/>
        <w:t>Progress towards results</w:t>
      </w:r>
      <w:bookmarkEnd w:id="45"/>
      <w:bookmarkEnd w:id="46"/>
    </w:p>
    <w:tbl>
      <w:tblPr>
        <w:tblStyle w:val="TableGrid"/>
        <w:tblW w:w="0" w:type="auto"/>
        <w:tblLook w:val="04A0" w:firstRow="1" w:lastRow="0" w:firstColumn="1" w:lastColumn="0" w:noHBand="0" w:noVBand="1"/>
      </w:tblPr>
      <w:tblGrid>
        <w:gridCol w:w="3488"/>
        <w:gridCol w:w="3489"/>
        <w:gridCol w:w="3489"/>
      </w:tblGrid>
      <w:tr w:rsidR="00BF6533" w:rsidRPr="00BF6533" w14:paraId="728532D6" w14:textId="77777777" w:rsidTr="00BF6533">
        <w:trPr>
          <w:cnfStyle w:val="100000000000" w:firstRow="1" w:lastRow="0" w:firstColumn="0" w:lastColumn="0" w:oddVBand="0" w:evenVBand="0" w:oddHBand="0" w:evenHBand="0" w:firstRowFirstColumn="0" w:firstRowLastColumn="0" w:lastRowFirstColumn="0" w:lastRowLastColumn="0"/>
        </w:trPr>
        <w:tc>
          <w:tcPr>
            <w:tcW w:w="3488" w:type="dxa"/>
          </w:tcPr>
          <w:p w14:paraId="714D84AF" w14:textId="2221D6BC" w:rsidR="00BF6533" w:rsidRPr="00BF6533" w:rsidRDefault="00BF6533" w:rsidP="0075739D">
            <w:pPr>
              <w:pStyle w:val="TableHeading"/>
              <w:rPr>
                <w:szCs w:val="20"/>
              </w:rPr>
            </w:pPr>
            <w:r w:rsidRPr="00BF6533">
              <w:rPr>
                <w:szCs w:val="20"/>
              </w:rPr>
              <w:t>Result statement as per design</w:t>
            </w:r>
          </w:p>
        </w:tc>
        <w:tc>
          <w:tcPr>
            <w:tcW w:w="3489" w:type="dxa"/>
          </w:tcPr>
          <w:p w14:paraId="004E464E" w14:textId="01F284D7" w:rsidR="00BF6533" w:rsidRPr="00BF6533" w:rsidRDefault="00BF6533" w:rsidP="0075739D">
            <w:pPr>
              <w:pStyle w:val="TableHeading"/>
              <w:rPr>
                <w:szCs w:val="20"/>
              </w:rPr>
            </w:pPr>
            <w:r w:rsidRPr="00BF6533">
              <w:rPr>
                <w:szCs w:val="20"/>
              </w:rPr>
              <w:t>Revised results statement</w:t>
            </w:r>
          </w:p>
        </w:tc>
        <w:tc>
          <w:tcPr>
            <w:tcW w:w="3489" w:type="dxa"/>
          </w:tcPr>
          <w:p w14:paraId="45E80E9B" w14:textId="3AF730E0" w:rsidR="00BF6533" w:rsidRPr="00BF6533" w:rsidRDefault="00BF6533" w:rsidP="0075739D">
            <w:pPr>
              <w:pStyle w:val="TableHeading"/>
              <w:rPr>
                <w:szCs w:val="20"/>
              </w:rPr>
            </w:pPr>
            <w:r w:rsidRPr="00BF6533">
              <w:rPr>
                <w:szCs w:val="20"/>
              </w:rPr>
              <w:t xml:space="preserve">Actual results (2016-2018) </w:t>
            </w:r>
          </w:p>
        </w:tc>
      </w:tr>
      <w:tr w:rsidR="00BF6533" w:rsidRPr="00BF6533" w14:paraId="78324C2C" w14:textId="77777777" w:rsidTr="00BF6533">
        <w:tc>
          <w:tcPr>
            <w:tcW w:w="3488" w:type="dxa"/>
          </w:tcPr>
          <w:p w14:paraId="7AFC3679" w14:textId="4C73FDF5" w:rsidR="00BF6533" w:rsidRPr="00BF6533" w:rsidRDefault="00BF6533" w:rsidP="00BF6533">
            <w:pPr>
              <w:rPr>
                <w:b/>
                <w:sz w:val="20"/>
              </w:rPr>
            </w:pPr>
            <w:r w:rsidRPr="00BF6533">
              <w:rPr>
                <w:sz w:val="20"/>
              </w:rPr>
              <w:t xml:space="preserve">Around 400 professionals from Sub-Saharan Africa will have completed a master’s degree from an Australian university, primarily in the agricultural productivity, extractive </w:t>
            </w:r>
            <w:proofErr w:type="gramStart"/>
            <w:r w:rsidRPr="00BF6533">
              <w:rPr>
                <w:sz w:val="20"/>
              </w:rPr>
              <w:t>industries</w:t>
            </w:r>
            <w:proofErr w:type="gramEnd"/>
            <w:r w:rsidRPr="00BF6533">
              <w:rPr>
                <w:sz w:val="20"/>
              </w:rPr>
              <w:t xml:space="preserve"> and public policy sectors.      </w:t>
            </w:r>
          </w:p>
        </w:tc>
        <w:tc>
          <w:tcPr>
            <w:tcW w:w="3489" w:type="dxa"/>
          </w:tcPr>
          <w:p w14:paraId="5518F080" w14:textId="2D47AD6D" w:rsidR="00BF6533" w:rsidRPr="00BF6533" w:rsidRDefault="00BF6533" w:rsidP="00BF6533">
            <w:pPr>
              <w:rPr>
                <w:b/>
                <w:sz w:val="20"/>
              </w:rPr>
            </w:pPr>
            <w:r w:rsidRPr="00BF6533">
              <w:rPr>
                <w:sz w:val="20"/>
              </w:rPr>
              <w:t xml:space="preserve">Around 600 professionals from Sub-Saharan Africa will have completed a master’s degree from an Australian university, primarily in the agricultural productivity, extractive </w:t>
            </w:r>
            <w:proofErr w:type="gramStart"/>
            <w:r w:rsidRPr="00BF6533">
              <w:rPr>
                <w:sz w:val="20"/>
              </w:rPr>
              <w:t>industries</w:t>
            </w:r>
            <w:proofErr w:type="gramEnd"/>
            <w:r w:rsidRPr="00BF6533">
              <w:rPr>
                <w:sz w:val="20"/>
              </w:rPr>
              <w:t xml:space="preserve"> and public policy sectors.      </w:t>
            </w:r>
          </w:p>
        </w:tc>
        <w:tc>
          <w:tcPr>
            <w:tcW w:w="3489" w:type="dxa"/>
            <w:shd w:val="clear" w:color="auto" w:fill="auto"/>
          </w:tcPr>
          <w:p w14:paraId="38C2AE2D" w14:textId="0734009A" w:rsidR="00BF6533" w:rsidRPr="00BF6533" w:rsidRDefault="00BF6533" w:rsidP="00BF6533">
            <w:pPr>
              <w:rPr>
                <w:b/>
                <w:sz w:val="20"/>
              </w:rPr>
            </w:pPr>
            <w:r w:rsidRPr="00BF6533">
              <w:rPr>
                <w:b/>
                <w:sz w:val="20"/>
              </w:rPr>
              <w:t xml:space="preserve">497 scholars (233 </w:t>
            </w:r>
            <w:r w:rsidR="00D91FB3">
              <w:rPr>
                <w:b/>
                <w:sz w:val="20"/>
              </w:rPr>
              <w:t>female</w:t>
            </w:r>
            <w:r w:rsidRPr="00BF6533">
              <w:rPr>
                <w:b/>
                <w:sz w:val="20"/>
              </w:rPr>
              <w:t>/ 264 m</w:t>
            </w:r>
            <w:r w:rsidR="00D91FB3">
              <w:rPr>
                <w:b/>
                <w:sz w:val="20"/>
              </w:rPr>
              <w:t>ale</w:t>
            </w:r>
            <w:r w:rsidRPr="00BF6533">
              <w:rPr>
                <w:b/>
                <w:sz w:val="20"/>
              </w:rPr>
              <w:t xml:space="preserve">) accepted an Australia Awards scholarship over the period 2016-2019. </w:t>
            </w:r>
          </w:p>
          <w:p w14:paraId="1FA0D5AF" w14:textId="77777777" w:rsidR="00BF6533" w:rsidRPr="00BF6533" w:rsidRDefault="00BF6533" w:rsidP="00BF6533">
            <w:pPr>
              <w:rPr>
                <w:sz w:val="20"/>
              </w:rPr>
            </w:pPr>
            <w:r w:rsidRPr="00BF6533">
              <w:rPr>
                <w:sz w:val="20"/>
              </w:rPr>
              <w:t xml:space="preserve">See Appendix D for breakdown of scholars by country, </w:t>
            </w:r>
            <w:proofErr w:type="gramStart"/>
            <w:r w:rsidRPr="00BF6533">
              <w:rPr>
                <w:sz w:val="20"/>
              </w:rPr>
              <w:t>sector</w:t>
            </w:r>
            <w:proofErr w:type="gramEnd"/>
            <w:r w:rsidRPr="00BF6533">
              <w:rPr>
                <w:sz w:val="20"/>
              </w:rPr>
              <w:t xml:space="preserve"> and organisation type.</w:t>
            </w:r>
          </w:p>
        </w:tc>
      </w:tr>
      <w:tr w:rsidR="00BF6533" w:rsidRPr="00BF6533" w14:paraId="477EA3FA" w14:textId="77777777" w:rsidTr="00BF6533">
        <w:tc>
          <w:tcPr>
            <w:tcW w:w="3488" w:type="dxa"/>
          </w:tcPr>
          <w:p w14:paraId="3CA13DA1" w14:textId="0AE19F03" w:rsidR="00BF6533" w:rsidRPr="00BF6533" w:rsidRDefault="00BF6533" w:rsidP="00BF6533">
            <w:pPr>
              <w:rPr>
                <w:b/>
                <w:sz w:val="20"/>
              </w:rPr>
            </w:pPr>
            <w:r w:rsidRPr="00BF6533">
              <w:rPr>
                <w:sz w:val="20"/>
              </w:rPr>
              <w:t xml:space="preserve">Around 800 Africans from government, civil society and the private sector will gain higher-level skills through formal short course studies in Australia and Africa in the target sectors of extractive industries, agricultural </w:t>
            </w:r>
            <w:proofErr w:type="gramStart"/>
            <w:r w:rsidRPr="00BF6533">
              <w:rPr>
                <w:sz w:val="20"/>
              </w:rPr>
              <w:t>productivity</w:t>
            </w:r>
            <w:proofErr w:type="gramEnd"/>
            <w:r w:rsidRPr="00BF6533">
              <w:rPr>
                <w:sz w:val="20"/>
              </w:rPr>
              <w:t xml:space="preserve"> and public policy.       </w:t>
            </w:r>
          </w:p>
        </w:tc>
        <w:tc>
          <w:tcPr>
            <w:tcW w:w="3489" w:type="dxa"/>
          </w:tcPr>
          <w:p w14:paraId="009D1430" w14:textId="679BBCD0" w:rsidR="00BF6533" w:rsidRPr="00BF6533" w:rsidRDefault="00BF6533" w:rsidP="00BF6533">
            <w:pPr>
              <w:rPr>
                <w:b/>
                <w:sz w:val="20"/>
              </w:rPr>
            </w:pPr>
            <w:r w:rsidRPr="00BF6533">
              <w:rPr>
                <w:sz w:val="20"/>
              </w:rPr>
              <w:t xml:space="preserve">Around 1,200 Africans from government, civil society and the private sector will gain higher-level skills through formal short course studies in Australia and Africa.       </w:t>
            </w:r>
          </w:p>
        </w:tc>
        <w:tc>
          <w:tcPr>
            <w:tcW w:w="3489" w:type="dxa"/>
            <w:shd w:val="clear" w:color="auto" w:fill="auto"/>
          </w:tcPr>
          <w:p w14:paraId="10C616E4" w14:textId="2EF994D4" w:rsidR="00BF6533" w:rsidRPr="00BF6533" w:rsidRDefault="00BF6533" w:rsidP="00BF6533">
            <w:pPr>
              <w:rPr>
                <w:b/>
                <w:sz w:val="20"/>
              </w:rPr>
            </w:pPr>
            <w:r w:rsidRPr="00BF6533">
              <w:rPr>
                <w:b/>
                <w:sz w:val="20"/>
              </w:rPr>
              <w:t xml:space="preserve">704 Africans (308 </w:t>
            </w:r>
            <w:r w:rsidR="00D91FB3">
              <w:rPr>
                <w:b/>
                <w:sz w:val="20"/>
              </w:rPr>
              <w:t>female</w:t>
            </w:r>
            <w:r w:rsidRPr="00BF6533">
              <w:rPr>
                <w:b/>
                <w:sz w:val="20"/>
              </w:rPr>
              <w:t>/ 396 m</w:t>
            </w:r>
            <w:r w:rsidR="00D91FB3">
              <w:rPr>
                <w:b/>
                <w:sz w:val="20"/>
              </w:rPr>
              <w:t>ale</w:t>
            </w:r>
            <w:r w:rsidRPr="00BF6533">
              <w:rPr>
                <w:b/>
                <w:sz w:val="20"/>
              </w:rPr>
              <w:t>) completed a short course over the period 2016-2018.</w:t>
            </w:r>
          </w:p>
          <w:p w14:paraId="1A68F4A8" w14:textId="77777777" w:rsidR="00BF6533" w:rsidRPr="00BF6533" w:rsidRDefault="00BF6533" w:rsidP="00BF6533">
            <w:pPr>
              <w:rPr>
                <w:sz w:val="20"/>
              </w:rPr>
            </w:pPr>
            <w:r w:rsidRPr="00BF6533">
              <w:rPr>
                <w:sz w:val="20"/>
              </w:rPr>
              <w:t xml:space="preserve">See Appendix D for breakdown of participants by country, </w:t>
            </w:r>
            <w:proofErr w:type="gramStart"/>
            <w:r w:rsidRPr="00BF6533">
              <w:rPr>
                <w:sz w:val="20"/>
              </w:rPr>
              <w:t>sector</w:t>
            </w:r>
            <w:proofErr w:type="gramEnd"/>
            <w:r w:rsidRPr="00BF6533">
              <w:rPr>
                <w:sz w:val="20"/>
              </w:rPr>
              <w:t xml:space="preserve"> and organisation type.</w:t>
            </w:r>
          </w:p>
        </w:tc>
      </w:tr>
      <w:tr w:rsidR="00BF6533" w:rsidRPr="00BF6533" w14:paraId="4B84F74D" w14:textId="77777777" w:rsidTr="00BF6533">
        <w:tc>
          <w:tcPr>
            <w:tcW w:w="3488" w:type="dxa"/>
          </w:tcPr>
          <w:p w14:paraId="60658A94" w14:textId="4B880967" w:rsidR="00BF6533" w:rsidRPr="00BF6533" w:rsidRDefault="00BF6533" w:rsidP="00BF6533">
            <w:pPr>
              <w:rPr>
                <w:sz w:val="20"/>
              </w:rPr>
            </w:pPr>
            <w:r w:rsidRPr="00BF6533">
              <w:rPr>
                <w:sz w:val="20"/>
              </w:rPr>
              <w:t>Up to 6,000 Sub-Saharan African alumni of an Australia Awards program will be able to access alumni professional development activities, either in person or online</w:t>
            </w:r>
          </w:p>
        </w:tc>
        <w:tc>
          <w:tcPr>
            <w:tcW w:w="3489" w:type="dxa"/>
          </w:tcPr>
          <w:p w14:paraId="42DC1BE2" w14:textId="19CC3E8B" w:rsidR="00BF6533" w:rsidRPr="00BF6533" w:rsidRDefault="00BF6533" w:rsidP="00BF6533">
            <w:pPr>
              <w:rPr>
                <w:sz w:val="20"/>
              </w:rPr>
            </w:pPr>
            <w:r w:rsidRPr="00BF6533">
              <w:rPr>
                <w:sz w:val="20"/>
              </w:rPr>
              <w:t xml:space="preserve">Over 4,000 Sub-Saharan African Alumni of the Australia Awards program will have access to Alumni networks. </w:t>
            </w:r>
          </w:p>
        </w:tc>
        <w:tc>
          <w:tcPr>
            <w:tcW w:w="3489" w:type="dxa"/>
          </w:tcPr>
          <w:p w14:paraId="32824B06" w14:textId="251C1EF3" w:rsidR="00BF6533" w:rsidRPr="00BF6533" w:rsidRDefault="00BF6533" w:rsidP="00BF6533">
            <w:pPr>
              <w:rPr>
                <w:sz w:val="20"/>
              </w:rPr>
            </w:pPr>
            <w:r w:rsidRPr="00BF6533">
              <w:rPr>
                <w:sz w:val="20"/>
              </w:rPr>
              <w:t>As at July 2018 Palladium reported</w:t>
            </w:r>
            <w:r w:rsidRPr="00BF6533">
              <w:rPr>
                <w:b/>
                <w:sz w:val="20"/>
              </w:rPr>
              <w:t xml:space="preserve"> 6,542 alumni were registered on the database</w:t>
            </w:r>
            <w:r w:rsidRPr="00BF6533">
              <w:rPr>
                <w:sz w:val="20"/>
              </w:rPr>
              <w:t xml:space="preserve"> (and hence contactable to participate in any professional development activities that may be made available).  </w:t>
            </w:r>
          </w:p>
        </w:tc>
      </w:tr>
      <w:tr w:rsidR="00BF6533" w:rsidRPr="00BF6533" w14:paraId="6C04CD45" w14:textId="77777777" w:rsidTr="00BF6533">
        <w:tc>
          <w:tcPr>
            <w:tcW w:w="3488" w:type="dxa"/>
          </w:tcPr>
          <w:p w14:paraId="471021CF" w14:textId="77777777" w:rsidR="00BF6533" w:rsidRPr="00BF6533" w:rsidRDefault="00BF6533" w:rsidP="00BF6533">
            <w:pPr>
              <w:rPr>
                <w:sz w:val="20"/>
              </w:rPr>
            </w:pPr>
            <w:r w:rsidRPr="00BF6533">
              <w:rPr>
                <w:sz w:val="20"/>
              </w:rPr>
              <w:t xml:space="preserve">Gender parity in Awards delivered will be achieved and people with disability will be actively supported. </w:t>
            </w:r>
          </w:p>
        </w:tc>
        <w:tc>
          <w:tcPr>
            <w:tcW w:w="3489" w:type="dxa"/>
          </w:tcPr>
          <w:p w14:paraId="0BA26951" w14:textId="478BDF9E" w:rsidR="00BF6533" w:rsidRPr="00BF6533" w:rsidRDefault="00BF6533" w:rsidP="00BF6533">
            <w:pPr>
              <w:rPr>
                <w:b/>
                <w:sz w:val="20"/>
              </w:rPr>
            </w:pPr>
            <w:r w:rsidRPr="00BF6533">
              <w:rPr>
                <w:sz w:val="20"/>
              </w:rPr>
              <w:t xml:space="preserve">Gender parity in Awards delivered will be achieved and people with disability will be actively supported. </w:t>
            </w:r>
          </w:p>
        </w:tc>
        <w:tc>
          <w:tcPr>
            <w:tcW w:w="3489" w:type="dxa"/>
          </w:tcPr>
          <w:p w14:paraId="50EDDE10" w14:textId="112676A6" w:rsidR="00BF6533" w:rsidRPr="00BF6533" w:rsidRDefault="00BF6533" w:rsidP="00BF6533">
            <w:pPr>
              <w:rPr>
                <w:b/>
                <w:sz w:val="20"/>
              </w:rPr>
            </w:pPr>
            <w:r w:rsidRPr="00BF6533">
              <w:rPr>
                <w:b/>
                <w:sz w:val="20"/>
              </w:rPr>
              <w:t>Except for Australia Awards Scholarship Intake 2018, more men have been offered Australia Awards scholarships (2016-2019) and short course awards (2016-2018).</w:t>
            </w:r>
          </w:p>
          <w:p w14:paraId="506CD9D0" w14:textId="77777777" w:rsidR="00BF6533" w:rsidRPr="00BF6533" w:rsidRDefault="00BF6533" w:rsidP="00BF6533">
            <w:pPr>
              <w:rPr>
                <w:sz w:val="20"/>
              </w:rPr>
            </w:pPr>
            <w:bookmarkStart w:id="47" w:name="_Hlk528490969"/>
            <w:r w:rsidRPr="00BF6533">
              <w:rPr>
                <w:b/>
                <w:sz w:val="20"/>
              </w:rPr>
              <w:t>Percentages of PWD participating in Australia Awards in Africa remain lower than the informal target rate of 3-5%</w:t>
            </w:r>
            <w:r w:rsidRPr="00BF6533">
              <w:rPr>
                <w:sz w:val="20"/>
              </w:rPr>
              <w:t xml:space="preserve">: 2011 -1 per cent; 2012 -1 per cent; 2013 – 2 per cent; 2014 – 3 per cent; 2015 – 4 per cent; 2016 – 2 per </w:t>
            </w:r>
            <w:r w:rsidRPr="00BF6533">
              <w:rPr>
                <w:sz w:val="20"/>
              </w:rPr>
              <w:lastRenderedPageBreak/>
              <w:t>cent; 2017 – 3 per cent; 2018 – 1 per cent</w:t>
            </w:r>
            <w:bookmarkEnd w:id="47"/>
          </w:p>
          <w:p w14:paraId="7AECDDC5" w14:textId="5493B27F" w:rsidR="00BF6533" w:rsidRPr="00BF6533" w:rsidRDefault="00BF6533" w:rsidP="00BF6533">
            <w:pPr>
              <w:rPr>
                <w:b/>
                <w:sz w:val="20"/>
              </w:rPr>
            </w:pPr>
            <w:r w:rsidRPr="00BF6533">
              <w:rPr>
                <w:sz w:val="20"/>
              </w:rPr>
              <w:t>Over the period July 2016 – July 2018, $</w:t>
            </w:r>
            <w:r w:rsidRPr="00BF6533">
              <w:t xml:space="preserve">9,352.95 was dispensed under the Gender Equality Fund to benefit 18 people. Over the same period, $20,427.47 was dispensed under the Disability Equity and Access Fund to benefit 9 people.  See Appendix J for further detail. </w:t>
            </w:r>
          </w:p>
        </w:tc>
      </w:tr>
      <w:tr w:rsidR="00BF6533" w:rsidRPr="00BF6533" w14:paraId="08813328" w14:textId="77777777" w:rsidTr="00BF6533">
        <w:tc>
          <w:tcPr>
            <w:tcW w:w="3488" w:type="dxa"/>
          </w:tcPr>
          <w:p w14:paraId="0F43AFE7" w14:textId="78317FCF" w:rsidR="00BF6533" w:rsidRPr="00BF6533" w:rsidRDefault="00BF6533" w:rsidP="00BF6533">
            <w:pPr>
              <w:rPr>
                <w:sz w:val="20"/>
              </w:rPr>
            </w:pPr>
            <w:r w:rsidRPr="00BF6533">
              <w:rPr>
                <w:sz w:val="20"/>
              </w:rPr>
              <w:lastRenderedPageBreak/>
              <w:t xml:space="preserve">Alumni associations will be present in over 10 Sub-Saharan African countries. </w:t>
            </w:r>
          </w:p>
        </w:tc>
        <w:tc>
          <w:tcPr>
            <w:tcW w:w="3489" w:type="dxa"/>
          </w:tcPr>
          <w:p w14:paraId="0583CD44" w14:textId="03D40787" w:rsidR="00BF6533" w:rsidRPr="00BF6533" w:rsidRDefault="00BF6533" w:rsidP="00BF6533">
            <w:pPr>
              <w:rPr>
                <w:sz w:val="20"/>
              </w:rPr>
            </w:pPr>
            <w:r w:rsidRPr="00BF6533">
              <w:rPr>
                <w:sz w:val="20"/>
              </w:rPr>
              <w:t xml:space="preserve">Alumni associations will be present in over 20 Sub-Saharan African countries. </w:t>
            </w:r>
          </w:p>
        </w:tc>
        <w:tc>
          <w:tcPr>
            <w:tcW w:w="3489" w:type="dxa"/>
          </w:tcPr>
          <w:p w14:paraId="32BFF0AF" w14:textId="70AF05F0" w:rsidR="00BF6533" w:rsidRPr="00BF6533" w:rsidRDefault="00BF6533" w:rsidP="00BF6533">
            <w:pPr>
              <w:rPr>
                <w:sz w:val="20"/>
              </w:rPr>
            </w:pPr>
            <w:bookmarkStart w:id="48" w:name="_Hlk534869"/>
            <w:r w:rsidRPr="00BF6533">
              <w:rPr>
                <w:sz w:val="20"/>
              </w:rPr>
              <w:t xml:space="preserve">As </w:t>
            </w:r>
            <w:proofErr w:type="gramStart"/>
            <w:r w:rsidRPr="00BF6533">
              <w:rPr>
                <w:sz w:val="20"/>
              </w:rPr>
              <w:t>at</w:t>
            </w:r>
            <w:proofErr w:type="gramEnd"/>
            <w:r w:rsidRPr="00BF6533">
              <w:rPr>
                <w:sz w:val="20"/>
              </w:rPr>
              <w:t xml:space="preserve"> July 2018, Palladium reported</w:t>
            </w:r>
            <w:r w:rsidRPr="00BF6533">
              <w:rPr>
                <w:b/>
                <w:sz w:val="20"/>
              </w:rPr>
              <w:t xml:space="preserve"> 19 Alumni Associations with operational structures were formally registered</w:t>
            </w:r>
            <w:r w:rsidRPr="00BF6533">
              <w:rPr>
                <w:sz w:val="20"/>
              </w:rPr>
              <w:t xml:space="preserve">.  </w:t>
            </w:r>
            <w:bookmarkEnd w:id="48"/>
          </w:p>
        </w:tc>
      </w:tr>
      <w:tr w:rsidR="00BF6533" w:rsidRPr="00BF6533" w14:paraId="3A0C60AC" w14:textId="77777777" w:rsidTr="00BF6533">
        <w:tc>
          <w:tcPr>
            <w:tcW w:w="3488" w:type="dxa"/>
          </w:tcPr>
          <w:p w14:paraId="5F94473E" w14:textId="4FC393F9" w:rsidR="00BF6533" w:rsidRPr="00BF6533" w:rsidRDefault="00BF6533" w:rsidP="00BF6533">
            <w:pPr>
              <w:rPr>
                <w:b/>
                <w:sz w:val="20"/>
              </w:rPr>
            </w:pPr>
            <w:r w:rsidRPr="00BF6533">
              <w:rPr>
                <w:sz w:val="20"/>
              </w:rPr>
              <w:t xml:space="preserve">Alumni, their work colleagues, and their social networks will have a better knowledge of Australia and its commitment to poverty reduction, economic growth, and equitable access for women. </w:t>
            </w:r>
          </w:p>
        </w:tc>
        <w:tc>
          <w:tcPr>
            <w:tcW w:w="3489" w:type="dxa"/>
          </w:tcPr>
          <w:p w14:paraId="6BBB9A48" w14:textId="1E012A21" w:rsidR="00BF6533" w:rsidRPr="00BF6533" w:rsidRDefault="00BF6533" w:rsidP="00BF6533">
            <w:pPr>
              <w:rPr>
                <w:sz w:val="20"/>
              </w:rPr>
            </w:pPr>
            <w:r w:rsidRPr="00BF6533">
              <w:rPr>
                <w:sz w:val="20"/>
              </w:rPr>
              <w:t xml:space="preserve">Alumni, their work colleagues, and their social networks will have a better knowledge of Australia and its commitment to inclusive economic growth for Africa </w:t>
            </w:r>
          </w:p>
        </w:tc>
        <w:tc>
          <w:tcPr>
            <w:tcW w:w="3489" w:type="dxa"/>
          </w:tcPr>
          <w:p w14:paraId="567DFAD3" w14:textId="036B74DA" w:rsidR="00BF6533" w:rsidRPr="00BF6533" w:rsidRDefault="00BF6533" w:rsidP="00BF6533">
            <w:pPr>
              <w:rPr>
                <w:sz w:val="20"/>
              </w:rPr>
            </w:pPr>
            <w:r w:rsidRPr="00BF6533">
              <w:rPr>
                <w:sz w:val="20"/>
              </w:rPr>
              <w:t>It is not clear to the evaluation how this result is to be measured and where data would be reported. This</w:t>
            </w:r>
            <w:r>
              <w:rPr>
                <w:sz w:val="20"/>
              </w:rPr>
              <w:t xml:space="preserve"> results statement</w:t>
            </w:r>
            <w:r w:rsidRPr="00BF6533">
              <w:rPr>
                <w:sz w:val="20"/>
              </w:rPr>
              <w:t xml:space="preserve"> could </w:t>
            </w:r>
            <w:r>
              <w:rPr>
                <w:sz w:val="20"/>
              </w:rPr>
              <w:t>be removed.</w:t>
            </w:r>
            <w:r w:rsidRPr="00BF6533">
              <w:rPr>
                <w:sz w:val="20"/>
              </w:rPr>
              <w:t xml:space="preserve"> </w:t>
            </w:r>
          </w:p>
        </w:tc>
      </w:tr>
      <w:tr w:rsidR="00BF6533" w:rsidRPr="00BF6533" w14:paraId="30B3DC15" w14:textId="77777777" w:rsidTr="00BF6533">
        <w:tc>
          <w:tcPr>
            <w:tcW w:w="3488" w:type="dxa"/>
          </w:tcPr>
          <w:p w14:paraId="07E56F2B" w14:textId="77777777" w:rsidR="00BF6533" w:rsidRPr="00BF6533" w:rsidRDefault="00BF6533" w:rsidP="00BF6533">
            <w:pPr>
              <w:rPr>
                <w:b/>
                <w:sz w:val="20"/>
              </w:rPr>
            </w:pPr>
            <w:r w:rsidRPr="00BF6533">
              <w:rPr>
                <w:sz w:val="20"/>
              </w:rPr>
              <w:t xml:space="preserve">Australia’s international status and its reputation as a provider of quality education and training will be significantly enhanced.    </w:t>
            </w:r>
          </w:p>
        </w:tc>
        <w:tc>
          <w:tcPr>
            <w:tcW w:w="3489" w:type="dxa"/>
          </w:tcPr>
          <w:p w14:paraId="73E1D365" w14:textId="17CD4D1B" w:rsidR="00BF6533" w:rsidRPr="00BF6533" w:rsidRDefault="00BF6533" w:rsidP="00BF6533">
            <w:pPr>
              <w:rPr>
                <w:sz w:val="20"/>
              </w:rPr>
            </w:pPr>
            <w:r w:rsidRPr="00BF6533">
              <w:rPr>
                <w:sz w:val="20"/>
              </w:rPr>
              <w:t xml:space="preserve">Australia’s international status and its reputation as a provider of quality education and training will be significantly enhanced.    </w:t>
            </w:r>
          </w:p>
        </w:tc>
        <w:tc>
          <w:tcPr>
            <w:tcW w:w="3489" w:type="dxa"/>
          </w:tcPr>
          <w:p w14:paraId="07E67F72" w14:textId="171AA2BC" w:rsidR="00BF6533" w:rsidRPr="00BF6533" w:rsidRDefault="00BF6533" w:rsidP="00BF6533">
            <w:pPr>
              <w:rPr>
                <w:sz w:val="20"/>
              </w:rPr>
            </w:pPr>
            <w:r w:rsidRPr="00BF6533">
              <w:rPr>
                <w:sz w:val="20"/>
              </w:rPr>
              <w:t xml:space="preserve">Data reported by Palladium indicates little difference between 2016-2018 data on the estimated number of African students studying in Australia (figures are ~7,200 – 7,250). </w:t>
            </w:r>
          </w:p>
        </w:tc>
      </w:tr>
    </w:tbl>
    <w:p w14:paraId="7F0ED6C9" w14:textId="77777777" w:rsidR="00161B37" w:rsidRPr="00872442" w:rsidRDefault="00161B37" w:rsidP="00161B37"/>
    <w:p w14:paraId="7752CFF5" w14:textId="77777777" w:rsidR="0082608C" w:rsidRDefault="000601BC" w:rsidP="000601BC">
      <w:pPr>
        <w:pStyle w:val="SectionTitle"/>
        <w:rPr>
          <w:noProof/>
        </w:rPr>
      </w:pPr>
      <w:bookmarkStart w:id="49" w:name="_Toc1729530"/>
      <w:r>
        <w:rPr>
          <w:noProof/>
        </w:rPr>
        <w:lastRenderedPageBreak/>
        <w:t>Appendix D: Summary of key data</w:t>
      </w:r>
      <w:bookmarkEnd w:id="49"/>
    </w:p>
    <w:p w14:paraId="3F00DC6B" w14:textId="77777777" w:rsidR="00BE104E" w:rsidRDefault="000601BC" w:rsidP="00BE104E">
      <w:pPr>
        <w:pStyle w:val="FigureName"/>
      </w:pPr>
      <w:r>
        <w:rPr>
          <w:noProof/>
        </w:rPr>
        <w:t xml:space="preserve">  </w:t>
      </w:r>
      <w:bookmarkStart w:id="50" w:name="_Toc531699550"/>
      <w:bookmarkStart w:id="51" w:name="_Toc1729552"/>
      <w:r w:rsidR="00BE104E" w:rsidRPr="00BE104E">
        <w:t xml:space="preserve">Figure </w:t>
      </w:r>
      <w:r w:rsidR="00F54625">
        <w:t>3</w:t>
      </w:r>
      <w:r w:rsidR="00BE104E" w:rsidRPr="00BE104E">
        <w:t xml:space="preserve"> </w:t>
      </w:r>
      <w:r w:rsidR="00BE104E" w:rsidRPr="00BE104E">
        <w:tab/>
        <w:t>Participation of people with disability, and disability-related courses, 2011 - 2018</w:t>
      </w:r>
      <w:bookmarkEnd w:id="50"/>
      <w:bookmarkEnd w:id="51"/>
      <w:r w:rsidR="00BE104E">
        <w:t xml:space="preserve"> </w:t>
      </w:r>
    </w:p>
    <w:p w14:paraId="1F14DCCD" w14:textId="77777777" w:rsidR="00BE104E" w:rsidRDefault="00BE104E" w:rsidP="00BE104E">
      <w:r>
        <w:rPr>
          <w:noProof/>
        </w:rPr>
        <w:drawing>
          <wp:inline distT="0" distB="0" distL="0" distR="0" wp14:anchorId="7E52E3B5" wp14:editId="4CF68845">
            <wp:extent cx="5731510" cy="2947481"/>
            <wp:effectExtent l="0" t="0" r="2540" b="5715"/>
            <wp:docPr id="4" name="Chart 4">
              <a:extLst xmlns:a="http://schemas.openxmlformats.org/drawingml/2006/main">
                <a:ext uri="{FF2B5EF4-FFF2-40B4-BE49-F238E27FC236}">
                  <a16:creationId xmlns:a16="http://schemas.microsoft.com/office/drawing/2014/main" id="{2A7E5541-4375-4182-AD28-3A5655B047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675579" w14:textId="19981A0E" w:rsidR="00BE104E" w:rsidRDefault="00BE104E" w:rsidP="00BE104E">
      <w:pPr>
        <w:pStyle w:val="FigureName"/>
      </w:pPr>
      <w:bookmarkStart w:id="52" w:name="_Toc527411618"/>
      <w:bookmarkStart w:id="53" w:name="_Toc531699553"/>
      <w:bookmarkStart w:id="54" w:name="_Toc1729553"/>
      <w:r w:rsidRPr="00BE104E">
        <w:t xml:space="preserve">Figure </w:t>
      </w:r>
      <w:r w:rsidR="00F54625">
        <w:t>4</w:t>
      </w:r>
      <w:r w:rsidRPr="00BE104E">
        <w:tab/>
        <w:t xml:space="preserve">Australia Awards Scholarship </w:t>
      </w:r>
      <w:r w:rsidR="00AB7FF1">
        <w:t>scholar</w:t>
      </w:r>
      <w:r w:rsidRPr="00BE104E">
        <w:t>s by country of citizenship, 2016 -2019</w:t>
      </w:r>
      <w:bookmarkEnd w:id="52"/>
      <w:bookmarkEnd w:id="53"/>
      <w:bookmarkEnd w:id="54"/>
    </w:p>
    <w:p w14:paraId="5D46FB37" w14:textId="77777777" w:rsidR="00BE104E" w:rsidRPr="00DA32AA" w:rsidRDefault="00BE104E" w:rsidP="00EB2F4A">
      <w:pPr>
        <w:ind w:left="-426"/>
      </w:pPr>
      <w:r>
        <w:rPr>
          <w:noProof/>
        </w:rPr>
        <w:drawing>
          <wp:inline distT="0" distB="0" distL="0" distR="0" wp14:anchorId="28D6A01A" wp14:editId="4CC8C18A">
            <wp:extent cx="6912000" cy="3498574"/>
            <wp:effectExtent l="0" t="0" r="3175" b="6985"/>
            <wp:docPr id="5" name="Chart 5">
              <a:extLst xmlns:a="http://schemas.openxmlformats.org/drawingml/2006/main">
                <a:ext uri="{FF2B5EF4-FFF2-40B4-BE49-F238E27FC236}">
                  <a16:creationId xmlns:a16="http://schemas.microsoft.com/office/drawing/2014/main" id="{F5EBC184-AE8D-4249-9034-A09516903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205B5B" w14:textId="77777777" w:rsidR="00BE104E" w:rsidRDefault="00BE104E" w:rsidP="00BE104E"/>
    <w:p w14:paraId="7F5D5486" w14:textId="76EFEAF5" w:rsidR="00BE104E" w:rsidRDefault="00BE104E" w:rsidP="00BE104E">
      <w:pPr>
        <w:pStyle w:val="FigureName"/>
      </w:pPr>
      <w:bookmarkStart w:id="55" w:name="_Toc527411617"/>
      <w:bookmarkStart w:id="56" w:name="_Toc531699552"/>
      <w:bookmarkStart w:id="57" w:name="_Toc1729554"/>
      <w:r w:rsidRPr="00BE104E">
        <w:lastRenderedPageBreak/>
        <w:t xml:space="preserve">Figure </w:t>
      </w:r>
      <w:r w:rsidR="00F54625">
        <w:t>5</w:t>
      </w:r>
      <w:r w:rsidRPr="00BE104E">
        <w:tab/>
        <w:t xml:space="preserve">Short course </w:t>
      </w:r>
      <w:r w:rsidR="00AB7FF1">
        <w:t>participants</w:t>
      </w:r>
      <w:r w:rsidRPr="00BE104E">
        <w:t xml:space="preserve"> by country of citizenship, 2016 -2018</w:t>
      </w:r>
      <w:bookmarkEnd w:id="55"/>
      <w:bookmarkEnd w:id="56"/>
      <w:bookmarkEnd w:id="57"/>
      <w:r>
        <w:t xml:space="preserve"> </w:t>
      </w:r>
    </w:p>
    <w:p w14:paraId="3A8087CD" w14:textId="77777777" w:rsidR="00BE104E" w:rsidRDefault="00BE104E" w:rsidP="00C96EBE">
      <w:r>
        <w:rPr>
          <w:noProof/>
        </w:rPr>
        <w:drawing>
          <wp:inline distT="0" distB="0" distL="0" distR="0" wp14:anchorId="4CB59889" wp14:editId="6DA98B98">
            <wp:extent cx="6876000" cy="2743200"/>
            <wp:effectExtent l="0" t="0" r="1270" b="0"/>
            <wp:docPr id="6" name="Chart 6">
              <a:extLst xmlns:a="http://schemas.openxmlformats.org/drawingml/2006/main">
                <a:ext uri="{FF2B5EF4-FFF2-40B4-BE49-F238E27FC236}">
                  <a16:creationId xmlns:a16="http://schemas.microsoft.com/office/drawing/2014/main" id="{65F6315D-7E10-4A58-B651-2264B5DE4D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E68555" w14:textId="77777777" w:rsidR="00BE104E" w:rsidRDefault="00BE104E" w:rsidP="00BE104E"/>
    <w:p w14:paraId="7996011E" w14:textId="77777777" w:rsidR="00BE104E" w:rsidRDefault="00BE104E" w:rsidP="00BE104E">
      <w:pPr>
        <w:pStyle w:val="TableName"/>
      </w:pPr>
      <w:bookmarkStart w:id="58" w:name="_Toc1729544"/>
      <w:bookmarkStart w:id="59" w:name="_Hlk535668158"/>
      <w:r w:rsidRPr="00BE104E">
        <w:t xml:space="preserve">Table </w:t>
      </w:r>
      <w:r w:rsidR="00A93825">
        <w:t>6</w:t>
      </w:r>
      <w:r w:rsidRPr="00BE104E">
        <w:tab/>
        <w:t>Australia Awards Scholarships by priority sector and gender, Intakes 2016 – 2019</w:t>
      </w:r>
      <w:bookmarkEnd w:id="58"/>
    </w:p>
    <w:tbl>
      <w:tblPr>
        <w:tblStyle w:val="TableGrid"/>
        <w:tblW w:w="5000" w:type="pct"/>
        <w:tblLook w:val="04A0" w:firstRow="1" w:lastRow="0" w:firstColumn="1" w:lastColumn="0" w:noHBand="0" w:noVBand="1"/>
      </w:tblPr>
      <w:tblGrid>
        <w:gridCol w:w="2766"/>
        <w:gridCol w:w="488"/>
        <w:gridCol w:w="488"/>
        <w:gridCol w:w="760"/>
        <w:gridCol w:w="488"/>
        <w:gridCol w:w="488"/>
        <w:gridCol w:w="760"/>
        <w:gridCol w:w="488"/>
        <w:gridCol w:w="488"/>
        <w:gridCol w:w="760"/>
        <w:gridCol w:w="488"/>
        <w:gridCol w:w="488"/>
        <w:gridCol w:w="758"/>
        <w:gridCol w:w="758"/>
      </w:tblGrid>
      <w:tr w:rsidR="00BE104E" w:rsidRPr="008E37ED" w14:paraId="14A86F0F" w14:textId="77777777" w:rsidTr="00A93825">
        <w:trPr>
          <w:cnfStyle w:val="100000000000" w:firstRow="1" w:lastRow="0" w:firstColumn="0" w:lastColumn="0" w:oddVBand="0" w:evenVBand="0" w:oddHBand="0" w:evenHBand="0" w:firstRowFirstColumn="0" w:firstRowLastColumn="0" w:lastRowFirstColumn="0" w:lastRowLastColumn="0"/>
          <w:trHeight w:val="300"/>
        </w:trPr>
        <w:tc>
          <w:tcPr>
            <w:tcW w:w="1322" w:type="pct"/>
            <w:noWrap/>
            <w:hideMark/>
          </w:tcPr>
          <w:p w14:paraId="0AB5C3D4" w14:textId="77777777" w:rsidR="00BE104E" w:rsidRPr="008E37ED" w:rsidRDefault="00BE104E" w:rsidP="00A93825">
            <w:pPr>
              <w:spacing w:before="0" w:after="0" w:line="240" w:lineRule="auto"/>
              <w:rPr>
                <w:sz w:val="20"/>
                <w:lang w:val="en-NZ" w:eastAsia="en-NZ"/>
              </w:rPr>
            </w:pPr>
            <w:r w:rsidRPr="008E37ED">
              <w:rPr>
                <w:b/>
                <w:bCs/>
                <w:color w:val="000000"/>
                <w:sz w:val="22"/>
                <w:szCs w:val="22"/>
                <w:lang w:val="en-NZ" w:eastAsia="en-NZ"/>
              </w:rPr>
              <w:t>Priority Sector</w:t>
            </w:r>
          </w:p>
        </w:tc>
        <w:tc>
          <w:tcPr>
            <w:tcW w:w="829" w:type="pct"/>
            <w:gridSpan w:val="3"/>
            <w:noWrap/>
          </w:tcPr>
          <w:p w14:paraId="7A264D17" w14:textId="77777777" w:rsidR="00BE104E" w:rsidRPr="008E37ED" w:rsidRDefault="00BE104E" w:rsidP="00A93825">
            <w:pPr>
              <w:spacing w:before="0" w:after="0" w:line="240" w:lineRule="auto"/>
              <w:jc w:val="center"/>
              <w:rPr>
                <w:b/>
                <w:bCs/>
                <w:color w:val="000000"/>
                <w:sz w:val="22"/>
                <w:szCs w:val="22"/>
                <w:lang w:val="en-NZ" w:eastAsia="en-NZ"/>
              </w:rPr>
            </w:pPr>
            <w:r w:rsidRPr="008E37ED">
              <w:rPr>
                <w:b/>
                <w:bCs/>
                <w:color w:val="000000"/>
                <w:sz w:val="22"/>
                <w:szCs w:val="22"/>
                <w:lang w:val="en-NZ" w:eastAsia="en-NZ"/>
              </w:rPr>
              <w:t>2016</w:t>
            </w:r>
          </w:p>
        </w:tc>
        <w:tc>
          <w:tcPr>
            <w:tcW w:w="829" w:type="pct"/>
            <w:gridSpan w:val="3"/>
            <w:noWrap/>
            <w:hideMark/>
          </w:tcPr>
          <w:p w14:paraId="2A686A96" w14:textId="77777777" w:rsidR="00BE104E" w:rsidRPr="008E37ED" w:rsidRDefault="00BE104E" w:rsidP="00A93825">
            <w:pPr>
              <w:spacing w:before="0" w:after="0" w:line="240" w:lineRule="auto"/>
              <w:jc w:val="center"/>
              <w:rPr>
                <w:b/>
                <w:bCs/>
                <w:color w:val="000000"/>
                <w:sz w:val="22"/>
                <w:szCs w:val="22"/>
                <w:lang w:val="en-NZ" w:eastAsia="en-NZ"/>
              </w:rPr>
            </w:pPr>
            <w:r w:rsidRPr="008E37ED">
              <w:rPr>
                <w:b/>
                <w:bCs/>
                <w:color w:val="000000"/>
                <w:sz w:val="22"/>
                <w:szCs w:val="22"/>
                <w:lang w:val="en-NZ" w:eastAsia="en-NZ"/>
              </w:rPr>
              <w:t>2017</w:t>
            </w:r>
          </w:p>
        </w:tc>
        <w:tc>
          <w:tcPr>
            <w:tcW w:w="829" w:type="pct"/>
            <w:gridSpan w:val="3"/>
            <w:noWrap/>
            <w:hideMark/>
          </w:tcPr>
          <w:p w14:paraId="02CDC075" w14:textId="77777777" w:rsidR="00BE104E" w:rsidRPr="008E37ED" w:rsidRDefault="00BE104E" w:rsidP="00A93825">
            <w:pPr>
              <w:spacing w:before="0" w:after="0" w:line="240" w:lineRule="auto"/>
              <w:jc w:val="center"/>
              <w:rPr>
                <w:b/>
                <w:bCs/>
                <w:color w:val="000000"/>
                <w:sz w:val="22"/>
                <w:szCs w:val="22"/>
                <w:lang w:val="en-NZ" w:eastAsia="en-NZ"/>
              </w:rPr>
            </w:pPr>
            <w:r w:rsidRPr="008E37ED">
              <w:rPr>
                <w:b/>
                <w:bCs/>
                <w:color w:val="000000"/>
                <w:sz w:val="22"/>
                <w:szCs w:val="22"/>
                <w:lang w:val="en-NZ" w:eastAsia="en-NZ"/>
              </w:rPr>
              <w:t>2018</w:t>
            </w:r>
          </w:p>
        </w:tc>
        <w:tc>
          <w:tcPr>
            <w:tcW w:w="828" w:type="pct"/>
            <w:gridSpan w:val="3"/>
            <w:noWrap/>
            <w:hideMark/>
          </w:tcPr>
          <w:p w14:paraId="2A5CF251" w14:textId="77777777" w:rsidR="00BE104E" w:rsidRPr="008E37ED" w:rsidRDefault="00BE104E" w:rsidP="00A93825">
            <w:pPr>
              <w:spacing w:before="0" w:after="0" w:line="240" w:lineRule="auto"/>
              <w:jc w:val="center"/>
              <w:rPr>
                <w:b/>
                <w:bCs/>
                <w:color w:val="000000"/>
                <w:sz w:val="22"/>
                <w:szCs w:val="22"/>
                <w:lang w:val="en-NZ" w:eastAsia="en-NZ"/>
              </w:rPr>
            </w:pPr>
            <w:r w:rsidRPr="008E37ED">
              <w:rPr>
                <w:b/>
                <w:bCs/>
                <w:color w:val="000000"/>
                <w:sz w:val="22"/>
                <w:szCs w:val="22"/>
                <w:lang w:val="en-NZ" w:eastAsia="en-NZ"/>
              </w:rPr>
              <w:t>2019</w:t>
            </w:r>
          </w:p>
        </w:tc>
        <w:tc>
          <w:tcPr>
            <w:tcW w:w="362" w:type="pct"/>
            <w:noWrap/>
            <w:hideMark/>
          </w:tcPr>
          <w:p w14:paraId="4AC8CE8A" w14:textId="77777777" w:rsidR="00BE104E" w:rsidRPr="008E37ED" w:rsidRDefault="00BE104E" w:rsidP="00A93825">
            <w:pPr>
              <w:spacing w:before="0" w:after="0" w:line="240" w:lineRule="auto"/>
              <w:rPr>
                <w:b/>
                <w:bCs/>
                <w:color w:val="000000"/>
                <w:sz w:val="22"/>
                <w:szCs w:val="22"/>
                <w:lang w:val="en-NZ" w:eastAsia="en-NZ"/>
              </w:rPr>
            </w:pPr>
            <w:r w:rsidRPr="008E37ED">
              <w:rPr>
                <w:b/>
                <w:bCs/>
                <w:color w:val="000000"/>
                <w:sz w:val="22"/>
                <w:szCs w:val="22"/>
                <w:lang w:val="en-NZ" w:eastAsia="en-NZ"/>
              </w:rPr>
              <w:t>Total</w:t>
            </w:r>
          </w:p>
        </w:tc>
      </w:tr>
      <w:tr w:rsidR="00BE104E" w:rsidRPr="008E37ED" w14:paraId="6CF890CF" w14:textId="77777777" w:rsidTr="00A93825">
        <w:trPr>
          <w:trHeight w:val="300"/>
        </w:trPr>
        <w:tc>
          <w:tcPr>
            <w:tcW w:w="1322" w:type="pct"/>
            <w:noWrap/>
            <w:hideMark/>
          </w:tcPr>
          <w:p w14:paraId="1CB94DA5" w14:textId="77777777" w:rsidR="00BE104E" w:rsidRPr="008E37ED" w:rsidRDefault="00BE104E" w:rsidP="00A93825">
            <w:pPr>
              <w:spacing w:before="0" w:after="0" w:line="240" w:lineRule="auto"/>
              <w:rPr>
                <w:b/>
                <w:bCs/>
                <w:color w:val="000000"/>
                <w:sz w:val="22"/>
                <w:szCs w:val="22"/>
                <w:lang w:val="en-NZ" w:eastAsia="en-NZ"/>
              </w:rPr>
            </w:pPr>
          </w:p>
        </w:tc>
        <w:tc>
          <w:tcPr>
            <w:tcW w:w="233" w:type="pct"/>
            <w:noWrap/>
            <w:hideMark/>
          </w:tcPr>
          <w:p w14:paraId="0BE47974"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F</w:t>
            </w:r>
          </w:p>
        </w:tc>
        <w:tc>
          <w:tcPr>
            <w:tcW w:w="233" w:type="pct"/>
            <w:noWrap/>
            <w:hideMark/>
          </w:tcPr>
          <w:p w14:paraId="571407B1"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M</w:t>
            </w:r>
          </w:p>
        </w:tc>
        <w:tc>
          <w:tcPr>
            <w:tcW w:w="363" w:type="pct"/>
            <w:noWrap/>
            <w:hideMark/>
          </w:tcPr>
          <w:p w14:paraId="3678061D" w14:textId="77777777" w:rsidR="00BE104E" w:rsidRPr="008E37ED" w:rsidRDefault="00BE104E" w:rsidP="00A93825">
            <w:pPr>
              <w:spacing w:before="0" w:after="0" w:line="240" w:lineRule="auto"/>
              <w:rPr>
                <w:bCs/>
                <w:color w:val="000000"/>
                <w:sz w:val="22"/>
                <w:szCs w:val="22"/>
                <w:lang w:val="en-NZ" w:eastAsia="en-NZ"/>
              </w:rPr>
            </w:pPr>
            <w:r w:rsidRPr="008E37ED">
              <w:rPr>
                <w:bCs/>
                <w:color w:val="000000"/>
                <w:sz w:val="22"/>
                <w:szCs w:val="22"/>
                <w:lang w:val="en-NZ" w:eastAsia="en-NZ"/>
              </w:rPr>
              <w:t>Total</w:t>
            </w:r>
          </w:p>
        </w:tc>
        <w:tc>
          <w:tcPr>
            <w:tcW w:w="233" w:type="pct"/>
            <w:noWrap/>
            <w:hideMark/>
          </w:tcPr>
          <w:p w14:paraId="358F6732"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F</w:t>
            </w:r>
          </w:p>
        </w:tc>
        <w:tc>
          <w:tcPr>
            <w:tcW w:w="233" w:type="pct"/>
            <w:noWrap/>
            <w:hideMark/>
          </w:tcPr>
          <w:p w14:paraId="5976A8C7"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M</w:t>
            </w:r>
          </w:p>
        </w:tc>
        <w:tc>
          <w:tcPr>
            <w:tcW w:w="363" w:type="pct"/>
            <w:noWrap/>
            <w:hideMark/>
          </w:tcPr>
          <w:p w14:paraId="3835BC4D" w14:textId="77777777" w:rsidR="00BE104E" w:rsidRPr="008E37ED" w:rsidRDefault="00BE104E" w:rsidP="00A93825">
            <w:pPr>
              <w:spacing w:before="0" w:after="0" w:line="240" w:lineRule="auto"/>
              <w:rPr>
                <w:bCs/>
                <w:color w:val="000000"/>
                <w:sz w:val="22"/>
                <w:szCs w:val="22"/>
                <w:lang w:val="en-NZ" w:eastAsia="en-NZ"/>
              </w:rPr>
            </w:pPr>
            <w:r w:rsidRPr="008E37ED">
              <w:rPr>
                <w:bCs/>
                <w:color w:val="000000"/>
                <w:sz w:val="22"/>
                <w:szCs w:val="22"/>
                <w:lang w:val="en-NZ" w:eastAsia="en-NZ"/>
              </w:rPr>
              <w:t>Total</w:t>
            </w:r>
          </w:p>
        </w:tc>
        <w:tc>
          <w:tcPr>
            <w:tcW w:w="233" w:type="pct"/>
            <w:noWrap/>
            <w:hideMark/>
          </w:tcPr>
          <w:p w14:paraId="00859FEE"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F</w:t>
            </w:r>
          </w:p>
        </w:tc>
        <w:tc>
          <w:tcPr>
            <w:tcW w:w="233" w:type="pct"/>
            <w:noWrap/>
            <w:hideMark/>
          </w:tcPr>
          <w:p w14:paraId="21552BA7"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M</w:t>
            </w:r>
          </w:p>
        </w:tc>
        <w:tc>
          <w:tcPr>
            <w:tcW w:w="363" w:type="pct"/>
            <w:noWrap/>
            <w:hideMark/>
          </w:tcPr>
          <w:p w14:paraId="5B78765E" w14:textId="77777777" w:rsidR="00BE104E" w:rsidRPr="008E37ED" w:rsidRDefault="00BE104E" w:rsidP="00A93825">
            <w:pPr>
              <w:spacing w:before="0" w:after="0" w:line="240" w:lineRule="auto"/>
              <w:rPr>
                <w:bCs/>
                <w:color w:val="000000"/>
                <w:sz w:val="22"/>
                <w:szCs w:val="22"/>
                <w:lang w:val="en-NZ" w:eastAsia="en-NZ"/>
              </w:rPr>
            </w:pPr>
            <w:r w:rsidRPr="008E37ED">
              <w:rPr>
                <w:bCs/>
                <w:color w:val="000000"/>
                <w:sz w:val="22"/>
                <w:szCs w:val="22"/>
                <w:lang w:val="en-NZ" w:eastAsia="en-NZ"/>
              </w:rPr>
              <w:t>Total</w:t>
            </w:r>
          </w:p>
        </w:tc>
        <w:tc>
          <w:tcPr>
            <w:tcW w:w="233" w:type="pct"/>
            <w:noWrap/>
            <w:hideMark/>
          </w:tcPr>
          <w:p w14:paraId="3761CB2E"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F</w:t>
            </w:r>
          </w:p>
        </w:tc>
        <w:tc>
          <w:tcPr>
            <w:tcW w:w="233" w:type="pct"/>
            <w:noWrap/>
            <w:hideMark/>
          </w:tcPr>
          <w:p w14:paraId="3DBC6965"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M</w:t>
            </w:r>
          </w:p>
        </w:tc>
        <w:tc>
          <w:tcPr>
            <w:tcW w:w="362" w:type="pct"/>
            <w:noWrap/>
            <w:hideMark/>
          </w:tcPr>
          <w:p w14:paraId="00241EB0" w14:textId="77777777" w:rsidR="00BE104E" w:rsidRPr="008E37ED" w:rsidRDefault="00BE104E" w:rsidP="00A93825">
            <w:pPr>
              <w:spacing w:before="0" w:after="0" w:line="240" w:lineRule="auto"/>
              <w:rPr>
                <w:bCs/>
                <w:color w:val="000000"/>
                <w:sz w:val="22"/>
                <w:szCs w:val="22"/>
                <w:lang w:val="en-NZ" w:eastAsia="en-NZ"/>
              </w:rPr>
            </w:pPr>
            <w:r w:rsidRPr="008E37ED">
              <w:rPr>
                <w:bCs/>
                <w:color w:val="000000"/>
                <w:sz w:val="22"/>
                <w:szCs w:val="22"/>
                <w:lang w:val="en-NZ" w:eastAsia="en-NZ"/>
              </w:rPr>
              <w:t>Total</w:t>
            </w:r>
          </w:p>
        </w:tc>
        <w:tc>
          <w:tcPr>
            <w:tcW w:w="362" w:type="pct"/>
            <w:noWrap/>
            <w:hideMark/>
          </w:tcPr>
          <w:p w14:paraId="04B9F4FF" w14:textId="77777777" w:rsidR="00BE104E" w:rsidRPr="008E37ED" w:rsidRDefault="00BE104E" w:rsidP="00A93825">
            <w:pPr>
              <w:spacing w:before="0" w:after="0" w:line="240" w:lineRule="auto"/>
              <w:rPr>
                <w:sz w:val="20"/>
                <w:lang w:val="en-NZ" w:eastAsia="en-NZ"/>
              </w:rPr>
            </w:pPr>
          </w:p>
        </w:tc>
      </w:tr>
      <w:tr w:rsidR="00BE104E" w:rsidRPr="008E37ED" w14:paraId="61756F18" w14:textId="77777777" w:rsidTr="00A93825">
        <w:trPr>
          <w:trHeight w:val="300"/>
        </w:trPr>
        <w:tc>
          <w:tcPr>
            <w:tcW w:w="1322" w:type="pct"/>
            <w:noWrap/>
            <w:hideMark/>
          </w:tcPr>
          <w:p w14:paraId="16D849ED"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Agriculture</w:t>
            </w:r>
          </w:p>
        </w:tc>
        <w:tc>
          <w:tcPr>
            <w:tcW w:w="233" w:type="pct"/>
            <w:noWrap/>
            <w:hideMark/>
          </w:tcPr>
          <w:p w14:paraId="0298CC03"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5</w:t>
            </w:r>
          </w:p>
        </w:tc>
        <w:tc>
          <w:tcPr>
            <w:tcW w:w="233" w:type="pct"/>
            <w:noWrap/>
            <w:hideMark/>
          </w:tcPr>
          <w:p w14:paraId="3AD74A6F"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8</w:t>
            </w:r>
          </w:p>
        </w:tc>
        <w:tc>
          <w:tcPr>
            <w:tcW w:w="363" w:type="pct"/>
            <w:noWrap/>
            <w:hideMark/>
          </w:tcPr>
          <w:p w14:paraId="704F58C5"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13</w:t>
            </w:r>
          </w:p>
        </w:tc>
        <w:tc>
          <w:tcPr>
            <w:tcW w:w="233" w:type="pct"/>
            <w:noWrap/>
            <w:hideMark/>
          </w:tcPr>
          <w:p w14:paraId="2F0D633F"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12</w:t>
            </w:r>
          </w:p>
        </w:tc>
        <w:tc>
          <w:tcPr>
            <w:tcW w:w="233" w:type="pct"/>
            <w:noWrap/>
            <w:hideMark/>
          </w:tcPr>
          <w:p w14:paraId="2FA52E19"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26</w:t>
            </w:r>
          </w:p>
        </w:tc>
        <w:tc>
          <w:tcPr>
            <w:tcW w:w="363" w:type="pct"/>
            <w:noWrap/>
            <w:hideMark/>
          </w:tcPr>
          <w:p w14:paraId="6EE6301F"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38</w:t>
            </w:r>
          </w:p>
        </w:tc>
        <w:tc>
          <w:tcPr>
            <w:tcW w:w="233" w:type="pct"/>
            <w:noWrap/>
            <w:hideMark/>
          </w:tcPr>
          <w:p w14:paraId="0FD11A90"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17</w:t>
            </w:r>
          </w:p>
        </w:tc>
        <w:tc>
          <w:tcPr>
            <w:tcW w:w="233" w:type="pct"/>
            <w:noWrap/>
            <w:hideMark/>
          </w:tcPr>
          <w:p w14:paraId="63F4BF2E"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26</w:t>
            </w:r>
          </w:p>
        </w:tc>
        <w:tc>
          <w:tcPr>
            <w:tcW w:w="363" w:type="pct"/>
            <w:noWrap/>
            <w:hideMark/>
          </w:tcPr>
          <w:p w14:paraId="3F5742BE"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43</w:t>
            </w:r>
          </w:p>
        </w:tc>
        <w:tc>
          <w:tcPr>
            <w:tcW w:w="233" w:type="pct"/>
            <w:noWrap/>
            <w:hideMark/>
          </w:tcPr>
          <w:p w14:paraId="11A8569B"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20</w:t>
            </w:r>
          </w:p>
        </w:tc>
        <w:tc>
          <w:tcPr>
            <w:tcW w:w="233" w:type="pct"/>
            <w:noWrap/>
            <w:hideMark/>
          </w:tcPr>
          <w:p w14:paraId="020F3B26"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31</w:t>
            </w:r>
          </w:p>
        </w:tc>
        <w:tc>
          <w:tcPr>
            <w:tcW w:w="362" w:type="pct"/>
            <w:noWrap/>
            <w:hideMark/>
          </w:tcPr>
          <w:p w14:paraId="1D5CD52F"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51</w:t>
            </w:r>
          </w:p>
        </w:tc>
        <w:tc>
          <w:tcPr>
            <w:tcW w:w="362" w:type="pct"/>
            <w:noWrap/>
            <w:hideMark/>
          </w:tcPr>
          <w:p w14:paraId="0D6B1E48"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145</w:t>
            </w:r>
          </w:p>
        </w:tc>
      </w:tr>
      <w:tr w:rsidR="00BE104E" w:rsidRPr="008E37ED" w14:paraId="44A86ABF" w14:textId="77777777" w:rsidTr="00A93825">
        <w:trPr>
          <w:trHeight w:val="300"/>
        </w:trPr>
        <w:tc>
          <w:tcPr>
            <w:tcW w:w="1322" w:type="pct"/>
            <w:noWrap/>
            <w:hideMark/>
          </w:tcPr>
          <w:p w14:paraId="7133DBBC"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Disability</w:t>
            </w:r>
          </w:p>
        </w:tc>
        <w:tc>
          <w:tcPr>
            <w:tcW w:w="233" w:type="pct"/>
            <w:noWrap/>
            <w:hideMark/>
          </w:tcPr>
          <w:p w14:paraId="6D81AA57" w14:textId="77777777" w:rsidR="00BE104E" w:rsidRPr="008E37ED" w:rsidRDefault="00BE104E" w:rsidP="00A93825">
            <w:pPr>
              <w:spacing w:before="0" w:after="0" w:line="240" w:lineRule="auto"/>
              <w:rPr>
                <w:i/>
                <w:color w:val="000000"/>
                <w:sz w:val="22"/>
                <w:szCs w:val="22"/>
                <w:lang w:val="en-NZ" w:eastAsia="en-NZ"/>
              </w:rPr>
            </w:pPr>
          </w:p>
        </w:tc>
        <w:tc>
          <w:tcPr>
            <w:tcW w:w="233" w:type="pct"/>
            <w:noWrap/>
            <w:hideMark/>
          </w:tcPr>
          <w:p w14:paraId="2270ACF1" w14:textId="77777777" w:rsidR="00BE104E" w:rsidRPr="008E37ED" w:rsidRDefault="00BE104E" w:rsidP="00A93825">
            <w:pPr>
              <w:spacing w:before="0" w:after="0" w:line="240" w:lineRule="auto"/>
              <w:rPr>
                <w:i/>
                <w:sz w:val="20"/>
                <w:lang w:val="en-NZ" w:eastAsia="en-NZ"/>
              </w:rPr>
            </w:pPr>
          </w:p>
        </w:tc>
        <w:tc>
          <w:tcPr>
            <w:tcW w:w="363" w:type="pct"/>
            <w:noWrap/>
            <w:hideMark/>
          </w:tcPr>
          <w:p w14:paraId="57A74B3A" w14:textId="77777777" w:rsidR="00BE104E" w:rsidRPr="008E37ED" w:rsidRDefault="00BE104E" w:rsidP="00A93825">
            <w:pPr>
              <w:spacing w:before="0" w:after="0" w:line="240" w:lineRule="auto"/>
              <w:rPr>
                <w:sz w:val="20"/>
                <w:lang w:val="en-NZ" w:eastAsia="en-NZ"/>
              </w:rPr>
            </w:pPr>
          </w:p>
        </w:tc>
        <w:tc>
          <w:tcPr>
            <w:tcW w:w="233" w:type="pct"/>
            <w:noWrap/>
            <w:hideMark/>
          </w:tcPr>
          <w:p w14:paraId="47FDDA52" w14:textId="77777777" w:rsidR="00BE104E" w:rsidRPr="008E37ED" w:rsidRDefault="00BE104E" w:rsidP="00A93825">
            <w:pPr>
              <w:spacing w:before="0" w:after="0" w:line="240" w:lineRule="auto"/>
              <w:rPr>
                <w:i/>
                <w:sz w:val="20"/>
                <w:lang w:val="en-NZ" w:eastAsia="en-NZ"/>
              </w:rPr>
            </w:pPr>
          </w:p>
        </w:tc>
        <w:tc>
          <w:tcPr>
            <w:tcW w:w="233" w:type="pct"/>
            <w:noWrap/>
            <w:hideMark/>
          </w:tcPr>
          <w:p w14:paraId="70AD44FE" w14:textId="77777777" w:rsidR="00BE104E" w:rsidRPr="008E37ED" w:rsidRDefault="00BE104E" w:rsidP="00A93825">
            <w:pPr>
              <w:spacing w:before="0" w:after="0" w:line="240" w:lineRule="auto"/>
              <w:rPr>
                <w:i/>
                <w:sz w:val="20"/>
                <w:lang w:val="en-NZ" w:eastAsia="en-NZ"/>
              </w:rPr>
            </w:pPr>
          </w:p>
        </w:tc>
        <w:tc>
          <w:tcPr>
            <w:tcW w:w="363" w:type="pct"/>
            <w:noWrap/>
            <w:hideMark/>
          </w:tcPr>
          <w:p w14:paraId="423CAFDF" w14:textId="77777777" w:rsidR="00BE104E" w:rsidRPr="008E37ED" w:rsidRDefault="00BE104E" w:rsidP="00A93825">
            <w:pPr>
              <w:spacing w:before="0" w:after="0" w:line="240" w:lineRule="auto"/>
              <w:rPr>
                <w:sz w:val="20"/>
                <w:lang w:val="en-NZ" w:eastAsia="en-NZ"/>
              </w:rPr>
            </w:pPr>
          </w:p>
        </w:tc>
        <w:tc>
          <w:tcPr>
            <w:tcW w:w="233" w:type="pct"/>
            <w:noWrap/>
            <w:hideMark/>
          </w:tcPr>
          <w:p w14:paraId="2D33D18F" w14:textId="77777777" w:rsidR="00BE104E" w:rsidRPr="008E37ED" w:rsidRDefault="00BE104E" w:rsidP="00A93825">
            <w:pPr>
              <w:spacing w:before="0" w:after="0" w:line="240" w:lineRule="auto"/>
              <w:rPr>
                <w:i/>
                <w:sz w:val="20"/>
                <w:lang w:val="en-NZ" w:eastAsia="en-NZ"/>
              </w:rPr>
            </w:pPr>
          </w:p>
        </w:tc>
        <w:tc>
          <w:tcPr>
            <w:tcW w:w="233" w:type="pct"/>
            <w:noWrap/>
            <w:hideMark/>
          </w:tcPr>
          <w:p w14:paraId="37FB22BB"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w:t>
            </w:r>
          </w:p>
        </w:tc>
        <w:tc>
          <w:tcPr>
            <w:tcW w:w="363" w:type="pct"/>
            <w:noWrap/>
            <w:hideMark/>
          </w:tcPr>
          <w:p w14:paraId="38703A39"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w:t>
            </w:r>
          </w:p>
        </w:tc>
        <w:tc>
          <w:tcPr>
            <w:tcW w:w="233" w:type="pct"/>
            <w:noWrap/>
            <w:hideMark/>
          </w:tcPr>
          <w:p w14:paraId="447671D3" w14:textId="77777777" w:rsidR="00BE104E" w:rsidRPr="008E37ED" w:rsidRDefault="00BE104E" w:rsidP="00A93825">
            <w:pPr>
              <w:spacing w:before="0" w:after="0" w:line="240" w:lineRule="auto"/>
              <w:rPr>
                <w:i/>
                <w:color w:val="000000"/>
                <w:sz w:val="22"/>
                <w:szCs w:val="22"/>
                <w:lang w:val="en-NZ" w:eastAsia="en-NZ"/>
              </w:rPr>
            </w:pPr>
          </w:p>
        </w:tc>
        <w:tc>
          <w:tcPr>
            <w:tcW w:w="233" w:type="pct"/>
            <w:noWrap/>
            <w:hideMark/>
          </w:tcPr>
          <w:p w14:paraId="0EF992AF"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w:t>
            </w:r>
          </w:p>
        </w:tc>
        <w:tc>
          <w:tcPr>
            <w:tcW w:w="362" w:type="pct"/>
            <w:noWrap/>
            <w:hideMark/>
          </w:tcPr>
          <w:p w14:paraId="177CEDB0"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w:t>
            </w:r>
          </w:p>
        </w:tc>
        <w:tc>
          <w:tcPr>
            <w:tcW w:w="362" w:type="pct"/>
            <w:noWrap/>
            <w:hideMark/>
          </w:tcPr>
          <w:p w14:paraId="2EB72F90"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2</w:t>
            </w:r>
          </w:p>
        </w:tc>
      </w:tr>
      <w:tr w:rsidR="00BE104E" w:rsidRPr="008E37ED" w14:paraId="26D1C2BD" w14:textId="77777777" w:rsidTr="00A93825">
        <w:trPr>
          <w:trHeight w:val="300"/>
        </w:trPr>
        <w:tc>
          <w:tcPr>
            <w:tcW w:w="1322" w:type="pct"/>
            <w:noWrap/>
            <w:hideMark/>
          </w:tcPr>
          <w:p w14:paraId="0C140D83"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Education</w:t>
            </w:r>
          </w:p>
        </w:tc>
        <w:tc>
          <w:tcPr>
            <w:tcW w:w="233" w:type="pct"/>
            <w:noWrap/>
            <w:hideMark/>
          </w:tcPr>
          <w:p w14:paraId="7857122F" w14:textId="77777777" w:rsidR="00BE104E" w:rsidRPr="008E37ED" w:rsidRDefault="00BE104E" w:rsidP="00A93825">
            <w:pPr>
              <w:spacing w:before="0" w:after="0" w:line="240" w:lineRule="auto"/>
              <w:rPr>
                <w:i/>
                <w:color w:val="000000"/>
                <w:sz w:val="22"/>
                <w:szCs w:val="22"/>
                <w:lang w:val="en-NZ" w:eastAsia="en-NZ"/>
              </w:rPr>
            </w:pPr>
          </w:p>
        </w:tc>
        <w:tc>
          <w:tcPr>
            <w:tcW w:w="233" w:type="pct"/>
            <w:noWrap/>
            <w:hideMark/>
          </w:tcPr>
          <w:p w14:paraId="3F618CBC" w14:textId="77777777" w:rsidR="00BE104E" w:rsidRPr="008E37ED" w:rsidRDefault="00BE104E" w:rsidP="00A93825">
            <w:pPr>
              <w:spacing w:before="0" w:after="0" w:line="240" w:lineRule="auto"/>
              <w:rPr>
                <w:i/>
                <w:sz w:val="20"/>
                <w:lang w:val="en-NZ" w:eastAsia="en-NZ"/>
              </w:rPr>
            </w:pPr>
          </w:p>
        </w:tc>
        <w:tc>
          <w:tcPr>
            <w:tcW w:w="363" w:type="pct"/>
            <w:noWrap/>
            <w:hideMark/>
          </w:tcPr>
          <w:p w14:paraId="1C60E549" w14:textId="77777777" w:rsidR="00BE104E" w:rsidRPr="008E37ED" w:rsidRDefault="00BE104E" w:rsidP="00A93825">
            <w:pPr>
              <w:spacing w:before="0" w:after="0" w:line="240" w:lineRule="auto"/>
              <w:rPr>
                <w:sz w:val="20"/>
                <w:lang w:val="en-NZ" w:eastAsia="en-NZ"/>
              </w:rPr>
            </w:pPr>
          </w:p>
        </w:tc>
        <w:tc>
          <w:tcPr>
            <w:tcW w:w="233" w:type="pct"/>
            <w:noWrap/>
            <w:hideMark/>
          </w:tcPr>
          <w:p w14:paraId="4C48E4F4"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w:t>
            </w:r>
          </w:p>
        </w:tc>
        <w:tc>
          <w:tcPr>
            <w:tcW w:w="233" w:type="pct"/>
            <w:noWrap/>
            <w:hideMark/>
          </w:tcPr>
          <w:p w14:paraId="238450C4"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w:t>
            </w:r>
          </w:p>
        </w:tc>
        <w:tc>
          <w:tcPr>
            <w:tcW w:w="363" w:type="pct"/>
            <w:noWrap/>
            <w:hideMark/>
          </w:tcPr>
          <w:p w14:paraId="261B26CD"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3</w:t>
            </w:r>
          </w:p>
        </w:tc>
        <w:tc>
          <w:tcPr>
            <w:tcW w:w="233" w:type="pct"/>
            <w:noWrap/>
            <w:hideMark/>
          </w:tcPr>
          <w:p w14:paraId="7AAC57C4"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9</w:t>
            </w:r>
          </w:p>
        </w:tc>
        <w:tc>
          <w:tcPr>
            <w:tcW w:w="233" w:type="pct"/>
            <w:noWrap/>
            <w:hideMark/>
          </w:tcPr>
          <w:p w14:paraId="40AFFD7A"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w:t>
            </w:r>
          </w:p>
        </w:tc>
        <w:tc>
          <w:tcPr>
            <w:tcW w:w="363" w:type="pct"/>
            <w:noWrap/>
            <w:hideMark/>
          </w:tcPr>
          <w:p w14:paraId="3A9C1427"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10</w:t>
            </w:r>
          </w:p>
        </w:tc>
        <w:tc>
          <w:tcPr>
            <w:tcW w:w="233" w:type="pct"/>
            <w:noWrap/>
            <w:hideMark/>
          </w:tcPr>
          <w:p w14:paraId="10BDE60D"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3</w:t>
            </w:r>
          </w:p>
        </w:tc>
        <w:tc>
          <w:tcPr>
            <w:tcW w:w="233" w:type="pct"/>
            <w:noWrap/>
            <w:hideMark/>
          </w:tcPr>
          <w:p w14:paraId="602F37F1"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4</w:t>
            </w:r>
          </w:p>
        </w:tc>
        <w:tc>
          <w:tcPr>
            <w:tcW w:w="362" w:type="pct"/>
            <w:noWrap/>
            <w:hideMark/>
          </w:tcPr>
          <w:p w14:paraId="0E8213BC"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7</w:t>
            </w:r>
          </w:p>
        </w:tc>
        <w:tc>
          <w:tcPr>
            <w:tcW w:w="362" w:type="pct"/>
            <w:noWrap/>
            <w:hideMark/>
          </w:tcPr>
          <w:p w14:paraId="2F3BDE74"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20</w:t>
            </w:r>
          </w:p>
        </w:tc>
      </w:tr>
      <w:tr w:rsidR="00BE104E" w:rsidRPr="008E37ED" w14:paraId="6DCF96B3" w14:textId="77777777" w:rsidTr="00A93825">
        <w:trPr>
          <w:trHeight w:val="300"/>
        </w:trPr>
        <w:tc>
          <w:tcPr>
            <w:tcW w:w="1322" w:type="pct"/>
            <w:noWrap/>
            <w:hideMark/>
          </w:tcPr>
          <w:p w14:paraId="582881C8"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Environment</w:t>
            </w:r>
          </w:p>
        </w:tc>
        <w:tc>
          <w:tcPr>
            <w:tcW w:w="233" w:type="pct"/>
            <w:noWrap/>
            <w:hideMark/>
          </w:tcPr>
          <w:p w14:paraId="2507CD8B"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w:t>
            </w:r>
          </w:p>
        </w:tc>
        <w:tc>
          <w:tcPr>
            <w:tcW w:w="233" w:type="pct"/>
            <w:noWrap/>
            <w:hideMark/>
          </w:tcPr>
          <w:p w14:paraId="376518F3"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3</w:t>
            </w:r>
          </w:p>
        </w:tc>
        <w:tc>
          <w:tcPr>
            <w:tcW w:w="363" w:type="pct"/>
            <w:noWrap/>
            <w:hideMark/>
          </w:tcPr>
          <w:p w14:paraId="3C7AF8BF"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4</w:t>
            </w:r>
          </w:p>
        </w:tc>
        <w:tc>
          <w:tcPr>
            <w:tcW w:w="233" w:type="pct"/>
            <w:noWrap/>
            <w:hideMark/>
          </w:tcPr>
          <w:p w14:paraId="54A58264"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4</w:t>
            </w:r>
          </w:p>
        </w:tc>
        <w:tc>
          <w:tcPr>
            <w:tcW w:w="233" w:type="pct"/>
            <w:noWrap/>
            <w:hideMark/>
          </w:tcPr>
          <w:p w14:paraId="6C880959"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9</w:t>
            </w:r>
          </w:p>
        </w:tc>
        <w:tc>
          <w:tcPr>
            <w:tcW w:w="363" w:type="pct"/>
            <w:noWrap/>
            <w:hideMark/>
          </w:tcPr>
          <w:p w14:paraId="39DB7F10"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13</w:t>
            </w:r>
          </w:p>
        </w:tc>
        <w:tc>
          <w:tcPr>
            <w:tcW w:w="233" w:type="pct"/>
            <w:noWrap/>
            <w:hideMark/>
          </w:tcPr>
          <w:p w14:paraId="34A659A9"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8</w:t>
            </w:r>
          </w:p>
        </w:tc>
        <w:tc>
          <w:tcPr>
            <w:tcW w:w="233" w:type="pct"/>
            <w:noWrap/>
            <w:hideMark/>
          </w:tcPr>
          <w:p w14:paraId="6CCA81DB"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6</w:t>
            </w:r>
          </w:p>
        </w:tc>
        <w:tc>
          <w:tcPr>
            <w:tcW w:w="363" w:type="pct"/>
            <w:noWrap/>
            <w:hideMark/>
          </w:tcPr>
          <w:p w14:paraId="2FE4AA1E"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14</w:t>
            </w:r>
          </w:p>
        </w:tc>
        <w:tc>
          <w:tcPr>
            <w:tcW w:w="233" w:type="pct"/>
            <w:noWrap/>
            <w:hideMark/>
          </w:tcPr>
          <w:p w14:paraId="725F089A"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5</w:t>
            </w:r>
          </w:p>
        </w:tc>
        <w:tc>
          <w:tcPr>
            <w:tcW w:w="233" w:type="pct"/>
            <w:noWrap/>
            <w:hideMark/>
          </w:tcPr>
          <w:p w14:paraId="42D9F5A1"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10</w:t>
            </w:r>
          </w:p>
        </w:tc>
        <w:tc>
          <w:tcPr>
            <w:tcW w:w="362" w:type="pct"/>
            <w:noWrap/>
            <w:hideMark/>
          </w:tcPr>
          <w:p w14:paraId="3EB0FABA"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15</w:t>
            </w:r>
          </w:p>
        </w:tc>
        <w:tc>
          <w:tcPr>
            <w:tcW w:w="362" w:type="pct"/>
            <w:noWrap/>
            <w:hideMark/>
          </w:tcPr>
          <w:p w14:paraId="268F9839"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46</w:t>
            </w:r>
          </w:p>
        </w:tc>
      </w:tr>
      <w:tr w:rsidR="00BE104E" w:rsidRPr="008E37ED" w14:paraId="221BD8B8" w14:textId="77777777" w:rsidTr="00A93825">
        <w:trPr>
          <w:trHeight w:val="300"/>
        </w:trPr>
        <w:tc>
          <w:tcPr>
            <w:tcW w:w="1322" w:type="pct"/>
            <w:noWrap/>
            <w:hideMark/>
          </w:tcPr>
          <w:p w14:paraId="4FD5429E"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Extractives</w:t>
            </w:r>
          </w:p>
        </w:tc>
        <w:tc>
          <w:tcPr>
            <w:tcW w:w="233" w:type="pct"/>
            <w:noWrap/>
            <w:hideMark/>
          </w:tcPr>
          <w:p w14:paraId="43698F53"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w:t>
            </w:r>
          </w:p>
        </w:tc>
        <w:tc>
          <w:tcPr>
            <w:tcW w:w="233" w:type="pct"/>
            <w:noWrap/>
            <w:hideMark/>
          </w:tcPr>
          <w:p w14:paraId="43AC3A85"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7</w:t>
            </w:r>
          </w:p>
        </w:tc>
        <w:tc>
          <w:tcPr>
            <w:tcW w:w="363" w:type="pct"/>
            <w:noWrap/>
            <w:hideMark/>
          </w:tcPr>
          <w:p w14:paraId="414DD237"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8</w:t>
            </w:r>
          </w:p>
        </w:tc>
        <w:tc>
          <w:tcPr>
            <w:tcW w:w="233" w:type="pct"/>
            <w:noWrap/>
            <w:hideMark/>
          </w:tcPr>
          <w:p w14:paraId="61864FE9"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5</w:t>
            </w:r>
          </w:p>
        </w:tc>
        <w:tc>
          <w:tcPr>
            <w:tcW w:w="233" w:type="pct"/>
            <w:noWrap/>
            <w:hideMark/>
          </w:tcPr>
          <w:p w14:paraId="78B485DE"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11</w:t>
            </w:r>
          </w:p>
        </w:tc>
        <w:tc>
          <w:tcPr>
            <w:tcW w:w="363" w:type="pct"/>
            <w:noWrap/>
            <w:hideMark/>
          </w:tcPr>
          <w:p w14:paraId="408088E3"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16</w:t>
            </w:r>
          </w:p>
        </w:tc>
        <w:tc>
          <w:tcPr>
            <w:tcW w:w="233" w:type="pct"/>
            <w:noWrap/>
            <w:hideMark/>
          </w:tcPr>
          <w:p w14:paraId="1E105465"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4</w:t>
            </w:r>
          </w:p>
        </w:tc>
        <w:tc>
          <w:tcPr>
            <w:tcW w:w="233" w:type="pct"/>
            <w:noWrap/>
            <w:hideMark/>
          </w:tcPr>
          <w:p w14:paraId="738257B1"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9</w:t>
            </w:r>
          </w:p>
        </w:tc>
        <w:tc>
          <w:tcPr>
            <w:tcW w:w="363" w:type="pct"/>
            <w:noWrap/>
            <w:hideMark/>
          </w:tcPr>
          <w:p w14:paraId="6A6B198F"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13</w:t>
            </w:r>
          </w:p>
        </w:tc>
        <w:tc>
          <w:tcPr>
            <w:tcW w:w="233" w:type="pct"/>
            <w:noWrap/>
            <w:hideMark/>
          </w:tcPr>
          <w:p w14:paraId="29C07152"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4</w:t>
            </w:r>
          </w:p>
        </w:tc>
        <w:tc>
          <w:tcPr>
            <w:tcW w:w="233" w:type="pct"/>
            <w:noWrap/>
            <w:hideMark/>
          </w:tcPr>
          <w:p w14:paraId="56C81F9E"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13</w:t>
            </w:r>
          </w:p>
        </w:tc>
        <w:tc>
          <w:tcPr>
            <w:tcW w:w="362" w:type="pct"/>
            <w:noWrap/>
            <w:hideMark/>
          </w:tcPr>
          <w:p w14:paraId="5671DF84"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17</w:t>
            </w:r>
          </w:p>
        </w:tc>
        <w:tc>
          <w:tcPr>
            <w:tcW w:w="362" w:type="pct"/>
            <w:noWrap/>
            <w:hideMark/>
          </w:tcPr>
          <w:p w14:paraId="6998B31A"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54</w:t>
            </w:r>
          </w:p>
        </w:tc>
      </w:tr>
      <w:tr w:rsidR="00BE104E" w:rsidRPr="008E37ED" w14:paraId="1296A376" w14:textId="77777777" w:rsidTr="00A93825">
        <w:trPr>
          <w:trHeight w:val="300"/>
        </w:trPr>
        <w:tc>
          <w:tcPr>
            <w:tcW w:w="1322" w:type="pct"/>
            <w:noWrap/>
            <w:hideMark/>
          </w:tcPr>
          <w:p w14:paraId="2155D061"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Governance/public policy</w:t>
            </w:r>
          </w:p>
        </w:tc>
        <w:tc>
          <w:tcPr>
            <w:tcW w:w="233" w:type="pct"/>
            <w:noWrap/>
            <w:hideMark/>
          </w:tcPr>
          <w:p w14:paraId="7427E24A"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6</w:t>
            </w:r>
          </w:p>
        </w:tc>
        <w:tc>
          <w:tcPr>
            <w:tcW w:w="233" w:type="pct"/>
            <w:noWrap/>
            <w:hideMark/>
          </w:tcPr>
          <w:p w14:paraId="392134E8"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5</w:t>
            </w:r>
          </w:p>
        </w:tc>
        <w:tc>
          <w:tcPr>
            <w:tcW w:w="363" w:type="pct"/>
            <w:noWrap/>
            <w:hideMark/>
          </w:tcPr>
          <w:p w14:paraId="49F78438"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11</w:t>
            </w:r>
          </w:p>
        </w:tc>
        <w:tc>
          <w:tcPr>
            <w:tcW w:w="233" w:type="pct"/>
            <w:noWrap/>
            <w:hideMark/>
          </w:tcPr>
          <w:p w14:paraId="37982D50"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14</w:t>
            </w:r>
          </w:p>
        </w:tc>
        <w:tc>
          <w:tcPr>
            <w:tcW w:w="233" w:type="pct"/>
            <w:noWrap/>
            <w:hideMark/>
          </w:tcPr>
          <w:p w14:paraId="640F2F26"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11</w:t>
            </w:r>
          </w:p>
        </w:tc>
        <w:tc>
          <w:tcPr>
            <w:tcW w:w="363" w:type="pct"/>
            <w:noWrap/>
            <w:hideMark/>
          </w:tcPr>
          <w:p w14:paraId="3590C3E2"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25</w:t>
            </w:r>
          </w:p>
        </w:tc>
        <w:tc>
          <w:tcPr>
            <w:tcW w:w="233" w:type="pct"/>
            <w:noWrap/>
            <w:hideMark/>
          </w:tcPr>
          <w:p w14:paraId="0DB79157"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17</w:t>
            </w:r>
          </w:p>
        </w:tc>
        <w:tc>
          <w:tcPr>
            <w:tcW w:w="233" w:type="pct"/>
            <w:noWrap/>
            <w:hideMark/>
          </w:tcPr>
          <w:p w14:paraId="564F8115"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17</w:t>
            </w:r>
          </w:p>
        </w:tc>
        <w:tc>
          <w:tcPr>
            <w:tcW w:w="363" w:type="pct"/>
            <w:noWrap/>
            <w:hideMark/>
          </w:tcPr>
          <w:p w14:paraId="4317F199"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34</w:t>
            </w:r>
          </w:p>
        </w:tc>
        <w:tc>
          <w:tcPr>
            <w:tcW w:w="233" w:type="pct"/>
            <w:noWrap/>
            <w:hideMark/>
          </w:tcPr>
          <w:p w14:paraId="089C54CD"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21</w:t>
            </w:r>
          </w:p>
        </w:tc>
        <w:tc>
          <w:tcPr>
            <w:tcW w:w="233" w:type="pct"/>
            <w:noWrap/>
            <w:hideMark/>
          </w:tcPr>
          <w:p w14:paraId="706DE442"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9</w:t>
            </w:r>
          </w:p>
        </w:tc>
        <w:tc>
          <w:tcPr>
            <w:tcW w:w="362" w:type="pct"/>
            <w:noWrap/>
            <w:hideMark/>
          </w:tcPr>
          <w:p w14:paraId="42DAA320"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30</w:t>
            </w:r>
          </w:p>
        </w:tc>
        <w:tc>
          <w:tcPr>
            <w:tcW w:w="362" w:type="pct"/>
            <w:noWrap/>
            <w:hideMark/>
          </w:tcPr>
          <w:p w14:paraId="58B0D2DF"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100</w:t>
            </w:r>
          </w:p>
        </w:tc>
      </w:tr>
      <w:tr w:rsidR="00BE104E" w:rsidRPr="008E37ED" w14:paraId="285FBD99" w14:textId="77777777" w:rsidTr="00A93825">
        <w:trPr>
          <w:trHeight w:val="300"/>
        </w:trPr>
        <w:tc>
          <w:tcPr>
            <w:tcW w:w="1322" w:type="pct"/>
            <w:noWrap/>
            <w:hideMark/>
          </w:tcPr>
          <w:p w14:paraId="38098F4E"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Health</w:t>
            </w:r>
          </w:p>
        </w:tc>
        <w:tc>
          <w:tcPr>
            <w:tcW w:w="233" w:type="pct"/>
            <w:noWrap/>
            <w:hideMark/>
          </w:tcPr>
          <w:p w14:paraId="61CB67F8"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7</w:t>
            </w:r>
          </w:p>
        </w:tc>
        <w:tc>
          <w:tcPr>
            <w:tcW w:w="233" w:type="pct"/>
            <w:noWrap/>
            <w:hideMark/>
          </w:tcPr>
          <w:p w14:paraId="53607D9E"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w:t>
            </w:r>
          </w:p>
        </w:tc>
        <w:tc>
          <w:tcPr>
            <w:tcW w:w="363" w:type="pct"/>
            <w:noWrap/>
            <w:hideMark/>
          </w:tcPr>
          <w:p w14:paraId="37BFFF26"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9</w:t>
            </w:r>
          </w:p>
        </w:tc>
        <w:tc>
          <w:tcPr>
            <w:tcW w:w="233" w:type="pct"/>
            <w:noWrap/>
            <w:hideMark/>
          </w:tcPr>
          <w:p w14:paraId="5BAC2C18"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20</w:t>
            </w:r>
          </w:p>
        </w:tc>
        <w:tc>
          <w:tcPr>
            <w:tcW w:w="233" w:type="pct"/>
            <w:noWrap/>
            <w:hideMark/>
          </w:tcPr>
          <w:p w14:paraId="77248602"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10</w:t>
            </w:r>
          </w:p>
        </w:tc>
        <w:tc>
          <w:tcPr>
            <w:tcW w:w="363" w:type="pct"/>
            <w:noWrap/>
            <w:hideMark/>
          </w:tcPr>
          <w:p w14:paraId="4F35ED24"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30</w:t>
            </w:r>
          </w:p>
        </w:tc>
        <w:tc>
          <w:tcPr>
            <w:tcW w:w="233" w:type="pct"/>
            <w:noWrap/>
            <w:hideMark/>
          </w:tcPr>
          <w:p w14:paraId="62D76600"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16</w:t>
            </w:r>
          </w:p>
        </w:tc>
        <w:tc>
          <w:tcPr>
            <w:tcW w:w="233" w:type="pct"/>
            <w:noWrap/>
            <w:hideMark/>
          </w:tcPr>
          <w:p w14:paraId="7C710BBA"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9</w:t>
            </w:r>
          </w:p>
        </w:tc>
        <w:tc>
          <w:tcPr>
            <w:tcW w:w="363" w:type="pct"/>
            <w:noWrap/>
            <w:hideMark/>
          </w:tcPr>
          <w:p w14:paraId="17DBD6D5"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25</w:t>
            </w:r>
          </w:p>
        </w:tc>
        <w:tc>
          <w:tcPr>
            <w:tcW w:w="233" w:type="pct"/>
            <w:noWrap/>
            <w:hideMark/>
          </w:tcPr>
          <w:p w14:paraId="67CD7162"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18</w:t>
            </w:r>
          </w:p>
        </w:tc>
        <w:tc>
          <w:tcPr>
            <w:tcW w:w="233" w:type="pct"/>
            <w:noWrap/>
            <w:hideMark/>
          </w:tcPr>
          <w:p w14:paraId="4F83ABCB"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13</w:t>
            </w:r>
          </w:p>
        </w:tc>
        <w:tc>
          <w:tcPr>
            <w:tcW w:w="362" w:type="pct"/>
            <w:noWrap/>
            <w:hideMark/>
          </w:tcPr>
          <w:p w14:paraId="096279DE"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31</w:t>
            </w:r>
          </w:p>
        </w:tc>
        <w:tc>
          <w:tcPr>
            <w:tcW w:w="362" w:type="pct"/>
            <w:noWrap/>
            <w:hideMark/>
          </w:tcPr>
          <w:p w14:paraId="21E9FB70"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95</w:t>
            </w:r>
          </w:p>
        </w:tc>
      </w:tr>
      <w:tr w:rsidR="00BE104E" w:rsidRPr="008E37ED" w14:paraId="0502B313" w14:textId="77777777" w:rsidTr="00A93825">
        <w:trPr>
          <w:trHeight w:val="300"/>
        </w:trPr>
        <w:tc>
          <w:tcPr>
            <w:tcW w:w="1322" w:type="pct"/>
            <w:noWrap/>
            <w:hideMark/>
          </w:tcPr>
          <w:p w14:paraId="7BF95C1D"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Other</w:t>
            </w:r>
          </w:p>
        </w:tc>
        <w:tc>
          <w:tcPr>
            <w:tcW w:w="233" w:type="pct"/>
            <w:noWrap/>
            <w:hideMark/>
          </w:tcPr>
          <w:p w14:paraId="284FB3F5" w14:textId="77777777" w:rsidR="00BE104E" w:rsidRPr="008E37ED" w:rsidRDefault="00BE104E" w:rsidP="00A93825">
            <w:pPr>
              <w:spacing w:before="0" w:after="0" w:line="240" w:lineRule="auto"/>
              <w:rPr>
                <w:i/>
                <w:color w:val="000000"/>
                <w:sz w:val="22"/>
                <w:szCs w:val="22"/>
                <w:lang w:val="en-NZ" w:eastAsia="en-NZ"/>
              </w:rPr>
            </w:pPr>
          </w:p>
        </w:tc>
        <w:tc>
          <w:tcPr>
            <w:tcW w:w="233" w:type="pct"/>
            <w:noWrap/>
            <w:hideMark/>
          </w:tcPr>
          <w:p w14:paraId="14B77561" w14:textId="77777777" w:rsidR="00BE104E" w:rsidRPr="008E37ED" w:rsidRDefault="00BE104E" w:rsidP="00A93825">
            <w:pPr>
              <w:spacing w:before="0" w:after="0" w:line="240" w:lineRule="auto"/>
              <w:rPr>
                <w:i/>
                <w:sz w:val="20"/>
                <w:lang w:val="en-NZ" w:eastAsia="en-NZ"/>
              </w:rPr>
            </w:pPr>
          </w:p>
        </w:tc>
        <w:tc>
          <w:tcPr>
            <w:tcW w:w="363" w:type="pct"/>
            <w:noWrap/>
            <w:hideMark/>
          </w:tcPr>
          <w:p w14:paraId="5D1EC6A1" w14:textId="77777777" w:rsidR="00BE104E" w:rsidRPr="008E37ED" w:rsidRDefault="00BE104E" w:rsidP="00A93825">
            <w:pPr>
              <w:spacing w:before="0" w:after="0" w:line="240" w:lineRule="auto"/>
              <w:rPr>
                <w:sz w:val="20"/>
                <w:lang w:val="en-NZ" w:eastAsia="en-NZ"/>
              </w:rPr>
            </w:pPr>
          </w:p>
        </w:tc>
        <w:tc>
          <w:tcPr>
            <w:tcW w:w="233" w:type="pct"/>
            <w:noWrap/>
            <w:hideMark/>
          </w:tcPr>
          <w:p w14:paraId="00B6F7C4" w14:textId="77777777" w:rsidR="00BE104E" w:rsidRPr="008E37ED" w:rsidRDefault="00BE104E" w:rsidP="00A93825">
            <w:pPr>
              <w:spacing w:before="0" w:after="0" w:line="240" w:lineRule="auto"/>
              <w:rPr>
                <w:i/>
                <w:sz w:val="20"/>
                <w:lang w:val="en-NZ" w:eastAsia="en-NZ"/>
              </w:rPr>
            </w:pPr>
          </w:p>
        </w:tc>
        <w:tc>
          <w:tcPr>
            <w:tcW w:w="233" w:type="pct"/>
            <w:noWrap/>
            <w:hideMark/>
          </w:tcPr>
          <w:p w14:paraId="064BD58D"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5</w:t>
            </w:r>
          </w:p>
        </w:tc>
        <w:tc>
          <w:tcPr>
            <w:tcW w:w="363" w:type="pct"/>
            <w:noWrap/>
            <w:hideMark/>
          </w:tcPr>
          <w:p w14:paraId="264C304E"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5</w:t>
            </w:r>
          </w:p>
        </w:tc>
        <w:tc>
          <w:tcPr>
            <w:tcW w:w="233" w:type="pct"/>
            <w:noWrap/>
            <w:hideMark/>
          </w:tcPr>
          <w:p w14:paraId="53E5FA82"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3</w:t>
            </w:r>
          </w:p>
        </w:tc>
        <w:tc>
          <w:tcPr>
            <w:tcW w:w="233" w:type="pct"/>
            <w:noWrap/>
            <w:hideMark/>
          </w:tcPr>
          <w:p w14:paraId="38C8236F"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w:t>
            </w:r>
          </w:p>
        </w:tc>
        <w:tc>
          <w:tcPr>
            <w:tcW w:w="363" w:type="pct"/>
            <w:noWrap/>
            <w:hideMark/>
          </w:tcPr>
          <w:p w14:paraId="71041F28"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5</w:t>
            </w:r>
          </w:p>
        </w:tc>
        <w:tc>
          <w:tcPr>
            <w:tcW w:w="233" w:type="pct"/>
            <w:noWrap/>
            <w:hideMark/>
          </w:tcPr>
          <w:p w14:paraId="462C2676"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7</w:t>
            </w:r>
          </w:p>
        </w:tc>
        <w:tc>
          <w:tcPr>
            <w:tcW w:w="233" w:type="pct"/>
            <w:noWrap/>
            <w:hideMark/>
          </w:tcPr>
          <w:p w14:paraId="26CC4A1F"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3</w:t>
            </w:r>
          </w:p>
        </w:tc>
        <w:tc>
          <w:tcPr>
            <w:tcW w:w="362" w:type="pct"/>
            <w:noWrap/>
            <w:hideMark/>
          </w:tcPr>
          <w:p w14:paraId="06444528"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10</w:t>
            </w:r>
          </w:p>
        </w:tc>
        <w:tc>
          <w:tcPr>
            <w:tcW w:w="362" w:type="pct"/>
            <w:noWrap/>
            <w:hideMark/>
          </w:tcPr>
          <w:p w14:paraId="041DC45C"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20</w:t>
            </w:r>
          </w:p>
        </w:tc>
      </w:tr>
      <w:tr w:rsidR="00BE104E" w:rsidRPr="008E37ED" w14:paraId="227F0C64" w14:textId="77777777" w:rsidTr="00A93825">
        <w:trPr>
          <w:trHeight w:val="300"/>
        </w:trPr>
        <w:tc>
          <w:tcPr>
            <w:tcW w:w="1322" w:type="pct"/>
            <w:noWrap/>
            <w:hideMark/>
          </w:tcPr>
          <w:p w14:paraId="539C957A"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Water and Sanitation</w:t>
            </w:r>
          </w:p>
        </w:tc>
        <w:tc>
          <w:tcPr>
            <w:tcW w:w="233" w:type="pct"/>
            <w:noWrap/>
            <w:hideMark/>
          </w:tcPr>
          <w:p w14:paraId="391F3E4A" w14:textId="77777777" w:rsidR="00BE104E" w:rsidRPr="008E37ED" w:rsidRDefault="00BE104E" w:rsidP="00A93825">
            <w:pPr>
              <w:spacing w:before="0" w:after="0" w:line="240" w:lineRule="auto"/>
              <w:rPr>
                <w:i/>
                <w:color w:val="000000"/>
                <w:sz w:val="22"/>
                <w:szCs w:val="22"/>
                <w:lang w:val="en-NZ" w:eastAsia="en-NZ"/>
              </w:rPr>
            </w:pPr>
          </w:p>
        </w:tc>
        <w:tc>
          <w:tcPr>
            <w:tcW w:w="233" w:type="pct"/>
            <w:noWrap/>
            <w:hideMark/>
          </w:tcPr>
          <w:p w14:paraId="7EA575F8"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1</w:t>
            </w:r>
          </w:p>
        </w:tc>
        <w:tc>
          <w:tcPr>
            <w:tcW w:w="363" w:type="pct"/>
            <w:noWrap/>
            <w:hideMark/>
          </w:tcPr>
          <w:p w14:paraId="2CABAA2C"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1</w:t>
            </w:r>
          </w:p>
        </w:tc>
        <w:tc>
          <w:tcPr>
            <w:tcW w:w="233" w:type="pct"/>
            <w:noWrap/>
            <w:hideMark/>
          </w:tcPr>
          <w:p w14:paraId="50AC3638"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w:t>
            </w:r>
          </w:p>
        </w:tc>
        <w:tc>
          <w:tcPr>
            <w:tcW w:w="233" w:type="pct"/>
            <w:noWrap/>
            <w:hideMark/>
          </w:tcPr>
          <w:p w14:paraId="79A8F32F"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2</w:t>
            </w:r>
          </w:p>
        </w:tc>
        <w:tc>
          <w:tcPr>
            <w:tcW w:w="363" w:type="pct"/>
            <w:noWrap/>
            <w:hideMark/>
          </w:tcPr>
          <w:p w14:paraId="6186410B"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4</w:t>
            </w:r>
          </w:p>
        </w:tc>
        <w:tc>
          <w:tcPr>
            <w:tcW w:w="233" w:type="pct"/>
            <w:noWrap/>
            <w:hideMark/>
          </w:tcPr>
          <w:p w14:paraId="767A1D48"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3</w:t>
            </w:r>
          </w:p>
        </w:tc>
        <w:tc>
          <w:tcPr>
            <w:tcW w:w="233" w:type="pct"/>
            <w:noWrap/>
            <w:hideMark/>
          </w:tcPr>
          <w:p w14:paraId="45C24EA3"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4</w:t>
            </w:r>
          </w:p>
        </w:tc>
        <w:tc>
          <w:tcPr>
            <w:tcW w:w="363" w:type="pct"/>
            <w:noWrap/>
            <w:hideMark/>
          </w:tcPr>
          <w:p w14:paraId="4A4FAA3E"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7</w:t>
            </w:r>
          </w:p>
        </w:tc>
        <w:tc>
          <w:tcPr>
            <w:tcW w:w="233" w:type="pct"/>
            <w:noWrap/>
            <w:hideMark/>
          </w:tcPr>
          <w:p w14:paraId="6D42DCFE" w14:textId="77777777" w:rsidR="00BE104E" w:rsidRPr="008E37ED" w:rsidRDefault="00BE104E" w:rsidP="00A93825">
            <w:pPr>
              <w:spacing w:before="0" w:after="0" w:line="240" w:lineRule="auto"/>
              <w:rPr>
                <w:i/>
                <w:color w:val="000000"/>
                <w:sz w:val="22"/>
                <w:szCs w:val="22"/>
                <w:lang w:val="en-NZ" w:eastAsia="en-NZ"/>
              </w:rPr>
            </w:pPr>
          </w:p>
        </w:tc>
        <w:tc>
          <w:tcPr>
            <w:tcW w:w="233" w:type="pct"/>
            <w:noWrap/>
            <w:hideMark/>
          </w:tcPr>
          <w:p w14:paraId="3924FFA0" w14:textId="77777777" w:rsidR="00BE104E" w:rsidRPr="008E37ED" w:rsidRDefault="00BE104E" w:rsidP="00A93825">
            <w:pPr>
              <w:spacing w:before="0" w:after="0" w:line="240" w:lineRule="auto"/>
              <w:rPr>
                <w:i/>
                <w:color w:val="000000"/>
                <w:sz w:val="22"/>
                <w:szCs w:val="22"/>
                <w:lang w:val="en-NZ" w:eastAsia="en-NZ"/>
              </w:rPr>
            </w:pPr>
            <w:r w:rsidRPr="008E37ED">
              <w:rPr>
                <w:i/>
                <w:color w:val="000000"/>
                <w:sz w:val="22"/>
                <w:szCs w:val="22"/>
                <w:lang w:val="en-NZ" w:eastAsia="en-NZ"/>
              </w:rPr>
              <w:t>3</w:t>
            </w:r>
          </w:p>
        </w:tc>
        <w:tc>
          <w:tcPr>
            <w:tcW w:w="362" w:type="pct"/>
            <w:noWrap/>
            <w:hideMark/>
          </w:tcPr>
          <w:p w14:paraId="5B6F60A2"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3</w:t>
            </w:r>
          </w:p>
        </w:tc>
        <w:tc>
          <w:tcPr>
            <w:tcW w:w="362" w:type="pct"/>
            <w:noWrap/>
            <w:hideMark/>
          </w:tcPr>
          <w:p w14:paraId="5ADB19F1"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15</w:t>
            </w:r>
          </w:p>
        </w:tc>
      </w:tr>
      <w:tr w:rsidR="00BE104E" w:rsidRPr="008E37ED" w14:paraId="41A8995A" w14:textId="77777777" w:rsidTr="00A93825">
        <w:trPr>
          <w:trHeight w:val="300"/>
        </w:trPr>
        <w:tc>
          <w:tcPr>
            <w:tcW w:w="1322" w:type="pct"/>
            <w:noWrap/>
            <w:hideMark/>
          </w:tcPr>
          <w:p w14:paraId="7F0B29FF" w14:textId="77777777" w:rsidR="00BE104E" w:rsidRPr="008E37ED" w:rsidRDefault="00BE104E" w:rsidP="00A93825">
            <w:pPr>
              <w:spacing w:before="0" w:after="0" w:line="240" w:lineRule="auto"/>
              <w:rPr>
                <w:b/>
                <w:bCs/>
                <w:color w:val="000000"/>
                <w:sz w:val="22"/>
                <w:szCs w:val="22"/>
                <w:lang w:val="en-NZ" w:eastAsia="en-NZ"/>
              </w:rPr>
            </w:pPr>
            <w:r w:rsidRPr="008E37ED">
              <w:rPr>
                <w:b/>
                <w:bCs/>
                <w:color w:val="000000"/>
                <w:sz w:val="22"/>
                <w:szCs w:val="22"/>
                <w:lang w:val="en-NZ" w:eastAsia="en-NZ"/>
              </w:rPr>
              <w:t>Total</w:t>
            </w:r>
          </w:p>
        </w:tc>
        <w:tc>
          <w:tcPr>
            <w:tcW w:w="233" w:type="pct"/>
            <w:noWrap/>
            <w:hideMark/>
          </w:tcPr>
          <w:p w14:paraId="6A571B63"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20</w:t>
            </w:r>
          </w:p>
        </w:tc>
        <w:tc>
          <w:tcPr>
            <w:tcW w:w="233" w:type="pct"/>
            <w:noWrap/>
            <w:hideMark/>
          </w:tcPr>
          <w:p w14:paraId="2AC299A1"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26</w:t>
            </w:r>
          </w:p>
        </w:tc>
        <w:tc>
          <w:tcPr>
            <w:tcW w:w="363" w:type="pct"/>
            <w:noWrap/>
            <w:hideMark/>
          </w:tcPr>
          <w:p w14:paraId="068C8837" w14:textId="77777777" w:rsidR="00BE104E" w:rsidRPr="008E37ED" w:rsidRDefault="00BE104E" w:rsidP="00A93825">
            <w:pPr>
              <w:spacing w:before="0" w:after="0" w:line="240" w:lineRule="auto"/>
              <w:rPr>
                <w:bCs/>
                <w:color w:val="000000"/>
                <w:sz w:val="22"/>
                <w:szCs w:val="22"/>
                <w:lang w:val="en-NZ" w:eastAsia="en-NZ"/>
              </w:rPr>
            </w:pPr>
            <w:r w:rsidRPr="008E37ED">
              <w:rPr>
                <w:bCs/>
                <w:color w:val="000000"/>
                <w:sz w:val="22"/>
                <w:szCs w:val="22"/>
                <w:lang w:val="en-NZ" w:eastAsia="en-NZ"/>
              </w:rPr>
              <w:t>46</w:t>
            </w:r>
          </w:p>
        </w:tc>
        <w:tc>
          <w:tcPr>
            <w:tcW w:w="233" w:type="pct"/>
            <w:noWrap/>
            <w:hideMark/>
          </w:tcPr>
          <w:p w14:paraId="58524779"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58</w:t>
            </w:r>
          </w:p>
        </w:tc>
        <w:tc>
          <w:tcPr>
            <w:tcW w:w="233" w:type="pct"/>
            <w:noWrap/>
            <w:hideMark/>
          </w:tcPr>
          <w:p w14:paraId="678CCE36"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76</w:t>
            </w:r>
          </w:p>
        </w:tc>
        <w:tc>
          <w:tcPr>
            <w:tcW w:w="363" w:type="pct"/>
            <w:noWrap/>
            <w:hideMark/>
          </w:tcPr>
          <w:p w14:paraId="1FCFE4FB" w14:textId="77777777" w:rsidR="00BE104E" w:rsidRPr="008E37ED" w:rsidRDefault="00BE104E" w:rsidP="00A93825">
            <w:pPr>
              <w:spacing w:before="0" w:after="0" w:line="240" w:lineRule="auto"/>
              <w:rPr>
                <w:bCs/>
                <w:color w:val="000000"/>
                <w:sz w:val="22"/>
                <w:szCs w:val="22"/>
                <w:lang w:val="en-NZ" w:eastAsia="en-NZ"/>
              </w:rPr>
            </w:pPr>
            <w:r w:rsidRPr="008E37ED">
              <w:rPr>
                <w:bCs/>
                <w:color w:val="000000"/>
                <w:sz w:val="22"/>
                <w:szCs w:val="22"/>
                <w:lang w:val="en-NZ" w:eastAsia="en-NZ"/>
              </w:rPr>
              <w:t>134</w:t>
            </w:r>
          </w:p>
        </w:tc>
        <w:tc>
          <w:tcPr>
            <w:tcW w:w="233" w:type="pct"/>
            <w:noWrap/>
            <w:hideMark/>
          </w:tcPr>
          <w:p w14:paraId="0590323A"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77</w:t>
            </w:r>
          </w:p>
        </w:tc>
        <w:tc>
          <w:tcPr>
            <w:tcW w:w="233" w:type="pct"/>
            <w:noWrap/>
            <w:hideMark/>
          </w:tcPr>
          <w:p w14:paraId="07E381AA"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75</w:t>
            </w:r>
          </w:p>
        </w:tc>
        <w:tc>
          <w:tcPr>
            <w:tcW w:w="363" w:type="pct"/>
            <w:noWrap/>
            <w:hideMark/>
          </w:tcPr>
          <w:p w14:paraId="3DF1F8C7" w14:textId="77777777" w:rsidR="00BE104E" w:rsidRPr="008E37ED" w:rsidRDefault="00BE104E" w:rsidP="00A93825">
            <w:pPr>
              <w:spacing w:before="0" w:after="0" w:line="240" w:lineRule="auto"/>
              <w:rPr>
                <w:bCs/>
                <w:color w:val="000000"/>
                <w:sz w:val="22"/>
                <w:szCs w:val="22"/>
                <w:lang w:val="en-NZ" w:eastAsia="en-NZ"/>
              </w:rPr>
            </w:pPr>
            <w:r w:rsidRPr="008E37ED">
              <w:rPr>
                <w:bCs/>
                <w:color w:val="000000"/>
                <w:sz w:val="22"/>
                <w:szCs w:val="22"/>
                <w:lang w:val="en-NZ" w:eastAsia="en-NZ"/>
              </w:rPr>
              <w:t>152</w:t>
            </w:r>
          </w:p>
        </w:tc>
        <w:tc>
          <w:tcPr>
            <w:tcW w:w="233" w:type="pct"/>
            <w:noWrap/>
            <w:hideMark/>
          </w:tcPr>
          <w:p w14:paraId="06E1AF9B"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78</w:t>
            </w:r>
          </w:p>
        </w:tc>
        <w:tc>
          <w:tcPr>
            <w:tcW w:w="233" w:type="pct"/>
            <w:noWrap/>
            <w:hideMark/>
          </w:tcPr>
          <w:p w14:paraId="1B1A8176" w14:textId="77777777" w:rsidR="00BE104E" w:rsidRPr="008E37ED" w:rsidRDefault="00BE104E" w:rsidP="00A93825">
            <w:pPr>
              <w:spacing w:before="0" w:after="0" w:line="240" w:lineRule="auto"/>
              <w:rPr>
                <w:bCs/>
                <w:i/>
                <w:color w:val="000000"/>
                <w:sz w:val="22"/>
                <w:szCs w:val="22"/>
                <w:lang w:val="en-NZ" w:eastAsia="en-NZ"/>
              </w:rPr>
            </w:pPr>
            <w:r w:rsidRPr="008E37ED">
              <w:rPr>
                <w:bCs/>
                <w:i/>
                <w:color w:val="000000"/>
                <w:sz w:val="22"/>
                <w:szCs w:val="22"/>
                <w:lang w:val="en-NZ" w:eastAsia="en-NZ"/>
              </w:rPr>
              <w:t>87</w:t>
            </w:r>
          </w:p>
        </w:tc>
        <w:tc>
          <w:tcPr>
            <w:tcW w:w="362" w:type="pct"/>
            <w:noWrap/>
            <w:hideMark/>
          </w:tcPr>
          <w:p w14:paraId="62E54F87" w14:textId="77777777" w:rsidR="00BE104E" w:rsidRPr="008E37ED" w:rsidRDefault="00BE104E" w:rsidP="00A93825">
            <w:pPr>
              <w:spacing w:before="0" w:after="0" w:line="240" w:lineRule="auto"/>
              <w:rPr>
                <w:bCs/>
                <w:color w:val="000000"/>
                <w:sz w:val="22"/>
                <w:szCs w:val="22"/>
                <w:lang w:val="en-NZ" w:eastAsia="en-NZ"/>
              </w:rPr>
            </w:pPr>
            <w:r w:rsidRPr="008E37ED">
              <w:rPr>
                <w:bCs/>
                <w:color w:val="000000"/>
                <w:sz w:val="22"/>
                <w:szCs w:val="22"/>
                <w:lang w:val="en-NZ" w:eastAsia="en-NZ"/>
              </w:rPr>
              <w:t>165</w:t>
            </w:r>
          </w:p>
        </w:tc>
        <w:tc>
          <w:tcPr>
            <w:tcW w:w="362" w:type="pct"/>
            <w:noWrap/>
            <w:hideMark/>
          </w:tcPr>
          <w:p w14:paraId="1228C8B6" w14:textId="77777777" w:rsidR="00BE104E" w:rsidRPr="008E37ED" w:rsidRDefault="00BE104E" w:rsidP="00A93825">
            <w:pPr>
              <w:spacing w:before="0" w:after="0" w:line="240" w:lineRule="auto"/>
              <w:jc w:val="right"/>
              <w:rPr>
                <w:b/>
                <w:bCs/>
                <w:color w:val="000000"/>
                <w:sz w:val="22"/>
                <w:szCs w:val="22"/>
                <w:lang w:val="en-NZ" w:eastAsia="en-NZ"/>
              </w:rPr>
            </w:pPr>
            <w:r w:rsidRPr="008E37ED">
              <w:rPr>
                <w:b/>
                <w:bCs/>
                <w:color w:val="000000"/>
                <w:sz w:val="22"/>
                <w:szCs w:val="22"/>
                <w:lang w:val="en-NZ" w:eastAsia="en-NZ"/>
              </w:rPr>
              <w:t>497</w:t>
            </w:r>
          </w:p>
        </w:tc>
      </w:tr>
    </w:tbl>
    <w:p w14:paraId="7C0FE41D" w14:textId="77777777" w:rsidR="00BE104E" w:rsidRDefault="00BE104E" w:rsidP="00BE104E">
      <w:pPr>
        <w:pStyle w:val="TableName"/>
      </w:pPr>
    </w:p>
    <w:p w14:paraId="08AF2540" w14:textId="77777777" w:rsidR="00BE104E" w:rsidRDefault="00BE104E" w:rsidP="00BE104E">
      <w:pPr>
        <w:pStyle w:val="TableName"/>
      </w:pPr>
      <w:bookmarkStart w:id="60" w:name="_Toc527411609"/>
      <w:bookmarkStart w:id="61" w:name="_Toc531699543"/>
      <w:bookmarkStart w:id="62" w:name="_Toc1729545"/>
      <w:bookmarkEnd w:id="59"/>
      <w:r w:rsidRPr="00BE104E">
        <w:t xml:space="preserve">Table </w:t>
      </w:r>
      <w:r w:rsidR="00A93825">
        <w:t>7</w:t>
      </w:r>
      <w:r w:rsidRPr="00BE104E">
        <w:tab/>
        <w:t>Short Course Awards by priority sector and gender, Intakes 2016 – 2018</w:t>
      </w:r>
      <w:bookmarkEnd w:id="60"/>
      <w:bookmarkEnd w:id="61"/>
      <w:bookmarkEnd w:id="62"/>
    </w:p>
    <w:tbl>
      <w:tblPr>
        <w:tblStyle w:val="TableGrid"/>
        <w:tblW w:w="10682" w:type="dxa"/>
        <w:tblLayout w:type="fixed"/>
        <w:tblLook w:val="04A0" w:firstRow="1" w:lastRow="0" w:firstColumn="1" w:lastColumn="0" w:noHBand="0" w:noVBand="1"/>
      </w:tblPr>
      <w:tblGrid>
        <w:gridCol w:w="1688"/>
        <w:gridCol w:w="873"/>
        <w:gridCol w:w="873"/>
        <w:gridCol w:w="873"/>
        <w:gridCol w:w="873"/>
        <w:gridCol w:w="874"/>
        <w:gridCol w:w="873"/>
        <w:gridCol w:w="873"/>
        <w:gridCol w:w="873"/>
        <w:gridCol w:w="874"/>
        <w:gridCol w:w="1135"/>
      </w:tblGrid>
      <w:tr w:rsidR="00BE104E" w:rsidRPr="008E37ED" w14:paraId="6EDEAFF4" w14:textId="77777777" w:rsidTr="00A93825">
        <w:trPr>
          <w:cnfStyle w:val="100000000000" w:firstRow="1" w:lastRow="0" w:firstColumn="0" w:lastColumn="0" w:oddVBand="0" w:evenVBand="0" w:oddHBand="0" w:evenHBand="0" w:firstRowFirstColumn="0" w:firstRowLastColumn="0" w:lastRowFirstColumn="0" w:lastRowLastColumn="0"/>
          <w:trHeight w:val="300"/>
        </w:trPr>
        <w:tc>
          <w:tcPr>
            <w:tcW w:w="1688" w:type="dxa"/>
            <w:noWrap/>
            <w:hideMark/>
          </w:tcPr>
          <w:p w14:paraId="4234AD57" w14:textId="77777777" w:rsidR="00BE104E" w:rsidRPr="008E37ED" w:rsidRDefault="00BE104E" w:rsidP="00A93825">
            <w:pPr>
              <w:spacing w:before="0" w:after="0" w:line="240" w:lineRule="auto"/>
              <w:rPr>
                <w:sz w:val="20"/>
                <w:lang w:val="en-NZ" w:eastAsia="en-NZ"/>
              </w:rPr>
            </w:pPr>
            <w:r w:rsidRPr="008E37ED">
              <w:rPr>
                <w:b/>
                <w:bCs/>
                <w:color w:val="000000"/>
                <w:sz w:val="22"/>
                <w:szCs w:val="22"/>
                <w:lang w:val="en-NZ" w:eastAsia="en-NZ"/>
              </w:rPr>
              <w:t>Priority Sector</w:t>
            </w:r>
          </w:p>
        </w:tc>
        <w:tc>
          <w:tcPr>
            <w:tcW w:w="2619" w:type="dxa"/>
            <w:gridSpan w:val="3"/>
            <w:noWrap/>
            <w:hideMark/>
          </w:tcPr>
          <w:p w14:paraId="79EAB912" w14:textId="77777777" w:rsidR="00BE104E" w:rsidRPr="008E37ED" w:rsidRDefault="00BE104E" w:rsidP="00A93825">
            <w:pPr>
              <w:spacing w:before="0" w:after="0" w:line="240" w:lineRule="auto"/>
              <w:jc w:val="center"/>
              <w:rPr>
                <w:b/>
                <w:bCs/>
                <w:color w:val="000000"/>
                <w:sz w:val="22"/>
                <w:szCs w:val="22"/>
                <w:lang w:val="en-NZ" w:eastAsia="en-NZ"/>
              </w:rPr>
            </w:pPr>
            <w:r w:rsidRPr="008E37ED">
              <w:rPr>
                <w:b/>
                <w:bCs/>
                <w:color w:val="000000"/>
                <w:sz w:val="22"/>
                <w:szCs w:val="22"/>
                <w:lang w:val="en-NZ" w:eastAsia="en-NZ"/>
              </w:rPr>
              <w:t>2016</w:t>
            </w:r>
          </w:p>
        </w:tc>
        <w:tc>
          <w:tcPr>
            <w:tcW w:w="2620" w:type="dxa"/>
            <w:gridSpan w:val="3"/>
            <w:noWrap/>
            <w:hideMark/>
          </w:tcPr>
          <w:p w14:paraId="3CCAD8E8" w14:textId="77777777" w:rsidR="00BE104E" w:rsidRPr="008E37ED" w:rsidRDefault="00BE104E" w:rsidP="00A93825">
            <w:pPr>
              <w:spacing w:before="0" w:after="0" w:line="240" w:lineRule="auto"/>
              <w:jc w:val="center"/>
              <w:rPr>
                <w:b/>
                <w:bCs/>
                <w:color w:val="000000"/>
                <w:sz w:val="22"/>
                <w:szCs w:val="22"/>
                <w:lang w:val="en-NZ" w:eastAsia="en-NZ"/>
              </w:rPr>
            </w:pPr>
            <w:r w:rsidRPr="008E37ED">
              <w:rPr>
                <w:b/>
                <w:bCs/>
                <w:color w:val="000000"/>
                <w:sz w:val="22"/>
                <w:szCs w:val="22"/>
                <w:lang w:val="en-NZ" w:eastAsia="en-NZ"/>
              </w:rPr>
              <w:t>2017</w:t>
            </w:r>
          </w:p>
          <w:p w14:paraId="4CF00F60" w14:textId="77777777" w:rsidR="00BE104E" w:rsidRPr="008E37ED" w:rsidRDefault="00BE104E" w:rsidP="00A93825">
            <w:pPr>
              <w:spacing w:before="0" w:after="0" w:line="240" w:lineRule="auto"/>
              <w:jc w:val="center"/>
              <w:rPr>
                <w:b/>
                <w:bCs/>
                <w:color w:val="000000"/>
                <w:sz w:val="22"/>
                <w:szCs w:val="22"/>
                <w:lang w:val="en-NZ" w:eastAsia="en-NZ"/>
              </w:rPr>
            </w:pPr>
          </w:p>
        </w:tc>
        <w:tc>
          <w:tcPr>
            <w:tcW w:w="2620" w:type="dxa"/>
            <w:gridSpan w:val="3"/>
            <w:noWrap/>
            <w:hideMark/>
          </w:tcPr>
          <w:p w14:paraId="308AC093" w14:textId="77777777" w:rsidR="00BE104E" w:rsidRPr="008E37ED" w:rsidRDefault="00BE104E" w:rsidP="00A93825">
            <w:pPr>
              <w:spacing w:before="0" w:after="0" w:line="240" w:lineRule="auto"/>
              <w:jc w:val="center"/>
              <w:rPr>
                <w:b/>
                <w:bCs/>
                <w:color w:val="000000"/>
                <w:sz w:val="22"/>
                <w:szCs w:val="22"/>
                <w:lang w:val="en-NZ" w:eastAsia="en-NZ"/>
              </w:rPr>
            </w:pPr>
            <w:r w:rsidRPr="008E37ED">
              <w:rPr>
                <w:b/>
                <w:bCs/>
                <w:color w:val="000000"/>
                <w:sz w:val="22"/>
                <w:szCs w:val="22"/>
                <w:lang w:val="en-NZ" w:eastAsia="en-NZ"/>
              </w:rPr>
              <w:t>2018</w:t>
            </w:r>
          </w:p>
        </w:tc>
        <w:tc>
          <w:tcPr>
            <w:tcW w:w="1135" w:type="dxa"/>
            <w:noWrap/>
            <w:hideMark/>
          </w:tcPr>
          <w:p w14:paraId="560A940E" w14:textId="77777777" w:rsidR="00BE104E" w:rsidRPr="008E37ED" w:rsidRDefault="00BE104E" w:rsidP="00A93825">
            <w:pPr>
              <w:spacing w:before="0" w:after="0" w:line="240" w:lineRule="auto"/>
              <w:jc w:val="right"/>
              <w:rPr>
                <w:b/>
                <w:bCs/>
                <w:color w:val="000000"/>
                <w:sz w:val="22"/>
                <w:szCs w:val="22"/>
                <w:lang w:val="en-NZ" w:eastAsia="en-NZ"/>
              </w:rPr>
            </w:pPr>
            <w:r w:rsidRPr="008E37ED">
              <w:rPr>
                <w:b/>
                <w:bCs/>
                <w:color w:val="000000"/>
                <w:sz w:val="22"/>
                <w:szCs w:val="22"/>
                <w:lang w:val="en-NZ" w:eastAsia="en-NZ"/>
              </w:rPr>
              <w:t>Total</w:t>
            </w:r>
          </w:p>
        </w:tc>
      </w:tr>
      <w:tr w:rsidR="00BE104E" w:rsidRPr="008E37ED" w14:paraId="15E307FF" w14:textId="77777777" w:rsidTr="00A93825">
        <w:trPr>
          <w:trHeight w:val="300"/>
        </w:trPr>
        <w:tc>
          <w:tcPr>
            <w:tcW w:w="1688" w:type="dxa"/>
            <w:noWrap/>
            <w:hideMark/>
          </w:tcPr>
          <w:p w14:paraId="70111FCB" w14:textId="77777777" w:rsidR="00BE104E" w:rsidRPr="008E37ED" w:rsidRDefault="00BE104E" w:rsidP="00A93825">
            <w:pPr>
              <w:spacing w:before="0" w:after="0" w:line="240" w:lineRule="auto"/>
              <w:rPr>
                <w:b/>
                <w:bCs/>
                <w:color w:val="000000"/>
                <w:sz w:val="22"/>
                <w:szCs w:val="22"/>
                <w:lang w:val="en-NZ" w:eastAsia="en-NZ"/>
              </w:rPr>
            </w:pPr>
          </w:p>
        </w:tc>
        <w:tc>
          <w:tcPr>
            <w:tcW w:w="873" w:type="dxa"/>
            <w:noWrap/>
            <w:hideMark/>
          </w:tcPr>
          <w:p w14:paraId="5BFDAE33"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F</w:t>
            </w:r>
          </w:p>
        </w:tc>
        <w:tc>
          <w:tcPr>
            <w:tcW w:w="873" w:type="dxa"/>
            <w:noWrap/>
            <w:hideMark/>
          </w:tcPr>
          <w:p w14:paraId="2E10B352"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M</w:t>
            </w:r>
          </w:p>
        </w:tc>
        <w:tc>
          <w:tcPr>
            <w:tcW w:w="873" w:type="dxa"/>
            <w:noWrap/>
            <w:hideMark/>
          </w:tcPr>
          <w:p w14:paraId="51BC0DA1" w14:textId="77777777" w:rsidR="00BE104E" w:rsidRPr="008E37ED" w:rsidRDefault="00BE104E" w:rsidP="00A93825">
            <w:pPr>
              <w:spacing w:before="0" w:after="0" w:line="240" w:lineRule="auto"/>
              <w:jc w:val="center"/>
              <w:rPr>
                <w:bCs/>
                <w:color w:val="000000"/>
                <w:sz w:val="22"/>
                <w:szCs w:val="22"/>
                <w:lang w:val="en-NZ" w:eastAsia="en-NZ"/>
              </w:rPr>
            </w:pPr>
            <w:r w:rsidRPr="008E37ED">
              <w:rPr>
                <w:bCs/>
                <w:color w:val="000000"/>
                <w:sz w:val="22"/>
                <w:szCs w:val="22"/>
                <w:lang w:val="en-NZ" w:eastAsia="en-NZ"/>
              </w:rPr>
              <w:t>Total</w:t>
            </w:r>
          </w:p>
        </w:tc>
        <w:tc>
          <w:tcPr>
            <w:tcW w:w="873" w:type="dxa"/>
            <w:noWrap/>
            <w:hideMark/>
          </w:tcPr>
          <w:p w14:paraId="3663C636"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F</w:t>
            </w:r>
          </w:p>
        </w:tc>
        <w:tc>
          <w:tcPr>
            <w:tcW w:w="874" w:type="dxa"/>
            <w:noWrap/>
            <w:hideMark/>
          </w:tcPr>
          <w:p w14:paraId="2CB7CE99"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M</w:t>
            </w:r>
          </w:p>
        </w:tc>
        <w:tc>
          <w:tcPr>
            <w:tcW w:w="873" w:type="dxa"/>
            <w:noWrap/>
            <w:hideMark/>
          </w:tcPr>
          <w:p w14:paraId="227D9A47" w14:textId="77777777" w:rsidR="00BE104E" w:rsidRPr="008E37ED" w:rsidRDefault="00BE104E" w:rsidP="00A93825">
            <w:pPr>
              <w:spacing w:before="0" w:after="0" w:line="240" w:lineRule="auto"/>
              <w:jc w:val="center"/>
              <w:rPr>
                <w:bCs/>
                <w:color w:val="000000"/>
                <w:sz w:val="22"/>
                <w:szCs w:val="22"/>
                <w:lang w:val="en-NZ" w:eastAsia="en-NZ"/>
              </w:rPr>
            </w:pPr>
            <w:r w:rsidRPr="008E37ED">
              <w:rPr>
                <w:bCs/>
                <w:color w:val="000000"/>
                <w:sz w:val="22"/>
                <w:szCs w:val="22"/>
                <w:lang w:val="en-NZ" w:eastAsia="en-NZ"/>
              </w:rPr>
              <w:t>Total</w:t>
            </w:r>
          </w:p>
        </w:tc>
        <w:tc>
          <w:tcPr>
            <w:tcW w:w="873" w:type="dxa"/>
            <w:noWrap/>
            <w:hideMark/>
          </w:tcPr>
          <w:p w14:paraId="47944F56"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F</w:t>
            </w:r>
          </w:p>
        </w:tc>
        <w:tc>
          <w:tcPr>
            <w:tcW w:w="873" w:type="dxa"/>
            <w:noWrap/>
            <w:hideMark/>
          </w:tcPr>
          <w:p w14:paraId="1FB48344"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M</w:t>
            </w:r>
          </w:p>
        </w:tc>
        <w:tc>
          <w:tcPr>
            <w:tcW w:w="874" w:type="dxa"/>
            <w:noWrap/>
            <w:hideMark/>
          </w:tcPr>
          <w:p w14:paraId="6B1C8631" w14:textId="77777777" w:rsidR="00BE104E" w:rsidRPr="008E37ED" w:rsidRDefault="00BE104E" w:rsidP="00A93825">
            <w:pPr>
              <w:spacing w:before="0" w:after="0" w:line="240" w:lineRule="auto"/>
              <w:jc w:val="center"/>
              <w:rPr>
                <w:bCs/>
                <w:color w:val="000000"/>
                <w:sz w:val="22"/>
                <w:szCs w:val="22"/>
                <w:lang w:val="en-NZ" w:eastAsia="en-NZ"/>
              </w:rPr>
            </w:pPr>
            <w:r w:rsidRPr="008E37ED">
              <w:rPr>
                <w:bCs/>
                <w:color w:val="000000"/>
                <w:sz w:val="22"/>
                <w:szCs w:val="22"/>
                <w:lang w:val="en-NZ" w:eastAsia="en-NZ"/>
              </w:rPr>
              <w:t>Total</w:t>
            </w:r>
          </w:p>
        </w:tc>
        <w:tc>
          <w:tcPr>
            <w:tcW w:w="1135" w:type="dxa"/>
            <w:noWrap/>
            <w:hideMark/>
          </w:tcPr>
          <w:p w14:paraId="4054F25F" w14:textId="77777777" w:rsidR="00BE104E" w:rsidRPr="008E37ED" w:rsidRDefault="00BE104E" w:rsidP="00A93825">
            <w:pPr>
              <w:spacing w:before="0" w:after="0" w:line="240" w:lineRule="auto"/>
              <w:jc w:val="right"/>
              <w:rPr>
                <w:b/>
                <w:sz w:val="20"/>
                <w:lang w:val="en-NZ" w:eastAsia="en-NZ"/>
              </w:rPr>
            </w:pPr>
          </w:p>
        </w:tc>
      </w:tr>
      <w:tr w:rsidR="00BE104E" w:rsidRPr="008E37ED" w14:paraId="3F119270" w14:textId="77777777" w:rsidTr="00A93825">
        <w:trPr>
          <w:trHeight w:val="300"/>
        </w:trPr>
        <w:tc>
          <w:tcPr>
            <w:tcW w:w="1688" w:type="dxa"/>
            <w:noWrap/>
            <w:hideMark/>
          </w:tcPr>
          <w:p w14:paraId="41B6812D"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Agriculture</w:t>
            </w:r>
          </w:p>
        </w:tc>
        <w:tc>
          <w:tcPr>
            <w:tcW w:w="873" w:type="dxa"/>
            <w:noWrap/>
            <w:hideMark/>
          </w:tcPr>
          <w:p w14:paraId="11867664"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35</w:t>
            </w:r>
          </w:p>
        </w:tc>
        <w:tc>
          <w:tcPr>
            <w:tcW w:w="873" w:type="dxa"/>
            <w:noWrap/>
            <w:hideMark/>
          </w:tcPr>
          <w:p w14:paraId="6E78820A"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38</w:t>
            </w:r>
          </w:p>
        </w:tc>
        <w:tc>
          <w:tcPr>
            <w:tcW w:w="873" w:type="dxa"/>
            <w:noWrap/>
            <w:hideMark/>
          </w:tcPr>
          <w:p w14:paraId="20219DD0"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73</w:t>
            </w:r>
          </w:p>
        </w:tc>
        <w:tc>
          <w:tcPr>
            <w:tcW w:w="873" w:type="dxa"/>
            <w:noWrap/>
            <w:hideMark/>
          </w:tcPr>
          <w:p w14:paraId="44B008DB"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30</w:t>
            </w:r>
          </w:p>
        </w:tc>
        <w:tc>
          <w:tcPr>
            <w:tcW w:w="874" w:type="dxa"/>
            <w:noWrap/>
            <w:hideMark/>
          </w:tcPr>
          <w:p w14:paraId="3050A0A9"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40</w:t>
            </w:r>
          </w:p>
        </w:tc>
        <w:tc>
          <w:tcPr>
            <w:tcW w:w="873" w:type="dxa"/>
            <w:noWrap/>
            <w:hideMark/>
          </w:tcPr>
          <w:p w14:paraId="20304AD7"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70</w:t>
            </w:r>
          </w:p>
        </w:tc>
        <w:tc>
          <w:tcPr>
            <w:tcW w:w="873" w:type="dxa"/>
            <w:noWrap/>
            <w:hideMark/>
          </w:tcPr>
          <w:p w14:paraId="77B3CC9B"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39</w:t>
            </w:r>
          </w:p>
        </w:tc>
        <w:tc>
          <w:tcPr>
            <w:tcW w:w="873" w:type="dxa"/>
            <w:noWrap/>
            <w:hideMark/>
          </w:tcPr>
          <w:p w14:paraId="47BD407B"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50</w:t>
            </w:r>
          </w:p>
        </w:tc>
        <w:tc>
          <w:tcPr>
            <w:tcW w:w="874" w:type="dxa"/>
            <w:noWrap/>
            <w:hideMark/>
          </w:tcPr>
          <w:p w14:paraId="425F975C"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89</w:t>
            </w:r>
          </w:p>
        </w:tc>
        <w:tc>
          <w:tcPr>
            <w:tcW w:w="1135" w:type="dxa"/>
            <w:noWrap/>
            <w:hideMark/>
          </w:tcPr>
          <w:p w14:paraId="683E74BE"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232</w:t>
            </w:r>
          </w:p>
        </w:tc>
      </w:tr>
      <w:tr w:rsidR="00BE104E" w:rsidRPr="008E37ED" w14:paraId="35A6E2AE" w14:textId="77777777" w:rsidTr="00A93825">
        <w:trPr>
          <w:trHeight w:val="300"/>
        </w:trPr>
        <w:tc>
          <w:tcPr>
            <w:tcW w:w="1688" w:type="dxa"/>
            <w:noWrap/>
            <w:hideMark/>
          </w:tcPr>
          <w:p w14:paraId="202B9E5E"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t>Extractives</w:t>
            </w:r>
          </w:p>
        </w:tc>
        <w:tc>
          <w:tcPr>
            <w:tcW w:w="873" w:type="dxa"/>
            <w:noWrap/>
            <w:hideMark/>
          </w:tcPr>
          <w:p w14:paraId="44674128"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39</w:t>
            </w:r>
          </w:p>
        </w:tc>
        <w:tc>
          <w:tcPr>
            <w:tcW w:w="873" w:type="dxa"/>
            <w:noWrap/>
            <w:hideMark/>
          </w:tcPr>
          <w:p w14:paraId="483B8089"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67</w:t>
            </w:r>
          </w:p>
        </w:tc>
        <w:tc>
          <w:tcPr>
            <w:tcW w:w="873" w:type="dxa"/>
            <w:noWrap/>
            <w:hideMark/>
          </w:tcPr>
          <w:p w14:paraId="2DBEDBEA"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106</w:t>
            </w:r>
          </w:p>
        </w:tc>
        <w:tc>
          <w:tcPr>
            <w:tcW w:w="873" w:type="dxa"/>
            <w:noWrap/>
            <w:hideMark/>
          </w:tcPr>
          <w:p w14:paraId="0E07792D"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25</w:t>
            </w:r>
          </w:p>
        </w:tc>
        <w:tc>
          <w:tcPr>
            <w:tcW w:w="874" w:type="dxa"/>
            <w:noWrap/>
            <w:hideMark/>
          </w:tcPr>
          <w:p w14:paraId="4FC06CAB"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26</w:t>
            </w:r>
          </w:p>
        </w:tc>
        <w:tc>
          <w:tcPr>
            <w:tcW w:w="873" w:type="dxa"/>
            <w:noWrap/>
            <w:hideMark/>
          </w:tcPr>
          <w:p w14:paraId="2415B43D"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51</w:t>
            </w:r>
          </w:p>
        </w:tc>
        <w:tc>
          <w:tcPr>
            <w:tcW w:w="873" w:type="dxa"/>
            <w:noWrap/>
            <w:hideMark/>
          </w:tcPr>
          <w:p w14:paraId="6FB05303"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18</w:t>
            </w:r>
          </w:p>
        </w:tc>
        <w:tc>
          <w:tcPr>
            <w:tcW w:w="873" w:type="dxa"/>
            <w:noWrap/>
            <w:hideMark/>
          </w:tcPr>
          <w:p w14:paraId="5A6D8589"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38</w:t>
            </w:r>
          </w:p>
        </w:tc>
        <w:tc>
          <w:tcPr>
            <w:tcW w:w="874" w:type="dxa"/>
            <w:noWrap/>
            <w:hideMark/>
          </w:tcPr>
          <w:p w14:paraId="36A8C4E4"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56</w:t>
            </w:r>
          </w:p>
        </w:tc>
        <w:tc>
          <w:tcPr>
            <w:tcW w:w="1135" w:type="dxa"/>
            <w:noWrap/>
            <w:hideMark/>
          </w:tcPr>
          <w:p w14:paraId="03963CCB"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213</w:t>
            </w:r>
          </w:p>
        </w:tc>
      </w:tr>
      <w:tr w:rsidR="00BE104E" w:rsidRPr="008E37ED" w14:paraId="0F16453E" w14:textId="77777777" w:rsidTr="00A93825">
        <w:trPr>
          <w:trHeight w:val="300"/>
        </w:trPr>
        <w:tc>
          <w:tcPr>
            <w:tcW w:w="1688" w:type="dxa"/>
            <w:noWrap/>
            <w:hideMark/>
          </w:tcPr>
          <w:p w14:paraId="5E530A1F" w14:textId="77777777" w:rsidR="00BE104E" w:rsidRPr="008E37ED" w:rsidRDefault="00BE104E" w:rsidP="00A93825">
            <w:pPr>
              <w:spacing w:before="0" w:after="0" w:line="240" w:lineRule="auto"/>
              <w:rPr>
                <w:color w:val="000000"/>
                <w:sz w:val="22"/>
                <w:szCs w:val="22"/>
                <w:lang w:val="en-NZ" w:eastAsia="en-NZ"/>
              </w:rPr>
            </w:pPr>
            <w:r w:rsidRPr="008E37ED">
              <w:rPr>
                <w:color w:val="000000"/>
                <w:sz w:val="22"/>
                <w:szCs w:val="22"/>
                <w:lang w:val="en-NZ" w:eastAsia="en-NZ"/>
              </w:rPr>
              <w:lastRenderedPageBreak/>
              <w:t>Governance</w:t>
            </w:r>
          </w:p>
        </w:tc>
        <w:tc>
          <w:tcPr>
            <w:tcW w:w="873" w:type="dxa"/>
            <w:noWrap/>
            <w:hideMark/>
          </w:tcPr>
          <w:p w14:paraId="32B82A18"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32</w:t>
            </w:r>
          </w:p>
        </w:tc>
        <w:tc>
          <w:tcPr>
            <w:tcW w:w="873" w:type="dxa"/>
            <w:noWrap/>
            <w:hideMark/>
          </w:tcPr>
          <w:p w14:paraId="5E33A499"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37</w:t>
            </w:r>
          </w:p>
        </w:tc>
        <w:tc>
          <w:tcPr>
            <w:tcW w:w="873" w:type="dxa"/>
            <w:noWrap/>
            <w:hideMark/>
          </w:tcPr>
          <w:p w14:paraId="7E3E5F2A"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69</w:t>
            </w:r>
          </w:p>
        </w:tc>
        <w:tc>
          <w:tcPr>
            <w:tcW w:w="873" w:type="dxa"/>
            <w:noWrap/>
            <w:hideMark/>
          </w:tcPr>
          <w:p w14:paraId="39D5C971"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45</w:t>
            </w:r>
          </w:p>
        </w:tc>
        <w:tc>
          <w:tcPr>
            <w:tcW w:w="874" w:type="dxa"/>
            <w:noWrap/>
            <w:hideMark/>
          </w:tcPr>
          <w:p w14:paraId="599DBF34"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57</w:t>
            </w:r>
          </w:p>
        </w:tc>
        <w:tc>
          <w:tcPr>
            <w:tcW w:w="873" w:type="dxa"/>
            <w:noWrap/>
            <w:hideMark/>
          </w:tcPr>
          <w:p w14:paraId="13BD0EDA"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102</w:t>
            </w:r>
          </w:p>
        </w:tc>
        <w:tc>
          <w:tcPr>
            <w:tcW w:w="873" w:type="dxa"/>
            <w:noWrap/>
            <w:hideMark/>
          </w:tcPr>
          <w:p w14:paraId="56EF7652"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45</w:t>
            </w:r>
          </w:p>
        </w:tc>
        <w:tc>
          <w:tcPr>
            <w:tcW w:w="873" w:type="dxa"/>
            <w:noWrap/>
            <w:hideMark/>
          </w:tcPr>
          <w:p w14:paraId="3B9AF950" w14:textId="77777777" w:rsidR="00BE104E" w:rsidRPr="008E37ED" w:rsidRDefault="00BE104E" w:rsidP="00A93825">
            <w:pPr>
              <w:spacing w:before="0" w:after="0" w:line="240" w:lineRule="auto"/>
              <w:jc w:val="center"/>
              <w:rPr>
                <w:i/>
                <w:color w:val="000000"/>
                <w:sz w:val="22"/>
                <w:szCs w:val="22"/>
                <w:lang w:val="en-NZ" w:eastAsia="en-NZ"/>
              </w:rPr>
            </w:pPr>
            <w:r w:rsidRPr="008E37ED">
              <w:rPr>
                <w:i/>
                <w:color w:val="000000"/>
                <w:sz w:val="22"/>
                <w:szCs w:val="22"/>
                <w:lang w:val="en-NZ" w:eastAsia="en-NZ"/>
              </w:rPr>
              <w:t>43</w:t>
            </w:r>
          </w:p>
        </w:tc>
        <w:tc>
          <w:tcPr>
            <w:tcW w:w="874" w:type="dxa"/>
            <w:noWrap/>
            <w:hideMark/>
          </w:tcPr>
          <w:p w14:paraId="435B3D84" w14:textId="77777777" w:rsidR="00BE104E" w:rsidRPr="008E37ED" w:rsidRDefault="00BE104E" w:rsidP="00A93825">
            <w:pPr>
              <w:spacing w:before="0" w:after="0" w:line="240" w:lineRule="auto"/>
              <w:jc w:val="center"/>
              <w:rPr>
                <w:color w:val="000000"/>
                <w:sz w:val="22"/>
                <w:szCs w:val="22"/>
                <w:lang w:val="en-NZ" w:eastAsia="en-NZ"/>
              </w:rPr>
            </w:pPr>
            <w:r w:rsidRPr="008E37ED">
              <w:rPr>
                <w:color w:val="000000"/>
                <w:sz w:val="22"/>
                <w:szCs w:val="22"/>
                <w:lang w:val="en-NZ" w:eastAsia="en-NZ"/>
              </w:rPr>
              <w:t>88</w:t>
            </w:r>
          </w:p>
        </w:tc>
        <w:tc>
          <w:tcPr>
            <w:tcW w:w="1135" w:type="dxa"/>
            <w:noWrap/>
            <w:hideMark/>
          </w:tcPr>
          <w:p w14:paraId="1E53C76C" w14:textId="77777777" w:rsidR="00BE104E" w:rsidRPr="008E37ED" w:rsidRDefault="00BE104E" w:rsidP="00A93825">
            <w:pPr>
              <w:spacing w:before="0" w:after="0" w:line="240" w:lineRule="auto"/>
              <w:jc w:val="right"/>
              <w:rPr>
                <w:b/>
                <w:color w:val="000000"/>
                <w:sz w:val="22"/>
                <w:szCs w:val="22"/>
                <w:lang w:val="en-NZ" w:eastAsia="en-NZ"/>
              </w:rPr>
            </w:pPr>
            <w:r w:rsidRPr="008E37ED">
              <w:rPr>
                <w:b/>
                <w:color w:val="000000"/>
                <w:sz w:val="22"/>
                <w:szCs w:val="22"/>
                <w:lang w:val="en-NZ" w:eastAsia="en-NZ"/>
              </w:rPr>
              <w:t>259</w:t>
            </w:r>
          </w:p>
        </w:tc>
      </w:tr>
      <w:tr w:rsidR="00BE104E" w:rsidRPr="008E37ED" w14:paraId="3CA4F5DB" w14:textId="77777777" w:rsidTr="00A93825">
        <w:trPr>
          <w:trHeight w:val="300"/>
        </w:trPr>
        <w:tc>
          <w:tcPr>
            <w:tcW w:w="1688" w:type="dxa"/>
            <w:noWrap/>
            <w:hideMark/>
          </w:tcPr>
          <w:p w14:paraId="646B082E" w14:textId="77777777" w:rsidR="00BE104E" w:rsidRPr="008E37ED" w:rsidRDefault="00BE104E" w:rsidP="00A93825">
            <w:pPr>
              <w:spacing w:before="0" w:after="0" w:line="240" w:lineRule="auto"/>
              <w:rPr>
                <w:b/>
                <w:bCs/>
                <w:color w:val="000000"/>
                <w:sz w:val="22"/>
                <w:szCs w:val="22"/>
                <w:lang w:val="en-NZ" w:eastAsia="en-NZ"/>
              </w:rPr>
            </w:pPr>
            <w:r w:rsidRPr="008E37ED">
              <w:rPr>
                <w:b/>
                <w:bCs/>
                <w:color w:val="000000"/>
                <w:sz w:val="22"/>
                <w:szCs w:val="22"/>
                <w:lang w:val="en-NZ" w:eastAsia="en-NZ"/>
              </w:rPr>
              <w:t>Grand Total</w:t>
            </w:r>
          </w:p>
        </w:tc>
        <w:tc>
          <w:tcPr>
            <w:tcW w:w="873" w:type="dxa"/>
            <w:noWrap/>
            <w:hideMark/>
          </w:tcPr>
          <w:p w14:paraId="7925B070"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106</w:t>
            </w:r>
          </w:p>
        </w:tc>
        <w:tc>
          <w:tcPr>
            <w:tcW w:w="873" w:type="dxa"/>
            <w:noWrap/>
            <w:hideMark/>
          </w:tcPr>
          <w:p w14:paraId="35EEAFD3"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142</w:t>
            </w:r>
          </w:p>
        </w:tc>
        <w:tc>
          <w:tcPr>
            <w:tcW w:w="873" w:type="dxa"/>
            <w:noWrap/>
            <w:hideMark/>
          </w:tcPr>
          <w:p w14:paraId="20DC044D" w14:textId="77777777" w:rsidR="00BE104E" w:rsidRPr="008E37ED" w:rsidRDefault="00BE104E" w:rsidP="00A93825">
            <w:pPr>
              <w:spacing w:before="0" w:after="0" w:line="240" w:lineRule="auto"/>
              <w:jc w:val="center"/>
              <w:rPr>
                <w:bCs/>
                <w:color w:val="000000"/>
                <w:sz w:val="22"/>
                <w:szCs w:val="22"/>
                <w:lang w:val="en-NZ" w:eastAsia="en-NZ"/>
              </w:rPr>
            </w:pPr>
            <w:r w:rsidRPr="008E37ED">
              <w:rPr>
                <w:bCs/>
                <w:color w:val="000000"/>
                <w:sz w:val="22"/>
                <w:szCs w:val="22"/>
                <w:lang w:val="en-NZ" w:eastAsia="en-NZ"/>
              </w:rPr>
              <w:t>248</w:t>
            </w:r>
          </w:p>
        </w:tc>
        <w:tc>
          <w:tcPr>
            <w:tcW w:w="873" w:type="dxa"/>
            <w:noWrap/>
            <w:hideMark/>
          </w:tcPr>
          <w:p w14:paraId="339DBEDD"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100</w:t>
            </w:r>
          </w:p>
        </w:tc>
        <w:tc>
          <w:tcPr>
            <w:tcW w:w="874" w:type="dxa"/>
            <w:noWrap/>
            <w:hideMark/>
          </w:tcPr>
          <w:p w14:paraId="45AFE34D"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123</w:t>
            </w:r>
          </w:p>
        </w:tc>
        <w:tc>
          <w:tcPr>
            <w:tcW w:w="873" w:type="dxa"/>
            <w:noWrap/>
            <w:hideMark/>
          </w:tcPr>
          <w:p w14:paraId="07AFD199" w14:textId="77777777" w:rsidR="00BE104E" w:rsidRPr="008E37ED" w:rsidRDefault="00BE104E" w:rsidP="00A93825">
            <w:pPr>
              <w:spacing w:before="0" w:after="0" w:line="240" w:lineRule="auto"/>
              <w:jc w:val="center"/>
              <w:rPr>
                <w:bCs/>
                <w:color w:val="000000"/>
                <w:sz w:val="22"/>
                <w:szCs w:val="22"/>
                <w:lang w:val="en-NZ" w:eastAsia="en-NZ"/>
              </w:rPr>
            </w:pPr>
            <w:r w:rsidRPr="008E37ED">
              <w:rPr>
                <w:bCs/>
                <w:color w:val="000000"/>
                <w:sz w:val="22"/>
                <w:szCs w:val="22"/>
                <w:lang w:val="en-NZ" w:eastAsia="en-NZ"/>
              </w:rPr>
              <w:t>223</w:t>
            </w:r>
          </w:p>
        </w:tc>
        <w:tc>
          <w:tcPr>
            <w:tcW w:w="873" w:type="dxa"/>
            <w:noWrap/>
            <w:hideMark/>
          </w:tcPr>
          <w:p w14:paraId="7F089F23"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102</w:t>
            </w:r>
          </w:p>
        </w:tc>
        <w:tc>
          <w:tcPr>
            <w:tcW w:w="873" w:type="dxa"/>
            <w:noWrap/>
            <w:hideMark/>
          </w:tcPr>
          <w:p w14:paraId="08CE09A3" w14:textId="77777777" w:rsidR="00BE104E" w:rsidRPr="008E37ED" w:rsidRDefault="00BE104E" w:rsidP="00A93825">
            <w:pPr>
              <w:spacing w:before="0" w:after="0" w:line="240" w:lineRule="auto"/>
              <w:jc w:val="center"/>
              <w:rPr>
                <w:bCs/>
                <w:i/>
                <w:color w:val="000000"/>
                <w:sz w:val="22"/>
                <w:szCs w:val="22"/>
                <w:lang w:val="en-NZ" w:eastAsia="en-NZ"/>
              </w:rPr>
            </w:pPr>
            <w:r w:rsidRPr="008E37ED">
              <w:rPr>
                <w:bCs/>
                <w:i/>
                <w:color w:val="000000"/>
                <w:sz w:val="22"/>
                <w:szCs w:val="22"/>
                <w:lang w:val="en-NZ" w:eastAsia="en-NZ"/>
              </w:rPr>
              <w:t>131</w:t>
            </w:r>
          </w:p>
        </w:tc>
        <w:tc>
          <w:tcPr>
            <w:tcW w:w="874" w:type="dxa"/>
            <w:noWrap/>
            <w:hideMark/>
          </w:tcPr>
          <w:p w14:paraId="635478DF" w14:textId="77777777" w:rsidR="00BE104E" w:rsidRPr="008E37ED" w:rsidRDefault="00BE104E" w:rsidP="00A93825">
            <w:pPr>
              <w:spacing w:before="0" w:after="0" w:line="240" w:lineRule="auto"/>
              <w:jc w:val="center"/>
              <w:rPr>
                <w:bCs/>
                <w:color w:val="000000"/>
                <w:sz w:val="22"/>
                <w:szCs w:val="22"/>
                <w:lang w:val="en-NZ" w:eastAsia="en-NZ"/>
              </w:rPr>
            </w:pPr>
            <w:r w:rsidRPr="008E37ED">
              <w:rPr>
                <w:bCs/>
                <w:color w:val="000000"/>
                <w:sz w:val="22"/>
                <w:szCs w:val="22"/>
                <w:lang w:val="en-NZ" w:eastAsia="en-NZ"/>
              </w:rPr>
              <w:t>233</w:t>
            </w:r>
          </w:p>
        </w:tc>
        <w:tc>
          <w:tcPr>
            <w:tcW w:w="1135" w:type="dxa"/>
            <w:noWrap/>
            <w:hideMark/>
          </w:tcPr>
          <w:p w14:paraId="3AADE7DE" w14:textId="77777777" w:rsidR="00BE104E" w:rsidRPr="008E37ED" w:rsidRDefault="00BE104E" w:rsidP="00A93825">
            <w:pPr>
              <w:spacing w:before="0" w:after="0" w:line="240" w:lineRule="auto"/>
              <w:jc w:val="right"/>
              <w:rPr>
                <w:b/>
                <w:bCs/>
                <w:color w:val="000000"/>
                <w:sz w:val="22"/>
                <w:szCs w:val="22"/>
                <w:lang w:val="en-NZ" w:eastAsia="en-NZ"/>
              </w:rPr>
            </w:pPr>
            <w:r w:rsidRPr="008E37ED">
              <w:rPr>
                <w:b/>
                <w:bCs/>
                <w:color w:val="000000"/>
                <w:sz w:val="22"/>
                <w:szCs w:val="22"/>
                <w:lang w:val="en-NZ" w:eastAsia="en-NZ"/>
              </w:rPr>
              <w:t>704</w:t>
            </w:r>
          </w:p>
        </w:tc>
      </w:tr>
    </w:tbl>
    <w:p w14:paraId="1F78B3F8" w14:textId="77777777" w:rsidR="00BE104E" w:rsidRDefault="00BE104E" w:rsidP="00BE104E">
      <w:pPr>
        <w:pStyle w:val="TableName"/>
      </w:pPr>
    </w:p>
    <w:p w14:paraId="749CE9A9" w14:textId="77777777" w:rsidR="00BE104E" w:rsidRDefault="00BE104E" w:rsidP="00BE104E">
      <w:pPr>
        <w:pStyle w:val="TableName"/>
      </w:pPr>
      <w:bookmarkStart w:id="63" w:name="_Toc1729546"/>
      <w:r w:rsidRPr="00BE104E">
        <w:t xml:space="preserve">Table </w:t>
      </w:r>
      <w:r w:rsidR="00A93825">
        <w:t>8</w:t>
      </w:r>
      <w:r w:rsidRPr="00BE104E">
        <w:tab/>
        <w:t>Small grants by country and grant type, 2016 – 2018</w:t>
      </w:r>
      <w:bookmarkEnd w:id="63"/>
    </w:p>
    <w:tbl>
      <w:tblPr>
        <w:tblStyle w:val="TableGrid"/>
        <w:tblW w:w="0" w:type="auto"/>
        <w:tblLayout w:type="fixed"/>
        <w:tblLook w:val="04A0" w:firstRow="1" w:lastRow="0" w:firstColumn="1" w:lastColumn="0" w:noHBand="0" w:noVBand="1"/>
      </w:tblPr>
      <w:tblGrid>
        <w:gridCol w:w="2012"/>
        <w:gridCol w:w="2167"/>
        <w:gridCol w:w="2168"/>
        <w:gridCol w:w="2167"/>
        <w:gridCol w:w="2168"/>
      </w:tblGrid>
      <w:tr w:rsidR="00BE104E" w:rsidRPr="004145AB" w14:paraId="1EE7B0C5" w14:textId="77777777" w:rsidTr="00A93825">
        <w:trPr>
          <w:cnfStyle w:val="100000000000" w:firstRow="1" w:lastRow="0" w:firstColumn="0" w:lastColumn="0" w:oddVBand="0" w:evenVBand="0" w:oddHBand="0" w:evenHBand="0" w:firstRowFirstColumn="0" w:firstRowLastColumn="0" w:lastRowFirstColumn="0" w:lastRowLastColumn="0"/>
          <w:trHeight w:val="20"/>
          <w:tblHeader/>
        </w:trPr>
        <w:tc>
          <w:tcPr>
            <w:tcW w:w="2012" w:type="dxa"/>
            <w:noWrap/>
          </w:tcPr>
          <w:p w14:paraId="42BCFDEB" w14:textId="77777777" w:rsidR="00BE104E" w:rsidRPr="004145AB" w:rsidRDefault="00BE104E" w:rsidP="00A93825">
            <w:pPr>
              <w:spacing w:before="0" w:after="0" w:line="240" w:lineRule="auto"/>
              <w:rPr>
                <w:rFonts w:cs="Arial"/>
                <w:b/>
                <w:bCs/>
                <w:color w:val="000000"/>
                <w:sz w:val="20"/>
                <w:lang w:val="en-NZ" w:eastAsia="en-NZ"/>
              </w:rPr>
            </w:pPr>
          </w:p>
        </w:tc>
        <w:tc>
          <w:tcPr>
            <w:tcW w:w="6502" w:type="dxa"/>
            <w:gridSpan w:val="3"/>
            <w:noWrap/>
          </w:tcPr>
          <w:p w14:paraId="6765EE38" w14:textId="77777777" w:rsidR="00BE104E" w:rsidRPr="004145AB" w:rsidRDefault="00BE104E" w:rsidP="00A93825">
            <w:pPr>
              <w:spacing w:before="0" w:after="0" w:line="240" w:lineRule="auto"/>
              <w:jc w:val="center"/>
              <w:rPr>
                <w:rFonts w:cs="Arial"/>
                <w:b/>
                <w:bCs/>
                <w:color w:val="000000"/>
                <w:sz w:val="20"/>
                <w:lang w:val="en-NZ" w:eastAsia="en-NZ"/>
              </w:rPr>
            </w:pPr>
            <w:r w:rsidRPr="004145AB">
              <w:rPr>
                <w:rFonts w:cs="Arial"/>
                <w:b/>
                <w:bCs/>
                <w:color w:val="000000"/>
                <w:sz w:val="20"/>
                <w:lang w:val="en-NZ" w:eastAsia="en-NZ"/>
              </w:rPr>
              <w:t>Grant type</w:t>
            </w:r>
          </w:p>
        </w:tc>
        <w:tc>
          <w:tcPr>
            <w:tcW w:w="2168" w:type="dxa"/>
            <w:noWrap/>
          </w:tcPr>
          <w:p w14:paraId="4C70CFFB" w14:textId="77777777" w:rsidR="00BE104E" w:rsidRPr="004145AB" w:rsidRDefault="00BE104E" w:rsidP="00A93825">
            <w:pPr>
              <w:spacing w:before="0" w:after="0" w:line="240" w:lineRule="auto"/>
              <w:jc w:val="right"/>
              <w:rPr>
                <w:rFonts w:cs="Arial"/>
                <w:b/>
                <w:bCs/>
                <w:color w:val="000000"/>
                <w:sz w:val="20"/>
                <w:lang w:val="en-NZ" w:eastAsia="en-NZ"/>
              </w:rPr>
            </w:pPr>
          </w:p>
        </w:tc>
      </w:tr>
      <w:tr w:rsidR="00BE104E" w:rsidRPr="004145AB" w14:paraId="0ED3BB6B" w14:textId="77777777" w:rsidTr="00A93825">
        <w:trPr>
          <w:cnfStyle w:val="100000000000" w:firstRow="1" w:lastRow="0" w:firstColumn="0" w:lastColumn="0" w:oddVBand="0" w:evenVBand="0" w:oddHBand="0" w:evenHBand="0" w:firstRowFirstColumn="0" w:firstRowLastColumn="0" w:lastRowFirstColumn="0" w:lastRowLastColumn="0"/>
          <w:trHeight w:val="20"/>
          <w:tblHeader/>
        </w:trPr>
        <w:tc>
          <w:tcPr>
            <w:tcW w:w="2012" w:type="dxa"/>
            <w:noWrap/>
            <w:hideMark/>
          </w:tcPr>
          <w:p w14:paraId="39752E37"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Country / year</w:t>
            </w:r>
          </w:p>
        </w:tc>
        <w:tc>
          <w:tcPr>
            <w:tcW w:w="2167" w:type="dxa"/>
            <w:noWrap/>
            <w:hideMark/>
          </w:tcPr>
          <w:p w14:paraId="5F7AB3BE" w14:textId="77777777" w:rsidR="00BE104E" w:rsidRPr="004145AB" w:rsidRDefault="00BE104E" w:rsidP="00A93825">
            <w:pPr>
              <w:spacing w:before="0" w:after="0" w:line="240" w:lineRule="auto"/>
              <w:jc w:val="right"/>
              <w:rPr>
                <w:rFonts w:cs="Arial"/>
                <w:bCs/>
                <w:color w:val="000000"/>
                <w:sz w:val="20"/>
                <w:lang w:val="en-NZ" w:eastAsia="en-NZ"/>
              </w:rPr>
            </w:pPr>
            <w:r w:rsidRPr="004145AB">
              <w:rPr>
                <w:rFonts w:cs="Arial"/>
                <w:bCs/>
                <w:color w:val="000000"/>
                <w:sz w:val="20"/>
                <w:lang w:val="en-NZ" w:eastAsia="en-NZ"/>
              </w:rPr>
              <w:t xml:space="preserve">Community Development Grant </w:t>
            </w:r>
          </w:p>
          <w:p w14:paraId="014E6FF8" w14:textId="3B7AD456" w:rsidR="00BE104E" w:rsidRPr="004145AB" w:rsidRDefault="00BE104E" w:rsidP="00A93825">
            <w:pPr>
              <w:spacing w:before="0" w:after="0" w:line="240" w:lineRule="auto"/>
              <w:jc w:val="right"/>
              <w:rPr>
                <w:rFonts w:cs="Arial"/>
                <w:bCs/>
                <w:color w:val="000000"/>
                <w:sz w:val="20"/>
                <w:lang w:val="en-NZ" w:eastAsia="en-NZ"/>
              </w:rPr>
            </w:pPr>
          </w:p>
        </w:tc>
        <w:tc>
          <w:tcPr>
            <w:tcW w:w="2168" w:type="dxa"/>
            <w:noWrap/>
            <w:hideMark/>
          </w:tcPr>
          <w:p w14:paraId="392A3ECE" w14:textId="52CEAC96" w:rsidR="00BE104E" w:rsidRPr="004145AB" w:rsidRDefault="00BE104E" w:rsidP="00A93825">
            <w:pPr>
              <w:spacing w:before="0" w:after="0" w:line="240" w:lineRule="auto"/>
              <w:jc w:val="right"/>
              <w:rPr>
                <w:rFonts w:cs="Arial"/>
                <w:bCs/>
                <w:color w:val="000000"/>
                <w:sz w:val="20"/>
                <w:lang w:val="en-NZ" w:eastAsia="en-NZ"/>
              </w:rPr>
            </w:pPr>
            <w:r w:rsidRPr="004145AB">
              <w:rPr>
                <w:rFonts w:cs="Arial"/>
                <w:bCs/>
                <w:color w:val="000000"/>
                <w:sz w:val="20"/>
                <w:lang w:val="en-NZ" w:eastAsia="en-NZ"/>
              </w:rPr>
              <w:t xml:space="preserve">Continuing professional development grant </w:t>
            </w:r>
          </w:p>
        </w:tc>
        <w:tc>
          <w:tcPr>
            <w:tcW w:w="2167" w:type="dxa"/>
            <w:noWrap/>
            <w:hideMark/>
          </w:tcPr>
          <w:p w14:paraId="24B84A24" w14:textId="77777777" w:rsidR="00BE104E" w:rsidRPr="004145AB" w:rsidRDefault="00BE104E" w:rsidP="00A93825">
            <w:pPr>
              <w:spacing w:before="0" w:after="0" w:line="240" w:lineRule="auto"/>
              <w:jc w:val="right"/>
              <w:rPr>
                <w:rFonts w:cs="Arial"/>
                <w:bCs/>
                <w:color w:val="000000"/>
                <w:sz w:val="20"/>
                <w:lang w:val="en-NZ" w:eastAsia="en-NZ"/>
              </w:rPr>
            </w:pPr>
            <w:r w:rsidRPr="004145AB">
              <w:rPr>
                <w:rFonts w:cs="Arial"/>
                <w:bCs/>
                <w:color w:val="000000"/>
                <w:sz w:val="20"/>
                <w:lang w:val="en-NZ" w:eastAsia="en-NZ"/>
              </w:rPr>
              <w:t xml:space="preserve">Unspecified </w:t>
            </w:r>
          </w:p>
          <w:p w14:paraId="4D011C32" w14:textId="21548F5D" w:rsidR="00BE104E" w:rsidRPr="004145AB" w:rsidRDefault="00BE104E" w:rsidP="00A93825">
            <w:pPr>
              <w:spacing w:before="0" w:after="0" w:line="240" w:lineRule="auto"/>
              <w:jc w:val="right"/>
              <w:rPr>
                <w:rFonts w:cs="Arial"/>
                <w:bCs/>
                <w:color w:val="000000"/>
                <w:sz w:val="20"/>
                <w:lang w:val="en-NZ" w:eastAsia="en-NZ"/>
              </w:rPr>
            </w:pPr>
          </w:p>
        </w:tc>
        <w:tc>
          <w:tcPr>
            <w:tcW w:w="2168" w:type="dxa"/>
            <w:noWrap/>
            <w:hideMark/>
          </w:tcPr>
          <w:p w14:paraId="3EA39131"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Total</w:t>
            </w:r>
          </w:p>
          <w:p w14:paraId="2405D547" w14:textId="1E983233" w:rsidR="00BE104E" w:rsidRPr="004145AB" w:rsidRDefault="00BE104E" w:rsidP="00A93825">
            <w:pPr>
              <w:spacing w:before="0" w:after="0" w:line="240" w:lineRule="auto"/>
              <w:jc w:val="right"/>
              <w:rPr>
                <w:rFonts w:cs="Arial"/>
                <w:b/>
                <w:bCs/>
                <w:color w:val="000000"/>
                <w:sz w:val="20"/>
                <w:lang w:val="en-NZ" w:eastAsia="en-NZ"/>
              </w:rPr>
            </w:pPr>
          </w:p>
        </w:tc>
      </w:tr>
      <w:tr w:rsidR="00BE104E" w:rsidRPr="004145AB" w14:paraId="10C4EDAD" w14:textId="77777777" w:rsidTr="00A93825">
        <w:trPr>
          <w:trHeight w:val="20"/>
        </w:trPr>
        <w:tc>
          <w:tcPr>
            <w:tcW w:w="2012" w:type="dxa"/>
            <w:noWrap/>
            <w:hideMark/>
          </w:tcPr>
          <w:p w14:paraId="6BC9BB4E"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 xml:space="preserve"> Cameroon</w:t>
            </w:r>
          </w:p>
        </w:tc>
        <w:tc>
          <w:tcPr>
            <w:tcW w:w="2167" w:type="dxa"/>
            <w:noWrap/>
            <w:vAlign w:val="center"/>
            <w:hideMark/>
          </w:tcPr>
          <w:p w14:paraId="35238B75"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19,141.72 </w:t>
            </w:r>
          </w:p>
        </w:tc>
        <w:tc>
          <w:tcPr>
            <w:tcW w:w="2168" w:type="dxa"/>
            <w:noWrap/>
            <w:vAlign w:val="center"/>
            <w:hideMark/>
          </w:tcPr>
          <w:p w14:paraId="2FA9E58A"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23D7B766"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25A39CD9"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19,141.72 </w:t>
            </w:r>
          </w:p>
        </w:tc>
      </w:tr>
      <w:tr w:rsidR="00BE104E" w:rsidRPr="004145AB" w14:paraId="7958B769" w14:textId="77777777" w:rsidTr="00A93825">
        <w:trPr>
          <w:trHeight w:val="20"/>
        </w:trPr>
        <w:tc>
          <w:tcPr>
            <w:tcW w:w="2012" w:type="dxa"/>
            <w:noWrap/>
            <w:hideMark/>
          </w:tcPr>
          <w:p w14:paraId="6DDECC34"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174CD63D"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19,141.72 </w:t>
            </w:r>
          </w:p>
        </w:tc>
        <w:tc>
          <w:tcPr>
            <w:tcW w:w="2168" w:type="dxa"/>
            <w:noWrap/>
            <w:vAlign w:val="center"/>
            <w:hideMark/>
          </w:tcPr>
          <w:p w14:paraId="79C392A3"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5EDD650F"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6E7AD560"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19,141.72 </w:t>
            </w:r>
          </w:p>
        </w:tc>
      </w:tr>
      <w:tr w:rsidR="00BE104E" w:rsidRPr="004145AB" w14:paraId="49ECF147" w14:textId="77777777" w:rsidTr="00A93825">
        <w:trPr>
          <w:trHeight w:val="20"/>
        </w:trPr>
        <w:tc>
          <w:tcPr>
            <w:tcW w:w="2012" w:type="dxa"/>
            <w:noWrap/>
            <w:hideMark/>
          </w:tcPr>
          <w:p w14:paraId="5B813AF1"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 xml:space="preserve"> Ghana</w:t>
            </w:r>
          </w:p>
        </w:tc>
        <w:tc>
          <w:tcPr>
            <w:tcW w:w="2167" w:type="dxa"/>
            <w:noWrap/>
            <w:vAlign w:val="center"/>
            <w:hideMark/>
          </w:tcPr>
          <w:p w14:paraId="07BF1CE0"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10,000.00 </w:t>
            </w:r>
          </w:p>
        </w:tc>
        <w:tc>
          <w:tcPr>
            <w:tcW w:w="2168" w:type="dxa"/>
            <w:noWrap/>
            <w:vAlign w:val="center"/>
            <w:hideMark/>
          </w:tcPr>
          <w:p w14:paraId="49C37160"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69E14BF6"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032BFF47"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10,000.00 </w:t>
            </w:r>
          </w:p>
        </w:tc>
      </w:tr>
      <w:tr w:rsidR="00BE104E" w:rsidRPr="004145AB" w14:paraId="3250BCBB" w14:textId="77777777" w:rsidTr="00A93825">
        <w:trPr>
          <w:trHeight w:val="20"/>
        </w:trPr>
        <w:tc>
          <w:tcPr>
            <w:tcW w:w="2012" w:type="dxa"/>
            <w:noWrap/>
            <w:hideMark/>
          </w:tcPr>
          <w:p w14:paraId="21F10A43"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3723722D"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10,000.00 </w:t>
            </w:r>
          </w:p>
        </w:tc>
        <w:tc>
          <w:tcPr>
            <w:tcW w:w="2168" w:type="dxa"/>
            <w:noWrap/>
            <w:vAlign w:val="center"/>
            <w:hideMark/>
          </w:tcPr>
          <w:p w14:paraId="65DFE6E9"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59AA6C2F"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7A05245B"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10,000.00 </w:t>
            </w:r>
          </w:p>
        </w:tc>
      </w:tr>
      <w:tr w:rsidR="00BE104E" w:rsidRPr="004145AB" w14:paraId="5D554011" w14:textId="77777777" w:rsidTr="00A93825">
        <w:trPr>
          <w:trHeight w:val="20"/>
        </w:trPr>
        <w:tc>
          <w:tcPr>
            <w:tcW w:w="2012" w:type="dxa"/>
            <w:noWrap/>
            <w:hideMark/>
          </w:tcPr>
          <w:p w14:paraId="5E652D92"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 xml:space="preserve"> Mauritius &amp; Kenya</w:t>
            </w:r>
          </w:p>
        </w:tc>
        <w:tc>
          <w:tcPr>
            <w:tcW w:w="2167" w:type="dxa"/>
            <w:noWrap/>
            <w:vAlign w:val="center"/>
            <w:hideMark/>
          </w:tcPr>
          <w:p w14:paraId="6A92197F"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10,000.00 </w:t>
            </w:r>
          </w:p>
        </w:tc>
        <w:tc>
          <w:tcPr>
            <w:tcW w:w="2168" w:type="dxa"/>
            <w:noWrap/>
            <w:vAlign w:val="center"/>
            <w:hideMark/>
          </w:tcPr>
          <w:p w14:paraId="01E906B7"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63B34B55"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705DE634"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10,000.00 </w:t>
            </w:r>
          </w:p>
        </w:tc>
      </w:tr>
      <w:tr w:rsidR="00BE104E" w:rsidRPr="004145AB" w14:paraId="3E57CAFC" w14:textId="77777777" w:rsidTr="00A93825">
        <w:trPr>
          <w:trHeight w:val="20"/>
        </w:trPr>
        <w:tc>
          <w:tcPr>
            <w:tcW w:w="2012" w:type="dxa"/>
            <w:noWrap/>
            <w:hideMark/>
          </w:tcPr>
          <w:p w14:paraId="2A87AAA9"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31AAF11C"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10,000.00 </w:t>
            </w:r>
          </w:p>
        </w:tc>
        <w:tc>
          <w:tcPr>
            <w:tcW w:w="2168" w:type="dxa"/>
            <w:noWrap/>
            <w:vAlign w:val="center"/>
            <w:hideMark/>
          </w:tcPr>
          <w:p w14:paraId="05F07F3D"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764E063F"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2A529CD8"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10,000.00 </w:t>
            </w:r>
          </w:p>
        </w:tc>
      </w:tr>
      <w:tr w:rsidR="00BE104E" w:rsidRPr="004145AB" w14:paraId="181AA38A" w14:textId="77777777" w:rsidTr="00A93825">
        <w:trPr>
          <w:trHeight w:val="20"/>
        </w:trPr>
        <w:tc>
          <w:tcPr>
            <w:tcW w:w="2012" w:type="dxa"/>
            <w:noWrap/>
            <w:hideMark/>
          </w:tcPr>
          <w:p w14:paraId="4912E815"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Cameroon</w:t>
            </w:r>
          </w:p>
        </w:tc>
        <w:tc>
          <w:tcPr>
            <w:tcW w:w="2167" w:type="dxa"/>
            <w:noWrap/>
            <w:vAlign w:val="center"/>
            <w:hideMark/>
          </w:tcPr>
          <w:p w14:paraId="755E52DB"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32,277.00 </w:t>
            </w:r>
          </w:p>
        </w:tc>
        <w:tc>
          <w:tcPr>
            <w:tcW w:w="2168" w:type="dxa"/>
            <w:noWrap/>
            <w:vAlign w:val="center"/>
            <w:hideMark/>
          </w:tcPr>
          <w:p w14:paraId="3E9D849C"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9,300.00 </w:t>
            </w:r>
          </w:p>
        </w:tc>
        <w:tc>
          <w:tcPr>
            <w:tcW w:w="2167" w:type="dxa"/>
            <w:noWrap/>
            <w:vAlign w:val="center"/>
            <w:hideMark/>
          </w:tcPr>
          <w:p w14:paraId="3BF521A0"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4617BF81"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41,577.00 </w:t>
            </w:r>
          </w:p>
        </w:tc>
      </w:tr>
      <w:tr w:rsidR="00BE104E" w:rsidRPr="004145AB" w14:paraId="2C9C2796" w14:textId="77777777" w:rsidTr="00A93825">
        <w:trPr>
          <w:trHeight w:val="20"/>
        </w:trPr>
        <w:tc>
          <w:tcPr>
            <w:tcW w:w="2012" w:type="dxa"/>
            <w:noWrap/>
            <w:hideMark/>
          </w:tcPr>
          <w:p w14:paraId="51009948"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2017</w:t>
            </w:r>
          </w:p>
        </w:tc>
        <w:tc>
          <w:tcPr>
            <w:tcW w:w="2167" w:type="dxa"/>
            <w:noWrap/>
            <w:vAlign w:val="center"/>
            <w:hideMark/>
          </w:tcPr>
          <w:p w14:paraId="1F05492F"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18,027.00 </w:t>
            </w:r>
          </w:p>
        </w:tc>
        <w:tc>
          <w:tcPr>
            <w:tcW w:w="2168" w:type="dxa"/>
            <w:noWrap/>
            <w:vAlign w:val="center"/>
            <w:hideMark/>
          </w:tcPr>
          <w:p w14:paraId="28D54460"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9,300.00 </w:t>
            </w:r>
          </w:p>
        </w:tc>
        <w:tc>
          <w:tcPr>
            <w:tcW w:w="2167" w:type="dxa"/>
            <w:noWrap/>
            <w:vAlign w:val="center"/>
            <w:hideMark/>
          </w:tcPr>
          <w:p w14:paraId="18ACE87A" w14:textId="77777777" w:rsidR="00BE104E" w:rsidRPr="004145AB" w:rsidRDefault="00BE104E" w:rsidP="00A93825">
            <w:pPr>
              <w:spacing w:before="0" w:after="0" w:line="240" w:lineRule="auto"/>
              <w:jc w:val="right"/>
              <w:rPr>
                <w:rFonts w:cs="Arial"/>
                <w:sz w:val="20"/>
                <w:lang w:val="en-NZ" w:eastAsia="en-NZ"/>
              </w:rPr>
            </w:pPr>
          </w:p>
        </w:tc>
        <w:tc>
          <w:tcPr>
            <w:tcW w:w="2168" w:type="dxa"/>
            <w:noWrap/>
            <w:vAlign w:val="center"/>
            <w:hideMark/>
          </w:tcPr>
          <w:p w14:paraId="3C5F3C61"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27,327.00 </w:t>
            </w:r>
          </w:p>
        </w:tc>
      </w:tr>
      <w:tr w:rsidR="00BE104E" w:rsidRPr="004145AB" w14:paraId="41E921F5" w14:textId="77777777" w:rsidTr="00A93825">
        <w:trPr>
          <w:trHeight w:val="20"/>
        </w:trPr>
        <w:tc>
          <w:tcPr>
            <w:tcW w:w="2012" w:type="dxa"/>
            <w:noWrap/>
            <w:hideMark/>
          </w:tcPr>
          <w:p w14:paraId="7DA770DE"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1BA1EA83"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14,250.00 </w:t>
            </w:r>
          </w:p>
        </w:tc>
        <w:tc>
          <w:tcPr>
            <w:tcW w:w="2168" w:type="dxa"/>
            <w:noWrap/>
            <w:vAlign w:val="center"/>
            <w:hideMark/>
          </w:tcPr>
          <w:p w14:paraId="2DAE72CA"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18768900"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167281C5"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14,250.00 </w:t>
            </w:r>
          </w:p>
        </w:tc>
      </w:tr>
      <w:tr w:rsidR="00BE104E" w:rsidRPr="004145AB" w14:paraId="271F379F" w14:textId="77777777" w:rsidTr="00A93825">
        <w:trPr>
          <w:trHeight w:val="20"/>
        </w:trPr>
        <w:tc>
          <w:tcPr>
            <w:tcW w:w="2012" w:type="dxa"/>
            <w:noWrap/>
            <w:hideMark/>
          </w:tcPr>
          <w:p w14:paraId="27C8811B"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Kenya</w:t>
            </w:r>
          </w:p>
        </w:tc>
        <w:tc>
          <w:tcPr>
            <w:tcW w:w="2167" w:type="dxa"/>
            <w:noWrap/>
            <w:vAlign w:val="center"/>
            <w:hideMark/>
          </w:tcPr>
          <w:p w14:paraId="520DBF20"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49,297.49 </w:t>
            </w:r>
          </w:p>
        </w:tc>
        <w:tc>
          <w:tcPr>
            <w:tcW w:w="2168" w:type="dxa"/>
            <w:noWrap/>
            <w:vAlign w:val="center"/>
            <w:hideMark/>
          </w:tcPr>
          <w:p w14:paraId="746A120D"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24437E5A"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4C52FF76"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49,297.49 </w:t>
            </w:r>
          </w:p>
        </w:tc>
      </w:tr>
      <w:tr w:rsidR="00BE104E" w:rsidRPr="004145AB" w14:paraId="344DCC7B" w14:textId="77777777" w:rsidTr="00A93825">
        <w:trPr>
          <w:trHeight w:val="20"/>
        </w:trPr>
        <w:tc>
          <w:tcPr>
            <w:tcW w:w="2012" w:type="dxa"/>
            <w:noWrap/>
            <w:hideMark/>
          </w:tcPr>
          <w:p w14:paraId="73A59BDC"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2017</w:t>
            </w:r>
          </w:p>
        </w:tc>
        <w:tc>
          <w:tcPr>
            <w:tcW w:w="2167" w:type="dxa"/>
            <w:noWrap/>
            <w:vAlign w:val="center"/>
            <w:hideMark/>
          </w:tcPr>
          <w:p w14:paraId="3359439B"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29,814.87 </w:t>
            </w:r>
          </w:p>
        </w:tc>
        <w:tc>
          <w:tcPr>
            <w:tcW w:w="2168" w:type="dxa"/>
            <w:noWrap/>
            <w:vAlign w:val="center"/>
            <w:hideMark/>
          </w:tcPr>
          <w:p w14:paraId="02834E61"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02629424"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1AD9E5B3"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29,814.87 </w:t>
            </w:r>
          </w:p>
        </w:tc>
      </w:tr>
      <w:tr w:rsidR="00BE104E" w:rsidRPr="004145AB" w14:paraId="07F85669" w14:textId="77777777" w:rsidTr="00A93825">
        <w:trPr>
          <w:trHeight w:val="20"/>
        </w:trPr>
        <w:tc>
          <w:tcPr>
            <w:tcW w:w="2012" w:type="dxa"/>
            <w:noWrap/>
            <w:hideMark/>
          </w:tcPr>
          <w:p w14:paraId="27AA4F52"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4BB1BEF3"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19,482.62 </w:t>
            </w:r>
          </w:p>
        </w:tc>
        <w:tc>
          <w:tcPr>
            <w:tcW w:w="2168" w:type="dxa"/>
            <w:noWrap/>
            <w:vAlign w:val="center"/>
            <w:hideMark/>
          </w:tcPr>
          <w:p w14:paraId="7CF75906"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381F38D6"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20D434BF"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19,482.62 </w:t>
            </w:r>
          </w:p>
        </w:tc>
      </w:tr>
      <w:tr w:rsidR="00BE104E" w:rsidRPr="004145AB" w14:paraId="13DB5EBF" w14:textId="77777777" w:rsidTr="00A93825">
        <w:trPr>
          <w:trHeight w:val="20"/>
        </w:trPr>
        <w:tc>
          <w:tcPr>
            <w:tcW w:w="2012" w:type="dxa"/>
            <w:noWrap/>
            <w:hideMark/>
          </w:tcPr>
          <w:p w14:paraId="5D17B782"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Lesotho</w:t>
            </w:r>
          </w:p>
        </w:tc>
        <w:tc>
          <w:tcPr>
            <w:tcW w:w="2167" w:type="dxa"/>
            <w:noWrap/>
            <w:vAlign w:val="center"/>
            <w:hideMark/>
          </w:tcPr>
          <w:p w14:paraId="71E7ED5C"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6989DB47"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5,491.00 </w:t>
            </w:r>
          </w:p>
        </w:tc>
        <w:tc>
          <w:tcPr>
            <w:tcW w:w="2167" w:type="dxa"/>
            <w:noWrap/>
            <w:vAlign w:val="center"/>
            <w:hideMark/>
          </w:tcPr>
          <w:p w14:paraId="68AE328B"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7DD5F315"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5,491.00 </w:t>
            </w:r>
          </w:p>
        </w:tc>
      </w:tr>
      <w:tr w:rsidR="00BE104E" w:rsidRPr="004145AB" w14:paraId="107FDEEB" w14:textId="77777777" w:rsidTr="00A93825">
        <w:trPr>
          <w:trHeight w:val="20"/>
        </w:trPr>
        <w:tc>
          <w:tcPr>
            <w:tcW w:w="2012" w:type="dxa"/>
            <w:noWrap/>
            <w:hideMark/>
          </w:tcPr>
          <w:p w14:paraId="61CE9170"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4CAE5D8A" w14:textId="77777777" w:rsidR="00BE104E" w:rsidRPr="004145AB" w:rsidRDefault="00BE104E" w:rsidP="00A93825">
            <w:pPr>
              <w:spacing w:before="0" w:after="0" w:line="240" w:lineRule="auto"/>
              <w:ind w:firstLineChars="100" w:firstLine="200"/>
              <w:jc w:val="right"/>
              <w:rPr>
                <w:rFonts w:cs="Arial"/>
                <w:sz w:val="20"/>
                <w:lang w:val="en-NZ" w:eastAsia="en-NZ"/>
              </w:rPr>
            </w:pPr>
          </w:p>
        </w:tc>
        <w:tc>
          <w:tcPr>
            <w:tcW w:w="2168" w:type="dxa"/>
            <w:noWrap/>
            <w:vAlign w:val="center"/>
            <w:hideMark/>
          </w:tcPr>
          <w:p w14:paraId="58474788"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5,491.00 </w:t>
            </w:r>
          </w:p>
        </w:tc>
        <w:tc>
          <w:tcPr>
            <w:tcW w:w="2167" w:type="dxa"/>
            <w:noWrap/>
            <w:vAlign w:val="center"/>
            <w:hideMark/>
          </w:tcPr>
          <w:p w14:paraId="4190026D" w14:textId="77777777" w:rsidR="00BE104E" w:rsidRPr="004145AB" w:rsidRDefault="00BE104E" w:rsidP="00A93825">
            <w:pPr>
              <w:spacing w:before="0" w:after="0" w:line="240" w:lineRule="auto"/>
              <w:jc w:val="right"/>
              <w:rPr>
                <w:rFonts w:cs="Arial"/>
                <w:sz w:val="20"/>
                <w:lang w:val="en-NZ" w:eastAsia="en-NZ"/>
              </w:rPr>
            </w:pPr>
          </w:p>
        </w:tc>
        <w:tc>
          <w:tcPr>
            <w:tcW w:w="2168" w:type="dxa"/>
            <w:noWrap/>
            <w:vAlign w:val="center"/>
            <w:hideMark/>
          </w:tcPr>
          <w:p w14:paraId="4CB9D727"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5,491.00 </w:t>
            </w:r>
          </w:p>
        </w:tc>
      </w:tr>
      <w:tr w:rsidR="00BE104E" w:rsidRPr="004145AB" w14:paraId="2149125C" w14:textId="77777777" w:rsidTr="00A93825">
        <w:trPr>
          <w:trHeight w:val="20"/>
        </w:trPr>
        <w:tc>
          <w:tcPr>
            <w:tcW w:w="2012" w:type="dxa"/>
            <w:noWrap/>
            <w:hideMark/>
          </w:tcPr>
          <w:p w14:paraId="1497987E"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Madagascar</w:t>
            </w:r>
          </w:p>
        </w:tc>
        <w:tc>
          <w:tcPr>
            <w:tcW w:w="2167" w:type="dxa"/>
            <w:noWrap/>
            <w:vAlign w:val="center"/>
            <w:hideMark/>
          </w:tcPr>
          <w:p w14:paraId="16C1D951"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25BAAD1A"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5,644.00 </w:t>
            </w:r>
          </w:p>
        </w:tc>
        <w:tc>
          <w:tcPr>
            <w:tcW w:w="2167" w:type="dxa"/>
            <w:noWrap/>
            <w:vAlign w:val="center"/>
            <w:hideMark/>
          </w:tcPr>
          <w:p w14:paraId="058F8C86"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10,000.00 </w:t>
            </w:r>
          </w:p>
        </w:tc>
        <w:tc>
          <w:tcPr>
            <w:tcW w:w="2168" w:type="dxa"/>
            <w:noWrap/>
            <w:vAlign w:val="center"/>
            <w:hideMark/>
          </w:tcPr>
          <w:p w14:paraId="6F0EAE7E"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15,644.00 </w:t>
            </w:r>
          </w:p>
        </w:tc>
      </w:tr>
      <w:tr w:rsidR="00BE104E" w:rsidRPr="004145AB" w14:paraId="6D3F3413" w14:textId="77777777" w:rsidTr="00A93825">
        <w:trPr>
          <w:trHeight w:val="20"/>
        </w:trPr>
        <w:tc>
          <w:tcPr>
            <w:tcW w:w="2012" w:type="dxa"/>
            <w:noWrap/>
            <w:hideMark/>
          </w:tcPr>
          <w:p w14:paraId="0B520D32"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65D0EC5C" w14:textId="77777777" w:rsidR="00BE104E" w:rsidRPr="004145AB" w:rsidRDefault="00BE104E" w:rsidP="00A93825">
            <w:pPr>
              <w:spacing w:before="0" w:after="0" w:line="240" w:lineRule="auto"/>
              <w:ind w:firstLineChars="100" w:firstLine="200"/>
              <w:jc w:val="right"/>
              <w:rPr>
                <w:rFonts w:cs="Arial"/>
                <w:sz w:val="20"/>
                <w:lang w:val="en-NZ" w:eastAsia="en-NZ"/>
              </w:rPr>
            </w:pPr>
          </w:p>
        </w:tc>
        <w:tc>
          <w:tcPr>
            <w:tcW w:w="2168" w:type="dxa"/>
            <w:noWrap/>
            <w:vAlign w:val="center"/>
            <w:hideMark/>
          </w:tcPr>
          <w:p w14:paraId="1B088447"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5,644.00 </w:t>
            </w:r>
          </w:p>
        </w:tc>
        <w:tc>
          <w:tcPr>
            <w:tcW w:w="2167" w:type="dxa"/>
            <w:noWrap/>
            <w:vAlign w:val="center"/>
            <w:hideMark/>
          </w:tcPr>
          <w:p w14:paraId="30C75F20"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10,000.00 </w:t>
            </w:r>
          </w:p>
        </w:tc>
        <w:tc>
          <w:tcPr>
            <w:tcW w:w="2168" w:type="dxa"/>
            <w:noWrap/>
            <w:vAlign w:val="center"/>
            <w:hideMark/>
          </w:tcPr>
          <w:p w14:paraId="6B992577"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15,644.00 </w:t>
            </w:r>
          </w:p>
        </w:tc>
      </w:tr>
      <w:tr w:rsidR="00BE104E" w:rsidRPr="004145AB" w14:paraId="1BEA08BA" w14:textId="77777777" w:rsidTr="00A93825">
        <w:trPr>
          <w:trHeight w:val="20"/>
        </w:trPr>
        <w:tc>
          <w:tcPr>
            <w:tcW w:w="2012" w:type="dxa"/>
            <w:noWrap/>
            <w:hideMark/>
          </w:tcPr>
          <w:p w14:paraId="2CBDA1D5"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Mozambique</w:t>
            </w:r>
          </w:p>
        </w:tc>
        <w:tc>
          <w:tcPr>
            <w:tcW w:w="2167" w:type="dxa"/>
            <w:noWrap/>
            <w:vAlign w:val="center"/>
            <w:hideMark/>
          </w:tcPr>
          <w:p w14:paraId="01F635A2"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5D7445BE"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50A46536"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9,981.19 </w:t>
            </w:r>
          </w:p>
        </w:tc>
        <w:tc>
          <w:tcPr>
            <w:tcW w:w="2168" w:type="dxa"/>
            <w:noWrap/>
            <w:vAlign w:val="center"/>
            <w:hideMark/>
          </w:tcPr>
          <w:p w14:paraId="4DCBBBA2"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9,981.19 </w:t>
            </w:r>
          </w:p>
        </w:tc>
      </w:tr>
      <w:tr w:rsidR="00BE104E" w:rsidRPr="004145AB" w14:paraId="0ED9922B" w14:textId="77777777" w:rsidTr="00A93825">
        <w:trPr>
          <w:trHeight w:val="20"/>
        </w:trPr>
        <w:tc>
          <w:tcPr>
            <w:tcW w:w="2012" w:type="dxa"/>
            <w:noWrap/>
            <w:hideMark/>
          </w:tcPr>
          <w:p w14:paraId="7C5D76FF"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28AB1404" w14:textId="77777777" w:rsidR="00BE104E" w:rsidRPr="004145AB" w:rsidRDefault="00BE104E" w:rsidP="00A93825">
            <w:pPr>
              <w:spacing w:before="0" w:after="0" w:line="240" w:lineRule="auto"/>
              <w:ind w:firstLineChars="100" w:firstLine="200"/>
              <w:jc w:val="right"/>
              <w:rPr>
                <w:rFonts w:cs="Arial"/>
                <w:sz w:val="20"/>
                <w:lang w:val="en-NZ" w:eastAsia="en-NZ"/>
              </w:rPr>
            </w:pPr>
          </w:p>
        </w:tc>
        <w:tc>
          <w:tcPr>
            <w:tcW w:w="2168" w:type="dxa"/>
            <w:noWrap/>
            <w:vAlign w:val="center"/>
            <w:hideMark/>
          </w:tcPr>
          <w:p w14:paraId="462BAF33" w14:textId="77777777" w:rsidR="00BE104E" w:rsidRPr="004145AB" w:rsidRDefault="00BE104E" w:rsidP="00A93825">
            <w:pPr>
              <w:spacing w:before="0" w:after="0" w:line="240" w:lineRule="auto"/>
              <w:jc w:val="right"/>
              <w:rPr>
                <w:sz w:val="20"/>
                <w:lang w:val="en-NZ" w:eastAsia="en-NZ"/>
              </w:rPr>
            </w:pPr>
          </w:p>
        </w:tc>
        <w:tc>
          <w:tcPr>
            <w:tcW w:w="2167" w:type="dxa"/>
            <w:noWrap/>
            <w:vAlign w:val="center"/>
            <w:hideMark/>
          </w:tcPr>
          <w:p w14:paraId="14ED17E3"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9,981.19 </w:t>
            </w:r>
          </w:p>
        </w:tc>
        <w:tc>
          <w:tcPr>
            <w:tcW w:w="2168" w:type="dxa"/>
            <w:noWrap/>
            <w:vAlign w:val="center"/>
            <w:hideMark/>
          </w:tcPr>
          <w:p w14:paraId="66BA2991"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9,981.19 </w:t>
            </w:r>
          </w:p>
        </w:tc>
      </w:tr>
      <w:tr w:rsidR="00BE104E" w:rsidRPr="004145AB" w14:paraId="547C9140" w14:textId="77777777" w:rsidTr="00A93825">
        <w:trPr>
          <w:trHeight w:val="20"/>
        </w:trPr>
        <w:tc>
          <w:tcPr>
            <w:tcW w:w="2012" w:type="dxa"/>
            <w:noWrap/>
            <w:hideMark/>
          </w:tcPr>
          <w:p w14:paraId="4BC94414"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Niger</w:t>
            </w:r>
          </w:p>
        </w:tc>
        <w:tc>
          <w:tcPr>
            <w:tcW w:w="2167" w:type="dxa"/>
            <w:noWrap/>
            <w:vAlign w:val="center"/>
            <w:hideMark/>
          </w:tcPr>
          <w:p w14:paraId="03457F8C"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7,094.18 </w:t>
            </w:r>
          </w:p>
        </w:tc>
        <w:tc>
          <w:tcPr>
            <w:tcW w:w="2168" w:type="dxa"/>
            <w:noWrap/>
            <w:vAlign w:val="center"/>
            <w:hideMark/>
          </w:tcPr>
          <w:p w14:paraId="1C3ACDE4"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16F967DE"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7912776D"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7,094.18 </w:t>
            </w:r>
          </w:p>
        </w:tc>
      </w:tr>
      <w:tr w:rsidR="00BE104E" w:rsidRPr="004145AB" w14:paraId="63078019" w14:textId="77777777" w:rsidTr="00A93825">
        <w:trPr>
          <w:trHeight w:val="20"/>
        </w:trPr>
        <w:tc>
          <w:tcPr>
            <w:tcW w:w="2012" w:type="dxa"/>
            <w:noWrap/>
            <w:hideMark/>
          </w:tcPr>
          <w:p w14:paraId="49DD1971"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4225F20C"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7,094.18 </w:t>
            </w:r>
          </w:p>
        </w:tc>
        <w:tc>
          <w:tcPr>
            <w:tcW w:w="2168" w:type="dxa"/>
            <w:noWrap/>
            <w:vAlign w:val="center"/>
            <w:hideMark/>
          </w:tcPr>
          <w:p w14:paraId="44C382B6"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1B7A5D7B"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4060F799"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7,094.18 </w:t>
            </w:r>
          </w:p>
        </w:tc>
      </w:tr>
      <w:tr w:rsidR="00BE104E" w:rsidRPr="004145AB" w14:paraId="5C1F4001" w14:textId="77777777" w:rsidTr="00A93825">
        <w:trPr>
          <w:trHeight w:val="20"/>
        </w:trPr>
        <w:tc>
          <w:tcPr>
            <w:tcW w:w="2012" w:type="dxa"/>
            <w:noWrap/>
            <w:hideMark/>
          </w:tcPr>
          <w:p w14:paraId="31CA1EEB"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Nigeria</w:t>
            </w:r>
          </w:p>
        </w:tc>
        <w:tc>
          <w:tcPr>
            <w:tcW w:w="2167" w:type="dxa"/>
            <w:noWrap/>
            <w:vAlign w:val="center"/>
            <w:hideMark/>
          </w:tcPr>
          <w:p w14:paraId="3210DD10"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19,777.21 </w:t>
            </w:r>
          </w:p>
        </w:tc>
        <w:tc>
          <w:tcPr>
            <w:tcW w:w="2168" w:type="dxa"/>
            <w:noWrap/>
            <w:vAlign w:val="center"/>
            <w:hideMark/>
          </w:tcPr>
          <w:p w14:paraId="4BFD716C"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9,997.41 </w:t>
            </w:r>
          </w:p>
        </w:tc>
        <w:tc>
          <w:tcPr>
            <w:tcW w:w="2167" w:type="dxa"/>
            <w:noWrap/>
            <w:vAlign w:val="center"/>
            <w:hideMark/>
          </w:tcPr>
          <w:p w14:paraId="54F5286E"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5C1CE8E3"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29,774.62 </w:t>
            </w:r>
          </w:p>
        </w:tc>
      </w:tr>
      <w:tr w:rsidR="00BE104E" w:rsidRPr="004145AB" w14:paraId="71509AD7" w14:textId="77777777" w:rsidTr="00A93825">
        <w:trPr>
          <w:trHeight w:val="20"/>
        </w:trPr>
        <w:tc>
          <w:tcPr>
            <w:tcW w:w="2012" w:type="dxa"/>
            <w:noWrap/>
            <w:hideMark/>
          </w:tcPr>
          <w:p w14:paraId="35E743A6"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2017</w:t>
            </w:r>
          </w:p>
        </w:tc>
        <w:tc>
          <w:tcPr>
            <w:tcW w:w="2167" w:type="dxa"/>
            <w:noWrap/>
            <w:vAlign w:val="center"/>
            <w:hideMark/>
          </w:tcPr>
          <w:p w14:paraId="041B169E"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19,777.21 </w:t>
            </w:r>
          </w:p>
        </w:tc>
        <w:tc>
          <w:tcPr>
            <w:tcW w:w="2168" w:type="dxa"/>
            <w:noWrap/>
            <w:vAlign w:val="center"/>
            <w:hideMark/>
          </w:tcPr>
          <w:p w14:paraId="1E3F60AD"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006C85F2"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5E5B5820"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19,777.21 </w:t>
            </w:r>
          </w:p>
        </w:tc>
      </w:tr>
      <w:tr w:rsidR="00BE104E" w:rsidRPr="004145AB" w14:paraId="50BDD025" w14:textId="77777777" w:rsidTr="00A93825">
        <w:trPr>
          <w:trHeight w:val="20"/>
        </w:trPr>
        <w:tc>
          <w:tcPr>
            <w:tcW w:w="2012" w:type="dxa"/>
            <w:noWrap/>
            <w:hideMark/>
          </w:tcPr>
          <w:p w14:paraId="3C511FE5"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0F415C5A" w14:textId="77777777" w:rsidR="00BE104E" w:rsidRPr="004145AB" w:rsidRDefault="00BE104E" w:rsidP="00A93825">
            <w:pPr>
              <w:spacing w:before="0" w:after="0" w:line="240" w:lineRule="auto"/>
              <w:ind w:firstLineChars="100" w:firstLine="200"/>
              <w:jc w:val="right"/>
              <w:rPr>
                <w:rFonts w:cs="Arial"/>
                <w:sz w:val="20"/>
                <w:lang w:val="en-NZ" w:eastAsia="en-NZ"/>
              </w:rPr>
            </w:pPr>
          </w:p>
        </w:tc>
        <w:tc>
          <w:tcPr>
            <w:tcW w:w="2168" w:type="dxa"/>
            <w:noWrap/>
            <w:vAlign w:val="center"/>
            <w:hideMark/>
          </w:tcPr>
          <w:p w14:paraId="59809919"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9,997.41 </w:t>
            </w:r>
          </w:p>
        </w:tc>
        <w:tc>
          <w:tcPr>
            <w:tcW w:w="2167" w:type="dxa"/>
            <w:noWrap/>
            <w:vAlign w:val="center"/>
            <w:hideMark/>
          </w:tcPr>
          <w:p w14:paraId="357E3AF6" w14:textId="77777777" w:rsidR="00BE104E" w:rsidRPr="004145AB" w:rsidRDefault="00BE104E" w:rsidP="00A93825">
            <w:pPr>
              <w:spacing w:before="0" w:after="0" w:line="240" w:lineRule="auto"/>
              <w:jc w:val="right"/>
              <w:rPr>
                <w:rFonts w:cs="Arial"/>
                <w:sz w:val="20"/>
                <w:lang w:val="en-NZ" w:eastAsia="en-NZ"/>
              </w:rPr>
            </w:pPr>
          </w:p>
        </w:tc>
        <w:tc>
          <w:tcPr>
            <w:tcW w:w="2168" w:type="dxa"/>
            <w:noWrap/>
            <w:vAlign w:val="center"/>
            <w:hideMark/>
          </w:tcPr>
          <w:p w14:paraId="46A8B1E7"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9,997.41 </w:t>
            </w:r>
          </w:p>
        </w:tc>
      </w:tr>
      <w:tr w:rsidR="00BE104E" w:rsidRPr="004145AB" w14:paraId="2354F6D2" w14:textId="77777777" w:rsidTr="00A93825">
        <w:trPr>
          <w:trHeight w:val="20"/>
        </w:trPr>
        <w:tc>
          <w:tcPr>
            <w:tcW w:w="2012" w:type="dxa"/>
            <w:noWrap/>
            <w:hideMark/>
          </w:tcPr>
          <w:p w14:paraId="1CE7047E"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Nigeria, Kenya, Uganda</w:t>
            </w:r>
          </w:p>
        </w:tc>
        <w:tc>
          <w:tcPr>
            <w:tcW w:w="2167" w:type="dxa"/>
            <w:noWrap/>
            <w:vAlign w:val="center"/>
            <w:hideMark/>
          </w:tcPr>
          <w:p w14:paraId="65A42293"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64CF4235"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7E2BDF2A"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9,999.99 </w:t>
            </w:r>
          </w:p>
        </w:tc>
        <w:tc>
          <w:tcPr>
            <w:tcW w:w="2168" w:type="dxa"/>
            <w:noWrap/>
            <w:vAlign w:val="center"/>
            <w:hideMark/>
          </w:tcPr>
          <w:p w14:paraId="741D4E62"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9,999.99 </w:t>
            </w:r>
          </w:p>
        </w:tc>
      </w:tr>
      <w:tr w:rsidR="00BE104E" w:rsidRPr="004145AB" w14:paraId="000E1D75" w14:textId="77777777" w:rsidTr="00A93825">
        <w:trPr>
          <w:trHeight w:val="20"/>
        </w:trPr>
        <w:tc>
          <w:tcPr>
            <w:tcW w:w="2012" w:type="dxa"/>
            <w:noWrap/>
            <w:hideMark/>
          </w:tcPr>
          <w:p w14:paraId="0D8D9B74"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0C91575C" w14:textId="77777777" w:rsidR="00BE104E" w:rsidRPr="004145AB" w:rsidRDefault="00BE104E" w:rsidP="00A93825">
            <w:pPr>
              <w:spacing w:before="0" w:after="0" w:line="240" w:lineRule="auto"/>
              <w:ind w:firstLineChars="100" w:firstLine="200"/>
              <w:jc w:val="right"/>
              <w:rPr>
                <w:rFonts w:cs="Arial"/>
                <w:sz w:val="20"/>
                <w:lang w:val="en-NZ" w:eastAsia="en-NZ"/>
              </w:rPr>
            </w:pPr>
          </w:p>
        </w:tc>
        <w:tc>
          <w:tcPr>
            <w:tcW w:w="2168" w:type="dxa"/>
            <w:noWrap/>
            <w:vAlign w:val="center"/>
            <w:hideMark/>
          </w:tcPr>
          <w:p w14:paraId="3ED109F6" w14:textId="77777777" w:rsidR="00BE104E" w:rsidRPr="004145AB" w:rsidRDefault="00BE104E" w:rsidP="00A93825">
            <w:pPr>
              <w:spacing w:before="0" w:after="0" w:line="240" w:lineRule="auto"/>
              <w:jc w:val="right"/>
              <w:rPr>
                <w:sz w:val="20"/>
                <w:lang w:val="en-NZ" w:eastAsia="en-NZ"/>
              </w:rPr>
            </w:pPr>
          </w:p>
        </w:tc>
        <w:tc>
          <w:tcPr>
            <w:tcW w:w="2167" w:type="dxa"/>
            <w:noWrap/>
            <w:vAlign w:val="center"/>
            <w:hideMark/>
          </w:tcPr>
          <w:p w14:paraId="7477FC47"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9,999.99 </w:t>
            </w:r>
          </w:p>
        </w:tc>
        <w:tc>
          <w:tcPr>
            <w:tcW w:w="2168" w:type="dxa"/>
            <w:noWrap/>
            <w:vAlign w:val="center"/>
            <w:hideMark/>
          </w:tcPr>
          <w:p w14:paraId="3A162ECC"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9,999.99 </w:t>
            </w:r>
          </w:p>
        </w:tc>
      </w:tr>
      <w:tr w:rsidR="00BE104E" w:rsidRPr="004145AB" w14:paraId="6F6FA47B" w14:textId="77777777" w:rsidTr="00A93825">
        <w:trPr>
          <w:trHeight w:val="20"/>
        </w:trPr>
        <w:tc>
          <w:tcPr>
            <w:tcW w:w="2012" w:type="dxa"/>
            <w:noWrap/>
            <w:hideMark/>
          </w:tcPr>
          <w:p w14:paraId="388CC0B6"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South Africa</w:t>
            </w:r>
          </w:p>
        </w:tc>
        <w:tc>
          <w:tcPr>
            <w:tcW w:w="2167" w:type="dxa"/>
            <w:noWrap/>
            <w:vAlign w:val="center"/>
            <w:hideMark/>
          </w:tcPr>
          <w:p w14:paraId="0AC9CA3B"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10,000.00 </w:t>
            </w:r>
          </w:p>
        </w:tc>
        <w:tc>
          <w:tcPr>
            <w:tcW w:w="2168" w:type="dxa"/>
            <w:noWrap/>
            <w:vAlign w:val="center"/>
            <w:hideMark/>
          </w:tcPr>
          <w:p w14:paraId="7A5FFED0"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9,000.00 </w:t>
            </w:r>
          </w:p>
        </w:tc>
        <w:tc>
          <w:tcPr>
            <w:tcW w:w="2167" w:type="dxa"/>
            <w:noWrap/>
            <w:vAlign w:val="center"/>
            <w:hideMark/>
          </w:tcPr>
          <w:p w14:paraId="4FBF7968"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7FA170C1"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19,000.00 </w:t>
            </w:r>
          </w:p>
        </w:tc>
      </w:tr>
      <w:tr w:rsidR="00BE104E" w:rsidRPr="004145AB" w14:paraId="6D46C45C" w14:textId="77777777" w:rsidTr="00A93825">
        <w:trPr>
          <w:trHeight w:val="20"/>
        </w:trPr>
        <w:tc>
          <w:tcPr>
            <w:tcW w:w="2012" w:type="dxa"/>
            <w:noWrap/>
            <w:hideMark/>
          </w:tcPr>
          <w:p w14:paraId="2905F301"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2017</w:t>
            </w:r>
          </w:p>
        </w:tc>
        <w:tc>
          <w:tcPr>
            <w:tcW w:w="2167" w:type="dxa"/>
            <w:noWrap/>
            <w:vAlign w:val="center"/>
            <w:hideMark/>
          </w:tcPr>
          <w:p w14:paraId="64482BA0" w14:textId="77777777" w:rsidR="00BE104E" w:rsidRPr="004145AB" w:rsidRDefault="00BE104E" w:rsidP="00A93825">
            <w:pPr>
              <w:spacing w:before="0" w:after="0" w:line="240" w:lineRule="auto"/>
              <w:ind w:firstLineChars="100" w:firstLine="200"/>
              <w:jc w:val="right"/>
              <w:rPr>
                <w:rFonts w:cs="Arial"/>
                <w:sz w:val="20"/>
                <w:lang w:val="en-NZ" w:eastAsia="en-NZ"/>
              </w:rPr>
            </w:pPr>
          </w:p>
        </w:tc>
        <w:tc>
          <w:tcPr>
            <w:tcW w:w="2168" w:type="dxa"/>
            <w:noWrap/>
            <w:vAlign w:val="center"/>
            <w:hideMark/>
          </w:tcPr>
          <w:p w14:paraId="3FBE9728"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9,000.00 </w:t>
            </w:r>
          </w:p>
        </w:tc>
        <w:tc>
          <w:tcPr>
            <w:tcW w:w="2167" w:type="dxa"/>
            <w:noWrap/>
            <w:vAlign w:val="center"/>
            <w:hideMark/>
          </w:tcPr>
          <w:p w14:paraId="0DB9A0F1" w14:textId="77777777" w:rsidR="00BE104E" w:rsidRPr="004145AB" w:rsidRDefault="00BE104E" w:rsidP="00A93825">
            <w:pPr>
              <w:spacing w:before="0" w:after="0" w:line="240" w:lineRule="auto"/>
              <w:jc w:val="right"/>
              <w:rPr>
                <w:rFonts w:cs="Arial"/>
                <w:sz w:val="20"/>
                <w:lang w:val="en-NZ" w:eastAsia="en-NZ"/>
              </w:rPr>
            </w:pPr>
          </w:p>
        </w:tc>
        <w:tc>
          <w:tcPr>
            <w:tcW w:w="2168" w:type="dxa"/>
            <w:noWrap/>
            <w:vAlign w:val="center"/>
            <w:hideMark/>
          </w:tcPr>
          <w:p w14:paraId="255FF500"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9,000.00 </w:t>
            </w:r>
          </w:p>
        </w:tc>
      </w:tr>
      <w:tr w:rsidR="00BE104E" w:rsidRPr="004145AB" w14:paraId="403097A5" w14:textId="77777777" w:rsidTr="00A93825">
        <w:trPr>
          <w:trHeight w:val="20"/>
        </w:trPr>
        <w:tc>
          <w:tcPr>
            <w:tcW w:w="2012" w:type="dxa"/>
            <w:noWrap/>
            <w:hideMark/>
          </w:tcPr>
          <w:p w14:paraId="4EE7E293"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30EC03A2"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10,000.00 </w:t>
            </w:r>
          </w:p>
        </w:tc>
        <w:tc>
          <w:tcPr>
            <w:tcW w:w="2168" w:type="dxa"/>
            <w:noWrap/>
            <w:vAlign w:val="center"/>
            <w:hideMark/>
          </w:tcPr>
          <w:p w14:paraId="69543CB5"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5FA9EA4E"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148EAA86"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10,000.00 </w:t>
            </w:r>
          </w:p>
        </w:tc>
      </w:tr>
      <w:tr w:rsidR="00BE104E" w:rsidRPr="004145AB" w14:paraId="123021F5" w14:textId="77777777" w:rsidTr="00A93825">
        <w:trPr>
          <w:trHeight w:val="20"/>
        </w:trPr>
        <w:tc>
          <w:tcPr>
            <w:tcW w:w="2012" w:type="dxa"/>
            <w:noWrap/>
            <w:hideMark/>
          </w:tcPr>
          <w:p w14:paraId="23365AED"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lastRenderedPageBreak/>
              <w:t>Tanzania</w:t>
            </w:r>
          </w:p>
        </w:tc>
        <w:tc>
          <w:tcPr>
            <w:tcW w:w="2167" w:type="dxa"/>
            <w:noWrap/>
            <w:vAlign w:val="center"/>
            <w:hideMark/>
          </w:tcPr>
          <w:p w14:paraId="774B0299"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7,500.00 </w:t>
            </w:r>
          </w:p>
        </w:tc>
        <w:tc>
          <w:tcPr>
            <w:tcW w:w="2168" w:type="dxa"/>
            <w:noWrap/>
            <w:vAlign w:val="center"/>
            <w:hideMark/>
          </w:tcPr>
          <w:p w14:paraId="13AF92E2"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51A29FC6"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66D84731"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7,500.00 </w:t>
            </w:r>
          </w:p>
        </w:tc>
      </w:tr>
      <w:tr w:rsidR="00BE104E" w:rsidRPr="004145AB" w14:paraId="4F59C12E" w14:textId="77777777" w:rsidTr="00A93825">
        <w:trPr>
          <w:trHeight w:val="20"/>
        </w:trPr>
        <w:tc>
          <w:tcPr>
            <w:tcW w:w="2012" w:type="dxa"/>
            <w:noWrap/>
            <w:hideMark/>
          </w:tcPr>
          <w:p w14:paraId="5B9370D8"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425CFB31"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7,500.00 </w:t>
            </w:r>
          </w:p>
        </w:tc>
        <w:tc>
          <w:tcPr>
            <w:tcW w:w="2168" w:type="dxa"/>
            <w:noWrap/>
            <w:vAlign w:val="center"/>
            <w:hideMark/>
          </w:tcPr>
          <w:p w14:paraId="041D4FC9"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738A8258"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23B7703E"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7,500.00 </w:t>
            </w:r>
          </w:p>
        </w:tc>
      </w:tr>
      <w:tr w:rsidR="00BE104E" w:rsidRPr="004145AB" w14:paraId="43B52DC9" w14:textId="77777777" w:rsidTr="00A93825">
        <w:trPr>
          <w:trHeight w:val="20"/>
        </w:trPr>
        <w:tc>
          <w:tcPr>
            <w:tcW w:w="2012" w:type="dxa"/>
            <w:noWrap/>
            <w:hideMark/>
          </w:tcPr>
          <w:p w14:paraId="4154E691"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Uganda</w:t>
            </w:r>
          </w:p>
        </w:tc>
        <w:tc>
          <w:tcPr>
            <w:tcW w:w="2167" w:type="dxa"/>
            <w:noWrap/>
            <w:vAlign w:val="center"/>
            <w:hideMark/>
          </w:tcPr>
          <w:p w14:paraId="711E0EE2"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9,976.47 </w:t>
            </w:r>
          </w:p>
        </w:tc>
        <w:tc>
          <w:tcPr>
            <w:tcW w:w="2168" w:type="dxa"/>
            <w:noWrap/>
            <w:vAlign w:val="center"/>
            <w:hideMark/>
          </w:tcPr>
          <w:p w14:paraId="292DD583"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5E64BB29"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596CF30D"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9,976.47 </w:t>
            </w:r>
          </w:p>
        </w:tc>
      </w:tr>
      <w:tr w:rsidR="00BE104E" w:rsidRPr="004145AB" w14:paraId="1895BE5D" w14:textId="77777777" w:rsidTr="00A93825">
        <w:trPr>
          <w:trHeight w:val="20"/>
        </w:trPr>
        <w:tc>
          <w:tcPr>
            <w:tcW w:w="2012" w:type="dxa"/>
            <w:noWrap/>
            <w:hideMark/>
          </w:tcPr>
          <w:p w14:paraId="18AA5FB9"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2017</w:t>
            </w:r>
          </w:p>
        </w:tc>
        <w:tc>
          <w:tcPr>
            <w:tcW w:w="2167" w:type="dxa"/>
            <w:noWrap/>
            <w:vAlign w:val="center"/>
            <w:hideMark/>
          </w:tcPr>
          <w:p w14:paraId="5B26FEAB"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9,976.47 </w:t>
            </w:r>
          </w:p>
        </w:tc>
        <w:tc>
          <w:tcPr>
            <w:tcW w:w="2168" w:type="dxa"/>
            <w:noWrap/>
            <w:vAlign w:val="center"/>
            <w:hideMark/>
          </w:tcPr>
          <w:p w14:paraId="0204C463"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0BEEAA6A"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5E0C4A92"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9,976.47 </w:t>
            </w:r>
          </w:p>
        </w:tc>
      </w:tr>
      <w:tr w:rsidR="00BE104E" w:rsidRPr="004145AB" w14:paraId="0D7DBE28" w14:textId="77777777" w:rsidTr="00A93825">
        <w:trPr>
          <w:trHeight w:val="20"/>
        </w:trPr>
        <w:tc>
          <w:tcPr>
            <w:tcW w:w="2012" w:type="dxa"/>
            <w:noWrap/>
            <w:hideMark/>
          </w:tcPr>
          <w:p w14:paraId="43B4BF97"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Zambia</w:t>
            </w:r>
          </w:p>
        </w:tc>
        <w:tc>
          <w:tcPr>
            <w:tcW w:w="2167" w:type="dxa"/>
            <w:noWrap/>
            <w:vAlign w:val="center"/>
            <w:hideMark/>
          </w:tcPr>
          <w:p w14:paraId="0826DA7A"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9,993.75 </w:t>
            </w:r>
          </w:p>
        </w:tc>
        <w:tc>
          <w:tcPr>
            <w:tcW w:w="2168" w:type="dxa"/>
            <w:noWrap/>
            <w:vAlign w:val="center"/>
            <w:hideMark/>
          </w:tcPr>
          <w:p w14:paraId="55982CE5"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7" w:type="dxa"/>
            <w:noWrap/>
            <w:vAlign w:val="center"/>
            <w:hideMark/>
          </w:tcPr>
          <w:p w14:paraId="49FF3E55"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w:t>
            </w:r>
          </w:p>
        </w:tc>
        <w:tc>
          <w:tcPr>
            <w:tcW w:w="2168" w:type="dxa"/>
            <w:noWrap/>
            <w:vAlign w:val="center"/>
            <w:hideMark/>
          </w:tcPr>
          <w:p w14:paraId="6007275B"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9,993.75 </w:t>
            </w:r>
          </w:p>
        </w:tc>
      </w:tr>
      <w:tr w:rsidR="00BE104E" w:rsidRPr="004145AB" w14:paraId="63143B94" w14:textId="77777777" w:rsidTr="00A93825">
        <w:trPr>
          <w:trHeight w:val="20"/>
        </w:trPr>
        <w:tc>
          <w:tcPr>
            <w:tcW w:w="2012" w:type="dxa"/>
            <w:noWrap/>
            <w:hideMark/>
          </w:tcPr>
          <w:p w14:paraId="2BF4ADD1" w14:textId="77777777" w:rsidR="00BE104E" w:rsidRPr="004145AB" w:rsidRDefault="00BE104E" w:rsidP="00A93825">
            <w:pPr>
              <w:spacing w:before="0" w:after="0" w:line="240" w:lineRule="auto"/>
              <w:ind w:firstLineChars="100" w:firstLine="200"/>
              <w:rPr>
                <w:rFonts w:cs="Arial"/>
                <w:sz w:val="20"/>
                <w:lang w:val="en-NZ" w:eastAsia="en-NZ"/>
              </w:rPr>
            </w:pPr>
            <w:r w:rsidRPr="004145AB">
              <w:rPr>
                <w:rFonts w:cs="Arial"/>
                <w:sz w:val="20"/>
                <w:lang w:val="en-NZ" w:eastAsia="en-NZ"/>
              </w:rPr>
              <w:t>2018</w:t>
            </w:r>
          </w:p>
        </w:tc>
        <w:tc>
          <w:tcPr>
            <w:tcW w:w="2167" w:type="dxa"/>
            <w:noWrap/>
            <w:vAlign w:val="center"/>
            <w:hideMark/>
          </w:tcPr>
          <w:p w14:paraId="64BD07FC"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9,993.75 </w:t>
            </w:r>
          </w:p>
        </w:tc>
        <w:tc>
          <w:tcPr>
            <w:tcW w:w="2168" w:type="dxa"/>
            <w:noWrap/>
            <w:vAlign w:val="center"/>
            <w:hideMark/>
          </w:tcPr>
          <w:p w14:paraId="42E83F50" w14:textId="77777777" w:rsidR="00BE104E" w:rsidRPr="004145AB" w:rsidRDefault="00BE104E" w:rsidP="00A93825">
            <w:pPr>
              <w:spacing w:before="0" w:after="0" w:line="240" w:lineRule="auto"/>
              <w:jc w:val="right"/>
              <w:rPr>
                <w:rFonts w:cs="Arial"/>
                <w:sz w:val="20"/>
                <w:lang w:val="en-NZ" w:eastAsia="en-NZ"/>
              </w:rPr>
            </w:pPr>
          </w:p>
        </w:tc>
        <w:tc>
          <w:tcPr>
            <w:tcW w:w="2167" w:type="dxa"/>
            <w:noWrap/>
            <w:vAlign w:val="center"/>
            <w:hideMark/>
          </w:tcPr>
          <w:p w14:paraId="62D1C810" w14:textId="77777777" w:rsidR="00BE104E" w:rsidRPr="004145AB" w:rsidRDefault="00BE104E" w:rsidP="00A93825">
            <w:pPr>
              <w:spacing w:before="0" w:after="0" w:line="240" w:lineRule="auto"/>
              <w:jc w:val="right"/>
              <w:rPr>
                <w:sz w:val="20"/>
                <w:lang w:val="en-NZ" w:eastAsia="en-NZ"/>
              </w:rPr>
            </w:pPr>
          </w:p>
        </w:tc>
        <w:tc>
          <w:tcPr>
            <w:tcW w:w="2168" w:type="dxa"/>
            <w:noWrap/>
            <w:vAlign w:val="center"/>
            <w:hideMark/>
          </w:tcPr>
          <w:p w14:paraId="24F4EC26" w14:textId="77777777" w:rsidR="00BE104E" w:rsidRPr="004145AB" w:rsidRDefault="00BE104E" w:rsidP="00A93825">
            <w:pPr>
              <w:spacing w:before="0" w:after="0" w:line="240" w:lineRule="auto"/>
              <w:jc w:val="right"/>
              <w:rPr>
                <w:rFonts w:cs="Arial"/>
                <w:sz w:val="20"/>
                <w:lang w:val="en-NZ" w:eastAsia="en-NZ"/>
              </w:rPr>
            </w:pPr>
            <w:r w:rsidRPr="004145AB">
              <w:rPr>
                <w:rFonts w:cs="Arial"/>
                <w:sz w:val="20"/>
                <w:lang w:val="en-NZ" w:eastAsia="en-NZ"/>
              </w:rPr>
              <w:t xml:space="preserve">     9,993.75 </w:t>
            </w:r>
          </w:p>
        </w:tc>
      </w:tr>
      <w:tr w:rsidR="00BE104E" w:rsidRPr="004145AB" w14:paraId="0DF6A863" w14:textId="77777777" w:rsidTr="00A93825">
        <w:trPr>
          <w:trHeight w:val="20"/>
        </w:trPr>
        <w:tc>
          <w:tcPr>
            <w:tcW w:w="2012" w:type="dxa"/>
            <w:noWrap/>
            <w:hideMark/>
          </w:tcPr>
          <w:p w14:paraId="1A3E8B70" w14:textId="77777777" w:rsidR="00BE104E" w:rsidRPr="004145AB" w:rsidRDefault="00BE104E" w:rsidP="00A93825">
            <w:pPr>
              <w:spacing w:before="0" w:after="0" w:line="240" w:lineRule="auto"/>
              <w:rPr>
                <w:rFonts w:cs="Arial"/>
                <w:b/>
                <w:bCs/>
                <w:color w:val="000000"/>
                <w:sz w:val="20"/>
                <w:lang w:val="en-NZ" w:eastAsia="en-NZ"/>
              </w:rPr>
            </w:pPr>
            <w:r w:rsidRPr="004145AB">
              <w:rPr>
                <w:rFonts w:cs="Arial"/>
                <w:b/>
                <w:bCs/>
                <w:color w:val="000000"/>
                <w:sz w:val="20"/>
                <w:lang w:val="en-NZ" w:eastAsia="en-NZ"/>
              </w:rPr>
              <w:t>Total</w:t>
            </w:r>
          </w:p>
        </w:tc>
        <w:tc>
          <w:tcPr>
            <w:tcW w:w="2167" w:type="dxa"/>
            <w:noWrap/>
            <w:vAlign w:val="center"/>
            <w:hideMark/>
          </w:tcPr>
          <w:p w14:paraId="6C780607"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185,057.82 </w:t>
            </w:r>
          </w:p>
        </w:tc>
        <w:tc>
          <w:tcPr>
            <w:tcW w:w="2168" w:type="dxa"/>
            <w:noWrap/>
            <w:vAlign w:val="center"/>
            <w:hideMark/>
          </w:tcPr>
          <w:p w14:paraId="538C192D"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39,432.41 </w:t>
            </w:r>
          </w:p>
        </w:tc>
        <w:tc>
          <w:tcPr>
            <w:tcW w:w="2167" w:type="dxa"/>
            <w:noWrap/>
            <w:vAlign w:val="center"/>
            <w:hideMark/>
          </w:tcPr>
          <w:p w14:paraId="40AEBD12"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29,981.18 </w:t>
            </w:r>
          </w:p>
        </w:tc>
        <w:tc>
          <w:tcPr>
            <w:tcW w:w="2168" w:type="dxa"/>
            <w:noWrap/>
            <w:vAlign w:val="center"/>
            <w:hideMark/>
          </w:tcPr>
          <w:p w14:paraId="0A9840B2" w14:textId="77777777" w:rsidR="00BE104E" w:rsidRPr="004145AB" w:rsidRDefault="00BE104E" w:rsidP="00A93825">
            <w:pPr>
              <w:spacing w:before="0" w:after="0" w:line="240" w:lineRule="auto"/>
              <w:jc w:val="right"/>
              <w:rPr>
                <w:rFonts w:cs="Arial"/>
                <w:b/>
                <w:bCs/>
                <w:color w:val="000000"/>
                <w:sz w:val="20"/>
                <w:lang w:val="en-NZ" w:eastAsia="en-NZ"/>
              </w:rPr>
            </w:pPr>
            <w:r w:rsidRPr="004145AB">
              <w:rPr>
                <w:rFonts w:cs="Arial"/>
                <w:b/>
                <w:bCs/>
                <w:color w:val="000000"/>
                <w:sz w:val="20"/>
                <w:lang w:val="en-NZ" w:eastAsia="en-NZ"/>
              </w:rPr>
              <w:t xml:space="preserve"> 254,471.41 </w:t>
            </w:r>
          </w:p>
        </w:tc>
      </w:tr>
    </w:tbl>
    <w:p w14:paraId="4AA68886" w14:textId="77777777" w:rsidR="00BE104E" w:rsidRDefault="00BE104E" w:rsidP="00BE104E">
      <w:pPr>
        <w:pStyle w:val="TableName"/>
      </w:pPr>
    </w:p>
    <w:p w14:paraId="71D05D1C" w14:textId="75DFDE30" w:rsidR="00BE104E" w:rsidRPr="006F4A51" w:rsidRDefault="00BE104E" w:rsidP="00BE104E">
      <w:pPr>
        <w:pStyle w:val="TableName"/>
      </w:pPr>
      <w:bookmarkStart w:id="64" w:name="_Toc1729547"/>
      <w:r w:rsidRPr="006F4A51">
        <w:t>Table</w:t>
      </w:r>
      <w:r w:rsidR="00A35D46">
        <w:t xml:space="preserve"> 9</w:t>
      </w:r>
      <w:r w:rsidR="00A35D46">
        <w:tab/>
      </w:r>
      <w:r w:rsidRPr="006F4A51">
        <w:t>2017 participants in Strathmore Business School WIL training by country</w:t>
      </w:r>
      <w:bookmarkEnd w:id="64"/>
    </w:p>
    <w:tbl>
      <w:tblPr>
        <w:tblStyle w:val="TableGrid"/>
        <w:tblW w:w="5000" w:type="pct"/>
        <w:tblLook w:val="04A0" w:firstRow="1" w:lastRow="0" w:firstColumn="1" w:lastColumn="0" w:noHBand="0" w:noVBand="1"/>
      </w:tblPr>
      <w:tblGrid>
        <w:gridCol w:w="1810"/>
        <w:gridCol w:w="2425"/>
        <w:gridCol w:w="1242"/>
        <w:gridCol w:w="1804"/>
        <w:gridCol w:w="2300"/>
        <w:gridCol w:w="885"/>
      </w:tblGrid>
      <w:tr w:rsidR="00BE104E" w:rsidRPr="006F4A51" w14:paraId="6FA0D2BC" w14:textId="77777777" w:rsidTr="00A93825">
        <w:trPr>
          <w:cnfStyle w:val="100000000000" w:firstRow="1" w:lastRow="0" w:firstColumn="0" w:lastColumn="0" w:oddVBand="0" w:evenVBand="0" w:oddHBand="0" w:evenHBand="0" w:firstRowFirstColumn="0" w:firstRowLastColumn="0" w:lastRowFirstColumn="0" w:lastRowLastColumn="0"/>
          <w:trHeight w:val="300"/>
        </w:trPr>
        <w:tc>
          <w:tcPr>
            <w:tcW w:w="864" w:type="pct"/>
            <w:noWrap/>
            <w:hideMark/>
          </w:tcPr>
          <w:p w14:paraId="6190F29B" w14:textId="77777777" w:rsidR="00BE104E" w:rsidRPr="008F3C5A" w:rsidRDefault="00BE104E" w:rsidP="00A93825">
            <w:pPr>
              <w:spacing w:before="0" w:after="0" w:line="240" w:lineRule="auto"/>
              <w:rPr>
                <w:b/>
                <w:bCs/>
                <w:color w:val="000000"/>
                <w:sz w:val="20"/>
                <w:lang w:val="en-NZ" w:eastAsia="en-NZ"/>
              </w:rPr>
            </w:pPr>
            <w:r w:rsidRPr="008F3C5A">
              <w:rPr>
                <w:b/>
                <w:bCs/>
                <w:color w:val="000000"/>
                <w:sz w:val="20"/>
                <w:lang w:val="en-NZ" w:eastAsia="en-NZ"/>
              </w:rPr>
              <w:t>Country</w:t>
            </w:r>
          </w:p>
        </w:tc>
        <w:tc>
          <w:tcPr>
            <w:tcW w:w="1158" w:type="pct"/>
            <w:noWrap/>
            <w:hideMark/>
          </w:tcPr>
          <w:p w14:paraId="10B812D5" w14:textId="77777777" w:rsidR="00BE104E" w:rsidRPr="008F3C5A" w:rsidRDefault="00BE104E" w:rsidP="00A93825">
            <w:pPr>
              <w:spacing w:before="0" w:after="0" w:line="240" w:lineRule="auto"/>
              <w:rPr>
                <w:b/>
                <w:bCs/>
                <w:color w:val="000000"/>
                <w:sz w:val="20"/>
                <w:lang w:val="en-NZ" w:eastAsia="en-NZ"/>
              </w:rPr>
            </w:pPr>
            <w:r w:rsidRPr="008F3C5A">
              <w:rPr>
                <w:b/>
                <w:bCs/>
                <w:color w:val="000000"/>
                <w:sz w:val="20"/>
                <w:lang w:val="en-NZ" w:eastAsia="en-NZ"/>
              </w:rPr>
              <w:t>Africa Fellowships</w:t>
            </w:r>
          </w:p>
        </w:tc>
        <w:tc>
          <w:tcPr>
            <w:tcW w:w="593" w:type="pct"/>
            <w:noWrap/>
            <w:hideMark/>
          </w:tcPr>
          <w:p w14:paraId="00B725C9" w14:textId="77777777" w:rsidR="00BE104E" w:rsidRPr="008F3C5A" w:rsidRDefault="00BE104E" w:rsidP="00A93825">
            <w:pPr>
              <w:spacing w:before="0" w:after="0" w:line="240" w:lineRule="auto"/>
              <w:rPr>
                <w:b/>
                <w:bCs/>
                <w:color w:val="000000"/>
                <w:sz w:val="20"/>
                <w:lang w:val="en-NZ" w:eastAsia="en-NZ"/>
              </w:rPr>
            </w:pPr>
            <w:r w:rsidRPr="008F3C5A">
              <w:rPr>
                <w:b/>
                <w:bCs/>
                <w:color w:val="000000"/>
                <w:sz w:val="20"/>
                <w:lang w:val="en-NZ" w:eastAsia="en-NZ"/>
              </w:rPr>
              <w:t>Masters</w:t>
            </w:r>
          </w:p>
        </w:tc>
        <w:tc>
          <w:tcPr>
            <w:tcW w:w="862" w:type="pct"/>
            <w:noWrap/>
            <w:hideMark/>
          </w:tcPr>
          <w:p w14:paraId="0D315089" w14:textId="77777777" w:rsidR="00BE104E" w:rsidRPr="008F3C5A" w:rsidRDefault="00BE104E" w:rsidP="00A93825">
            <w:pPr>
              <w:spacing w:before="0" w:after="0" w:line="240" w:lineRule="auto"/>
              <w:rPr>
                <w:b/>
                <w:bCs/>
                <w:color w:val="000000"/>
                <w:sz w:val="20"/>
                <w:lang w:val="en-NZ" w:eastAsia="en-NZ"/>
              </w:rPr>
            </w:pPr>
            <w:r w:rsidRPr="008F3C5A">
              <w:rPr>
                <w:b/>
                <w:bCs/>
                <w:color w:val="000000"/>
                <w:sz w:val="20"/>
                <w:lang w:val="en-NZ" w:eastAsia="en-NZ"/>
              </w:rPr>
              <w:t xml:space="preserve">Short Course </w:t>
            </w:r>
          </w:p>
        </w:tc>
        <w:tc>
          <w:tcPr>
            <w:tcW w:w="1099" w:type="pct"/>
            <w:noWrap/>
            <w:hideMark/>
          </w:tcPr>
          <w:p w14:paraId="37EB5A4F" w14:textId="77777777" w:rsidR="00BE104E" w:rsidRPr="006F4A51" w:rsidRDefault="00BE104E" w:rsidP="00A93825">
            <w:pPr>
              <w:spacing w:before="0" w:after="0" w:line="240" w:lineRule="auto"/>
              <w:rPr>
                <w:b/>
                <w:bCs/>
                <w:color w:val="000000"/>
                <w:sz w:val="20"/>
                <w:lang w:val="en-NZ" w:eastAsia="en-NZ"/>
              </w:rPr>
            </w:pPr>
            <w:r w:rsidRPr="008F3C5A">
              <w:rPr>
                <w:b/>
                <w:bCs/>
                <w:color w:val="000000"/>
                <w:sz w:val="20"/>
                <w:lang w:val="en-NZ" w:eastAsia="en-NZ"/>
              </w:rPr>
              <w:t xml:space="preserve">Australia Awards </w:t>
            </w:r>
          </w:p>
          <w:p w14:paraId="5AF45310" w14:textId="77777777" w:rsidR="00BE104E" w:rsidRPr="008F3C5A" w:rsidRDefault="00BE104E" w:rsidP="00A93825">
            <w:pPr>
              <w:spacing w:before="0" w:after="0" w:line="240" w:lineRule="auto"/>
              <w:rPr>
                <w:b/>
                <w:bCs/>
                <w:color w:val="000000"/>
                <w:sz w:val="20"/>
                <w:lang w:val="en-NZ" w:eastAsia="en-NZ"/>
              </w:rPr>
            </w:pPr>
            <w:r w:rsidRPr="008F3C5A">
              <w:rPr>
                <w:b/>
                <w:bCs/>
                <w:color w:val="000000"/>
                <w:sz w:val="20"/>
                <w:lang w:val="en-NZ" w:eastAsia="en-NZ"/>
              </w:rPr>
              <w:t>Fellowships</w:t>
            </w:r>
          </w:p>
        </w:tc>
        <w:tc>
          <w:tcPr>
            <w:tcW w:w="423" w:type="pct"/>
            <w:noWrap/>
            <w:hideMark/>
          </w:tcPr>
          <w:p w14:paraId="6A23848C" w14:textId="77777777" w:rsidR="00BE104E" w:rsidRPr="008F3C5A" w:rsidRDefault="00BE104E" w:rsidP="00A93825">
            <w:pPr>
              <w:spacing w:before="0" w:after="0" w:line="240" w:lineRule="auto"/>
              <w:rPr>
                <w:b/>
                <w:bCs/>
                <w:color w:val="000000"/>
                <w:sz w:val="20"/>
                <w:lang w:val="en-NZ" w:eastAsia="en-NZ"/>
              </w:rPr>
            </w:pPr>
            <w:r w:rsidRPr="008F3C5A">
              <w:rPr>
                <w:b/>
                <w:bCs/>
                <w:color w:val="000000"/>
                <w:sz w:val="20"/>
                <w:lang w:val="en-NZ" w:eastAsia="en-NZ"/>
              </w:rPr>
              <w:t>Total</w:t>
            </w:r>
          </w:p>
        </w:tc>
      </w:tr>
      <w:tr w:rsidR="00BE104E" w:rsidRPr="006F4A51" w14:paraId="6EC464C8" w14:textId="77777777" w:rsidTr="00A93825">
        <w:trPr>
          <w:trHeight w:val="300"/>
        </w:trPr>
        <w:tc>
          <w:tcPr>
            <w:tcW w:w="864" w:type="pct"/>
            <w:noWrap/>
            <w:hideMark/>
          </w:tcPr>
          <w:p w14:paraId="07C17B60"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Botswana</w:t>
            </w:r>
          </w:p>
        </w:tc>
        <w:tc>
          <w:tcPr>
            <w:tcW w:w="1158" w:type="pct"/>
            <w:noWrap/>
            <w:hideMark/>
          </w:tcPr>
          <w:p w14:paraId="24A6B5C5"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2A97FA45"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862" w:type="pct"/>
            <w:noWrap/>
            <w:hideMark/>
          </w:tcPr>
          <w:p w14:paraId="2368E948"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0ACA3C30" w14:textId="77777777" w:rsidR="00BE104E" w:rsidRPr="008F3C5A" w:rsidRDefault="00BE104E" w:rsidP="00A93825">
            <w:pPr>
              <w:spacing w:before="0" w:after="0" w:line="240" w:lineRule="auto"/>
              <w:rPr>
                <w:sz w:val="20"/>
                <w:lang w:val="en-NZ" w:eastAsia="en-NZ"/>
              </w:rPr>
            </w:pPr>
          </w:p>
        </w:tc>
        <w:tc>
          <w:tcPr>
            <w:tcW w:w="423" w:type="pct"/>
            <w:noWrap/>
            <w:hideMark/>
          </w:tcPr>
          <w:p w14:paraId="0B73A66D"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15F23660" w14:textId="77777777" w:rsidTr="00A93825">
        <w:trPr>
          <w:trHeight w:val="300"/>
        </w:trPr>
        <w:tc>
          <w:tcPr>
            <w:tcW w:w="864" w:type="pct"/>
            <w:noWrap/>
            <w:hideMark/>
          </w:tcPr>
          <w:p w14:paraId="7F5B4DE7"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Cameroon</w:t>
            </w:r>
          </w:p>
        </w:tc>
        <w:tc>
          <w:tcPr>
            <w:tcW w:w="1158" w:type="pct"/>
            <w:noWrap/>
            <w:hideMark/>
          </w:tcPr>
          <w:p w14:paraId="6CC8A3DB"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6842FC05" w14:textId="77777777" w:rsidR="00BE104E" w:rsidRPr="008F3C5A" w:rsidRDefault="00BE104E" w:rsidP="00A93825">
            <w:pPr>
              <w:spacing w:before="0" w:after="0" w:line="240" w:lineRule="auto"/>
              <w:rPr>
                <w:sz w:val="20"/>
                <w:lang w:val="en-NZ" w:eastAsia="en-NZ"/>
              </w:rPr>
            </w:pPr>
          </w:p>
        </w:tc>
        <w:tc>
          <w:tcPr>
            <w:tcW w:w="862" w:type="pct"/>
            <w:noWrap/>
            <w:hideMark/>
          </w:tcPr>
          <w:p w14:paraId="6CCB4892"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1099" w:type="pct"/>
            <w:noWrap/>
            <w:hideMark/>
          </w:tcPr>
          <w:p w14:paraId="4DABF370" w14:textId="77777777" w:rsidR="00BE104E" w:rsidRPr="008F3C5A" w:rsidRDefault="00BE104E" w:rsidP="00A93825">
            <w:pPr>
              <w:spacing w:before="0" w:after="0" w:line="240" w:lineRule="auto"/>
              <w:jc w:val="right"/>
              <w:rPr>
                <w:color w:val="000000"/>
                <w:sz w:val="20"/>
                <w:lang w:val="en-NZ" w:eastAsia="en-NZ"/>
              </w:rPr>
            </w:pPr>
          </w:p>
        </w:tc>
        <w:tc>
          <w:tcPr>
            <w:tcW w:w="423" w:type="pct"/>
            <w:noWrap/>
            <w:hideMark/>
          </w:tcPr>
          <w:p w14:paraId="58A6E6D4"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1FEC399B" w14:textId="77777777" w:rsidTr="00A93825">
        <w:trPr>
          <w:trHeight w:val="300"/>
        </w:trPr>
        <w:tc>
          <w:tcPr>
            <w:tcW w:w="864" w:type="pct"/>
            <w:noWrap/>
            <w:hideMark/>
          </w:tcPr>
          <w:p w14:paraId="081CAECF"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Ghana</w:t>
            </w:r>
          </w:p>
        </w:tc>
        <w:tc>
          <w:tcPr>
            <w:tcW w:w="1158" w:type="pct"/>
            <w:noWrap/>
            <w:hideMark/>
          </w:tcPr>
          <w:p w14:paraId="4F6AFBF0"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564FFDA1"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862" w:type="pct"/>
            <w:noWrap/>
            <w:hideMark/>
          </w:tcPr>
          <w:p w14:paraId="55C1E25A"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0A1580DF" w14:textId="77777777" w:rsidR="00BE104E" w:rsidRPr="008F3C5A" w:rsidRDefault="00BE104E" w:rsidP="00A93825">
            <w:pPr>
              <w:spacing w:before="0" w:after="0" w:line="240" w:lineRule="auto"/>
              <w:rPr>
                <w:sz w:val="20"/>
                <w:lang w:val="en-NZ" w:eastAsia="en-NZ"/>
              </w:rPr>
            </w:pPr>
          </w:p>
        </w:tc>
        <w:tc>
          <w:tcPr>
            <w:tcW w:w="423" w:type="pct"/>
            <w:noWrap/>
            <w:hideMark/>
          </w:tcPr>
          <w:p w14:paraId="75FDAD3F"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174B7F84" w14:textId="77777777" w:rsidTr="00A93825">
        <w:trPr>
          <w:trHeight w:val="300"/>
        </w:trPr>
        <w:tc>
          <w:tcPr>
            <w:tcW w:w="864" w:type="pct"/>
            <w:noWrap/>
            <w:hideMark/>
          </w:tcPr>
          <w:p w14:paraId="446AC28E"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Kenya</w:t>
            </w:r>
          </w:p>
        </w:tc>
        <w:tc>
          <w:tcPr>
            <w:tcW w:w="1158" w:type="pct"/>
            <w:noWrap/>
            <w:hideMark/>
          </w:tcPr>
          <w:p w14:paraId="4EB693DB"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4D532355"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9</w:t>
            </w:r>
          </w:p>
        </w:tc>
        <w:tc>
          <w:tcPr>
            <w:tcW w:w="862" w:type="pct"/>
            <w:noWrap/>
            <w:hideMark/>
          </w:tcPr>
          <w:p w14:paraId="097F4781"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2</w:t>
            </w:r>
          </w:p>
        </w:tc>
        <w:tc>
          <w:tcPr>
            <w:tcW w:w="1099" w:type="pct"/>
            <w:noWrap/>
            <w:hideMark/>
          </w:tcPr>
          <w:p w14:paraId="72E6C83F"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4</w:t>
            </w:r>
          </w:p>
        </w:tc>
        <w:tc>
          <w:tcPr>
            <w:tcW w:w="423" w:type="pct"/>
            <w:noWrap/>
            <w:hideMark/>
          </w:tcPr>
          <w:p w14:paraId="1A9D156C"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15</w:t>
            </w:r>
          </w:p>
        </w:tc>
      </w:tr>
      <w:tr w:rsidR="00BE104E" w:rsidRPr="006F4A51" w14:paraId="265F1163" w14:textId="77777777" w:rsidTr="00A93825">
        <w:trPr>
          <w:trHeight w:val="300"/>
        </w:trPr>
        <w:tc>
          <w:tcPr>
            <w:tcW w:w="864" w:type="pct"/>
            <w:noWrap/>
            <w:hideMark/>
          </w:tcPr>
          <w:p w14:paraId="4667B608"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Malawi</w:t>
            </w:r>
          </w:p>
        </w:tc>
        <w:tc>
          <w:tcPr>
            <w:tcW w:w="1158" w:type="pct"/>
            <w:noWrap/>
            <w:hideMark/>
          </w:tcPr>
          <w:p w14:paraId="13BF2AE6"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27DD72CD"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862" w:type="pct"/>
            <w:noWrap/>
            <w:hideMark/>
          </w:tcPr>
          <w:p w14:paraId="7589F39E"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4853E9BC" w14:textId="77777777" w:rsidR="00BE104E" w:rsidRPr="008F3C5A" w:rsidRDefault="00BE104E" w:rsidP="00A93825">
            <w:pPr>
              <w:spacing w:before="0" w:after="0" w:line="240" w:lineRule="auto"/>
              <w:rPr>
                <w:sz w:val="20"/>
                <w:lang w:val="en-NZ" w:eastAsia="en-NZ"/>
              </w:rPr>
            </w:pPr>
          </w:p>
        </w:tc>
        <w:tc>
          <w:tcPr>
            <w:tcW w:w="423" w:type="pct"/>
            <w:noWrap/>
            <w:hideMark/>
          </w:tcPr>
          <w:p w14:paraId="563ABC85"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79B12E87" w14:textId="77777777" w:rsidTr="00A93825">
        <w:trPr>
          <w:trHeight w:val="300"/>
        </w:trPr>
        <w:tc>
          <w:tcPr>
            <w:tcW w:w="864" w:type="pct"/>
            <w:noWrap/>
            <w:hideMark/>
          </w:tcPr>
          <w:p w14:paraId="282AB8FD"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Mauritius</w:t>
            </w:r>
          </w:p>
        </w:tc>
        <w:tc>
          <w:tcPr>
            <w:tcW w:w="1158" w:type="pct"/>
            <w:noWrap/>
            <w:hideMark/>
          </w:tcPr>
          <w:p w14:paraId="0A079A54"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60B848E1" w14:textId="77777777" w:rsidR="00BE104E" w:rsidRPr="008F3C5A" w:rsidRDefault="00BE104E" w:rsidP="00A93825">
            <w:pPr>
              <w:spacing w:before="0" w:after="0" w:line="240" w:lineRule="auto"/>
              <w:rPr>
                <w:sz w:val="20"/>
                <w:lang w:val="en-NZ" w:eastAsia="en-NZ"/>
              </w:rPr>
            </w:pPr>
          </w:p>
        </w:tc>
        <w:tc>
          <w:tcPr>
            <w:tcW w:w="862" w:type="pct"/>
            <w:noWrap/>
            <w:hideMark/>
          </w:tcPr>
          <w:p w14:paraId="18D0BAB4"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1099" w:type="pct"/>
            <w:noWrap/>
            <w:hideMark/>
          </w:tcPr>
          <w:p w14:paraId="1A975280" w14:textId="77777777" w:rsidR="00BE104E" w:rsidRPr="008F3C5A" w:rsidRDefault="00BE104E" w:rsidP="00A93825">
            <w:pPr>
              <w:spacing w:before="0" w:after="0" w:line="240" w:lineRule="auto"/>
              <w:jc w:val="right"/>
              <w:rPr>
                <w:color w:val="000000"/>
                <w:sz w:val="20"/>
                <w:lang w:val="en-NZ" w:eastAsia="en-NZ"/>
              </w:rPr>
            </w:pPr>
          </w:p>
        </w:tc>
        <w:tc>
          <w:tcPr>
            <w:tcW w:w="423" w:type="pct"/>
            <w:noWrap/>
            <w:hideMark/>
          </w:tcPr>
          <w:p w14:paraId="3A44BA70"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0315A173" w14:textId="77777777" w:rsidTr="00A93825">
        <w:trPr>
          <w:trHeight w:val="300"/>
        </w:trPr>
        <w:tc>
          <w:tcPr>
            <w:tcW w:w="864" w:type="pct"/>
            <w:noWrap/>
            <w:hideMark/>
          </w:tcPr>
          <w:p w14:paraId="1D52FB10"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Mozambique</w:t>
            </w:r>
          </w:p>
        </w:tc>
        <w:tc>
          <w:tcPr>
            <w:tcW w:w="1158" w:type="pct"/>
            <w:noWrap/>
            <w:hideMark/>
          </w:tcPr>
          <w:p w14:paraId="13765EC5"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3F1E69C2"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862" w:type="pct"/>
            <w:noWrap/>
            <w:hideMark/>
          </w:tcPr>
          <w:p w14:paraId="0CCC082E"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0A6271E1" w14:textId="77777777" w:rsidR="00BE104E" w:rsidRPr="008F3C5A" w:rsidRDefault="00BE104E" w:rsidP="00A93825">
            <w:pPr>
              <w:spacing w:before="0" w:after="0" w:line="240" w:lineRule="auto"/>
              <w:rPr>
                <w:sz w:val="20"/>
                <w:lang w:val="en-NZ" w:eastAsia="en-NZ"/>
              </w:rPr>
            </w:pPr>
          </w:p>
        </w:tc>
        <w:tc>
          <w:tcPr>
            <w:tcW w:w="423" w:type="pct"/>
            <w:noWrap/>
            <w:hideMark/>
          </w:tcPr>
          <w:p w14:paraId="7DB77BCF"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41127B45" w14:textId="77777777" w:rsidTr="00A93825">
        <w:trPr>
          <w:trHeight w:val="300"/>
        </w:trPr>
        <w:tc>
          <w:tcPr>
            <w:tcW w:w="864" w:type="pct"/>
            <w:noWrap/>
            <w:hideMark/>
          </w:tcPr>
          <w:p w14:paraId="6FDF65F5"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Nigeria</w:t>
            </w:r>
          </w:p>
        </w:tc>
        <w:tc>
          <w:tcPr>
            <w:tcW w:w="1158" w:type="pct"/>
            <w:noWrap/>
            <w:hideMark/>
          </w:tcPr>
          <w:p w14:paraId="68575626"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593" w:type="pct"/>
            <w:noWrap/>
            <w:hideMark/>
          </w:tcPr>
          <w:p w14:paraId="7990E12B" w14:textId="77777777" w:rsidR="00BE104E" w:rsidRPr="008F3C5A" w:rsidRDefault="00BE104E" w:rsidP="00A93825">
            <w:pPr>
              <w:spacing w:before="0" w:after="0" w:line="240" w:lineRule="auto"/>
              <w:jc w:val="right"/>
              <w:rPr>
                <w:color w:val="000000"/>
                <w:sz w:val="20"/>
                <w:lang w:val="en-NZ" w:eastAsia="en-NZ"/>
              </w:rPr>
            </w:pPr>
          </w:p>
        </w:tc>
        <w:tc>
          <w:tcPr>
            <w:tcW w:w="862" w:type="pct"/>
            <w:noWrap/>
            <w:hideMark/>
          </w:tcPr>
          <w:p w14:paraId="461B2801" w14:textId="77777777" w:rsidR="00BE104E" w:rsidRPr="008F3C5A" w:rsidRDefault="00BE104E" w:rsidP="00A93825">
            <w:pPr>
              <w:spacing w:before="0" w:after="0" w:line="240" w:lineRule="auto"/>
              <w:rPr>
                <w:sz w:val="20"/>
                <w:lang w:val="en-NZ" w:eastAsia="en-NZ"/>
              </w:rPr>
            </w:pPr>
          </w:p>
        </w:tc>
        <w:tc>
          <w:tcPr>
            <w:tcW w:w="1099" w:type="pct"/>
            <w:noWrap/>
            <w:hideMark/>
          </w:tcPr>
          <w:p w14:paraId="1ADA9218" w14:textId="77777777" w:rsidR="00BE104E" w:rsidRPr="008F3C5A" w:rsidRDefault="00BE104E" w:rsidP="00A93825">
            <w:pPr>
              <w:spacing w:before="0" w:after="0" w:line="240" w:lineRule="auto"/>
              <w:rPr>
                <w:sz w:val="20"/>
                <w:lang w:val="en-NZ" w:eastAsia="en-NZ"/>
              </w:rPr>
            </w:pPr>
          </w:p>
        </w:tc>
        <w:tc>
          <w:tcPr>
            <w:tcW w:w="423" w:type="pct"/>
            <w:noWrap/>
            <w:hideMark/>
          </w:tcPr>
          <w:p w14:paraId="4E23737E"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24E3FC31" w14:textId="77777777" w:rsidTr="00A93825">
        <w:trPr>
          <w:trHeight w:val="300"/>
        </w:trPr>
        <w:tc>
          <w:tcPr>
            <w:tcW w:w="864" w:type="pct"/>
            <w:noWrap/>
            <w:hideMark/>
          </w:tcPr>
          <w:p w14:paraId="7D0FDF61"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Rwanda</w:t>
            </w:r>
          </w:p>
        </w:tc>
        <w:tc>
          <w:tcPr>
            <w:tcW w:w="1158" w:type="pct"/>
            <w:noWrap/>
            <w:hideMark/>
          </w:tcPr>
          <w:p w14:paraId="64F979DB"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51C4BCDF"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862" w:type="pct"/>
            <w:noWrap/>
            <w:hideMark/>
          </w:tcPr>
          <w:p w14:paraId="038E8996"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0E40F96A" w14:textId="77777777" w:rsidR="00BE104E" w:rsidRPr="008F3C5A" w:rsidRDefault="00BE104E" w:rsidP="00A93825">
            <w:pPr>
              <w:spacing w:before="0" w:after="0" w:line="240" w:lineRule="auto"/>
              <w:rPr>
                <w:sz w:val="20"/>
                <w:lang w:val="en-NZ" w:eastAsia="en-NZ"/>
              </w:rPr>
            </w:pPr>
          </w:p>
        </w:tc>
        <w:tc>
          <w:tcPr>
            <w:tcW w:w="423" w:type="pct"/>
            <w:noWrap/>
            <w:hideMark/>
          </w:tcPr>
          <w:p w14:paraId="6DAD1AA4"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1DABA8D0" w14:textId="77777777" w:rsidTr="00A93825">
        <w:trPr>
          <w:trHeight w:val="300"/>
        </w:trPr>
        <w:tc>
          <w:tcPr>
            <w:tcW w:w="864" w:type="pct"/>
            <w:noWrap/>
            <w:hideMark/>
          </w:tcPr>
          <w:p w14:paraId="594EABF5"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South Africa</w:t>
            </w:r>
          </w:p>
        </w:tc>
        <w:tc>
          <w:tcPr>
            <w:tcW w:w="1158" w:type="pct"/>
            <w:noWrap/>
            <w:hideMark/>
          </w:tcPr>
          <w:p w14:paraId="3A27ACC6"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1F1BE872"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862" w:type="pct"/>
            <w:noWrap/>
            <w:hideMark/>
          </w:tcPr>
          <w:p w14:paraId="0CB11FF4"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02239282" w14:textId="77777777" w:rsidR="00BE104E" w:rsidRPr="008F3C5A" w:rsidRDefault="00BE104E" w:rsidP="00A93825">
            <w:pPr>
              <w:spacing w:before="0" w:after="0" w:line="240" w:lineRule="auto"/>
              <w:rPr>
                <w:sz w:val="20"/>
                <w:lang w:val="en-NZ" w:eastAsia="en-NZ"/>
              </w:rPr>
            </w:pPr>
          </w:p>
        </w:tc>
        <w:tc>
          <w:tcPr>
            <w:tcW w:w="423" w:type="pct"/>
            <w:noWrap/>
            <w:hideMark/>
          </w:tcPr>
          <w:p w14:paraId="29B847EA"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08DEF602" w14:textId="77777777" w:rsidTr="00A93825">
        <w:trPr>
          <w:trHeight w:val="300"/>
        </w:trPr>
        <w:tc>
          <w:tcPr>
            <w:tcW w:w="864" w:type="pct"/>
            <w:noWrap/>
            <w:hideMark/>
          </w:tcPr>
          <w:p w14:paraId="5D780502"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Tanzania</w:t>
            </w:r>
          </w:p>
        </w:tc>
        <w:tc>
          <w:tcPr>
            <w:tcW w:w="1158" w:type="pct"/>
            <w:noWrap/>
            <w:hideMark/>
          </w:tcPr>
          <w:p w14:paraId="60650893"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1F06C9FE"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862" w:type="pct"/>
            <w:noWrap/>
            <w:hideMark/>
          </w:tcPr>
          <w:p w14:paraId="627FDFE6"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5EBD7775" w14:textId="77777777" w:rsidR="00BE104E" w:rsidRPr="008F3C5A" w:rsidRDefault="00BE104E" w:rsidP="00A93825">
            <w:pPr>
              <w:spacing w:before="0" w:after="0" w:line="240" w:lineRule="auto"/>
              <w:rPr>
                <w:sz w:val="20"/>
                <w:lang w:val="en-NZ" w:eastAsia="en-NZ"/>
              </w:rPr>
            </w:pPr>
          </w:p>
        </w:tc>
        <w:tc>
          <w:tcPr>
            <w:tcW w:w="423" w:type="pct"/>
            <w:noWrap/>
            <w:hideMark/>
          </w:tcPr>
          <w:p w14:paraId="259CBBD7"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49C8E1F2" w14:textId="77777777" w:rsidTr="00A93825">
        <w:trPr>
          <w:trHeight w:val="300"/>
        </w:trPr>
        <w:tc>
          <w:tcPr>
            <w:tcW w:w="864" w:type="pct"/>
            <w:noWrap/>
            <w:hideMark/>
          </w:tcPr>
          <w:p w14:paraId="6C906877"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Uganda</w:t>
            </w:r>
          </w:p>
        </w:tc>
        <w:tc>
          <w:tcPr>
            <w:tcW w:w="1158" w:type="pct"/>
            <w:noWrap/>
            <w:hideMark/>
          </w:tcPr>
          <w:p w14:paraId="7B0490D7"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793592CB"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2</w:t>
            </w:r>
          </w:p>
        </w:tc>
        <w:tc>
          <w:tcPr>
            <w:tcW w:w="862" w:type="pct"/>
            <w:noWrap/>
            <w:hideMark/>
          </w:tcPr>
          <w:p w14:paraId="174D7E58"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12F4AE8B" w14:textId="77777777" w:rsidR="00BE104E" w:rsidRPr="008F3C5A" w:rsidRDefault="00BE104E" w:rsidP="00A93825">
            <w:pPr>
              <w:spacing w:before="0" w:after="0" w:line="240" w:lineRule="auto"/>
              <w:rPr>
                <w:sz w:val="20"/>
                <w:lang w:val="en-NZ" w:eastAsia="en-NZ"/>
              </w:rPr>
            </w:pPr>
          </w:p>
        </w:tc>
        <w:tc>
          <w:tcPr>
            <w:tcW w:w="423" w:type="pct"/>
            <w:noWrap/>
            <w:hideMark/>
          </w:tcPr>
          <w:p w14:paraId="4FD8C34B"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2</w:t>
            </w:r>
          </w:p>
        </w:tc>
      </w:tr>
      <w:tr w:rsidR="00BE104E" w:rsidRPr="006F4A51" w14:paraId="683F7B8E" w14:textId="77777777" w:rsidTr="00A93825">
        <w:trPr>
          <w:trHeight w:val="300"/>
        </w:trPr>
        <w:tc>
          <w:tcPr>
            <w:tcW w:w="864" w:type="pct"/>
            <w:noWrap/>
            <w:hideMark/>
          </w:tcPr>
          <w:p w14:paraId="3A90E89E" w14:textId="77777777" w:rsidR="00BE104E" w:rsidRPr="008F3C5A" w:rsidRDefault="00BE104E" w:rsidP="00A93825">
            <w:pPr>
              <w:spacing w:before="0" w:after="0" w:line="240" w:lineRule="auto"/>
              <w:rPr>
                <w:color w:val="000000"/>
                <w:sz w:val="20"/>
                <w:lang w:val="en-NZ" w:eastAsia="en-NZ"/>
              </w:rPr>
            </w:pPr>
            <w:r w:rsidRPr="008F3C5A">
              <w:rPr>
                <w:color w:val="000000"/>
                <w:sz w:val="20"/>
                <w:lang w:val="en-NZ" w:eastAsia="en-NZ"/>
              </w:rPr>
              <w:t>Zambia</w:t>
            </w:r>
          </w:p>
        </w:tc>
        <w:tc>
          <w:tcPr>
            <w:tcW w:w="1158" w:type="pct"/>
            <w:noWrap/>
            <w:hideMark/>
          </w:tcPr>
          <w:p w14:paraId="6438B7DC" w14:textId="77777777" w:rsidR="00BE104E" w:rsidRPr="008F3C5A" w:rsidRDefault="00BE104E" w:rsidP="00A93825">
            <w:pPr>
              <w:spacing w:before="0" w:after="0" w:line="240" w:lineRule="auto"/>
              <w:rPr>
                <w:color w:val="000000"/>
                <w:sz w:val="20"/>
                <w:lang w:val="en-NZ" w:eastAsia="en-NZ"/>
              </w:rPr>
            </w:pPr>
          </w:p>
        </w:tc>
        <w:tc>
          <w:tcPr>
            <w:tcW w:w="593" w:type="pct"/>
            <w:noWrap/>
            <w:hideMark/>
          </w:tcPr>
          <w:p w14:paraId="6EF2512E" w14:textId="77777777" w:rsidR="00BE104E" w:rsidRPr="008F3C5A" w:rsidRDefault="00BE104E" w:rsidP="00A93825">
            <w:pPr>
              <w:spacing w:before="0" w:after="0" w:line="240" w:lineRule="auto"/>
              <w:jc w:val="right"/>
              <w:rPr>
                <w:color w:val="000000"/>
                <w:sz w:val="20"/>
                <w:lang w:val="en-NZ" w:eastAsia="en-NZ"/>
              </w:rPr>
            </w:pPr>
            <w:r w:rsidRPr="008F3C5A">
              <w:rPr>
                <w:color w:val="000000"/>
                <w:sz w:val="20"/>
                <w:lang w:val="en-NZ" w:eastAsia="en-NZ"/>
              </w:rPr>
              <w:t>1</w:t>
            </w:r>
          </w:p>
        </w:tc>
        <w:tc>
          <w:tcPr>
            <w:tcW w:w="862" w:type="pct"/>
            <w:noWrap/>
            <w:hideMark/>
          </w:tcPr>
          <w:p w14:paraId="61213EE1" w14:textId="77777777" w:rsidR="00BE104E" w:rsidRPr="008F3C5A" w:rsidRDefault="00BE104E" w:rsidP="00A93825">
            <w:pPr>
              <w:spacing w:before="0" w:after="0" w:line="240" w:lineRule="auto"/>
              <w:jc w:val="right"/>
              <w:rPr>
                <w:color w:val="000000"/>
                <w:sz w:val="20"/>
                <w:lang w:val="en-NZ" w:eastAsia="en-NZ"/>
              </w:rPr>
            </w:pPr>
          </w:p>
        </w:tc>
        <w:tc>
          <w:tcPr>
            <w:tcW w:w="1099" w:type="pct"/>
            <w:noWrap/>
            <w:hideMark/>
          </w:tcPr>
          <w:p w14:paraId="5376309A" w14:textId="77777777" w:rsidR="00BE104E" w:rsidRPr="008F3C5A" w:rsidRDefault="00BE104E" w:rsidP="00A93825">
            <w:pPr>
              <w:spacing w:before="0" w:after="0" w:line="240" w:lineRule="auto"/>
              <w:rPr>
                <w:sz w:val="20"/>
                <w:lang w:val="en-NZ" w:eastAsia="en-NZ"/>
              </w:rPr>
            </w:pPr>
          </w:p>
        </w:tc>
        <w:tc>
          <w:tcPr>
            <w:tcW w:w="423" w:type="pct"/>
            <w:noWrap/>
            <w:hideMark/>
          </w:tcPr>
          <w:p w14:paraId="78336F3D" w14:textId="77777777" w:rsidR="00BE104E" w:rsidRPr="008F3C5A" w:rsidRDefault="00BE104E" w:rsidP="00A93825">
            <w:pPr>
              <w:spacing w:before="0" w:after="0" w:line="240" w:lineRule="auto"/>
              <w:jc w:val="right"/>
              <w:rPr>
                <w:b/>
                <w:color w:val="000000"/>
                <w:sz w:val="20"/>
                <w:lang w:val="en-NZ" w:eastAsia="en-NZ"/>
              </w:rPr>
            </w:pPr>
            <w:r w:rsidRPr="008F3C5A">
              <w:rPr>
                <w:b/>
                <w:color w:val="000000"/>
                <w:sz w:val="20"/>
                <w:lang w:val="en-NZ" w:eastAsia="en-NZ"/>
              </w:rPr>
              <w:t>1</w:t>
            </w:r>
          </w:p>
        </w:tc>
      </w:tr>
      <w:tr w:rsidR="00BE104E" w:rsidRPr="006F4A51" w14:paraId="76FD3EE1" w14:textId="77777777" w:rsidTr="00A93825">
        <w:trPr>
          <w:trHeight w:val="300"/>
        </w:trPr>
        <w:tc>
          <w:tcPr>
            <w:tcW w:w="864" w:type="pct"/>
            <w:noWrap/>
            <w:hideMark/>
          </w:tcPr>
          <w:p w14:paraId="6673F54A" w14:textId="77777777" w:rsidR="00BE104E" w:rsidRPr="008F3C5A" w:rsidRDefault="00BE104E" w:rsidP="00A93825">
            <w:pPr>
              <w:spacing w:before="0" w:after="0" w:line="240" w:lineRule="auto"/>
              <w:rPr>
                <w:b/>
                <w:bCs/>
                <w:color w:val="000000"/>
                <w:sz w:val="20"/>
                <w:lang w:val="en-NZ" w:eastAsia="en-NZ"/>
              </w:rPr>
            </w:pPr>
            <w:r w:rsidRPr="008F3C5A">
              <w:rPr>
                <w:b/>
                <w:bCs/>
                <w:color w:val="000000"/>
                <w:sz w:val="20"/>
                <w:lang w:val="en-NZ" w:eastAsia="en-NZ"/>
              </w:rPr>
              <w:t>Total</w:t>
            </w:r>
          </w:p>
        </w:tc>
        <w:tc>
          <w:tcPr>
            <w:tcW w:w="1158" w:type="pct"/>
            <w:noWrap/>
            <w:hideMark/>
          </w:tcPr>
          <w:p w14:paraId="0995F7A5" w14:textId="77777777" w:rsidR="00BE104E" w:rsidRPr="008F3C5A" w:rsidRDefault="00BE104E" w:rsidP="00A93825">
            <w:pPr>
              <w:spacing w:before="0" w:after="0" w:line="240" w:lineRule="auto"/>
              <w:jc w:val="right"/>
              <w:rPr>
                <w:b/>
                <w:bCs/>
                <w:color w:val="000000"/>
                <w:sz w:val="20"/>
                <w:lang w:val="en-NZ" w:eastAsia="en-NZ"/>
              </w:rPr>
            </w:pPr>
            <w:r w:rsidRPr="008F3C5A">
              <w:rPr>
                <w:b/>
                <w:bCs/>
                <w:color w:val="000000"/>
                <w:sz w:val="20"/>
                <w:lang w:val="en-NZ" w:eastAsia="en-NZ"/>
              </w:rPr>
              <w:t>1</w:t>
            </w:r>
          </w:p>
        </w:tc>
        <w:tc>
          <w:tcPr>
            <w:tcW w:w="593" w:type="pct"/>
            <w:noWrap/>
            <w:hideMark/>
          </w:tcPr>
          <w:p w14:paraId="594A2DA9" w14:textId="77777777" w:rsidR="00BE104E" w:rsidRPr="008F3C5A" w:rsidRDefault="00BE104E" w:rsidP="00A93825">
            <w:pPr>
              <w:spacing w:before="0" w:after="0" w:line="240" w:lineRule="auto"/>
              <w:jc w:val="right"/>
              <w:rPr>
                <w:b/>
                <w:bCs/>
                <w:color w:val="000000"/>
                <w:sz w:val="20"/>
                <w:lang w:val="en-NZ" w:eastAsia="en-NZ"/>
              </w:rPr>
            </w:pPr>
            <w:r w:rsidRPr="008F3C5A">
              <w:rPr>
                <w:b/>
                <w:bCs/>
                <w:color w:val="000000"/>
                <w:sz w:val="20"/>
                <w:lang w:val="en-NZ" w:eastAsia="en-NZ"/>
              </w:rPr>
              <w:t>19</w:t>
            </w:r>
          </w:p>
        </w:tc>
        <w:tc>
          <w:tcPr>
            <w:tcW w:w="862" w:type="pct"/>
            <w:noWrap/>
            <w:hideMark/>
          </w:tcPr>
          <w:p w14:paraId="0DC6997E" w14:textId="77777777" w:rsidR="00BE104E" w:rsidRPr="008F3C5A" w:rsidRDefault="00BE104E" w:rsidP="00A93825">
            <w:pPr>
              <w:spacing w:before="0" w:after="0" w:line="240" w:lineRule="auto"/>
              <w:jc w:val="right"/>
              <w:rPr>
                <w:b/>
                <w:bCs/>
                <w:color w:val="000000"/>
                <w:sz w:val="20"/>
                <w:lang w:val="en-NZ" w:eastAsia="en-NZ"/>
              </w:rPr>
            </w:pPr>
            <w:r w:rsidRPr="008F3C5A">
              <w:rPr>
                <w:b/>
                <w:bCs/>
                <w:color w:val="000000"/>
                <w:sz w:val="20"/>
                <w:lang w:val="en-NZ" w:eastAsia="en-NZ"/>
              </w:rPr>
              <w:t>4</w:t>
            </w:r>
          </w:p>
        </w:tc>
        <w:tc>
          <w:tcPr>
            <w:tcW w:w="1099" w:type="pct"/>
            <w:noWrap/>
            <w:hideMark/>
          </w:tcPr>
          <w:p w14:paraId="16FB3C3C" w14:textId="77777777" w:rsidR="00BE104E" w:rsidRPr="008F3C5A" w:rsidRDefault="00BE104E" w:rsidP="00A93825">
            <w:pPr>
              <w:spacing w:before="0" w:after="0" w:line="240" w:lineRule="auto"/>
              <w:jc w:val="right"/>
              <w:rPr>
                <w:b/>
                <w:bCs/>
                <w:color w:val="000000"/>
                <w:sz w:val="20"/>
                <w:lang w:val="en-NZ" w:eastAsia="en-NZ"/>
              </w:rPr>
            </w:pPr>
            <w:r w:rsidRPr="008F3C5A">
              <w:rPr>
                <w:b/>
                <w:bCs/>
                <w:color w:val="000000"/>
                <w:sz w:val="20"/>
                <w:lang w:val="en-NZ" w:eastAsia="en-NZ"/>
              </w:rPr>
              <w:t>4</w:t>
            </w:r>
          </w:p>
        </w:tc>
        <w:tc>
          <w:tcPr>
            <w:tcW w:w="423" w:type="pct"/>
            <w:noWrap/>
            <w:hideMark/>
          </w:tcPr>
          <w:p w14:paraId="3F428BE2" w14:textId="77777777" w:rsidR="00BE104E" w:rsidRPr="008F3C5A" w:rsidRDefault="00BE104E" w:rsidP="00A93825">
            <w:pPr>
              <w:spacing w:before="0" w:after="0" w:line="240" w:lineRule="auto"/>
              <w:jc w:val="right"/>
              <w:rPr>
                <w:b/>
                <w:bCs/>
                <w:color w:val="000000"/>
                <w:sz w:val="20"/>
                <w:lang w:val="en-NZ" w:eastAsia="en-NZ"/>
              </w:rPr>
            </w:pPr>
            <w:r w:rsidRPr="008F3C5A">
              <w:rPr>
                <w:b/>
                <w:bCs/>
                <w:color w:val="000000"/>
                <w:sz w:val="20"/>
                <w:lang w:val="en-NZ" w:eastAsia="en-NZ"/>
              </w:rPr>
              <w:t>28</w:t>
            </w:r>
          </w:p>
        </w:tc>
      </w:tr>
    </w:tbl>
    <w:p w14:paraId="6C623F83" w14:textId="77777777" w:rsidR="00CE6473" w:rsidRDefault="00CE6473" w:rsidP="00BE104E">
      <w:pPr>
        <w:pStyle w:val="TableName"/>
        <w:tabs>
          <w:tab w:val="clear" w:pos="1080"/>
          <w:tab w:val="left" w:pos="142"/>
        </w:tabs>
        <w:ind w:left="0" w:firstLine="0"/>
        <w:rPr>
          <w:b w:val="0"/>
        </w:rPr>
      </w:pPr>
    </w:p>
    <w:p w14:paraId="102B7583" w14:textId="77777777" w:rsidR="00CE6473" w:rsidRDefault="00CE6473">
      <w:pPr>
        <w:spacing w:before="0" w:after="0" w:line="240" w:lineRule="auto"/>
        <w:rPr>
          <w:bCs/>
          <w:sz w:val="22"/>
          <w:szCs w:val="21"/>
        </w:rPr>
      </w:pPr>
      <w:r>
        <w:rPr>
          <w:b/>
        </w:rPr>
        <w:br w:type="page"/>
      </w:r>
    </w:p>
    <w:p w14:paraId="6E47CBDF" w14:textId="77777777" w:rsidR="00BE104E" w:rsidRDefault="00BE104E" w:rsidP="00BE104E">
      <w:pPr>
        <w:pStyle w:val="TableName"/>
        <w:tabs>
          <w:tab w:val="clear" w:pos="1080"/>
          <w:tab w:val="left" w:pos="142"/>
        </w:tabs>
        <w:ind w:left="0" w:firstLine="0"/>
        <w:rPr>
          <w:b w:val="0"/>
        </w:rPr>
      </w:pPr>
    </w:p>
    <w:p w14:paraId="53652D6F" w14:textId="285BD817" w:rsidR="00BE104E" w:rsidRPr="006F4A51" w:rsidRDefault="00BE104E" w:rsidP="00BE104E">
      <w:pPr>
        <w:pStyle w:val="TableName"/>
      </w:pPr>
      <w:bookmarkStart w:id="65" w:name="_Toc1729548"/>
      <w:r w:rsidRPr="006F4A51">
        <w:t>Table</w:t>
      </w:r>
      <w:r w:rsidR="00A35D46">
        <w:t xml:space="preserve"> 10</w:t>
      </w:r>
      <w:r w:rsidR="00A35D46">
        <w:tab/>
      </w:r>
      <w:r w:rsidRPr="006F4A51">
        <w:t>2018 participants in Strathmore Business School WIL training by country</w:t>
      </w:r>
      <w:bookmarkEnd w:id="65"/>
    </w:p>
    <w:tbl>
      <w:tblPr>
        <w:tblStyle w:val="TableGrid"/>
        <w:tblW w:w="5000" w:type="pct"/>
        <w:tblLook w:val="04A0" w:firstRow="1" w:lastRow="0" w:firstColumn="1" w:lastColumn="0" w:noHBand="0" w:noVBand="1"/>
      </w:tblPr>
      <w:tblGrid>
        <w:gridCol w:w="1475"/>
        <w:gridCol w:w="3297"/>
        <w:gridCol w:w="1093"/>
        <w:gridCol w:w="697"/>
        <w:gridCol w:w="2428"/>
        <w:gridCol w:w="1476"/>
      </w:tblGrid>
      <w:tr w:rsidR="00BE104E" w:rsidRPr="006F4A51" w14:paraId="72D0D7A8" w14:textId="77777777" w:rsidTr="00A93825">
        <w:trPr>
          <w:cnfStyle w:val="100000000000" w:firstRow="1" w:lastRow="0" w:firstColumn="0" w:lastColumn="0" w:oddVBand="0" w:evenVBand="0" w:oddHBand="0" w:evenHBand="0" w:firstRowFirstColumn="0" w:firstRowLastColumn="0" w:lastRowFirstColumn="0" w:lastRowLastColumn="0"/>
          <w:trHeight w:val="300"/>
        </w:trPr>
        <w:tc>
          <w:tcPr>
            <w:tcW w:w="705" w:type="pct"/>
            <w:noWrap/>
            <w:hideMark/>
          </w:tcPr>
          <w:p w14:paraId="6B8CEC3D" w14:textId="77777777" w:rsidR="00BE104E" w:rsidRPr="006F4A51" w:rsidRDefault="00BE104E" w:rsidP="00A93825">
            <w:pPr>
              <w:spacing w:before="0" w:after="0" w:line="240" w:lineRule="auto"/>
              <w:rPr>
                <w:b/>
                <w:bCs/>
                <w:color w:val="000000"/>
                <w:sz w:val="20"/>
                <w:lang w:val="en-NZ" w:eastAsia="en-NZ"/>
              </w:rPr>
            </w:pPr>
            <w:r w:rsidRPr="006F4A51">
              <w:rPr>
                <w:b/>
                <w:bCs/>
                <w:color w:val="000000"/>
                <w:sz w:val="20"/>
                <w:lang w:val="en-NZ" w:eastAsia="en-NZ"/>
              </w:rPr>
              <w:t xml:space="preserve">Country </w:t>
            </w:r>
          </w:p>
        </w:tc>
        <w:tc>
          <w:tcPr>
            <w:tcW w:w="1575" w:type="pct"/>
            <w:noWrap/>
            <w:hideMark/>
          </w:tcPr>
          <w:p w14:paraId="184FD61A" w14:textId="77777777" w:rsidR="00BE104E" w:rsidRPr="006F4A51" w:rsidRDefault="00BE104E" w:rsidP="00A93825">
            <w:pPr>
              <w:spacing w:before="0" w:after="0" w:line="240" w:lineRule="auto"/>
              <w:rPr>
                <w:b/>
                <w:bCs/>
                <w:color w:val="000000"/>
                <w:sz w:val="20"/>
                <w:lang w:val="en-NZ" w:eastAsia="en-NZ"/>
              </w:rPr>
            </w:pPr>
            <w:r w:rsidRPr="006F4A51">
              <w:rPr>
                <w:b/>
                <w:bCs/>
                <w:color w:val="000000"/>
                <w:sz w:val="20"/>
                <w:lang w:val="en-NZ" w:eastAsia="en-NZ"/>
              </w:rPr>
              <w:t>Australia Awards Fellowships</w:t>
            </w:r>
          </w:p>
        </w:tc>
        <w:tc>
          <w:tcPr>
            <w:tcW w:w="522" w:type="pct"/>
            <w:noWrap/>
            <w:hideMark/>
          </w:tcPr>
          <w:p w14:paraId="49D55353" w14:textId="77777777" w:rsidR="00BE104E" w:rsidRPr="006F4A51" w:rsidRDefault="00BE104E" w:rsidP="00A93825">
            <w:pPr>
              <w:spacing w:before="0" w:after="0" w:line="240" w:lineRule="auto"/>
              <w:rPr>
                <w:b/>
                <w:bCs/>
                <w:color w:val="000000"/>
                <w:sz w:val="20"/>
                <w:lang w:val="en-NZ" w:eastAsia="en-NZ"/>
              </w:rPr>
            </w:pPr>
            <w:r w:rsidRPr="006F4A51">
              <w:rPr>
                <w:b/>
                <w:bCs/>
                <w:color w:val="000000"/>
                <w:sz w:val="20"/>
                <w:lang w:val="en-NZ" w:eastAsia="en-NZ"/>
              </w:rPr>
              <w:t>Masters</w:t>
            </w:r>
          </w:p>
        </w:tc>
        <w:tc>
          <w:tcPr>
            <w:tcW w:w="333" w:type="pct"/>
            <w:noWrap/>
            <w:hideMark/>
          </w:tcPr>
          <w:p w14:paraId="17EA739E" w14:textId="77777777" w:rsidR="00BE104E" w:rsidRPr="006F4A51" w:rsidRDefault="00BE104E" w:rsidP="00A93825">
            <w:pPr>
              <w:spacing w:before="0" w:after="0" w:line="240" w:lineRule="auto"/>
              <w:rPr>
                <w:b/>
                <w:bCs/>
                <w:color w:val="000000"/>
                <w:sz w:val="20"/>
                <w:lang w:val="en-NZ" w:eastAsia="en-NZ"/>
              </w:rPr>
            </w:pPr>
            <w:r w:rsidRPr="006F4A51">
              <w:rPr>
                <w:b/>
                <w:bCs/>
                <w:color w:val="000000"/>
                <w:sz w:val="20"/>
                <w:lang w:val="en-NZ" w:eastAsia="en-NZ"/>
              </w:rPr>
              <w:t>PHD</w:t>
            </w:r>
          </w:p>
        </w:tc>
        <w:tc>
          <w:tcPr>
            <w:tcW w:w="1160" w:type="pct"/>
            <w:noWrap/>
            <w:hideMark/>
          </w:tcPr>
          <w:p w14:paraId="18622D6C" w14:textId="77777777" w:rsidR="00BE104E" w:rsidRPr="006F4A51" w:rsidRDefault="00BE104E" w:rsidP="00A93825">
            <w:pPr>
              <w:spacing w:before="0" w:after="0" w:line="240" w:lineRule="auto"/>
              <w:rPr>
                <w:b/>
                <w:bCs/>
                <w:color w:val="000000"/>
                <w:sz w:val="20"/>
                <w:lang w:val="en-NZ" w:eastAsia="en-NZ"/>
              </w:rPr>
            </w:pPr>
            <w:r w:rsidRPr="006F4A51">
              <w:rPr>
                <w:b/>
                <w:bCs/>
                <w:color w:val="000000"/>
                <w:sz w:val="20"/>
                <w:lang w:val="en-NZ" w:eastAsia="en-NZ"/>
              </w:rPr>
              <w:t>Short Course Awards</w:t>
            </w:r>
          </w:p>
        </w:tc>
        <w:tc>
          <w:tcPr>
            <w:tcW w:w="705" w:type="pct"/>
            <w:noWrap/>
            <w:hideMark/>
          </w:tcPr>
          <w:p w14:paraId="0975447B" w14:textId="77777777" w:rsidR="00BE104E" w:rsidRPr="006F4A51" w:rsidRDefault="00BE104E" w:rsidP="00A93825">
            <w:pPr>
              <w:spacing w:before="0" w:after="0" w:line="240" w:lineRule="auto"/>
              <w:jc w:val="right"/>
              <w:rPr>
                <w:b/>
                <w:bCs/>
                <w:color w:val="000000"/>
                <w:sz w:val="20"/>
                <w:lang w:val="en-NZ" w:eastAsia="en-NZ"/>
              </w:rPr>
            </w:pPr>
            <w:r w:rsidRPr="006F4A51">
              <w:rPr>
                <w:b/>
                <w:bCs/>
                <w:color w:val="000000"/>
                <w:sz w:val="20"/>
                <w:lang w:val="en-NZ" w:eastAsia="en-NZ"/>
              </w:rPr>
              <w:t>Total</w:t>
            </w:r>
          </w:p>
        </w:tc>
      </w:tr>
      <w:tr w:rsidR="00BE104E" w:rsidRPr="006F4A51" w14:paraId="38F7B7CE" w14:textId="77777777" w:rsidTr="00A93825">
        <w:trPr>
          <w:trHeight w:val="300"/>
        </w:trPr>
        <w:tc>
          <w:tcPr>
            <w:tcW w:w="705" w:type="pct"/>
            <w:noWrap/>
            <w:hideMark/>
          </w:tcPr>
          <w:p w14:paraId="50EE31FB" w14:textId="77777777" w:rsidR="00BE104E" w:rsidRPr="006F4A51" w:rsidRDefault="00BE104E" w:rsidP="00A93825">
            <w:pPr>
              <w:spacing w:before="0" w:after="0" w:line="240" w:lineRule="auto"/>
              <w:rPr>
                <w:color w:val="000000"/>
                <w:sz w:val="20"/>
                <w:lang w:val="en-NZ" w:eastAsia="en-NZ"/>
              </w:rPr>
            </w:pPr>
            <w:r w:rsidRPr="006F4A51">
              <w:rPr>
                <w:color w:val="000000"/>
                <w:sz w:val="20"/>
                <w:lang w:val="en-NZ" w:eastAsia="en-NZ"/>
              </w:rPr>
              <w:t>Ethiopia</w:t>
            </w:r>
          </w:p>
        </w:tc>
        <w:tc>
          <w:tcPr>
            <w:tcW w:w="1575" w:type="pct"/>
            <w:noWrap/>
            <w:hideMark/>
          </w:tcPr>
          <w:p w14:paraId="5D003E07" w14:textId="77777777" w:rsidR="00BE104E" w:rsidRPr="006F4A51" w:rsidRDefault="00BE104E" w:rsidP="00A93825">
            <w:pPr>
              <w:spacing w:before="0" w:after="0" w:line="240" w:lineRule="auto"/>
              <w:rPr>
                <w:color w:val="000000"/>
                <w:sz w:val="20"/>
                <w:lang w:val="en-NZ" w:eastAsia="en-NZ"/>
              </w:rPr>
            </w:pPr>
          </w:p>
        </w:tc>
        <w:tc>
          <w:tcPr>
            <w:tcW w:w="522" w:type="pct"/>
            <w:noWrap/>
            <w:hideMark/>
          </w:tcPr>
          <w:p w14:paraId="6D587632"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1</w:t>
            </w:r>
          </w:p>
        </w:tc>
        <w:tc>
          <w:tcPr>
            <w:tcW w:w="333" w:type="pct"/>
            <w:noWrap/>
            <w:hideMark/>
          </w:tcPr>
          <w:p w14:paraId="75BB4C54" w14:textId="77777777" w:rsidR="00BE104E" w:rsidRPr="006F4A51" w:rsidRDefault="00BE104E" w:rsidP="00A93825">
            <w:pPr>
              <w:spacing w:before="0" w:after="0" w:line="240" w:lineRule="auto"/>
              <w:jc w:val="right"/>
              <w:rPr>
                <w:color w:val="000000"/>
                <w:sz w:val="20"/>
                <w:lang w:val="en-NZ" w:eastAsia="en-NZ"/>
              </w:rPr>
            </w:pPr>
          </w:p>
        </w:tc>
        <w:tc>
          <w:tcPr>
            <w:tcW w:w="1160" w:type="pct"/>
            <w:noWrap/>
            <w:hideMark/>
          </w:tcPr>
          <w:p w14:paraId="2D6C2F93"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2</w:t>
            </w:r>
          </w:p>
        </w:tc>
        <w:tc>
          <w:tcPr>
            <w:tcW w:w="705" w:type="pct"/>
            <w:noWrap/>
            <w:hideMark/>
          </w:tcPr>
          <w:p w14:paraId="2A69D406" w14:textId="77777777" w:rsidR="00BE104E" w:rsidRPr="006F4A51" w:rsidRDefault="00BE104E" w:rsidP="00A93825">
            <w:pPr>
              <w:spacing w:before="0" w:after="0" w:line="240" w:lineRule="auto"/>
              <w:jc w:val="right"/>
              <w:rPr>
                <w:b/>
                <w:color w:val="000000"/>
                <w:sz w:val="20"/>
                <w:lang w:val="en-NZ" w:eastAsia="en-NZ"/>
              </w:rPr>
            </w:pPr>
            <w:r w:rsidRPr="006F4A51">
              <w:rPr>
                <w:b/>
                <w:color w:val="000000"/>
                <w:sz w:val="20"/>
                <w:lang w:val="en-NZ" w:eastAsia="en-NZ"/>
              </w:rPr>
              <w:t>3</w:t>
            </w:r>
          </w:p>
        </w:tc>
      </w:tr>
      <w:tr w:rsidR="00BE104E" w:rsidRPr="006F4A51" w14:paraId="0045B281" w14:textId="77777777" w:rsidTr="00A93825">
        <w:trPr>
          <w:trHeight w:val="300"/>
        </w:trPr>
        <w:tc>
          <w:tcPr>
            <w:tcW w:w="705" w:type="pct"/>
            <w:noWrap/>
            <w:hideMark/>
          </w:tcPr>
          <w:p w14:paraId="12533A92" w14:textId="77777777" w:rsidR="00BE104E" w:rsidRPr="006F4A51" w:rsidRDefault="00BE104E" w:rsidP="00A93825">
            <w:pPr>
              <w:spacing w:before="0" w:after="0" w:line="240" w:lineRule="auto"/>
              <w:rPr>
                <w:color w:val="000000"/>
                <w:sz w:val="20"/>
                <w:lang w:val="en-NZ" w:eastAsia="en-NZ"/>
              </w:rPr>
            </w:pPr>
            <w:r w:rsidRPr="006F4A51">
              <w:rPr>
                <w:color w:val="000000"/>
                <w:sz w:val="20"/>
                <w:lang w:val="en-NZ" w:eastAsia="en-NZ"/>
              </w:rPr>
              <w:t>Kenya</w:t>
            </w:r>
          </w:p>
        </w:tc>
        <w:tc>
          <w:tcPr>
            <w:tcW w:w="1575" w:type="pct"/>
            <w:noWrap/>
            <w:hideMark/>
          </w:tcPr>
          <w:p w14:paraId="1DFAB9A0"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2</w:t>
            </w:r>
          </w:p>
        </w:tc>
        <w:tc>
          <w:tcPr>
            <w:tcW w:w="522" w:type="pct"/>
            <w:noWrap/>
            <w:hideMark/>
          </w:tcPr>
          <w:p w14:paraId="36AFE6A6"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3</w:t>
            </w:r>
          </w:p>
        </w:tc>
        <w:tc>
          <w:tcPr>
            <w:tcW w:w="333" w:type="pct"/>
            <w:noWrap/>
            <w:hideMark/>
          </w:tcPr>
          <w:p w14:paraId="153038A3"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1</w:t>
            </w:r>
          </w:p>
        </w:tc>
        <w:tc>
          <w:tcPr>
            <w:tcW w:w="1160" w:type="pct"/>
            <w:noWrap/>
            <w:hideMark/>
          </w:tcPr>
          <w:p w14:paraId="75F97FE1"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5</w:t>
            </w:r>
          </w:p>
        </w:tc>
        <w:tc>
          <w:tcPr>
            <w:tcW w:w="705" w:type="pct"/>
            <w:noWrap/>
            <w:hideMark/>
          </w:tcPr>
          <w:p w14:paraId="7FABE38E" w14:textId="77777777" w:rsidR="00BE104E" w:rsidRPr="006F4A51" w:rsidRDefault="00BE104E" w:rsidP="00A93825">
            <w:pPr>
              <w:spacing w:before="0" w:after="0" w:line="240" w:lineRule="auto"/>
              <w:jc w:val="right"/>
              <w:rPr>
                <w:b/>
                <w:color w:val="000000"/>
                <w:sz w:val="20"/>
                <w:lang w:val="en-NZ" w:eastAsia="en-NZ"/>
              </w:rPr>
            </w:pPr>
            <w:r w:rsidRPr="006F4A51">
              <w:rPr>
                <w:b/>
                <w:color w:val="000000"/>
                <w:sz w:val="20"/>
                <w:lang w:val="en-NZ" w:eastAsia="en-NZ"/>
              </w:rPr>
              <w:t>11</w:t>
            </w:r>
          </w:p>
        </w:tc>
      </w:tr>
      <w:tr w:rsidR="00BE104E" w:rsidRPr="006F4A51" w14:paraId="28ED4DA4" w14:textId="77777777" w:rsidTr="00A93825">
        <w:trPr>
          <w:trHeight w:val="300"/>
        </w:trPr>
        <w:tc>
          <w:tcPr>
            <w:tcW w:w="705" w:type="pct"/>
            <w:noWrap/>
            <w:hideMark/>
          </w:tcPr>
          <w:p w14:paraId="0CDDB258" w14:textId="77777777" w:rsidR="00BE104E" w:rsidRPr="006F4A51" w:rsidRDefault="00BE104E" w:rsidP="00A93825">
            <w:pPr>
              <w:spacing w:before="0" w:after="0" w:line="240" w:lineRule="auto"/>
              <w:rPr>
                <w:color w:val="000000"/>
                <w:sz w:val="20"/>
                <w:lang w:val="en-NZ" w:eastAsia="en-NZ"/>
              </w:rPr>
            </w:pPr>
            <w:r w:rsidRPr="006F4A51">
              <w:rPr>
                <w:color w:val="000000"/>
                <w:sz w:val="20"/>
                <w:lang w:val="en-NZ" w:eastAsia="en-NZ"/>
              </w:rPr>
              <w:t>Niger</w:t>
            </w:r>
          </w:p>
        </w:tc>
        <w:tc>
          <w:tcPr>
            <w:tcW w:w="1575" w:type="pct"/>
            <w:noWrap/>
            <w:hideMark/>
          </w:tcPr>
          <w:p w14:paraId="300F8548" w14:textId="77777777" w:rsidR="00BE104E" w:rsidRPr="006F4A51" w:rsidRDefault="00BE104E" w:rsidP="00A93825">
            <w:pPr>
              <w:spacing w:before="0" w:after="0" w:line="240" w:lineRule="auto"/>
              <w:rPr>
                <w:color w:val="000000"/>
                <w:sz w:val="20"/>
                <w:lang w:val="en-NZ" w:eastAsia="en-NZ"/>
              </w:rPr>
            </w:pPr>
          </w:p>
        </w:tc>
        <w:tc>
          <w:tcPr>
            <w:tcW w:w="522" w:type="pct"/>
            <w:noWrap/>
            <w:hideMark/>
          </w:tcPr>
          <w:p w14:paraId="5E78DC8F" w14:textId="77777777" w:rsidR="00BE104E" w:rsidRPr="006F4A51" w:rsidRDefault="00BE104E" w:rsidP="00A93825">
            <w:pPr>
              <w:spacing w:before="0" w:after="0" w:line="240" w:lineRule="auto"/>
              <w:rPr>
                <w:sz w:val="20"/>
                <w:lang w:val="en-NZ" w:eastAsia="en-NZ"/>
              </w:rPr>
            </w:pPr>
          </w:p>
        </w:tc>
        <w:tc>
          <w:tcPr>
            <w:tcW w:w="333" w:type="pct"/>
            <w:noWrap/>
            <w:hideMark/>
          </w:tcPr>
          <w:p w14:paraId="5DB23A7E" w14:textId="77777777" w:rsidR="00BE104E" w:rsidRPr="006F4A51" w:rsidRDefault="00BE104E" w:rsidP="00A93825">
            <w:pPr>
              <w:spacing w:before="0" w:after="0" w:line="240" w:lineRule="auto"/>
              <w:rPr>
                <w:sz w:val="20"/>
                <w:lang w:val="en-NZ" w:eastAsia="en-NZ"/>
              </w:rPr>
            </w:pPr>
          </w:p>
        </w:tc>
        <w:tc>
          <w:tcPr>
            <w:tcW w:w="1160" w:type="pct"/>
            <w:noWrap/>
            <w:hideMark/>
          </w:tcPr>
          <w:p w14:paraId="197AE285"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1</w:t>
            </w:r>
          </w:p>
        </w:tc>
        <w:tc>
          <w:tcPr>
            <w:tcW w:w="705" w:type="pct"/>
            <w:noWrap/>
            <w:hideMark/>
          </w:tcPr>
          <w:p w14:paraId="1A50CDA1" w14:textId="77777777" w:rsidR="00BE104E" w:rsidRPr="006F4A51" w:rsidRDefault="00BE104E" w:rsidP="00A93825">
            <w:pPr>
              <w:spacing w:before="0" w:after="0" w:line="240" w:lineRule="auto"/>
              <w:jc w:val="right"/>
              <w:rPr>
                <w:b/>
                <w:color w:val="000000"/>
                <w:sz w:val="20"/>
                <w:lang w:val="en-NZ" w:eastAsia="en-NZ"/>
              </w:rPr>
            </w:pPr>
            <w:r w:rsidRPr="006F4A51">
              <w:rPr>
                <w:b/>
                <w:color w:val="000000"/>
                <w:sz w:val="20"/>
                <w:lang w:val="en-NZ" w:eastAsia="en-NZ"/>
              </w:rPr>
              <w:t>1</w:t>
            </w:r>
          </w:p>
        </w:tc>
      </w:tr>
      <w:tr w:rsidR="00BE104E" w:rsidRPr="006F4A51" w14:paraId="1E34E1FB" w14:textId="77777777" w:rsidTr="00A93825">
        <w:trPr>
          <w:trHeight w:val="300"/>
        </w:trPr>
        <w:tc>
          <w:tcPr>
            <w:tcW w:w="705" w:type="pct"/>
            <w:noWrap/>
            <w:hideMark/>
          </w:tcPr>
          <w:p w14:paraId="32C8503D" w14:textId="77777777" w:rsidR="00BE104E" w:rsidRPr="006F4A51" w:rsidRDefault="00BE104E" w:rsidP="00A93825">
            <w:pPr>
              <w:spacing w:before="0" w:after="0" w:line="240" w:lineRule="auto"/>
              <w:rPr>
                <w:color w:val="000000"/>
                <w:sz w:val="20"/>
                <w:lang w:val="en-NZ" w:eastAsia="en-NZ"/>
              </w:rPr>
            </w:pPr>
            <w:r w:rsidRPr="006F4A51">
              <w:rPr>
                <w:color w:val="000000"/>
                <w:sz w:val="20"/>
                <w:lang w:val="en-NZ" w:eastAsia="en-NZ"/>
              </w:rPr>
              <w:t>Nigeria</w:t>
            </w:r>
          </w:p>
        </w:tc>
        <w:tc>
          <w:tcPr>
            <w:tcW w:w="1575" w:type="pct"/>
            <w:noWrap/>
            <w:hideMark/>
          </w:tcPr>
          <w:p w14:paraId="49BB0ED3" w14:textId="77777777" w:rsidR="00BE104E" w:rsidRPr="006F4A51" w:rsidRDefault="00BE104E" w:rsidP="00A93825">
            <w:pPr>
              <w:spacing w:before="0" w:after="0" w:line="240" w:lineRule="auto"/>
              <w:rPr>
                <w:color w:val="000000"/>
                <w:sz w:val="20"/>
                <w:lang w:val="en-NZ" w:eastAsia="en-NZ"/>
              </w:rPr>
            </w:pPr>
          </w:p>
        </w:tc>
        <w:tc>
          <w:tcPr>
            <w:tcW w:w="522" w:type="pct"/>
            <w:noWrap/>
            <w:hideMark/>
          </w:tcPr>
          <w:p w14:paraId="28348640"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2</w:t>
            </w:r>
          </w:p>
        </w:tc>
        <w:tc>
          <w:tcPr>
            <w:tcW w:w="333" w:type="pct"/>
            <w:noWrap/>
            <w:hideMark/>
          </w:tcPr>
          <w:p w14:paraId="020F17AD" w14:textId="77777777" w:rsidR="00BE104E" w:rsidRPr="006F4A51" w:rsidRDefault="00BE104E" w:rsidP="00A93825">
            <w:pPr>
              <w:spacing w:before="0" w:after="0" w:line="240" w:lineRule="auto"/>
              <w:jc w:val="right"/>
              <w:rPr>
                <w:color w:val="000000"/>
                <w:sz w:val="20"/>
                <w:lang w:val="en-NZ" w:eastAsia="en-NZ"/>
              </w:rPr>
            </w:pPr>
          </w:p>
        </w:tc>
        <w:tc>
          <w:tcPr>
            <w:tcW w:w="1160" w:type="pct"/>
            <w:noWrap/>
            <w:hideMark/>
          </w:tcPr>
          <w:p w14:paraId="180BF3D5" w14:textId="77777777" w:rsidR="00BE104E" w:rsidRPr="006F4A51" w:rsidRDefault="00BE104E" w:rsidP="00A93825">
            <w:pPr>
              <w:spacing w:before="0" w:after="0" w:line="240" w:lineRule="auto"/>
              <w:rPr>
                <w:sz w:val="20"/>
                <w:lang w:val="en-NZ" w:eastAsia="en-NZ"/>
              </w:rPr>
            </w:pPr>
          </w:p>
        </w:tc>
        <w:tc>
          <w:tcPr>
            <w:tcW w:w="705" w:type="pct"/>
            <w:noWrap/>
            <w:hideMark/>
          </w:tcPr>
          <w:p w14:paraId="1D95FDC3" w14:textId="77777777" w:rsidR="00BE104E" w:rsidRPr="006F4A51" w:rsidRDefault="00BE104E" w:rsidP="00A93825">
            <w:pPr>
              <w:spacing w:before="0" w:after="0" w:line="240" w:lineRule="auto"/>
              <w:jc w:val="right"/>
              <w:rPr>
                <w:b/>
                <w:color w:val="000000"/>
                <w:sz w:val="20"/>
                <w:lang w:val="en-NZ" w:eastAsia="en-NZ"/>
              </w:rPr>
            </w:pPr>
            <w:r w:rsidRPr="006F4A51">
              <w:rPr>
                <w:b/>
                <w:color w:val="000000"/>
                <w:sz w:val="20"/>
                <w:lang w:val="en-NZ" w:eastAsia="en-NZ"/>
              </w:rPr>
              <w:t>2</w:t>
            </w:r>
          </w:p>
        </w:tc>
      </w:tr>
      <w:tr w:rsidR="00BE104E" w:rsidRPr="006F4A51" w14:paraId="3AC15693" w14:textId="77777777" w:rsidTr="00A93825">
        <w:trPr>
          <w:trHeight w:val="300"/>
        </w:trPr>
        <w:tc>
          <w:tcPr>
            <w:tcW w:w="705" w:type="pct"/>
            <w:noWrap/>
            <w:hideMark/>
          </w:tcPr>
          <w:p w14:paraId="6DCE203D" w14:textId="77777777" w:rsidR="00BE104E" w:rsidRPr="006F4A51" w:rsidRDefault="00BE104E" w:rsidP="00A93825">
            <w:pPr>
              <w:spacing w:before="0" w:after="0" w:line="240" w:lineRule="auto"/>
              <w:rPr>
                <w:color w:val="000000"/>
                <w:sz w:val="20"/>
                <w:lang w:val="en-NZ" w:eastAsia="en-NZ"/>
              </w:rPr>
            </w:pPr>
            <w:r w:rsidRPr="006F4A51">
              <w:rPr>
                <w:color w:val="000000"/>
                <w:sz w:val="20"/>
                <w:lang w:val="en-NZ" w:eastAsia="en-NZ"/>
              </w:rPr>
              <w:t>Rwanda</w:t>
            </w:r>
          </w:p>
        </w:tc>
        <w:tc>
          <w:tcPr>
            <w:tcW w:w="1575" w:type="pct"/>
            <w:noWrap/>
            <w:hideMark/>
          </w:tcPr>
          <w:p w14:paraId="17B7BDFF" w14:textId="77777777" w:rsidR="00BE104E" w:rsidRPr="006F4A51" w:rsidRDefault="00BE104E" w:rsidP="00A93825">
            <w:pPr>
              <w:spacing w:before="0" w:after="0" w:line="240" w:lineRule="auto"/>
              <w:rPr>
                <w:color w:val="000000"/>
                <w:sz w:val="20"/>
                <w:lang w:val="en-NZ" w:eastAsia="en-NZ"/>
              </w:rPr>
            </w:pPr>
          </w:p>
        </w:tc>
        <w:tc>
          <w:tcPr>
            <w:tcW w:w="522" w:type="pct"/>
            <w:noWrap/>
            <w:hideMark/>
          </w:tcPr>
          <w:p w14:paraId="7F00A099"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2</w:t>
            </w:r>
          </w:p>
        </w:tc>
        <w:tc>
          <w:tcPr>
            <w:tcW w:w="333" w:type="pct"/>
            <w:noWrap/>
            <w:hideMark/>
          </w:tcPr>
          <w:p w14:paraId="561DF9ED" w14:textId="77777777" w:rsidR="00BE104E" w:rsidRPr="006F4A51" w:rsidRDefault="00BE104E" w:rsidP="00A93825">
            <w:pPr>
              <w:spacing w:before="0" w:after="0" w:line="240" w:lineRule="auto"/>
              <w:jc w:val="right"/>
              <w:rPr>
                <w:color w:val="000000"/>
                <w:sz w:val="20"/>
                <w:lang w:val="en-NZ" w:eastAsia="en-NZ"/>
              </w:rPr>
            </w:pPr>
          </w:p>
        </w:tc>
        <w:tc>
          <w:tcPr>
            <w:tcW w:w="1160" w:type="pct"/>
            <w:noWrap/>
            <w:hideMark/>
          </w:tcPr>
          <w:p w14:paraId="5709EC1D" w14:textId="77777777" w:rsidR="00BE104E" w:rsidRPr="006F4A51" w:rsidRDefault="00BE104E" w:rsidP="00A93825">
            <w:pPr>
              <w:spacing w:before="0" w:after="0" w:line="240" w:lineRule="auto"/>
              <w:rPr>
                <w:sz w:val="20"/>
                <w:lang w:val="en-NZ" w:eastAsia="en-NZ"/>
              </w:rPr>
            </w:pPr>
          </w:p>
        </w:tc>
        <w:tc>
          <w:tcPr>
            <w:tcW w:w="705" w:type="pct"/>
            <w:noWrap/>
            <w:hideMark/>
          </w:tcPr>
          <w:p w14:paraId="32B3E768" w14:textId="77777777" w:rsidR="00BE104E" w:rsidRPr="006F4A51" w:rsidRDefault="00BE104E" w:rsidP="00A93825">
            <w:pPr>
              <w:spacing w:before="0" w:after="0" w:line="240" w:lineRule="auto"/>
              <w:jc w:val="right"/>
              <w:rPr>
                <w:b/>
                <w:color w:val="000000"/>
                <w:sz w:val="20"/>
                <w:lang w:val="en-NZ" w:eastAsia="en-NZ"/>
              </w:rPr>
            </w:pPr>
            <w:r w:rsidRPr="006F4A51">
              <w:rPr>
                <w:b/>
                <w:color w:val="000000"/>
                <w:sz w:val="20"/>
                <w:lang w:val="en-NZ" w:eastAsia="en-NZ"/>
              </w:rPr>
              <w:t>2</w:t>
            </w:r>
          </w:p>
        </w:tc>
      </w:tr>
      <w:tr w:rsidR="00BE104E" w:rsidRPr="006F4A51" w14:paraId="363B9D7E" w14:textId="77777777" w:rsidTr="00A93825">
        <w:trPr>
          <w:trHeight w:val="300"/>
        </w:trPr>
        <w:tc>
          <w:tcPr>
            <w:tcW w:w="705" w:type="pct"/>
            <w:noWrap/>
            <w:hideMark/>
          </w:tcPr>
          <w:p w14:paraId="26231E6B" w14:textId="77777777" w:rsidR="00BE104E" w:rsidRPr="006F4A51" w:rsidRDefault="00BE104E" w:rsidP="00A93825">
            <w:pPr>
              <w:spacing w:before="0" w:after="0" w:line="240" w:lineRule="auto"/>
              <w:rPr>
                <w:color w:val="000000"/>
                <w:sz w:val="20"/>
                <w:lang w:val="en-NZ" w:eastAsia="en-NZ"/>
              </w:rPr>
            </w:pPr>
            <w:r w:rsidRPr="006F4A51">
              <w:rPr>
                <w:color w:val="000000"/>
                <w:sz w:val="20"/>
                <w:lang w:val="en-NZ" w:eastAsia="en-NZ"/>
              </w:rPr>
              <w:t>Uganda</w:t>
            </w:r>
          </w:p>
        </w:tc>
        <w:tc>
          <w:tcPr>
            <w:tcW w:w="1575" w:type="pct"/>
            <w:noWrap/>
            <w:hideMark/>
          </w:tcPr>
          <w:p w14:paraId="2C52C09F" w14:textId="77777777" w:rsidR="00BE104E" w:rsidRPr="006F4A51" w:rsidRDefault="00BE104E" w:rsidP="00A93825">
            <w:pPr>
              <w:spacing w:before="0" w:after="0" w:line="240" w:lineRule="auto"/>
              <w:rPr>
                <w:color w:val="000000"/>
                <w:sz w:val="20"/>
                <w:lang w:val="en-NZ" w:eastAsia="en-NZ"/>
              </w:rPr>
            </w:pPr>
          </w:p>
        </w:tc>
        <w:tc>
          <w:tcPr>
            <w:tcW w:w="522" w:type="pct"/>
            <w:noWrap/>
            <w:hideMark/>
          </w:tcPr>
          <w:p w14:paraId="7DB44DC1"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2</w:t>
            </w:r>
          </w:p>
        </w:tc>
        <w:tc>
          <w:tcPr>
            <w:tcW w:w="333" w:type="pct"/>
            <w:noWrap/>
            <w:hideMark/>
          </w:tcPr>
          <w:p w14:paraId="0917D596" w14:textId="77777777" w:rsidR="00BE104E" w:rsidRPr="006F4A51" w:rsidRDefault="00BE104E" w:rsidP="00A93825">
            <w:pPr>
              <w:spacing w:before="0" w:after="0" w:line="240" w:lineRule="auto"/>
              <w:jc w:val="right"/>
              <w:rPr>
                <w:color w:val="000000"/>
                <w:sz w:val="20"/>
                <w:lang w:val="en-NZ" w:eastAsia="en-NZ"/>
              </w:rPr>
            </w:pPr>
          </w:p>
        </w:tc>
        <w:tc>
          <w:tcPr>
            <w:tcW w:w="1160" w:type="pct"/>
            <w:noWrap/>
            <w:hideMark/>
          </w:tcPr>
          <w:p w14:paraId="72698154"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3</w:t>
            </w:r>
          </w:p>
        </w:tc>
        <w:tc>
          <w:tcPr>
            <w:tcW w:w="705" w:type="pct"/>
            <w:noWrap/>
            <w:hideMark/>
          </w:tcPr>
          <w:p w14:paraId="5493694D" w14:textId="77777777" w:rsidR="00BE104E" w:rsidRPr="006F4A51" w:rsidRDefault="00BE104E" w:rsidP="00A93825">
            <w:pPr>
              <w:spacing w:before="0" w:after="0" w:line="240" w:lineRule="auto"/>
              <w:jc w:val="right"/>
              <w:rPr>
                <w:b/>
                <w:color w:val="000000"/>
                <w:sz w:val="20"/>
                <w:lang w:val="en-NZ" w:eastAsia="en-NZ"/>
              </w:rPr>
            </w:pPr>
            <w:r w:rsidRPr="006F4A51">
              <w:rPr>
                <w:b/>
                <w:color w:val="000000"/>
                <w:sz w:val="20"/>
                <w:lang w:val="en-NZ" w:eastAsia="en-NZ"/>
              </w:rPr>
              <w:t>5</w:t>
            </w:r>
          </w:p>
        </w:tc>
      </w:tr>
      <w:tr w:rsidR="00BE104E" w:rsidRPr="006F4A51" w14:paraId="5D3E6F0F" w14:textId="77777777" w:rsidTr="00A93825">
        <w:trPr>
          <w:trHeight w:val="300"/>
        </w:trPr>
        <w:tc>
          <w:tcPr>
            <w:tcW w:w="2280" w:type="pct"/>
            <w:gridSpan w:val="2"/>
            <w:noWrap/>
            <w:hideMark/>
          </w:tcPr>
          <w:p w14:paraId="2815C18B" w14:textId="77777777" w:rsidR="00BE104E" w:rsidRPr="006F4A51" w:rsidRDefault="00BE104E" w:rsidP="00A93825">
            <w:pPr>
              <w:spacing w:before="0" w:after="0" w:line="240" w:lineRule="auto"/>
              <w:rPr>
                <w:color w:val="000000"/>
                <w:sz w:val="20"/>
                <w:lang w:val="en-NZ" w:eastAsia="en-NZ"/>
              </w:rPr>
            </w:pPr>
            <w:r w:rsidRPr="006F4A51">
              <w:rPr>
                <w:color w:val="000000"/>
                <w:sz w:val="20"/>
                <w:lang w:val="en-NZ" w:eastAsia="en-NZ"/>
              </w:rPr>
              <w:t>Tanzania</w:t>
            </w:r>
          </w:p>
        </w:tc>
        <w:tc>
          <w:tcPr>
            <w:tcW w:w="522" w:type="pct"/>
            <w:noWrap/>
            <w:hideMark/>
          </w:tcPr>
          <w:p w14:paraId="65AEB202"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3</w:t>
            </w:r>
          </w:p>
        </w:tc>
        <w:tc>
          <w:tcPr>
            <w:tcW w:w="333" w:type="pct"/>
            <w:noWrap/>
            <w:hideMark/>
          </w:tcPr>
          <w:p w14:paraId="79EFDF9F" w14:textId="77777777" w:rsidR="00BE104E" w:rsidRPr="006F4A51" w:rsidRDefault="00BE104E" w:rsidP="00A93825">
            <w:pPr>
              <w:spacing w:before="0" w:after="0" w:line="240" w:lineRule="auto"/>
              <w:jc w:val="right"/>
              <w:rPr>
                <w:color w:val="000000"/>
                <w:sz w:val="20"/>
                <w:lang w:val="en-NZ" w:eastAsia="en-NZ"/>
              </w:rPr>
            </w:pPr>
          </w:p>
        </w:tc>
        <w:tc>
          <w:tcPr>
            <w:tcW w:w="1160" w:type="pct"/>
            <w:noWrap/>
            <w:hideMark/>
          </w:tcPr>
          <w:p w14:paraId="0262E25B" w14:textId="77777777" w:rsidR="00BE104E" w:rsidRPr="006F4A51" w:rsidRDefault="00BE104E" w:rsidP="00A93825">
            <w:pPr>
              <w:spacing w:before="0" w:after="0" w:line="240" w:lineRule="auto"/>
              <w:jc w:val="right"/>
              <w:rPr>
                <w:color w:val="000000"/>
                <w:sz w:val="20"/>
                <w:lang w:val="en-NZ" w:eastAsia="en-NZ"/>
              </w:rPr>
            </w:pPr>
            <w:r w:rsidRPr="006F4A51">
              <w:rPr>
                <w:color w:val="000000"/>
                <w:sz w:val="20"/>
                <w:lang w:val="en-NZ" w:eastAsia="en-NZ"/>
              </w:rPr>
              <w:t>1</w:t>
            </w:r>
          </w:p>
        </w:tc>
        <w:tc>
          <w:tcPr>
            <w:tcW w:w="705" w:type="pct"/>
            <w:noWrap/>
            <w:hideMark/>
          </w:tcPr>
          <w:p w14:paraId="26927FD2" w14:textId="77777777" w:rsidR="00BE104E" w:rsidRPr="006F4A51" w:rsidRDefault="00BE104E" w:rsidP="00A93825">
            <w:pPr>
              <w:spacing w:before="0" w:after="0" w:line="240" w:lineRule="auto"/>
              <w:jc w:val="right"/>
              <w:rPr>
                <w:b/>
                <w:color w:val="000000"/>
                <w:sz w:val="20"/>
                <w:lang w:val="en-NZ" w:eastAsia="en-NZ"/>
              </w:rPr>
            </w:pPr>
            <w:r w:rsidRPr="006F4A51">
              <w:rPr>
                <w:b/>
                <w:color w:val="000000"/>
                <w:sz w:val="20"/>
                <w:lang w:val="en-NZ" w:eastAsia="en-NZ"/>
              </w:rPr>
              <w:t>4</w:t>
            </w:r>
          </w:p>
        </w:tc>
      </w:tr>
      <w:tr w:rsidR="00BE104E" w:rsidRPr="006F4A51" w14:paraId="79A1B0C2" w14:textId="77777777" w:rsidTr="00A93825">
        <w:trPr>
          <w:trHeight w:val="300"/>
        </w:trPr>
        <w:tc>
          <w:tcPr>
            <w:tcW w:w="705" w:type="pct"/>
            <w:noWrap/>
            <w:hideMark/>
          </w:tcPr>
          <w:p w14:paraId="3F378624" w14:textId="77777777" w:rsidR="00BE104E" w:rsidRPr="006F4A51" w:rsidRDefault="00BE104E" w:rsidP="00A93825">
            <w:pPr>
              <w:spacing w:before="0" w:after="0" w:line="240" w:lineRule="auto"/>
              <w:rPr>
                <w:b/>
                <w:bCs/>
                <w:color w:val="000000"/>
                <w:sz w:val="20"/>
                <w:lang w:val="en-NZ" w:eastAsia="en-NZ"/>
              </w:rPr>
            </w:pPr>
            <w:r w:rsidRPr="006F4A51">
              <w:rPr>
                <w:b/>
                <w:bCs/>
                <w:color w:val="000000"/>
                <w:sz w:val="20"/>
                <w:lang w:val="en-NZ" w:eastAsia="en-NZ"/>
              </w:rPr>
              <w:t>Total</w:t>
            </w:r>
          </w:p>
        </w:tc>
        <w:tc>
          <w:tcPr>
            <w:tcW w:w="1575" w:type="pct"/>
            <w:noWrap/>
            <w:hideMark/>
          </w:tcPr>
          <w:p w14:paraId="5021D7F0" w14:textId="77777777" w:rsidR="00BE104E" w:rsidRPr="006F4A51" w:rsidRDefault="00BE104E" w:rsidP="00A93825">
            <w:pPr>
              <w:spacing w:before="0" w:after="0" w:line="240" w:lineRule="auto"/>
              <w:jc w:val="right"/>
              <w:rPr>
                <w:b/>
                <w:bCs/>
                <w:color w:val="000000"/>
                <w:sz w:val="20"/>
                <w:lang w:val="en-NZ" w:eastAsia="en-NZ"/>
              </w:rPr>
            </w:pPr>
            <w:r w:rsidRPr="006F4A51">
              <w:rPr>
                <w:b/>
                <w:bCs/>
                <w:color w:val="000000"/>
                <w:sz w:val="20"/>
                <w:lang w:val="en-NZ" w:eastAsia="en-NZ"/>
              </w:rPr>
              <w:t>2</w:t>
            </w:r>
          </w:p>
        </w:tc>
        <w:tc>
          <w:tcPr>
            <w:tcW w:w="522" w:type="pct"/>
            <w:noWrap/>
            <w:hideMark/>
          </w:tcPr>
          <w:p w14:paraId="3D65E941" w14:textId="77777777" w:rsidR="00BE104E" w:rsidRPr="006F4A51" w:rsidRDefault="00BE104E" w:rsidP="00A93825">
            <w:pPr>
              <w:spacing w:before="0" w:after="0" w:line="240" w:lineRule="auto"/>
              <w:jc w:val="right"/>
              <w:rPr>
                <w:b/>
                <w:bCs/>
                <w:color w:val="000000"/>
                <w:sz w:val="20"/>
                <w:lang w:val="en-NZ" w:eastAsia="en-NZ"/>
              </w:rPr>
            </w:pPr>
            <w:r w:rsidRPr="006F4A51">
              <w:rPr>
                <w:b/>
                <w:bCs/>
                <w:color w:val="000000"/>
                <w:sz w:val="20"/>
                <w:lang w:val="en-NZ" w:eastAsia="en-NZ"/>
              </w:rPr>
              <w:t>13</w:t>
            </w:r>
          </w:p>
        </w:tc>
        <w:tc>
          <w:tcPr>
            <w:tcW w:w="333" w:type="pct"/>
            <w:noWrap/>
            <w:hideMark/>
          </w:tcPr>
          <w:p w14:paraId="09B23F01" w14:textId="77777777" w:rsidR="00BE104E" w:rsidRPr="006F4A51" w:rsidRDefault="00BE104E" w:rsidP="00A93825">
            <w:pPr>
              <w:spacing w:before="0" w:after="0" w:line="240" w:lineRule="auto"/>
              <w:jc w:val="right"/>
              <w:rPr>
                <w:b/>
                <w:bCs/>
                <w:color w:val="000000"/>
                <w:sz w:val="20"/>
                <w:lang w:val="en-NZ" w:eastAsia="en-NZ"/>
              </w:rPr>
            </w:pPr>
            <w:r w:rsidRPr="006F4A51">
              <w:rPr>
                <w:b/>
                <w:bCs/>
                <w:color w:val="000000"/>
                <w:sz w:val="20"/>
                <w:lang w:val="en-NZ" w:eastAsia="en-NZ"/>
              </w:rPr>
              <w:t>1</w:t>
            </w:r>
          </w:p>
        </w:tc>
        <w:tc>
          <w:tcPr>
            <w:tcW w:w="1160" w:type="pct"/>
            <w:noWrap/>
            <w:hideMark/>
          </w:tcPr>
          <w:p w14:paraId="1627BB6B" w14:textId="77777777" w:rsidR="00BE104E" w:rsidRPr="006F4A51" w:rsidRDefault="00BE104E" w:rsidP="00A93825">
            <w:pPr>
              <w:spacing w:before="0" w:after="0" w:line="240" w:lineRule="auto"/>
              <w:jc w:val="right"/>
              <w:rPr>
                <w:b/>
                <w:bCs/>
                <w:color w:val="000000"/>
                <w:sz w:val="20"/>
                <w:lang w:val="en-NZ" w:eastAsia="en-NZ"/>
              </w:rPr>
            </w:pPr>
            <w:r w:rsidRPr="006F4A51">
              <w:rPr>
                <w:b/>
                <w:bCs/>
                <w:color w:val="000000"/>
                <w:sz w:val="20"/>
                <w:lang w:val="en-NZ" w:eastAsia="en-NZ"/>
              </w:rPr>
              <w:t>12</w:t>
            </w:r>
          </w:p>
        </w:tc>
        <w:tc>
          <w:tcPr>
            <w:tcW w:w="705" w:type="pct"/>
            <w:noWrap/>
            <w:hideMark/>
          </w:tcPr>
          <w:p w14:paraId="0D4DB83D" w14:textId="77777777" w:rsidR="00BE104E" w:rsidRPr="006F4A51" w:rsidRDefault="00BE104E" w:rsidP="00A93825">
            <w:pPr>
              <w:spacing w:before="0" w:after="0" w:line="240" w:lineRule="auto"/>
              <w:jc w:val="right"/>
              <w:rPr>
                <w:b/>
                <w:bCs/>
                <w:color w:val="000000"/>
                <w:sz w:val="20"/>
                <w:lang w:val="en-NZ" w:eastAsia="en-NZ"/>
              </w:rPr>
            </w:pPr>
            <w:r w:rsidRPr="006F4A51">
              <w:rPr>
                <w:b/>
                <w:bCs/>
                <w:color w:val="000000"/>
                <w:sz w:val="20"/>
                <w:lang w:val="en-NZ" w:eastAsia="en-NZ"/>
              </w:rPr>
              <w:t>28</w:t>
            </w:r>
          </w:p>
        </w:tc>
      </w:tr>
    </w:tbl>
    <w:p w14:paraId="4B06EFF2" w14:textId="77777777" w:rsidR="00BE104E" w:rsidRDefault="00BE104E" w:rsidP="00BE104E">
      <w:pPr>
        <w:pStyle w:val="TableName"/>
        <w:tabs>
          <w:tab w:val="clear" w:pos="1080"/>
          <w:tab w:val="left" w:pos="142"/>
        </w:tabs>
        <w:ind w:left="0" w:firstLine="0"/>
        <w:rPr>
          <w:b w:val="0"/>
        </w:rPr>
      </w:pPr>
    </w:p>
    <w:p w14:paraId="642FFF4A" w14:textId="77777777" w:rsidR="00BE104E" w:rsidRDefault="00BE104E" w:rsidP="00BE104E">
      <w:pPr>
        <w:pStyle w:val="TableName"/>
        <w:tabs>
          <w:tab w:val="clear" w:pos="1080"/>
          <w:tab w:val="left" w:pos="142"/>
        </w:tabs>
        <w:ind w:left="0" w:firstLine="0"/>
        <w:rPr>
          <w:b w:val="0"/>
        </w:rPr>
      </w:pPr>
    </w:p>
    <w:p w14:paraId="206194B3" w14:textId="77777777" w:rsidR="00BE104E" w:rsidRPr="004F5735" w:rsidRDefault="00BE104E" w:rsidP="00A35D46">
      <w:r w:rsidRPr="004F5735">
        <w:t xml:space="preserve">Women in Leadership training </w:t>
      </w:r>
      <w:r>
        <w:t xml:space="preserve">delivered in 2018 </w:t>
      </w:r>
      <w:r w:rsidRPr="004F5735">
        <w:t xml:space="preserve">by Federation Training that took place in Harare, Zimbabwe (consisted of 28 Alumnae from Malawi, </w:t>
      </w:r>
      <w:proofErr w:type="gramStart"/>
      <w:r w:rsidRPr="004F5735">
        <w:t>Zambia</w:t>
      </w:r>
      <w:proofErr w:type="gramEnd"/>
      <w:r w:rsidRPr="004F5735">
        <w:t xml:space="preserve"> and Zimbabwe) and in Port Louis Mauritius (29 Alumnae from Mauritius, Madagascar and Seychelles). </w:t>
      </w:r>
    </w:p>
    <w:p w14:paraId="5A925032" w14:textId="77777777" w:rsidR="00BE104E" w:rsidRDefault="00BE104E" w:rsidP="00BE104E"/>
    <w:p w14:paraId="3A1B7EB5" w14:textId="77777777" w:rsidR="00BE104E" w:rsidRDefault="00BE104E" w:rsidP="00BE104E"/>
    <w:p w14:paraId="4BD8B8D9" w14:textId="77777777" w:rsidR="00BE104E" w:rsidRDefault="00BE104E" w:rsidP="00BE104E">
      <w:pPr>
        <w:pStyle w:val="FigureName"/>
        <w:rPr>
          <w:highlight w:val="green"/>
        </w:rPr>
        <w:sectPr w:rsidR="00BE104E" w:rsidSect="00A93825">
          <w:pgSz w:w="11906" w:h="16838"/>
          <w:pgMar w:top="720" w:right="720" w:bottom="720" w:left="720" w:header="708" w:footer="708" w:gutter="0"/>
          <w:cols w:space="708"/>
          <w:docGrid w:linePitch="360"/>
        </w:sectPr>
      </w:pPr>
    </w:p>
    <w:p w14:paraId="54384787" w14:textId="77777777" w:rsidR="00BE104E" w:rsidRDefault="00BE104E" w:rsidP="00BE104E">
      <w:pPr>
        <w:pStyle w:val="FigureName"/>
      </w:pPr>
      <w:bookmarkStart w:id="66" w:name="_Toc1729555"/>
      <w:r w:rsidRPr="00BE104E">
        <w:lastRenderedPageBreak/>
        <w:t xml:space="preserve">Figure </w:t>
      </w:r>
      <w:r w:rsidR="00C96EBE">
        <w:t>6</w:t>
      </w:r>
      <w:r w:rsidRPr="00BE104E">
        <w:rPr>
          <w:noProof/>
        </w:rPr>
        <w:tab/>
      </w:r>
      <w:r w:rsidRPr="00BE104E">
        <w:t xml:space="preserve">Number of Awards to Private Sector by Award Type, </w:t>
      </w:r>
      <w:proofErr w:type="gramStart"/>
      <w:r w:rsidRPr="00BE104E">
        <w:t>Country</w:t>
      </w:r>
      <w:proofErr w:type="gramEnd"/>
      <w:r w:rsidRPr="00BE104E">
        <w:t xml:space="preserve"> and Gender, 2016-2019</w:t>
      </w:r>
      <w:bookmarkEnd w:id="66"/>
    </w:p>
    <w:p w14:paraId="0E1CF910" w14:textId="77777777" w:rsidR="00BE104E" w:rsidRDefault="00BE104E" w:rsidP="00BE104E">
      <w:r>
        <w:rPr>
          <w:noProof/>
        </w:rPr>
        <w:drawing>
          <wp:inline distT="0" distB="0" distL="0" distR="0" wp14:anchorId="1C5D3F88" wp14:editId="405AFAE1">
            <wp:extent cx="9053940" cy="5277292"/>
            <wp:effectExtent l="0" t="0" r="0" b="0"/>
            <wp:docPr id="11" name="Chart 11">
              <a:extLst xmlns:a="http://schemas.openxmlformats.org/drawingml/2006/main">
                <a:ext uri="{FF2B5EF4-FFF2-40B4-BE49-F238E27FC236}">
                  <a16:creationId xmlns:a16="http://schemas.microsoft.com/office/drawing/2014/main" id="{4B63A711-0300-45C4-BB4C-A9B0C0D79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8B8753" w14:textId="77777777" w:rsidR="00BE104E" w:rsidRDefault="00BE104E" w:rsidP="00BE104E"/>
    <w:p w14:paraId="6BD32A94" w14:textId="77777777" w:rsidR="00BE104E" w:rsidRDefault="00BE104E" w:rsidP="00BE104E">
      <w:pPr>
        <w:pStyle w:val="FigureName"/>
      </w:pPr>
      <w:bookmarkStart w:id="67" w:name="_Toc1729556"/>
      <w:r w:rsidRPr="00BE104E">
        <w:t xml:space="preserve">Figure </w:t>
      </w:r>
      <w:r w:rsidR="00C96EBE">
        <w:t>7</w:t>
      </w:r>
      <w:r w:rsidRPr="00BE104E">
        <w:rPr>
          <w:noProof/>
        </w:rPr>
        <w:tab/>
      </w:r>
      <w:r w:rsidRPr="00BE104E">
        <w:t>Number of awards to private sector applicants by award type, priority sector and gender, 2016-2019</w:t>
      </w:r>
      <w:bookmarkEnd w:id="67"/>
    </w:p>
    <w:p w14:paraId="1F156F25" w14:textId="77777777" w:rsidR="00BE104E" w:rsidRDefault="00BE104E" w:rsidP="00BE104E">
      <w:r>
        <w:rPr>
          <w:noProof/>
        </w:rPr>
        <w:drawing>
          <wp:inline distT="0" distB="0" distL="0" distR="0" wp14:anchorId="7D576599" wp14:editId="1CE192F3">
            <wp:extent cx="9777730" cy="3027680"/>
            <wp:effectExtent l="0" t="0" r="0" b="1270"/>
            <wp:docPr id="13" name="Chart 13">
              <a:extLst xmlns:a="http://schemas.openxmlformats.org/drawingml/2006/main">
                <a:ext uri="{FF2B5EF4-FFF2-40B4-BE49-F238E27FC236}">
                  <a16:creationId xmlns:a16="http://schemas.microsoft.com/office/drawing/2014/main" id="{9042A9B9-B603-496C-B498-F7286331B8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55B031" w14:textId="77777777" w:rsidR="000601BC" w:rsidRDefault="000601BC" w:rsidP="0082608C">
      <w:pPr>
        <w:rPr>
          <w:b/>
          <w:noProof/>
        </w:rPr>
      </w:pPr>
    </w:p>
    <w:p w14:paraId="365501CC" w14:textId="77777777" w:rsidR="00BE104E" w:rsidRDefault="00BE104E" w:rsidP="00EF0F31">
      <w:pPr>
        <w:pStyle w:val="SectionTitle"/>
        <w:rPr>
          <w:noProof/>
        </w:rPr>
        <w:sectPr w:rsidR="00BE104E" w:rsidSect="00BE104E">
          <w:pgSz w:w="16838" w:h="11906" w:orient="landscape" w:code="9"/>
          <w:pgMar w:top="1440" w:right="1440" w:bottom="1440" w:left="1440" w:header="578" w:footer="578" w:gutter="0"/>
          <w:cols w:space="720"/>
          <w:titlePg/>
          <w:docGrid w:linePitch="286"/>
        </w:sectPr>
      </w:pPr>
    </w:p>
    <w:p w14:paraId="7632B936" w14:textId="77777777" w:rsidR="000601BC" w:rsidRDefault="000601BC" w:rsidP="00EF0F31">
      <w:pPr>
        <w:pStyle w:val="SectionTitle"/>
        <w:rPr>
          <w:noProof/>
        </w:rPr>
      </w:pPr>
      <w:bookmarkStart w:id="68" w:name="_Toc1729531"/>
      <w:r>
        <w:rPr>
          <w:noProof/>
        </w:rPr>
        <w:lastRenderedPageBreak/>
        <w:t>Appendix E: Postdoctoral fellowship pilot</w:t>
      </w:r>
      <w:bookmarkEnd w:id="68"/>
      <w:r>
        <w:rPr>
          <w:noProof/>
        </w:rPr>
        <w:t xml:space="preserve"> </w:t>
      </w:r>
    </w:p>
    <w:p w14:paraId="12F83F1C" w14:textId="77777777" w:rsidR="00393D24" w:rsidRDefault="00393D24" w:rsidP="00393D24">
      <w:r w:rsidRPr="00F24113">
        <w:rPr>
          <w:lang w:val="en-ZA" w:eastAsia="en-NZ"/>
        </w:rPr>
        <w:t>In 2017</w:t>
      </w:r>
      <w:r>
        <w:rPr>
          <w:lang w:val="en-ZA" w:eastAsia="en-NZ"/>
        </w:rPr>
        <w:t xml:space="preserve"> Australia Awards in Africa </w:t>
      </w:r>
      <w:r w:rsidRPr="00F24113">
        <w:rPr>
          <w:lang w:val="en-ZA" w:eastAsia="en-NZ"/>
        </w:rPr>
        <w:t xml:space="preserve">launched </w:t>
      </w:r>
      <w:r>
        <w:rPr>
          <w:lang w:val="en-ZA" w:eastAsia="en-NZ"/>
        </w:rPr>
        <w:t xml:space="preserve">a </w:t>
      </w:r>
      <w:r w:rsidRPr="00F24113">
        <w:rPr>
          <w:lang w:val="en-ZA" w:eastAsia="en-NZ"/>
        </w:rPr>
        <w:t xml:space="preserve">pilot </w:t>
      </w:r>
      <w:r>
        <w:rPr>
          <w:lang w:val="en-ZA" w:eastAsia="en-NZ"/>
        </w:rPr>
        <w:t xml:space="preserve">for postdoctoral fellowships </w:t>
      </w:r>
      <w:r w:rsidRPr="00F24113">
        <w:rPr>
          <w:lang w:val="en-ZA" w:eastAsia="en-NZ"/>
        </w:rPr>
        <w:t>in partnership with the Australia Africa Universities Network (AAUN)</w:t>
      </w:r>
      <w:r>
        <w:rPr>
          <w:lang w:val="en-ZA" w:eastAsia="en-NZ"/>
        </w:rPr>
        <w:t>. The postdoctoral fellowships</w:t>
      </w:r>
      <w:r w:rsidRPr="00F24113">
        <w:rPr>
          <w:lang w:val="en-ZA" w:eastAsia="en-NZ"/>
        </w:rPr>
        <w:t xml:space="preserve"> provide financial support</w:t>
      </w:r>
      <w:r>
        <w:rPr>
          <w:lang w:val="en-ZA" w:eastAsia="en-NZ"/>
        </w:rPr>
        <w:t xml:space="preserve"> for up to twelve months at an Australia tertiary institution </w:t>
      </w:r>
      <w:r w:rsidRPr="00F24113">
        <w:rPr>
          <w:lang w:val="en-ZA" w:eastAsia="en-NZ"/>
        </w:rPr>
        <w:t>for African academics affiliated with eligible Ghanaian, Kenyan and South African universities</w:t>
      </w:r>
      <w:r>
        <w:rPr>
          <w:rStyle w:val="FootnoteReference"/>
          <w:rFonts w:ascii="Helvetica" w:hAnsi="Helvetica" w:cs="Helvetica"/>
          <w:color w:val="333333"/>
          <w:szCs w:val="21"/>
          <w:lang w:val="en-ZA" w:eastAsia="en-NZ"/>
        </w:rPr>
        <w:footnoteReference w:id="64"/>
      </w:r>
      <w:r w:rsidRPr="00F24113">
        <w:rPr>
          <w:lang w:val="en-ZA" w:eastAsia="en-NZ"/>
        </w:rPr>
        <w:t xml:space="preserve"> and engaged in research activity. </w:t>
      </w:r>
    </w:p>
    <w:p w14:paraId="5899DDA0" w14:textId="77777777" w:rsidR="00393D24" w:rsidRPr="006C0AB4" w:rsidRDefault="00393D24" w:rsidP="00393D24">
      <w:pPr>
        <w:pStyle w:val="NormalBeforeBullet"/>
      </w:pPr>
      <w:r w:rsidRPr="006C0AB4">
        <w:t xml:space="preserve">The objectives of the </w:t>
      </w:r>
      <w:r w:rsidRPr="00393D24">
        <w:t xml:space="preserve">postdoctoral fellowships </w:t>
      </w:r>
      <w:r w:rsidRPr="006C0AB4">
        <w:t>are:</w:t>
      </w:r>
    </w:p>
    <w:p w14:paraId="21D835C4" w14:textId="77777777" w:rsidR="00393D24" w:rsidRPr="006C0AB4" w:rsidRDefault="00393D24" w:rsidP="00393D24">
      <w:pPr>
        <w:pStyle w:val="Bullet"/>
      </w:pPr>
      <w:r w:rsidRPr="006C0AB4">
        <w:t xml:space="preserve">develop on-going educational, research and professional linkages between individuals and universities that are members of the </w:t>
      </w:r>
      <w:r>
        <w:t>Australia-Africa Universities Network (AAUN)</w:t>
      </w:r>
      <w:r w:rsidRPr="006C0AB4">
        <w:t>, in Australia and Ghana, Kenya or South Africa.</w:t>
      </w:r>
    </w:p>
    <w:p w14:paraId="7E937698" w14:textId="77777777" w:rsidR="00393D24" w:rsidRPr="006C0AB4" w:rsidRDefault="00393D24" w:rsidP="00393D24">
      <w:pPr>
        <w:pStyle w:val="Bullet"/>
      </w:pPr>
      <w:r w:rsidRPr="006C0AB4">
        <w:t>provide opportunities for high achieving academics to improve their research skills and contribute to development outcomes in Africa.</w:t>
      </w:r>
    </w:p>
    <w:p w14:paraId="7A398F9D" w14:textId="77777777" w:rsidR="00393D24" w:rsidRPr="006C0AB4" w:rsidRDefault="00393D24" w:rsidP="00393D24">
      <w:pPr>
        <w:pStyle w:val="Bullet"/>
      </w:pPr>
      <w:r w:rsidRPr="006C0AB4">
        <w:t>contribute to Australia’s position as a high-quality education and training provider and a leader in research and innovation.</w:t>
      </w:r>
    </w:p>
    <w:p w14:paraId="0D47778B" w14:textId="77777777" w:rsidR="00393D24" w:rsidRPr="006C0AB4" w:rsidRDefault="00393D24" w:rsidP="00393D24">
      <w:pPr>
        <w:pStyle w:val="Bullet"/>
      </w:pPr>
      <w:r w:rsidRPr="006C0AB4">
        <w:t>contribute to the research capacity of Ghanaian, Kenyan and South African tertiary institutions.</w:t>
      </w:r>
    </w:p>
    <w:p w14:paraId="09C1CC91" w14:textId="77777777" w:rsidR="00393D24" w:rsidRPr="006C0AB4" w:rsidRDefault="00393D24" w:rsidP="00393D24">
      <w:pPr>
        <w:pStyle w:val="BulletLast"/>
      </w:pPr>
      <w:r w:rsidRPr="006C0AB4">
        <w:t>contribute to public and economic diplomacy efforts.</w:t>
      </w:r>
    </w:p>
    <w:p w14:paraId="6AD18B93" w14:textId="27070970" w:rsidR="00393D24" w:rsidRPr="00393D24" w:rsidRDefault="00EB2F4A" w:rsidP="00393D24">
      <w:pPr>
        <w:rPr>
          <w:lang w:val="en-ZA" w:eastAsia="en-NZ"/>
        </w:rPr>
      </w:pPr>
      <w:r>
        <w:rPr>
          <w:lang w:val="en-ZA" w:eastAsia="en-NZ"/>
        </w:rPr>
        <w:t>P</w:t>
      </w:r>
      <w:r w:rsidR="00393D24" w:rsidRPr="00393D24">
        <w:rPr>
          <w:lang w:val="en-ZA" w:eastAsia="en-NZ"/>
        </w:rPr>
        <w:t xml:space="preserve">ostdoctoral fellowships </w:t>
      </w:r>
      <w:r>
        <w:rPr>
          <w:lang w:val="en-ZA" w:eastAsia="en-NZ"/>
        </w:rPr>
        <w:t xml:space="preserve">were offered to 18 people </w:t>
      </w:r>
      <w:r w:rsidR="00393D24" w:rsidRPr="00393D24">
        <w:rPr>
          <w:lang w:val="en-ZA" w:eastAsia="en-NZ"/>
        </w:rPr>
        <w:t>(</w:t>
      </w:r>
      <w:r>
        <w:rPr>
          <w:lang w:val="en-ZA" w:eastAsia="en-NZ"/>
        </w:rPr>
        <w:t>11 male/</w:t>
      </w:r>
      <w:r w:rsidR="00393D24" w:rsidRPr="00393D24">
        <w:rPr>
          <w:lang w:val="en-ZA" w:eastAsia="en-NZ"/>
        </w:rPr>
        <w:t xml:space="preserve">7 </w:t>
      </w:r>
      <w:r>
        <w:rPr>
          <w:lang w:val="en-ZA" w:eastAsia="en-NZ"/>
        </w:rPr>
        <w:t>female</w:t>
      </w:r>
      <w:r w:rsidR="00393D24" w:rsidRPr="00393D24">
        <w:rPr>
          <w:lang w:val="en-ZA" w:eastAsia="en-NZ"/>
        </w:rPr>
        <w:t>) in 2017 and 2018. The fellowships range in duration from three to 12 months at an Australian tertiary institution.</w:t>
      </w:r>
    </w:p>
    <w:p w14:paraId="03E46963" w14:textId="77777777" w:rsidR="00393D24" w:rsidRDefault="00393D24" w:rsidP="00393D24">
      <w:pPr>
        <w:pStyle w:val="TableName"/>
      </w:pPr>
      <w:bookmarkStart w:id="69" w:name="_Toc1729549"/>
      <w:r>
        <w:t xml:space="preserve">Table </w:t>
      </w:r>
      <w:r w:rsidR="00617D09">
        <w:t>11</w:t>
      </w:r>
      <w:r>
        <w:tab/>
        <w:t xml:space="preserve">Post-doctoral fellows by gender, </w:t>
      </w:r>
      <w:proofErr w:type="gramStart"/>
      <w:r>
        <w:t>country</w:t>
      </w:r>
      <w:proofErr w:type="gramEnd"/>
      <w:r>
        <w:t xml:space="preserve"> and intake year</w:t>
      </w:r>
      <w:bookmarkEnd w:id="69"/>
    </w:p>
    <w:tbl>
      <w:tblPr>
        <w:tblStyle w:val="TableGrid"/>
        <w:tblW w:w="6058" w:type="dxa"/>
        <w:tblLayout w:type="fixed"/>
        <w:tblLook w:val="04A0" w:firstRow="1" w:lastRow="0" w:firstColumn="1" w:lastColumn="0" w:noHBand="0" w:noVBand="1"/>
      </w:tblPr>
      <w:tblGrid>
        <w:gridCol w:w="1620"/>
        <w:gridCol w:w="814"/>
        <w:gridCol w:w="815"/>
        <w:gridCol w:w="814"/>
        <w:gridCol w:w="815"/>
        <w:gridCol w:w="1180"/>
      </w:tblGrid>
      <w:tr w:rsidR="00393D24" w:rsidRPr="00ED3303" w14:paraId="5DF7505B" w14:textId="77777777" w:rsidTr="00E716F8">
        <w:trPr>
          <w:cnfStyle w:val="100000000000" w:firstRow="1" w:lastRow="0" w:firstColumn="0" w:lastColumn="0" w:oddVBand="0" w:evenVBand="0" w:oddHBand="0" w:evenHBand="0" w:firstRowFirstColumn="0" w:firstRowLastColumn="0" w:lastRowFirstColumn="0" w:lastRowLastColumn="0"/>
          <w:trHeight w:val="20"/>
        </w:trPr>
        <w:tc>
          <w:tcPr>
            <w:tcW w:w="1620" w:type="dxa"/>
            <w:noWrap/>
            <w:hideMark/>
          </w:tcPr>
          <w:p w14:paraId="6CABAC7D" w14:textId="77777777" w:rsidR="00393D24" w:rsidRPr="00A03AE2" w:rsidRDefault="00393D24" w:rsidP="00E716F8">
            <w:pPr>
              <w:spacing w:after="0" w:line="240" w:lineRule="auto"/>
              <w:rPr>
                <w:color w:val="FFFFFF" w:themeColor="background1"/>
                <w:sz w:val="18"/>
                <w:szCs w:val="18"/>
                <w:lang w:val="en-NZ" w:eastAsia="en-NZ"/>
              </w:rPr>
            </w:pPr>
            <w:r w:rsidRPr="00ED3303">
              <w:rPr>
                <w:b/>
                <w:bCs/>
                <w:color w:val="FFFFFF" w:themeColor="background1"/>
                <w:sz w:val="18"/>
                <w:szCs w:val="18"/>
                <w:lang w:val="en-NZ" w:eastAsia="en-NZ"/>
              </w:rPr>
              <w:t>Country</w:t>
            </w:r>
          </w:p>
        </w:tc>
        <w:tc>
          <w:tcPr>
            <w:tcW w:w="1629" w:type="dxa"/>
            <w:gridSpan w:val="2"/>
            <w:noWrap/>
            <w:hideMark/>
          </w:tcPr>
          <w:p w14:paraId="11053A17" w14:textId="77777777" w:rsidR="00393D24" w:rsidRPr="00A03AE2" w:rsidRDefault="00393D24" w:rsidP="00E716F8">
            <w:pPr>
              <w:spacing w:after="0" w:line="240" w:lineRule="auto"/>
              <w:jc w:val="center"/>
              <w:rPr>
                <w:b/>
                <w:bCs/>
                <w:color w:val="FFFFFF" w:themeColor="background1"/>
                <w:sz w:val="18"/>
                <w:szCs w:val="18"/>
                <w:lang w:val="en-NZ" w:eastAsia="en-NZ"/>
              </w:rPr>
            </w:pPr>
            <w:r w:rsidRPr="00A03AE2">
              <w:rPr>
                <w:b/>
                <w:bCs/>
                <w:color w:val="FFFFFF" w:themeColor="background1"/>
                <w:sz w:val="18"/>
                <w:szCs w:val="18"/>
                <w:lang w:val="en-NZ" w:eastAsia="en-NZ"/>
              </w:rPr>
              <w:t>2017</w:t>
            </w:r>
          </w:p>
        </w:tc>
        <w:tc>
          <w:tcPr>
            <w:tcW w:w="1629" w:type="dxa"/>
            <w:gridSpan w:val="2"/>
            <w:noWrap/>
            <w:hideMark/>
          </w:tcPr>
          <w:p w14:paraId="10922F71" w14:textId="77777777" w:rsidR="00393D24" w:rsidRPr="00A03AE2" w:rsidRDefault="00393D24" w:rsidP="00E716F8">
            <w:pPr>
              <w:spacing w:after="0" w:line="240" w:lineRule="auto"/>
              <w:jc w:val="center"/>
              <w:rPr>
                <w:b/>
                <w:bCs/>
                <w:color w:val="FFFFFF" w:themeColor="background1"/>
                <w:sz w:val="18"/>
                <w:szCs w:val="18"/>
                <w:lang w:val="en-NZ" w:eastAsia="en-NZ"/>
              </w:rPr>
            </w:pPr>
            <w:r w:rsidRPr="00A03AE2">
              <w:rPr>
                <w:b/>
                <w:bCs/>
                <w:color w:val="FFFFFF" w:themeColor="background1"/>
                <w:sz w:val="18"/>
                <w:szCs w:val="18"/>
                <w:lang w:val="en-NZ" w:eastAsia="en-NZ"/>
              </w:rPr>
              <w:t>2018</w:t>
            </w:r>
          </w:p>
        </w:tc>
        <w:tc>
          <w:tcPr>
            <w:tcW w:w="1180" w:type="dxa"/>
            <w:noWrap/>
            <w:hideMark/>
          </w:tcPr>
          <w:p w14:paraId="5332C689" w14:textId="77777777" w:rsidR="00393D24" w:rsidRPr="00A03AE2" w:rsidRDefault="00393D24" w:rsidP="00E716F8">
            <w:pPr>
              <w:spacing w:after="0" w:line="240" w:lineRule="auto"/>
              <w:jc w:val="right"/>
              <w:rPr>
                <w:b/>
                <w:bCs/>
                <w:color w:val="FFFFFF" w:themeColor="background1"/>
                <w:sz w:val="18"/>
                <w:szCs w:val="18"/>
                <w:lang w:val="en-NZ" w:eastAsia="en-NZ"/>
              </w:rPr>
            </w:pPr>
            <w:r w:rsidRPr="00A03AE2">
              <w:rPr>
                <w:b/>
                <w:bCs/>
                <w:color w:val="FFFFFF" w:themeColor="background1"/>
                <w:sz w:val="18"/>
                <w:szCs w:val="18"/>
                <w:lang w:val="en-NZ" w:eastAsia="en-NZ"/>
              </w:rPr>
              <w:t>Total</w:t>
            </w:r>
          </w:p>
        </w:tc>
      </w:tr>
      <w:tr w:rsidR="00393D24" w:rsidRPr="00ED3303" w14:paraId="119E0BD8" w14:textId="77777777" w:rsidTr="00E716F8">
        <w:trPr>
          <w:trHeight w:val="20"/>
        </w:trPr>
        <w:tc>
          <w:tcPr>
            <w:tcW w:w="1620" w:type="dxa"/>
            <w:noWrap/>
            <w:hideMark/>
          </w:tcPr>
          <w:p w14:paraId="73D2A40C" w14:textId="77777777" w:rsidR="00393D24" w:rsidRPr="00A03AE2" w:rsidRDefault="00393D24" w:rsidP="00E716F8">
            <w:pPr>
              <w:spacing w:after="0" w:line="240" w:lineRule="auto"/>
              <w:rPr>
                <w:b/>
                <w:bCs/>
                <w:color w:val="000000"/>
                <w:sz w:val="18"/>
                <w:szCs w:val="18"/>
                <w:lang w:val="en-NZ" w:eastAsia="en-NZ"/>
              </w:rPr>
            </w:pPr>
          </w:p>
        </w:tc>
        <w:tc>
          <w:tcPr>
            <w:tcW w:w="814" w:type="dxa"/>
            <w:noWrap/>
            <w:hideMark/>
          </w:tcPr>
          <w:p w14:paraId="72EC5D43" w14:textId="77777777" w:rsidR="00393D24" w:rsidRPr="00A03AE2" w:rsidRDefault="00393D24" w:rsidP="00E716F8">
            <w:pPr>
              <w:spacing w:after="0" w:line="240" w:lineRule="auto"/>
              <w:jc w:val="center"/>
              <w:rPr>
                <w:b/>
                <w:bCs/>
                <w:color w:val="000000"/>
                <w:sz w:val="18"/>
                <w:szCs w:val="18"/>
                <w:lang w:val="en-NZ" w:eastAsia="en-NZ"/>
              </w:rPr>
            </w:pPr>
            <w:r w:rsidRPr="00A03AE2">
              <w:rPr>
                <w:b/>
                <w:bCs/>
                <w:color w:val="000000"/>
                <w:sz w:val="18"/>
                <w:szCs w:val="18"/>
                <w:lang w:val="en-NZ" w:eastAsia="en-NZ"/>
              </w:rPr>
              <w:t>F</w:t>
            </w:r>
          </w:p>
        </w:tc>
        <w:tc>
          <w:tcPr>
            <w:tcW w:w="815" w:type="dxa"/>
            <w:noWrap/>
            <w:hideMark/>
          </w:tcPr>
          <w:p w14:paraId="70C2CBBF" w14:textId="77777777" w:rsidR="00393D24" w:rsidRPr="00A03AE2" w:rsidRDefault="00393D24" w:rsidP="00E716F8">
            <w:pPr>
              <w:spacing w:after="0" w:line="240" w:lineRule="auto"/>
              <w:jc w:val="center"/>
              <w:rPr>
                <w:b/>
                <w:bCs/>
                <w:color w:val="000000"/>
                <w:sz w:val="18"/>
                <w:szCs w:val="18"/>
                <w:lang w:val="en-NZ" w:eastAsia="en-NZ"/>
              </w:rPr>
            </w:pPr>
            <w:r w:rsidRPr="00A03AE2">
              <w:rPr>
                <w:b/>
                <w:bCs/>
                <w:color w:val="000000"/>
                <w:sz w:val="18"/>
                <w:szCs w:val="18"/>
                <w:lang w:val="en-NZ" w:eastAsia="en-NZ"/>
              </w:rPr>
              <w:t>M</w:t>
            </w:r>
          </w:p>
        </w:tc>
        <w:tc>
          <w:tcPr>
            <w:tcW w:w="814" w:type="dxa"/>
            <w:noWrap/>
            <w:hideMark/>
          </w:tcPr>
          <w:p w14:paraId="7C0F5AB0" w14:textId="77777777" w:rsidR="00393D24" w:rsidRPr="00A03AE2" w:rsidRDefault="00393D24" w:rsidP="00E716F8">
            <w:pPr>
              <w:spacing w:after="0" w:line="240" w:lineRule="auto"/>
              <w:jc w:val="center"/>
              <w:rPr>
                <w:b/>
                <w:bCs/>
                <w:color w:val="000000"/>
                <w:sz w:val="18"/>
                <w:szCs w:val="18"/>
                <w:lang w:val="en-NZ" w:eastAsia="en-NZ"/>
              </w:rPr>
            </w:pPr>
            <w:r w:rsidRPr="00A03AE2">
              <w:rPr>
                <w:b/>
                <w:bCs/>
                <w:color w:val="000000"/>
                <w:sz w:val="18"/>
                <w:szCs w:val="18"/>
                <w:lang w:val="en-NZ" w:eastAsia="en-NZ"/>
              </w:rPr>
              <w:t>F</w:t>
            </w:r>
          </w:p>
        </w:tc>
        <w:tc>
          <w:tcPr>
            <w:tcW w:w="815" w:type="dxa"/>
            <w:noWrap/>
            <w:hideMark/>
          </w:tcPr>
          <w:p w14:paraId="74171F53" w14:textId="77777777" w:rsidR="00393D24" w:rsidRPr="00A03AE2" w:rsidRDefault="00393D24" w:rsidP="00E716F8">
            <w:pPr>
              <w:spacing w:after="0" w:line="240" w:lineRule="auto"/>
              <w:jc w:val="center"/>
              <w:rPr>
                <w:b/>
                <w:bCs/>
                <w:color w:val="000000"/>
                <w:sz w:val="18"/>
                <w:szCs w:val="18"/>
                <w:lang w:val="en-NZ" w:eastAsia="en-NZ"/>
              </w:rPr>
            </w:pPr>
            <w:r w:rsidRPr="00A03AE2">
              <w:rPr>
                <w:b/>
                <w:bCs/>
                <w:color w:val="000000"/>
                <w:sz w:val="18"/>
                <w:szCs w:val="18"/>
                <w:lang w:val="en-NZ" w:eastAsia="en-NZ"/>
              </w:rPr>
              <w:t>M</w:t>
            </w:r>
          </w:p>
        </w:tc>
        <w:tc>
          <w:tcPr>
            <w:tcW w:w="1180" w:type="dxa"/>
            <w:noWrap/>
            <w:hideMark/>
          </w:tcPr>
          <w:p w14:paraId="3619AA11" w14:textId="77777777" w:rsidR="00393D24" w:rsidRPr="00A03AE2" w:rsidRDefault="00393D24" w:rsidP="00E716F8">
            <w:pPr>
              <w:spacing w:after="0" w:line="240" w:lineRule="auto"/>
              <w:jc w:val="right"/>
              <w:rPr>
                <w:b/>
                <w:bCs/>
                <w:color w:val="000000"/>
                <w:sz w:val="18"/>
                <w:szCs w:val="18"/>
                <w:lang w:val="en-NZ" w:eastAsia="en-NZ"/>
              </w:rPr>
            </w:pPr>
          </w:p>
        </w:tc>
      </w:tr>
      <w:tr w:rsidR="00393D24" w:rsidRPr="00A03AE2" w14:paraId="07DD8E05" w14:textId="77777777" w:rsidTr="00E716F8">
        <w:trPr>
          <w:trHeight w:val="20"/>
        </w:trPr>
        <w:tc>
          <w:tcPr>
            <w:tcW w:w="1620" w:type="dxa"/>
            <w:noWrap/>
            <w:hideMark/>
          </w:tcPr>
          <w:p w14:paraId="773923C0" w14:textId="77777777" w:rsidR="00393D24" w:rsidRPr="00A03AE2" w:rsidRDefault="00393D24" w:rsidP="00E716F8">
            <w:pPr>
              <w:spacing w:after="0" w:line="240" w:lineRule="auto"/>
              <w:rPr>
                <w:color w:val="000000"/>
                <w:sz w:val="18"/>
                <w:szCs w:val="18"/>
                <w:lang w:val="en-NZ" w:eastAsia="en-NZ"/>
              </w:rPr>
            </w:pPr>
            <w:r w:rsidRPr="00A03AE2">
              <w:rPr>
                <w:color w:val="000000"/>
                <w:sz w:val="18"/>
                <w:szCs w:val="18"/>
                <w:lang w:val="en-NZ" w:eastAsia="en-NZ"/>
              </w:rPr>
              <w:t>Ghana</w:t>
            </w:r>
          </w:p>
        </w:tc>
        <w:tc>
          <w:tcPr>
            <w:tcW w:w="814" w:type="dxa"/>
            <w:noWrap/>
            <w:hideMark/>
          </w:tcPr>
          <w:p w14:paraId="661D6520" w14:textId="77777777" w:rsidR="00393D24" w:rsidRPr="00A03AE2" w:rsidRDefault="00393D24" w:rsidP="00E716F8">
            <w:pPr>
              <w:spacing w:after="0" w:line="240" w:lineRule="auto"/>
              <w:jc w:val="center"/>
              <w:rPr>
                <w:color w:val="000000"/>
                <w:sz w:val="18"/>
                <w:szCs w:val="18"/>
                <w:lang w:val="en-NZ" w:eastAsia="en-NZ"/>
              </w:rPr>
            </w:pPr>
          </w:p>
        </w:tc>
        <w:tc>
          <w:tcPr>
            <w:tcW w:w="815" w:type="dxa"/>
            <w:noWrap/>
            <w:hideMark/>
          </w:tcPr>
          <w:p w14:paraId="10BD5784" w14:textId="77777777" w:rsidR="00393D24" w:rsidRPr="00A03AE2" w:rsidRDefault="00393D24" w:rsidP="00E716F8">
            <w:pPr>
              <w:spacing w:after="0" w:line="240" w:lineRule="auto"/>
              <w:jc w:val="center"/>
              <w:rPr>
                <w:sz w:val="18"/>
                <w:szCs w:val="18"/>
                <w:lang w:val="en-NZ" w:eastAsia="en-NZ"/>
              </w:rPr>
            </w:pPr>
          </w:p>
        </w:tc>
        <w:tc>
          <w:tcPr>
            <w:tcW w:w="814" w:type="dxa"/>
            <w:noWrap/>
            <w:hideMark/>
          </w:tcPr>
          <w:p w14:paraId="4AD32317"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1</w:t>
            </w:r>
          </w:p>
        </w:tc>
        <w:tc>
          <w:tcPr>
            <w:tcW w:w="815" w:type="dxa"/>
            <w:noWrap/>
            <w:hideMark/>
          </w:tcPr>
          <w:p w14:paraId="20F615C7"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3</w:t>
            </w:r>
          </w:p>
        </w:tc>
        <w:tc>
          <w:tcPr>
            <w:tcW w:w="1180" w:type="dxa"/>
            <w:noWrap/>
            <w:hideMark/>
          </w:tcPr>
          <w:p w14:paraId="1BAE46C4" w14:textId="77777777" w:rsidR="00393D24" w:rsidRPr="00A03AE2" w:rsidRDefault="00393D24" w:rsidP="00E716F8">
            <w:pPr>
              <w:spacing w:after="0" w:line="240" w:lineRule="auto"/>
              <w:jc w:val="right"/>
              <w:rPr>
                <w:color w:val="000000"/>
                <w:sz w:val="18"/>
                <w:szCs w:val="18"/>
                <w:lang w:val="en-NZ" w:eastAsia="en-NZ"/>
              </w:rPr>
            </w:pPr>
            <w:r w:rsidRPr="00A03AE2">
              <w:rPr>
                <w:color w:val="000000"/>
                <w:sz w:val="18"/>
                <w:szCs w:val="18"/>
                <w:lang w:val="en-NZ" w:eastAsia="en-NZ"/>
              </w:rPr>
              <w:t>4</w:t>
            </w:r>
          </w:p>
        </w:tc>
      </w:tr>
      <w:tr w:rsidR="00393D24" w:rsidRPr="00A03AE2" w14:paraId="3FB7A9FE" w14:textId="77777777" w:rsidTr="00E716F8">
        <w:trPr>
          <w:trHeight w:val="20"/>
        </w:trPr>
        <w:tc>
          <w:tcPr>
            <w:tcW w:w="1620" w:type="dxa"/>
            <w:noWrap/>
            <w:hideMark/>
          </w:tcPr>
          <w:p w14:paraId="599E0DDD" w14:textId="77777777" w:rsidR="00393D24" w:rsidRPr="00A03AE2" w:rsidRDefault="00393D24" w:rsidP="00E716F8">
            <w:pPr>
              <w:spacing w:after="0" w:line="240" w:lineRule="auto"/>
              <w:rPr>
                <w:color w:val="000000"/>
                <w:sz w:val="18"/>
                <w:szCs w:val="18"/>
                <w:lang w:val="en-NZ" w:eastAsia="en-NZ"/>
              </w:rPr>
            </w:pPr>
            <w:r w:rsidRPr="00A03AE2">
              <w:rPr>
                <w:color w:val="000000"/>
                <w:sz w:val="18"/>
                <w:szCs w:val="18"/>
                <w:lang w:val="en-NZ" w:eastAsia="en-NZ"/>
              </w:rPr>
              <w:t>Kenya</w:t>
            </w:r>
          </w:p>
        </w:tc>
        <w:tc>
          <w:tcPr>
            <w:tcW w:w="814" w:type="dxa"/>
            <w:noWrap/>
            <w:hideMark/>
          </w:tcPr>
          <w:p w14:paraId="1F86AC08"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1</w:t>
            </w:r>
          </w:p>
        </w:tc>
        <w:tc>
          <w:tcPr>
            <w:tcW w:w="815" w:type="dxa"/>
            <w:noWrap/>
            <w:hideMark/>
          </w:tcPr>
          <w:p w14:paraId="0C827318" w14:textId="77777777" w:rsidR="00393D24" w:rsidRPr="00A03AE2" w:rsidRDefault="00393D24" w:rsidP="00E716F8">
            <w:pPr>
              <w:spacing w:after="0" w:line="240" w:lineRule="auto"/>
              <w:jc w:val="center"/>
              <w:rPr>
                <w:color w:val="000000"/>
                <w:sz w:val="18"/>
                <w:szCs w:val="18"/>
                <w:lang w:val="en-NZ" w:eastAsia="en-NZ"/>
              </w:rPr>
            </w:pPr>
          </w:p>
        </w:tc>
        <w:tc>
          <w:tcPr>
            <w:tcW w:w="814" w:type="dxa"/>
            <w:noWrap/>
            <w:hideMark/>
          </w:tcPr>
          <w:p w14:paraId="03861E70"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2</w:t>
            </w:r>
          </w:p>
        </w:tc>
        <w:tc>
          <w:tcPr>
            <w:tcW w:w="815" w:type="dxa"/>
            <w:noWrap/>
            <w:hideMark/>
          </w:tcPr>
          <w:p w14:paraId="4B4A6370"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2</w:t>
            </w:r>
          </w:p>
        </w:tc>
        <w:tc>
          <w:tcPr>
            <w:tcW w:w="1180" w:type="dxa"/>
            <w:noWrap/>
            <w:hideMark/>
          </w:tcPr>
          <w:p w14:paraId="7FD594BA" w14:textId="77777777" w:rsidR="00393D24" w:rsidRPr="00A03AE2" w:rsidRDefault="00393D24" w:rsidP="00E716F8">
            <w:pPr>
              <w:spacing w:after="0" w:line="240" w:lineRule="auto"/>
              <w:jc w:val="right"/>
              <w:rPr>
                <w:color w:val="000000"/>
                <w:sz w:val="18"/>
                <w:szCs w:val="18"/>
                <w:lang w:val="en-NZ" w:eastAsia="en-NZ"/>
              </w:rPr>
            </w:pPr>
            <w:r w:rsidRPr="00A03AE2">
              <w:rPr>
                <w:color w:val="000000"/>
                <w:sz w:val="18"/>
                <w:szCs w:val="18"/>
                <w:lang w:val="en-NZ" w:eastAsia="en-NZ"/>
              </w:rPr>
              <w:t>5</w:t>
            </w:r>
          </w:p>
        </w:tc>
      </w:tr>
      <w:tr w:rsidR="00393D24" w:rsidRPr="00A03AE2" w14:paraId="24C94794" w14:textId="77777777" w:rsidTr="00E716F8">
        <w:trPr>
          <w:trHeight w:val="20"/>
        </w:trPr>
        <w:tc>
          <w:tcPr>
            <w:tcW w:w="1620" w:type="dxa"/>
            <w:noWrap/>
            <w:hideMark/>
          </w:tcPr>
          <w:p w14:paraId="04014A05" w14:textId="77777777" w:rsidR="00393D24" w:rsidRPr="00A03AE2" w:rsidRDefault="00393D24" w:rsidP="00E716F8">
            <w:pPr>
              <w:spacing w:after="0" w:line="240" w:lineRule="auto"/>
              <w:rPr>
                <w:color w:val="000000"/>
                <w:sz w:val="18"/>
                <w:szCs w:val="18"/>
                <w:lang w:val="en-NZ" w:eastAsia="en-NZ"/>
              </w:rPr>
            </w:pPr>
            <w:r w:rsidRPr="00A03AE2">
              <w:rPr>
                <w:color w:val="000000"/>
                <w:sz w:val="18"/>
                <w:szCs w:val="18"/>
                <w:lang w:val="en-NZ" w:eastAsia="en-NZ"/>
              </w:rPr>
              <w:t>Mozambique</w:t>
            </w:r>
          </w:p>
        </w:tc>
        <w:tc>
          <w:tcPr>
            <w:tcW w:w="814" w:type="dxa"/>
            <w:noWrap/>
            <w:hideMark/>
          </w:tcPr>
          <w:p w14:paraId="40816600" w14:textId="77777777" w:rsidR="00393D24" w:rsidRPr="00A03AE2" w:rsidRDefault="00393D24" w:rsidP="00E716F8">
            <w:pPr>
              <w:spacing w:after="0" w:line="240" w:lineRule="auto"/>
              <w:jc w:val="center"/>
              <w:rPr>
                <w:color w:val="000000"/>
                <w:sz w:val="18"/>
                <w:szCs w:val="18"/>
                <w:lang w:val="en-NZ" w:eastAsia="en-NZ"/>
              </w:rPr>
            </w:pPr>
          </w:p>
        </w:tc>
        <w:tc>
          <w:tcPr>
            <w:tcW w:w="815" w:type="dxa"/>
            <w:noWrap/>
            <w:hideMark/>
          </w:tcPr>
          <w:p w14:paraId="3F32F314"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1</w:t>
            </w:r>
          </w:p>
        </w:tc>
        <w:tc>
          <w:tcPr>
            <w:tcW w:w="814" w:type="dxa"/>
            <w:noWrap/>
            <w:hideMark/>
          </w:tcPr>
          <w:p w14:paraId="20A42161" w14:textId="77777777" w:rsidR="00393D24" w:rsidRPr="00A03AE2" w:rsidRDefault="00393D24" w:rsidP="00E716F8">
            <w:pPr>
              <w:spacing w:after="0" w:line="240" w:lineRule="auto"/>
              <w:jc w:val="center"/>
              <w:rPr>
                <w:color w:val="000000"/>
                <w:sz w:val="18"/>
                <w:szCs w:val="18"/>
                <w:lang w:val="en-NZ" w:eastAsia="en-NZ"/>
              </w:rPr>
            </w:pPr>
          </w:p>
        </w:tc>
        <w:tc>
          <w:tcPr>
            <w:tcW w:w="815" w:type="dxa"/>
            <w:noWrap/>
            <w:hideMark/>
          </w:tcPr>
          <w:p w14:paraId="53A15B48" w14:textId="77777777" w:rsidR="00393D24" w:rsidRPr="00A03AE2" w:rsidRDefault="00393D24" w:rsidP="00E716F8">
            <w:pPr>
              <w:spacing w:after="0" w:line="240" w:lineRule="auto"/>
              <w:jc w:val="center"/>
              <w:rPr>
                <w:sz w:val="18"/>
                <w:szCs w:val="18"/>
                <w:lang w:val="en-NZ" w:eastAsia="en-NZ"/>
              </w:rPr>
            </w:pPr>
          </w:p>
        </w:tc>
        <w:tc>
          <w:tcPr>
            <w:tcW w:w="1180" w:type="dxa"/>
            <w:noWrap/>
            <w:hideMark/>
          </w:tcPr>
          <w:p w14:paraId="7037B936" w14:textId="77777777" w:rsidR="00393D24" w:rsidRPr="00A03AE2" w:rsidRDefault="00393D24" w:rsidP="00E716F8">
            <w:pPr>
              <w:spacing w:after="0" w:line="240" w:lineRule="auto"/>
              <w:jc w:val="right"/>
              <w:rPr>
                <w:color w:val="000000"/>
                <w:sz w:val="18"/>
                <w:szCs w:val="18"/>
                <w:lang w:val="en-NZ" w:eastAsia="en-NZ"/>
              </w:rPr>
            </w:pPr>
            <w:r w:rsidRPr="00A03AE2">
              <w:rPr>
                <w:color w:val="000000"/>
                <w:sz w:val="18"/>
                <w:szCs w:val="18"/>
                <w:lang w:val="en-NZ" w:eastAsia="en-NZ"/>
              </w:rPr>
              <w:t>1</w:t>
            </w:r>
          </w:p>
        </w:tc>
      </w:tr>
      <w:tr w:rsidR="00393D24" w:rsidRPr="00A03AE2" w14:paraId="0065DC7D" w14:textId="77777777" w:rsidTr="00E716F8">
        <w:trPr>
          <w:trHeight w:val="20"/>
        </w:trPr>
        <w:tc>
          <w:tcPr>
            <w:tcW w:w="1620" w:type="dxa"/>
            <w:noWrap/>
            <w:hideMark/>
          </w:tcPr>
          <w:p w14:paraId="58CBAF16" w14:textId="77777777" w:rsidR="00393D24" w:rsidRPr="00A03AE2" w:rsidRDefault="00393D24" w:rsidP="00E716F8">
            <w:pPr>
              <w:spacing w:after="0" w:line="240" w:lineRule="auto"/>
              <w:rPr>
                <w:color w:val="000000"/>
                <w:sz w:val="18"/>
                <w:szCs w:val="18"/>
                <w:lang w:val="en-NZ" w:eastAsia="en-NZ"/>
              </w:rPr>
            </w:pPr>
            <w:r w:rsidRPr="00A03AE2">
              <w:rPr>
                <w:color w:val="000000"/>
                <w:sz w:val="18"/>
                <w:szCs w:val="18"/>
                <w:lang w:val="en-NZ" w:eastAsia="en-NZ"/>
              </w:rPr>
              <w:t>Nigeria</w:t>
            </w:r>
          </w:p>
        </w:tc>
        <w:tc>
          <w:tcPr>
            <w:tcW w:w="814" w:type="dxa"/>
            <w:noWrap/>
            <w:hideMark/>
          </w:tcPr>
          <w:p w14:paraId="1908D349" w14:textId="77777777" w:rsidR="00393D24" w:rsidRPr="00A03AE2" w:rsidRDefault="00393D24" w:rsidP="00E716F8">
            <w:pPr>
              <w:spacing w:after="0" w:line="240" w:lineRule="auto"/>
              <w:jc w:val="center"/>
              <w:rPr>
                <w:color w:val="000000"/>
                <w:sz w:val="18"/>
                <w:szCs w:val="18"/>
                <w:lang w:val="en-NZ" w:eastAsia="en-NZ"/>
              </w:rPr>
            </w:pPr>
          </w:p>
        </w:tc>
        <w:tc>
          <w:tcPr>
            <w:tcW w:w="815" w:type="dxa"/>
            <w:noWrap/>
            <w:hideMark/>
          </w:tcPr>
          <w:p w14:paraId="029E4767"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2</w:t>
            </w:r>
          </w:p>
        </w:tc>
        <w:tc>
          <w:tcPr>
            <w:tcW w:w="814" w:type="dxa"/>
            <w:noWrap/>
            <w:hideMark/>
          </w:tcPr>
          <w:p w14:paraId="0D25F085"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1</w:t>
            </w:r>
          </w:p>
        </w:tc>
        <w:tc>
          <w:tcPr>
            <w:tcW w:w="815" w:type="dxa"/>
            <w:noWrap/>
            <w:hideMark/>
          </w:tcPr>
          <w:p w14:paraId="0388D758" w14:textId="77777777" w:rsidR="00393D24" w:rsidRPr="00A03AE2" w:rsidRDefault="00393D24" w:rsidP="00E716F8">
            <w:pPr>
              <w:spacing w:after="0" w:line="240" w:lineRule="auto"/>
              <w:jc w:val="center"/>
              <w:rPr>
                <w:color w:val="000000"/>
                <w:sz w:val="18"/>
                <w:szCs w:val="18"/>
                <w:lang w:val="en-NZ" w:eastAsia="en-NZ"/>
              </w:rPr>
            </w:pPr>
          </w:p>
        </w:tc>
        <w:tc>
          <w:tcPr>
            <w:tcW w:w="1180" w:type="dxa"/>
            <w:noWrap/>
            <w:hideMark/>
          </w:tcPr>
          <w:p w14:paraId="33B9F7D8" w14:textId="77777777" w:rsidR="00393D24" w:rsidRPr="00A03AE2" w:rsidRDefault="00393D24" w:rsidP="00E716F8">
            <w:pPr>
              <w:spacing w:after="0" w:line="240" w:lineRule="auto"/>
              <w:jc w:val="right"/>
              <w:rPr>
                <w:color w:val="000000"/>
                <w:sz w:val="18"/>
                <w:szCs w:val="18"/>
                <w:lang w:val="en-NZ" w:eastAsia="en-NZ"/>
              </w:rPr>
            </w:pPr>
            <w:r w:rsidRPr="00A03AE2">
              <w:rPr>
                <w:color w:val="000000"/>
                <w:sz w:val="18"/>
                <w:szCs w:val="18"/>
                <w:lang w:val="en-NZ" w:eastAsia="en-NZ"/>
              </w:rPr>
              <w:t>3</w:t>
            </w:r>
          </w:p>
        </w:tc>
      </w:tr>
      <w:tr w:rsidR="00393D24" w:rsidRPr="00A03AE2" w14:paraId="6D5F8984" w14:textId="77777777" w:rsidTr="00E716F8">
        <w:trPr>
          <w:trHeight w:val="20"/>
        </w:trPr>
        <w:tc>
          <w:tcPr>
            <w:tcW w:w="1620" w:type="dxa"/>
            <w:noWrap/>
            <w:hideMark/>
          </w:tcPr>
          <w:p w14:paraId="5EC84AC6" w14:textId="77777777" w:rsidR="00393D24" w:rsidRPr="00A03AE2" w:rsidRDefault="00393D24" w:rsidP="00E716F8">
            <w:pPr>
              <w:spacing w:after="0" w:line="240" w:lineRule="auto"/>
              <w:rPr>
                <w:color w:val="000000"/>
                <w:sz w:val="18"/>
                <w:szCs w:val="18"/>
                <w:lang w:val="en-NZ" w:eastAsia="en-NZ"/>
              </w:rPr>
            </w:pPr>
            <w:r w:rsidRPr="00A03AE2">
              <w:rPr>
                <w:color w:val="000000"/>
                <w:sz w:val="18"/>
                <w:szCs w:val="18"/>
                <w:lang w:val="en-NZ" w:eastAsia="en-NZ"/>
              </w:rPr>
              <w:t>South Africa</w:t>
            </w:r>
          </w:p>
        </w:tc>
        <w:tc>
          <w:tcPr>
            <w:tcW w:w="814" w:type="dxa"/>
            <w:noWrap/>
            <w:hideMark/>
          </w:tcPr>
          <w:p w14:paraId="44E983F1"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2</w:t>
            </w:r>
          </w:p>
        </w:tc>
        <w:tc>
          <w:tcPr>
            <w:tcW w:w="815" w:type="dxa"/>
            <w:noWrap/>
            <w:hideMark/>
          </w:tcPr>
          <w:p w14:paraId="4D779FFF"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2</w:t>
            </w:r>
          </w:p>
        </w:tc>
        <w:tc>
          <w:tcPr>
            <w:tcW w:w="814" w:type="dxa"/>
            <w:noWrap/>
            <w:hideMark/>
          </w:tcPr>
          <w:p w14:paraId="0141E59D" w14:textId="77777777" w:rsidR="00393D24" w:rsidRPr="00A03AE2" w:rsidRDefault="00393D24" w:rsidP="00E716F8">
            <w:pPr>
              <w:spacing w:after="0" w:line="240" w:lineRule="auto"/>
              <w:jc w:val="center"/>
              <w:rPr>
                <w:color w:val="000000"/>
                <w:sz w:val="18"/>
                <w:szCs w:val="18"/>
                <w:lang w:val="en-NZ" w:eastAsia="en-NZ"/>
              </w:rPr>
            </w:pPr>
          </w:p>
        </w:tc>
        <w:tc>
          <w:tcPr>
            <w:tcW w:w="815" w:type="dxa"/>
            <w:noWrap/>
            <w:hideMark/>
          </w:tcPr>
          <w:p w14:paraId="581261B2" w14:textId="77777777" w:rsidR="00393D24" w:rsidRPr="00A03AE2" w:rsidRDefault="00393D24" w:rsidP="00E716F8">
            <w:pPr>
              <w:spacing w:after="0" w:line="240" w:lineRule="auto"/>
              <w:jc w:val="center"/>
              <w:rPr>
                <w:color w:val="000000"/>
                <w:sz w:val="18"/>
                <w:szCs w:val="18"/>
                <w:lang w:val="en-NZ" w:eastAsia="en-NZ"/>
              </w:rPr>
            </w:pPr>
            <w:r w:rsidRPr="00A03AE2">
              <w:rPr>
                <w:color w:val="000000"/>
                <w:sz w:val="18"/>
                <w:szCs w:val="18"/>
                <w:lang w:val="en-NZ" w:eastAsia="en-NZ"/>
              </w:rPr>
              <w:t>1</w:t>
            </w:r>
          </w:p>
        </w:tc>
        <w:tc>
          <w:tcPr>
            <w:tcW w:w="1180" w:type="dxa"/>
            <w:noWrap/>
            <w:hideMark/>
          </w:tcPr>
          <w:p w14:paraId="543AC334" w14:textId="77777777" w:rsidR="00393D24" w:rsidRPr="00A03AE2" w:rsidRDefault="00393D24" w:rsidP="00E716F8">
            <w:pPr>
              <w:spacing w:after="0" w:line="240" w:lineRule="auto"/>
              <w:jc w:val="right"/>
              <w:rPr>
                <w:color w:val="000000"/>
                <w:sz w:val="18"/>
                <w:szCs w:val="18"/>
                <w:lang w:val="en-NZ" w:eastAsia="en-NZ"/>
              </w:rPr>
            </w:pPr>
            <w:r w:rsidRPr="00A03AE2">
              <w:rPr>
                <w:color w:val="000000"/>
                <w:sz w:val="18"/>
                <w:szCs w:val="18"/>
                <w:lang w:val="en-NZ" w:eastAsia="en-NZ"/>
              </w:rPr>
              <w:t>5</w:t>
            </w:r>
          </w:p>
        </w:tc>
      </w:tr>
      <w:tr w:rsidR="00393D24" w:rsidRPr="00ED3303" w14:paraId="251D78D1" w14:textId="77777777" w:rsidTr="00E716F8">
        <w:trPr>
          <w:trHeight w:val="20"/>
        </w:trPr>
        <w:tc>
          <w:tcPr>
            <w:tcW w:w="1620" w:type="dxa"/>
            <w:noWrap/>
            <w:hideMark/>
          </w:tcPr>
          <w:p w14:paraId="052B6ED0" w14:textId="77777777" w:rsidR="00393D24" w:rsidRPr="00A03AE2" w:rsidRDefault="00393D24" w:rsidP="00E716F8">
            <w:pPr>
              <w:spacing w:after="0" w:line="240" w:lineRule="auto"/>
              <w:rPr>
                <w:b/>
                <w:bCs/>
                <w:color w:val="000000"/>
                <w:sz w:val="18"/>
                <w:szCs w:val="18"/>
                <w:lang w:val="en-NZ" w:eastAsia="en-NZ"/>
              </w:rPr>
            </w:pPr>
            <w:r w:rsidRPr="00A03AE2">
              <w:rPr>
                <w:b/>
                <w:bCs/>
                <w:color w:val="000000"/>
                <w:sz w:val="18"/>
                <w:szCs w:val="18"/>
                <w:lang w:val="en-NZ" w:eastAsia="en-NZ"/>
              </w:rPr>
              <w:t>Total</w:t>
            </w:r>
          </w:p>
        </w:tc>
        <w:tc>
          <w:tcPr>
            <w:tcW w:w="814" w:type="dxa"/>
            <w:noWrap/>
            <w:hideMark/>
          </w:tcPr>
          <w:p w14:paraId="6E46DDBA" w14:textId="77777777" w:rsidR="00393D24" w:rsidRPr="00A03AE2" w:rsidRDefault="00393D24" w:rsidP="00E716F8">
            <w:pPr>
              <w:spacing w:after="0" w:line="240" w:lineRule="auto"/>
              <w:jc w:val="center"/>
              <w:rPr>
                <w:b/>
                <w:bCs/>
                <w:color w:val="000000"/>
                <w:sz w:val="18"/>
                <w:szCs w:val="18"/>
                <w:lang w:val="en-NZ" w:eastAsia="en-NZ"/>
              </w:rPr>
            </w:pPr>
            <w:r w:rsidRPr="00A03AE2">
              <w:rPr>
                <w:b/>
                <w:bCs/>
                <w:color w:val="000000"/>
                <w:sz w:val="18"/>
                <w:szCs w:val="18"/>
                <w:lang w:val="en-NZ" w:eastAsia="en-NZ"/>
              </w:rPr>
              <w:t>3</w:t>
            </w:r>
          </w:p>
        </w:tc>
        <w:tc>
          <w:tcPr>
            <w:tcW w:w="815" w:type="dxa"/>
            <w:noWrap/>
            <w:hideMark/>
          </w:tcPr>
          <w:p w14:paraId="2FB5234E" w14:textId="77777777" w:rsidR="00393D24" w:rsidRPr="00A03AE2" w:rsidRDefault="00393D24" w:rsidP="00E716F8">
            <w:pPr>
              <w:spacing w:after="0" w:line="240" w:lineRule="auto"/>
              <w:jc w:val="center"/>
              <w:rPr>
                <w:b/>
                <w:bCs/>
                <w:color w:val="000000"/>
                <w:sz w:val="18"/>
                <w:szCs w:val="18"/>
                <w:lang w:val="en-NZ" w:eastAsia="en-NZ"/>
              </w:rPr>
            </w:pPr>
            <w:r w:rsidRPr="00A03AE2">
              <w:rPr>
                <w:b/>
                <w:bCs/>
                <w:color w:val="000000"/>
                <w:sz w:val="18"/>
                <w:szCs w:val="18"/>
                <w:lang w:val="en-NZ" w:eastAsia="en-NZ"/>
              </w:rPr>
              <w:t>5</w:t>
            </w:r>
          </w:p>
        </w:tc>
        <w:tc>
          <w:tcPr>
            <w:tcW w:w="814" w:type="dxa"/>
            <w:noWrap/>
            <w:hideMark/>
          </w:tcPr>
          <w:p w14:paraId="53182F31" w14:textId="77777777" w:rsidR="00393D24" w:rsidRPr="00A03AE2" w:rsidRDefault="00393D24" w:rsidP="00E716F8">
            <w:pPr>
              <w:spacing w:after="0" w:line="240" w:lineRule="auto"/>
              <w:jc w:val="center"/>
              <w:rPr>
                <w:b/>
                <w:bCs/>
                <w:color w:val="000000"/>
                <w:sz w:val="18"/>
                <w:szCs w:val="18"/>
                <w:lang w:val="en-NZ" w:eastAsia="en-NZ"/>
              </w:rPr>
            </w:pPr>
            <w:r w:rsidRPr="00A03AE2">
              <w:rPr>
                <w:b/>
                <w:bCs/>
                <w:color w:val="000000"/>
                <w:sz w:val="18"/>
                <w:szCs w:val="18"/>
                <w:lang w:val="en-NZ" w:eastAsia="en-NZ"/>
              </w:rPr>
              <w:t>4</w:t>
            </w:r>
          </w:p>
        </w:tc>
        <w:tc>
          <w:tcPr>
            <w:tcW w:w="815" w:type="dxa"/>
            <w:noWrap/>
            <w:hideMark/>
          </w:tcPr>
          <w:p w14:paraId="61D74C0E" w14:textId="77777777" w:rsidR="00393D24" w:rsidRPr="00A03AE2" w:rsidRDefault="00393D24" w:rsidP="00E716F8">
            <w:pPr>
              <w:spacing w:after="0" w:line="240" w:lineRule="auto"/>
              <w:jc w:val="center"/>
              <w:rPr>
                <w:b/>
                <w:bCs/>
                <w:color w:val="000000"/>
                <w:sz w:val="18"/>
                <w:szCs w:val="18"/>
                <w:lang w:val="en-NZ" w:eastAsia="en-NZ"/>
              </w:rPr>
            </w:pPr>
            <w:r w:rsidRPr="00A03AE2">
              <w:rPr>
                <w:b/>
                <w:bCs/>
                <w:color w:val="000000"/>
                <w:sz w:val="18"/>
                <w:szCs w:val="18"/>
                <w:lang w:val="en-NZ" w:eastAsia="en-NZ"/>
              </w:rPr>
              <w:t>6</w:t>
            </w:r>
          </w:p>
        </w:tc>
        <w:tc>
          <w:tcPr>
            <w:tcW w:w="1180" w:type="dxa"/>
            <w:noWrap/>
            <w:hideMark/>
          </w:tcPr>
          <w:p w14:paraId="1B8DAC73" w14:textId="77777777" w:rsidR="00393D24" w:rsidRPr="00A03AE2" w:rsidRDefault="00393D24" w:rsidP="00E716F8">
            <w:pPr>
              <w:spacing w:after="0" w:line="240" w:lineRule="auto"/>
              <w:jc w:val="right"/>
              <w:rPr>
                <w:b/>
                <w:bCs/>
                <w:color w:val="000000"/>
                <w:sz w:val="18"/>
                <w:szCs w:val="18"/>
                <w:lang w:val="en-NZ" w:eastAsia="en-NZ"/>
              </w:rPr>
            </w:pPr>
            <w:r w:rsidRPr="00A03AE2">
              <w:rPr>
                <w:b/>
                <w:bCs/>
                <w:color w:val="000000"/>
                <w:sz w:val="18"/>
                <w:szCs w:val="18"/>
                <w:lang w:val="en-NZ" w:eastAsia="en-NZ"/>
              </w:rPr>
              <w:t>18</w:t>
            </w:r>
          </w:p>
        </w:tc>
      </w:tr>
    </w:tbl>
    <w:p w14:paraId="76B0B6E0" w14:textId="77777777" w:rsidR="00393D24" w:rsidRDefault="00393D24" w:rsidP="00393D24">
      <w:pPr>
        <w:pStyle w:val="Normal0"/>
        <w:rPr>
          <w:rFonts w:ascii="Segoe UI" w:hAnsi="Segoe UI" w:cs="Segoe UI"/>
          <w:sz w:val="20"/>
          <w:szCs w:val="20"/>
        </w:rPr>
      </w:pPr>
    </w:p>
    <w:p w14:paraId="74649E1E" w14:textId="79A2232E" w:rsidR="00393D24" w:rsidRDefault="00393D24" w:rsidP="00772D57">
      <w:r>
        <w:t>T</w:t>
      </w:r>
      <w:r w:rsidR="00EB2F4A">
        <w:t xml:space="preserve">hirteen </w:t>
      </w:r>
      <w:r>
        <w:t>fellows (</w:t>
      </w:r>
      <w:r w:rsidR="00EB2F4A">
        <w:t>9</w:t>
      </w:r>
      <w:r>
        <w:t xml:space="preserve"> male/4 female), seven supervisors (6 male/1 female) and four University representatives (1 male/3 female) </w:t>
      </w:r>
      <w:r w:rsidRPr="00010E04">
        <w:t>participated in an interview</w:t>
      </w:r>
      <w:r>
        <w:rPr>
          <w:rStyle w:val="FootnoteReference"/>
          <w:rFonts w:ascii="Arial" w:hAnsi="Arial" w:cs="Arial"/>
        </w:rPr>
        <w:footnoteReference w:id="65"/>
      </w:r>
      <w:r w:rsidRPr="00010E04">
        <w:t xml:space="preserve"> for this evaluation. At the time of </w:t>
      </w:r>
      <w:r w:rsidRPr="00010E04">
        <w:lastRenderedPageBreak/>
        <w:t>interview</w:t>
      </w:r>
      <w:r>
        <w:t>, two</w:t>
      </w:r>
      <w:r w:rsidRPr="00010E04">
        <w:t xml:space="preserve"> </w:t>
      </w:r>
      <w:r>
        <w:t xml:space="preserve">fellows </w:t>
      </w:r>
      <w:r w:rsidRPr="00010E04">
        <w:t>had retur</w:t>
      </w:r>
      <w:r>
        <w:t>ned to their home institution after their time in Australia, seven were in Australia and three</w:t>
      </w:r>
      <w:r w:rsidRPr="00010E04">
        <w:t xml:space="preserve"> were yet to mobilise to Australia. </w:t>
      </w:r>
    </w:p>
    <w:p w14:paraId="5312D0B8" w14:textId="77777777" w:rsidR="00393D24" w:rsidRDefault="00393D24" w:rsidP="00393D24">
      <w:r>
        <w:t xml:space="preserve">Postdoctoral fellows found out about the postdoctoral fellowship pilot through University networks (for example, colleagues and emails about research opportunities), online searches for research opportunities and information sessions provided by Palladium at their University. Two fellows mentioned hearing about the opportunity through AAUN networks. </w:t>
      </w:r>
    </w:p>
    <w:p w14:paraId="13DE0B5F" w14:textId="77777777" w:rsidR="00393D24" w:rsidRDefault="00393D24" w:rsidP="00393D24">
      <w:r>
        <w:t xml:space="preserve">Postdoctoral fellows reached out through their own or their home university’s professional networks to identify Australian tertiary institutions or researchers in their relevant field of interest. The fellows then made contact and facilitated their own placements once successful with their fellowship application. Fellows and supervisors interviewed noted this was a standard process for research collaborations across Universities and was not less or more onerous than other research funding applications and processes. </w:t>
      </w:r>
    </w:p>
    <w:p w14:paraId="4866FDE6" w14:textId="77777777" w:rsidR="00393D24" w:rsidRDefault="00393D24" w:rsidP="00EE174C">
      <w:pPr>
        <w:pStyle w:val="NormalBeforeBullet"/>
      </w:pPr>
      <w:r>
        <w:t>Fellows and supervisors noted the follow</w:t>
      </w:r>
      <w:r w:rsidR="00881BBD">
        <w:t>ing</w:t>
      </w:r>
      <w:r>
        <w:t xml:space="preserve"> benefits have been derived to date through participation in the postdoctoral fellowship pilot:</w:t>
      </w:r>
    </w:p>
    <w:p w14:paraId="322737D9" w14:textId="77777777" w:rsidR="00393D24" w:rsidRDefault="00393D24" w:rsidP="00EE174C">
      <w:pPr>
        <w:pStyle w:val="Bullet"/>
      </w:pPr>
      <w:r>
        <w:t xml:space="preserve">Working with </w:t>
      </w:r>
      <w:proofErr w:type="gramStart"/>
      <w:r>
        <w:t>internationally-renowned</w:t>
      </w:r>
      <w:proofErr w:type="gramEnd"/>
      <w:r>
        <w:t xml:space="preserve"> researchers in agriculture, animal sciences, climatology, planetary and space science. </w:t>
      </w:r>
    </w:p>
    <w:p w14:paraId="25964AC3" w14:textId="77777777" w:rsidR="00393D24" w:rsidRDefault="00881BBD" w:rsidP="00EE174C">
      <w:pPr>
        <w:pStyle w:val="Bullet"/>
      </w:pPr>
      <w:r>
        <w:t xml:space="preserve">The </w:t>
      </w:r>
      <w:r w:rsidR="00393D24" w:rsidRPr="00AC0BC8">
        <w:t>fellowship enabled much faster progress than would otherwise have been achieved</w:t>
      </w:r>
      <w:r>
        <w:t xml:space="preserve"> with the research project</w:t>
      </w:r>
      <w:r w:rsidR="00393D24" w:rsidRPr="00AC0BC8">
        <w:t xml:space="preserve">. </w:t>
      </w:r>
    </w:p>
    <w:p w14:paraId="11BEE6E5" w14:textId="77777777" w:rsidR="00393D24" w:rsidRDefault="00393D24" w:rsidP="00EE174C">
      <w:pPr>
        <w:pStyle w:val="Bullet"/>
      </w:pPr>
      <w:r>
        <w:t xml:space="preserve">Access to </w:t>
      </w:r>
      <w:r w:rsidRPr="005A0225">
        <w:t>laboratory facilities and/or techniques and tools not available at home institutions. For example, climate modelling software and plant genetics diagnostic tools.</w:t>
      </w:r>
      <w:r>
        <w:t xml:space="preserve"> </w:t>
      </w:r>
    </w:p>
    <w:p w14:paraId="63ACA0AD" w14:textId="77777777" w:rsidR="00393D24" w:rsidRDefault="00393D24" w:rsidP="00EE174C">
      <w:pPr>
        <w:pStyle w:val="Bullet"/>
      </w:pPr>
      <w:r>
        <w:t>Enhanced knowledge through exposure to Australia tertiary institution research and teaching practices, and opportunity to co-supervise doctorate candidates.</w:t>
      </w:r>
    </w:p>
    <w:p w14:paraId="709D039B" w14:textId="7D2702A7" w:rsidR="00393D24" w:rsidRPr="005A0225" w:rsidRDefault="00393D24" w:rsidP="00EE174C">
      <w:pPr>
        <w:pStyle w:val="BulletLast"/>
        <w:rPr>
          <w:rFonts w:ascii="Calibri" w:hAnsi="Calibri"/>
        </w:rPr>
      </w:pPr>
      <w:r>
        <w:t xml:space="preserve">Establishing new and deepening existing research collaborations with Australian tertiary institutions: most of the research projects involved new collaborations with Australian tertiary institutions, with </w:t>
      </w:r>
      <w:r w:rsidR="00EB2F4A">
        <w:t xml:space="preserve">five </w:t>
      </w:r>
      <w:r>
        <w:t>projects linked to an existing research collaboration involving an Australia tertiary institution. Two of the research projects involve more than one African University.</w:t>
      </w:r>
    </w:p>
    <w:p w14:paraId="52A04DB0" w14:textId="77777777" w:rsidR="00393D24" w:rsidRPr="005A0225" w:rsidRDefault="00393D24" w:rsidP="00EE174C">
      <w:pPr>
        <w:pStyle w:val="NormalBeforeBullet"/>
      </w:pPr>
      <w:r>
        <w:t xml:space="preserve">Fellows and supervisors noted they expect the following to occur in future </w:t>
      </w:r>
      <w:proofErr w:type="gramStart"/>
      <w:r>
        <w:t>as a result of</w:t>
      </w:r>
      <w:proofErr w:type="gramEnd"/>
      <w:r>
        <w:t xml:space="preserve"> the postdoctoral fellowships</w:t>
      </w:r>
      <w:r w:rsidRPr="005A0225">
        <w:t>:</w:t>
      </w:r>
    </w:p>
    <w:p w14:paraId="6AD146DB" w14:textId="77777777" w:rsidR="00393D24" w:rsidRDefault="00393D24" w:rsidP="00EE174C">
      <w:pPr>
        <w:pStyle w:val="Bullet"/>
      </w:pPr>
      <w:r>
        <w:t>Extending research collaborations to bring in other institutions/researchers in Australia and globally.</w:t>
      </w:r>
    </w:p>
    <w:p w14:paraId="79982B4D" w14:textId="77777777" w:rsidR="00393D24" w:rsidRDefault="00393D24" w:rsidP="00EE174C">
      <w:pPr>
        <w:pStyle w:val="Bullet"/>
      </w:pPr>
      <w:r>
        <w:t>Publications: one research paper is currently being peer reviewed for publication.</w:t>
      </w:r>
    </w:p>
    <w:p w14:paraId="5DC230F7" w14:textId="77777777" w:rsidR="00393D24" w:rsidRDefault="00393D24" w:rsidP="00EE174C">
      <w:pPr>
        <w:pStyle w:val="BulletLast"/>
      </w:pPr>
      <w:r>
        <w:t>Apply for research grants (in home country, Australia and internationally) with Australian researchers</w:t>
      </w:r>
    </w:p>
    <w:p w14:paraId="7DDD67A4" w14:textId="77777777" w:rsidR="00393D24" w:rsidRPr="00EE174C" w:rsidRDefault="00393D24" w:rsidP="00EE174C">
      <w:pPr>
        <w:pStyle w:val="NormalBeforeBullet"/>
      </w:pPr>
      <w:r w:rsidRPr="00EE174C">
        <w:t xml:space="preserve">Fellows and supervisors were very positive about their experience of the postdoctoral fellowships, and wholly supportive of this type of modality continuing past the pilot phase. They noted the following important considerations for future delivery of the postdoctoral fellowships: </w:t>
      </w:r>
    </w:p>
    <w:p w14:paraId="31DDFEB5" w14:textId="77777777" w:rsidR="00393D24" w:rsidRDefault="00393D24" w:rsidP="00EE174C">
      <w:pPr>
        <w:pStyle w:val="Bullet"/>
        <w:rPr>
          <w:lang w:val="en-ZA" w:eastAsia="en-NZ"/>
        </w:rPr>
      </w:pPr>
      <w:r w:rsidRPr="00B269EA">
        <w:rPr>
          <w:lang w:val="en-ZA" w:eastAsia="en-NZ"/>
        </w:rPr>
        <w:t xml:space="preserve">The length of the </w:t>
      </w:r>
      <w:r>
        <w:rPr>
          <w:lang w:val="en-ZA" w:eastAsia="en-NZ"/>
        </w:rPr>
        <w:t>f</w:t>
      </w:r>
      <w:r w:rsidRPr="00B269EA">
        <w:rPr>
          <w:lang w:val="en-ZA" w:eastAsia="en-NZ"/>
        </w:rPr>
        <w:t xml:space="preserve">ellowship was advertised as being up to two years, comprising research components in both Australia and Ghana, </w:t>
      </w:r>
      <w:proofErr w:type="gramStart"/>
      <w:r w:rsidRPr="00B269EA">
        <w:rPr>
          <w:lang w:val="en-ZA" w:eastAsia="en-NZ"/>
        </w:rPr>
        <w:t>Kenya</w:t>
      </w:r>
      <w:proofErr w:type="gramEnd"/>
      <w:r w:rsidRPr="00B269EA">
        <w:rPr>
          <w:lang w:val="en-ZA" w:eastAsia="en-NZ"/>
        </w:rPr>
        <w:t xml:space="preserve"> or South Africa, but limited to 12 months in Australia</w:t>
      </w:r>
      <w:r>
        <w:rPr>
          <w:lang w:val="en-ZA" w:eastAsia="en-NZ"/>
        </w:rPr>
        <w:t xml:space="preserve"> (in one stay)</w:t>
      </w:r>
      <w:r w:rsidRPr="00B269EA">
        <w:rPr>
          <w:lang w:val="en-ZA" w:eastAsia="en-NZ"/>
        </w:rPr>
        <w:t xml:space="preserve">. </w:t>
      </w:r>
      <w:r>
        <w:rPr>
          <w:lang w:val="en-ZA" w:eastAsia="en-NZ"/>
        </w:rPr>
        <w:t>This raised several issues:</w:t>
      </w:r>
    </w:p>
    <w:p w14:paraId="2C81309C" w14:textId="77777777" w:rsidR="00393D24" w:rsidRDefault="00393D24" w:rsidP="00EE174C">
      <w:pPr>
        <w:pStyle w:val="Dash"/>
        <w:rPr>
          <w:lang w:val="en-ZA" w:eastAsia="en-NZ"/>
        </w:rPr>
      </w:pPr>
      <w:r>
        <w:rPr>
          <w:lang w:val="en-ZA" w:eastAsia="en-NZ"/>
        </w:rPr>
        <w:t xml:space="preserve">All bar one fellow interviewed noted the process for undertaking research (for example, fieldwork, data analysis and collaboration with researchers in home and host tertiary institutions) may require regular (but shorter) trips between Australia and Africa than is currently permissible under the pilot’s “one year in Australia/one year in Africa” model. </w:t>
      </w:r>
    </w:p>
    <w:p w14:paraId="733295C1" w14:textId="77777777" w:rsidR="00393D24" w:rsidRPr="00901C9C" w:rsidRDefault="00393D24" w:rsidP="00EE174C">
      <w:pPr>
        <w:pStyle w:val="Dash"/>
        <w:rPr>
          <w:lang w:val="en-ZA" w:eastAsia="en-NZ"/>
        </w:rPr>
      </w:pPr>
      <w:r w:rsidRPr="00901C9C">
        <w:rPr>
          <w:lang w:val="en-ZA" w:eastAsia="en-NZ"/>
        </w:rPr>
        <w:lastRenderedPageBreak/>
        <w:t xml:space="preserve">For a third of the fellows and supervisors interviewed </w:t>
      </w:r>
      <w:r>
        <w:rPr>
          <w:lang w:val="en-ZA" w:eastAsia="en-NZ"/>
        </w:rPr>
        <w:t xml:space="preserve">there was </w:t>
      </w:r>
      <w:r w:rsidRPr="00901C9C">
        <w:rPr>
          <w:lang w:val="en-ZA" w:eastAsia="en-NZ"/>
        </w:rPr>
        <w:t xml:space="preserve">an expectation that there would be support for research within Ghana, Kenya or South Africa as well as Australia. This misunderstanding about the support available under the pilot was clarified during or after the application process and prior to mobilisation. </w:t>
      </w:r>
      <w:r>
        <w:rPr>
          <w:lang w:val="en-ZA" w:eastAsia="en-NZ"/>
        </w:rPr>
        <w:t xml:space="preserve">It does however raise an important consideration about how the fellowships are explained to applicants, and to what extent participating African universities are expected to provide funding for the additional twelve months of the postdoctoral fellowship (see following discussion point). </w:t>
      </w:r>
    </w:p>
    <w:p w14:paraId="76A7F915" w14:textId="77777777" w:rsidR="00393D24" w:rsidRPr="00EE174C" w:rsidRDefault="00393D24" w:rsidP="00EE174C">
      <w:pPr>
        <w:pStyle w:val="Bullet"/>
        <w:rPr>
          <w:lang w:val="en-ZA" w:eastAsia="en-NZ"/>
        </w:rPr>
      </w:pPr>
      <w:r w:rsidRPr="00EE174C">
        <w:rPr>
          <w:lang w:val="en-ZA" w:eastAsia="en-NZ"/>
        </w:rPr>
        <w:t>The participating Universities have different contexts which do not necessarily support the assumption in the pilot modality that fellows will be provided with support for a year of research at their home institutions:</w:t>
      </w:r>
    </w:p>
    <w:p w14:paraId="250B9118" w14:textId="77777777" w:rsidR="00393D24" w:rsidRPr="00EE174C" w:rsidRDefault="00393D24" w:rsidP="00EE174C">
      <w:pPr>
        <w:pStyle w:val="Dash"/>
        <w:rPr>
          <w:lang w:val="en-ZA" w:eastAsia="en-NZ"/>
        </w:rPr>
      </w:pPr>
      <w:r>
        <w:t xml:space="preserve">University of Nairobi does not have a recognised postdoctoral program whereby staff are </w:t>
      </w:r>
      <w:r w:rsidRPr="00EE174C">
        <w:rPr>
          <w:lang w:val="en-ZA" w:eastAsia="en-NZ"/>
        </w:rPr>
        <w:t xml:space="preserve">released from teaching duties to undertake fieldwork (for those staff that are not eligible for sabbatical, they need to negotiate personal leave), and then provided with funds to continue research at the University. </w:t>
      </w:r>
    </w:p>
    <w:p w14:paraId="47C9FFF0" w14:textId="77777777" w:rsidR="00393D24" w:rsidRPr="00F92A7A" w:rsidRDefault="00393D24" w:rsidP="00EE174C">
      <w:pPr>
        <w:pStyle w:val="Dash"/>
        <w:rPr>
          <w:lang w:val="en-ZA" w:eastAsia="en-NZ"/>
        </w:rPr>
      </w:pPr>
      <w:r w:rsidRPr="00EE174C">
        <w:rPr>
          <w:lang w:val="en-ZA" w:eastAsia="en-NZ"/>
        </w:rPr>
        <w:t xml:space="preserve">Experiences of postdoctoral fellows in South Africa appear to differ depending on whether they have a teaching or research position prior to going to Australia. For those not being released from a teaching position, they are required to secured teaching positions or funds for further research. Constraints in the research funding environment in South Africa (including anecdotal evidence that research funding levels have fallen significantly in recent years) were noted as severely </w:t>
      </w:r>
      <w:r w:rsidRPr="00F92A7A">
        <w:rPr>
          <w:lang w:val="en-ZA" w:eastAsia="en-NZ"/>
        </w:rPr>
        <w:t xml:space="preserve">limiting future research options for fellows. </w:t>
      </w:r>
    </w:p>
    <w:p w14:paraId="2B6C7933" w14:textId="77777777" w:rsidR="00881BBD" w:rsidRPr="00F92A7A" w:rsidRDefault="00881BBD" w:rsidP="00F92A7A">
      <w:pPr>
        <w:pStyle w:val="Bullet"/>
      </w:pPr>
      <w:r w:rsidRPr="00F92A7A">
        <w:t>Sustainability of research and research collaborations</w:t>
      </w:r>
      <w:r w:rsidR="00F92A7A" w:rsidRPr="00F92A7A">
        <w:t xml:space="preserve"> – support for researchers </w:t>
      </w:r>
      <w:r w:rsidRPr="00F92A7A">
        <w:rPr>
          <w:lang w:val="en-ZA" w:eastAsia="en-NZ"/>
        </w:rPr>
        <w:t xml:space="preserve">from Australia </w:t>
      </w:r>
      <w:r w:rsidR="00F92A7A" w:rsidRPr="00F92A7A">
        <w:rPr>
          <w:lang w:val="en-ZA" w:eastAsia="en-NZ"/>
        </w:rPr>
        <w:t xml:space="preserve">to work </w:t>
      </w:r>
      <w:r w:rsidRPr="00F92A7A">
        <w:rPr>
          <w:lang w:val="en-ZA" w:eastAsia="en-NZ"/>
        </w:rPr>
        <w:t>with researchers in Africa – this would build research collaboration</w:t>
      </w:r>
      <w:r w:rsidRPr="00F92A7A">
        <w:t xml:space="preserve"> and enable students and others to present research.</w:t>
      </w:r>
    </w:p>
    <w:p w14:paraId="7B72594A" w14:textId="175D044E" w:rsidR="00393D24" w:rsidRPr="001C754B" w:rsidRDefault="00393D24" w:rsidP="001C754B">
      <w:pPr>
        <w:pStyle w:val="Bullet"/>
        <w:rPr>
          <w:lang w:val="en-ZA" w:eastAsia="en-NZ"/>
        </w:rPr>
      </w:pPr>
      <w:r w:rsidRPr="00F92A7A">
        <w:rPr>
          <w:lang w:eastAsia="en-NZ"/>
        </w:rPr>
        <w:t xml:space="preserve">The inclusion of the </w:t>
      </w:r>
      <w:r w:rsidR="00A32508">
        <w:rPr>
          <w:lang w:eastAsia="en-NZ"/>
        </w:rPr>
        <w:t>$1</w:t>
      </w:r>
      <w:r w:rsidRPr="00F92A7A">
        <w:rPr>
          <w:lang w:eastAsia="en-NZ"/>
        </w:rPr>
        <w:t>,000 research</w:t>
      </w:r>
      <w:r>
        <w:rPr>
          <w:lang w:eastAsia="en-NZ"/>
        </w:rPr>
        <w:t xml:space="preserve"> grant in the support provided is welcome, though </w:t>
      </w:r>
      <w:r w:rsidRPr="001C754B">
        <w:rPr>
          <w:lang w:val="en-ZA" w:eastAsia="en-NZ"/>
        </w:rPr>
        <w:t xml:space="preserve">fellows conducting research in natural sciences noted this is a very small amount compared with the significant costs associated with laboratory research. One fellow noted their host institution covered costs for the laboratory research, but this was not an ideal situation. </w:t>
      </w:r>
    </w:p>
    <w:p w14:paraId="6CD85BD3" w14:textId="77777777" w:rsidR="00393D24" w:rsidRDefault="00393D24" w:rsidP="001C754B">
      <w:pPr>
        <w:pStyle w:val="Bullet"/>
        <w:rPr>
          <w:lang w:eastAsia="en-NZ"/>
        </w:rPr>
      </w:pPr>
      <w:r w:rsidRPr="001C754B">
        <w:rPr>
          <w:lang w:val="en-ZA" w:eastAsia="en-NZ"/>
        </w:rPr>
        <w:t>Divergent experiences</w:t>
      </w:r>
      <w:r>
        <w:rPr>
          <w:lang w:eastAsia="en-NZ"/>
        </w:rPr>
        <w:t xml:space="preserve"> with administrative and logistical challenges: </w:t>
      </w:r>
    </w:p>
    <w:p w14:paraId="434795E1" w14:textId="77777777" w:rsidR="00393D24" w:rsidRDefault="00393D24" w:rsidP="001C754B">
      <w:pPr>
        <w:pStyle w:val="Dash"/>
        <w:rPr>
          <w:lang w:eastAsia="en-NZ"/>
        </w:rPr>
      </w:pPr>
      <w:r>
        <w:rPr>
          <w:lang w:eastAsia="en-NZ"/>
        </w:rPr>
        <w:t xml:space="preserve">three fellows note the initial disbursement of research and establishment funds took a long time, while three others noted payments were timely and not an issue. </w:t>
      </w:r>
    </w:p>
    <w:p w14:paraId="2C4DA5B1" w14:textId="77777777" w:rsidR="00393D24" w:rsidRDefault="00393D24" w:rsidP="00881BBD">
      <w:pPr>
        <w:rPr>
          <w:rFonts w:ascii="Segoe UI" w:hAnsi="Segoe UI" w:cs="Segoe UI"/>
          <w:sz w:val="20"/>
        </w:rPr>
      </w:pPr>
      <w:r>
        <w:t xml:space="preserve">The fellows spoke highly of the support provided by Palladium. For most, the experience was positive, and they found their interactions with Palladium staff to be professional and timely. Those fellows who had attended pre-departure briefings described them as helpful.  Three fellows raised issues of lack of information, inconsistent information regarding visa processes and time taken for Palladium staff to respond to their queries. These comments are compatible with Palladium’s reflections that </w:t>
      </w:r>
      <w:r w:rsidRPr="00881BBD">
        <w:t>other planned Australia Awards activities in 2018 such as selection interviews and short course notifications resulted in delays to finalising grant agreements to reflect individual fellows’ circumstances</w:t>
      </w:r>
      <w:r w:rsidRPr="00881BBD">
        <w:rPr>
          <w:rFonts w:cs="Segoe UI"/>
          <w:szCs w:val="21"/>
        </w:rPr>
        <w:t>.</w:t>
      </w:r>
      <w:r w:rsidRPr="00881BBD">
        <w:rPr>
          <w:rStyle w:val="FootnoteReference"/>
          <w:rFonts w:cs="Segoe UI"/>
          <w:szCs w:val="21"/>
        </w:rPr>
        <w:footnoteReference w:id="66"/>
      </w:r>
      <w:r w:rsidRPr="00881BBD">
        <w:rPr>
          <w:rFonts w:cs="Segoe UI"/>
          <w:szCs w:val="21"/>
        </w:rPr>
        <w:t xml:space="preserve"> </w:t>
      </w:r>
    </w:p>
    <w:p w14:paraId="39DA3FAF" w14:textId="7FC08B2D" w:rsidR="00393D24" w:rsidRDefault="00393D24" w:rsidP="001C754B">
      <w:pPr>
        <w:pStyle w:val="NormalBeforeBullet"/>
        <w:rPr>
          <w:lang w:eastAsia="en-NZ"/>
        </w:rPr>
      </w:pPr>
      <w:r w:rsidRPr="00881BBD">
        <w:rPr>
          <w:lang w:eastAsia="en-NZ"/>
        </w:rPr>
        <w:t xml:space="preserve">It is suggested a strategic discussion regarding the postdoctoral fellowship pilot occur at </w:t>
      </w:r>
      <w:r w:rsidR="00CC2E7A" w:rsidRPr="00881BBD">
        <w:rPr>
          <w:lang w:eastAsia="en-NZ"/>
        </w:rPr>
        <w:t xml:space="preserve">the </w:t>
      </w:r>
      <w:r w:rsidR="00330BA8">
        <w:rPr>
          <w:lang w:eastAsia="en-NZ"/>
        </w:rPr>
        <w:t>September 2019</w:t>
      </w:r>
      <w:r w:rsidR="00CC2E7A" w:rsidRPr="00881BBD">
        <w:rPr>
          <w:lang w:eastAsia="en-NZ"/>
        </w:rPr>
        <w:t xml:space="preserve"> </w:t>
      </w:r>
      <w:r w:rsidRPr="00881BBD">
        <w:rPr>
          <w:lang w:eastAsia="en-NZ"/>
        </w:rPr>
        <w:t xml:space="preserve">Program Management Group meeting with a view to </w:t>
      </w:r>
      <w:r w:rsidR="00881BBD" w:rsidRPr="00881BBD">
        <w:rPr>
          <w:lang w:eastAsia="en-NZ"/>
        </w:rPr>
        <w:t xml:space="preserve">taking forward a </w:t>
      </w:r>
      <w:r w:rsidRPr="00881BBD">
        <w:rPr>
          <w:lang w:eastAsia="en-NZ"/>
        </w:rPr>
        <w:t>design</w:t>
      </w:r>
      <w:r w:rsidR="00881BBD" w:rsidRPr="00881BBD">
        <w:rPr>
          <w:lang w:eastAsia="en-NZ"/>
        </w:rPr>
        <w:t xml:space="preserve"> of </w:t>
      </w:r>
      <w:r w:rsidRPr="00881BBD">
        <w:rPr>
          <w:lang w:eastAsia="en-NZ"/>
        </w:rPr>
        <w:t>postdoctoral fellowships as a permanent modality for the next design of Australia Awards in Africa</w:t>
      </w:r>
      <w:r w:rsidR="00881BBD" w:rsidRPr="00881BBD">
        <w:rPr>
          <w:lang w:eastAsia="en-NZ"/>
        </w:rPr>
        <w:t xml:space="preserve">. </w:t>
      </w:r>
      <w:r w:rsidR="00881BBD" w:rsidRPr="00881BBD">
        <w:rPr>
          <w:lang w:eastAsia="en-NZ"/>
        </w:rPr>
        <w:lastRenderedPageBreak/>
        <w:t xml:space="preserve">The discussion should </w:t>
      </w:r>
      <w:proofErr w:type="gramStart"/>
      <w:r w:rsidR="00881BBD" w:rsidRPr="00881BBD">
        <w:rPr>
          <w:lang w:eastAsia="en-NZ"/>
        </w:rPr>
        <w:t xml:space="preserve">take </w:t>
      </w:r>
      <w:r w:rsidRPr="00881BBD">
        <w:rPr>
          <w:lang w:eastAsia="en-NZ"/>
        </w:rPr>
        <w:t>into account</w:t>
      </w:r>
      <w:proofErr w:type="gramEnd"/>
      <w:r w:rsidRPr="00881BBD">
        <w:rPr>
          <w:lang w:eastAsia="en-NZ"/>
        </w:rPr>
        <w:t xml:space="preserve"> the considerations noted by fellows (outlined above) and the following: </w:t>
      </w:r>
    </w:p>
    <w:p w14:paraId="04C9E1E3" w14:textId="77777777" w:rsidR="00881BBD" w:rsidRPr="00881BBD" w:rsidRDefault="00881BBD" w:rsidP="00881BBD">
      <w:pPr>
        <w:pStyle w:val="Bullet"/>
        <w:rPr>
          <w:rFonts w:ascii="Arial" w:hAnsi="Arial" w:cs="Arial"/>
          <w:sz w:val="20"/>
        </w:rPr>
      </w:pPr>
      <w:r w:rsidRPr="00881BBD">
        <w:t>Palladium to present a d</w:t>
      </w:r>
      <w:r w:rsidR="00393D24" w:rsidRPr="00881BBD">
        <w:t>esk review</w:t>
      </w:r>
      <w:r w:rsidR="00393D24">
        <w:t xml:space="preserve"> of the </w:t>
      </w:r>
      <w:r>
        <w:t xml:space="preserve">postdoctoral </w:t>
      </w:r>
      <w:r w:rsidR="00393D24">
        <w:t xml:space="preserve">fellows’ </w:t>
      </w:r>
      <w:r>
        <w:t>i</w:t>
      </w:r>
      <w:r w:rsidR="00393D24">
        <w:t xml:space="preserve">nterim and </w:t>
      </w:r>
      <w:r>
        <w:t>f</w:t>
      </w:r>
      <w:r w:rsidR="00393D24">
        <w:t xml:space="preserve">inal </w:t>
      </w:r>
      <w:r>
        <w:t>r</w:t>
      </w:r>
      <w:r w:rsidR="00393D24">
        <w:t xml:space="preserve">eports </w:t>
      </w:r>
      <w:r>
        <w:t xml:space="preserve">outlining </w:t>
      </w:r>
      <w:r w:rsidR="00393D24">
        <w:t>information from fellows on challenges faced, enablers and progress in achieving outcomes</w:t>
      </w:r>
      <w:r>
        <w:t xml:space="preserve"> (this is in lieu of Palladium’s scheduled review of the postdoctoral pilot in May 2019). </w:t>
      </w:r>
    </w:p>
    <w:p w14:paraId="4FEB759D" w14:textId="77777777" w:rsidR="00881BBD" w:rsidRDefault="00881BBD" w:rsidP="00EB3606">
      <w:pPr>
        <w:pStyle w:val="BulletLast"/>
      </w:pPr>
      <w:r>
        <w:t xml:space="preserve">Outlining a timeline, </w:t>
      </w:r>
      <w:proofErr w:type="gramStart"/>
      <w:r>
        <w:t>process</w:t>
      </w:r>
      <w:proofErr w:type="gramEnd"/>
      <w:r>
        <w:t xml:space="preserve"> and responsibilities for taking forward strategic discussions with Australian and African Universities. </w:t>
      </w:r>
    </w:p>
    <w:p w14:paraId="4052041D" w14:textId="241994CF" w:rsidR="0082608C" w:rsidRPr="0082608C" w:rsidRDefault="00BF2048" w:rsidP="0082608C">
      <w:r>
        <w:t xml:space="preserve">Although the postdoctoral fellowships pilot is yet to conclude, there is evidence that the linkages between individual </w:t>
      </w:r>
      <w:proofErr w:type="gramStart"/>
      <w:r>
        <w:t>researches</w:t>
      </w:r>
      <w:proofErr w:type="gramEnd"/>
      <w:r>
        <w:t xml:space="preserve"> and tertiary institutions in Australia and Africa </w:t>
      </w:r>
      <w:r w:rsidR="00444F7E">
        <w:t>could lead to longer-term collaboration, contributing to outcomes 1 and 3 of Australia Awards in Africa and Australia’s global Awards agenda for strengthening linkages.</w:t>
      </w:r>
    </w:p>
    <w:p w14:paraId="25749E22" w14:textId="77777777" w:rsidR="000601BC" w:rsidRDefault="001E294B" w:rsidP="00EF0F31">
      <w:pPr>
        <w:pStyle w:val="SectionTitle"/>
        <w:rPr>
          <w:noProof/>
        </w:rPr>
      </w:pPr>
      <w:bookmarkStart w:id="70" w:name="_Toc1729532"/>
      <w:r>
        <w:rPr>
          <w:noProof/>
        </w:rPr>
        <w:lastRenderedPageBreak/>
        <w:t xml:space="preserve">Appendix </w:t>
      </w:r>
      <w:r w:rsidR="00FA34A9">
        <w:rPr>
          <w:noProof/>
        </w:rPr>
        <w:t>F</w:t>
      </w:r>
      <w:r>
        <w:rPr>
          <w:noProof/>
        </w:rPr>
        <w:t xml:space="preserve">: </w:t>
      </w:r>
      <w:bookmarkStart w:id="71" w:name="_Toc527411604"/>
      <w:r w:rsidR="000601BC">
        <w:rPr>
          <w:noProof/>
        </w:rPr>
        <w:t>Private sector engagement overview</w:t>
      </w:r>
      <w:bookmarkEnd w:id="70"/>
      <w:r w:rsidR="0082608C">
        <w:rPr>
          <w:noProof/>
        </w:rPr>
        <w:t xml:space="preserve"> </w:t>
      </w:r>
    </w:p>
    <w:p w14:paraId="05E350C7" w14:textId="77777777" w:rsidR="008F0BE7" w:rsidRDefault="008F0BE7" w:rsidP="00864B7C">
      <w:r>
        <w:t>The Australia Awards in Africa design sets out expectations that there will be increased and new ways of working with the private sector.</w:t>
      </w:r>
      <w:r>
        <w:rPr>
          <w:rStyle w:val="FootnoteReference"/>
        </w:rPr>
        <w:footnoteReference w:id="67"/>
      </w:r>
      <w:r>
        <w:t xml:space="preserve"> These expectations are reflected in the contract between DFAT and Palladium. Minutes of the Program Management Group meetings between DFAT and Palladium, and Palladium’s six-monthly progress reports outline </w:t>
      </w:r>
      <w:proofErr w:type="gramStart"/>
      <w:r>
        <w:t>a number of</w:t>
      </w:r>
      <w:proofErr w:type="gramEnd"/>
      <w:r>
        <w:t xml:space="preserve"> steps and different strategies that have been used to try and engage with the private sector under Australia Awards in Africa, including:</w:t>
      </w:r>
    </w:p>
    <w:p w14:paraId="7C9E8E46" w14:textId="77777777" w:rsidR="008F0BE7" w:rsidRDefault="008F0BE7" w:rsidP="00864B7C">
      <w:pPr>
        <w:pStyle w:val="Bullet"/>
      </w:pPr>
      <w:r>
        <w:rPr>
          <w:lang w:val="en-NZ"/>
        </w:rPr>
        <w:t xml:space="preserve">Developing a </w:t>
      </w:r>
      <w:r w:rsidRPr="00F02A07">
        <w:rPr>
          <w:lang w:val="en-NZ"/>
        </w:rPr>
        <w:t>Private Sector Engagement Strategy</w:t>
      </w:r>
      <w:r>
        <w:rPr>
          <w:lang w:val="en-NZ"/>
        </w:rPr>
        <w:t xml:space="preserve"> </w:t>
      </w:r>
      <w:r>
        <w:t xml:space="preserve">(November 2016) which proposed the piloting of a </w:t>
      </w:r>
      <w:r w:rsidRPr="00764B2C">
        <w:t xml:space="preserve">range of programs with the extractives sector.  Three pilots </w:t>
      </w:r>
      <w:r>
        <w:t>(</w:t>
      </w:r>
      <w:r w:rsidRPr="001D2B6F">
        <w:t xml:space="preserve">designed to partner with the </w:t>
      </w:r>
      <w:r>
        <w:t>e</w:t>
      </w:r>
      <w:r w:rsidRPr="001D2B6F">
        <w:t>xtractives and related value-chain industries</w:t>
      </w:r>
      <w:r>
        <w:t>)</w:t>
      </w:r>
      <w:r w:rsidRPr="001D2B6F">
        <w:t xml:space="preserve"> </w:t>
      </w:r>
      <w:r>
        <w:t xml:space="preserve">were detailed in the strategy.  </w:t>
      </w:r>
    </w:p>
    <w:p w14:paraId="69C5052B" w14:textId="731D62BE" w:rsidR="008F0BE7" w:rsidRDefault="008F0BE7" w:rsidP="00864B7C">
      <w:pPr>
        <w:pStyle w:val="BulletLast"/>
      </w:pPr>
      <w:r>
        <w:t xml:space="preserve">In early 2017 DFAT Canberra </w:t>
      </w:r>
      <w:r w:rsidRPr="000A1295">
        <w:t>agreed that Palladium would focus on three activities under</w:t>
      </w:r>
      <w:r>
        <w:t xml:space="preserve"> a p</w:t>
      </w:r>
      <w:r w:rsidRPr="000A1295">
        <w:t xml:space="preserve">rivate </w:t>
      </w:r>
      <w:r>
        <w:t>s</w:t>
      </w:r>
      <w:r w:rsidRPr="000A1295">
        <w:t xml:space="preserve">ector </w:t>
      </w:r>
      <w:r>
        <w:t>e</w:t>
      </w:r>
      <w:r w:rsidRPr="000A1295">
        <w:t>ngagement pilot</w:t>
      </w:r>
      <w:r>
        <w:t xml:space="preserve"> (these are different to the original three pilot activities suggested in the Private </w:t>
      </w:r>
      <w:r w:rsidRPr="00864B7C">
        <w:t>Sector</w:t>
      </w:r>
      <w:r>
        <w:t xml:space="preserve"> Engagement Strategy). Briefly summarised, these three activities were: (</w:t>
      </w:r>
      <w:proofErr w:type="spellStart"/>
      <w:r>
        <w:t>i</w:t>
      </w:r>
      <w:proofErr w:type="spellEnd"/>
      <w:r>
        <w:t>) a</w:t>
      </w:r>
      <w:r w:rsidRPr="000E7CE9">
        <w:t xml:space="preserve"> </w:t>
      </w:r>
      <w:r>
        <w:t>s</w:t>
      </w:r>
      <w:r w:rsidRPr="000A1295">
        <w:t xml:space="preserve">hort </w:t>
      </w:r>
      <w:r>
        <w:t>c</w:t>
      </w:r>
      <w:r w:rsidRPr="000A1295">
        <w:t xml:space="preserve">ourse in </w:t>
      </w:r>
      <w:r>
        <w:t>s</w:t>
      </w:r>
      <w:r w:rsidRPr="000A1295">
        <w:t xml:space="preserve">trategic </w:t>
      </w:r>
      <w:r>
        <w:t>p</w:t>
      </w:r>
      <w:r w:rsidRPr="000A1295">
        <w:t>artnering</w:t>
      </w:r>
      <w:r>
        <w:t>; (ii) p</w:t>
      </w:r>
      <w:r w:rsidRPr="000A1295">
        <w:t xml:space="preserve">rivate </w:t>
      </w:r>
      <w:r w:rsidRPr="000E7CE9">
        <w:t>s</w:t>
      </w:r>
      <w:r w:rsidRPr="000A1295">
        <w:t xml:space="preserve">ector </w:t>
      </w:r>
      <w:r w:rsidRPr="000E7CE9">
        <w:t>p</w:t>
      </w:r>
      <w:r w:rsidRPr="000A1295">
        <w:t xml:space="preserve">rofessional </w:t>
      </w:r>
      <w:r w:rsidRPr="000E7CE9">
        <w:t>p</w:t>
      </w:r>
      <w:r w:rsidRPr="000A1295">
        <w:t xml:space="preserve">lacements and </w:t>
      </w:r>
      <w:r w:rsidRPr="000E7CE9">
        <w:t>m</w:t>
      </w:r>
      <w:r w:rsidRPr="000A1295">
        <w:t>entoring</w:t>
      </w:r>
      <w:r w:rsidRPr="000E7CE9">
        <w:t xml:space="preserve"> for s</w:t>
      </w:r>
      <w:r w:rsidRPr="000A1295">
        <w:t xml:space="preserve">elected </w:t>
      </w:r>
      <w:r>
        <w:t>m</w:t>
      </w:r>
      <w:r w:rsidRPr="000A1295">
        <w:t>asters</w:t>
      </w:r>
      <w:r w:rsidRPr="000E7CE9">
        <w:t xml:space="preserve">’ </w:t>
      </w:r>
      <w:r w:rsidR="00AB7FF1">
        <w:t>scholar</w:t>
      </w:r>
      <w:r w:rsidRPr="000E7CE9">
        <w:t>s</w:t>
      </w:r>
      <w:r>
        <w:t>, and (iii) e</w:t>
      </w:r>
      <w:r w:rsidRPr="000A1295">
        <w:t xml:space="preserve">nhanced </w:t>
      </w:r>
      <w:r w:rsidRPr="000E7CE9">
        <w:t>i</w:t>
      </w:r>
      <w:r w:rsidRPr="000A1295">
        <w:t xml:space="preserve">ndustry </w:t>
      </w:r>
      <w:r w:rsidRPr="000E7CE9">
        <w:t>p</w:t>
      </w:r>
      <w:r w:rsidRPr="000A1295">
        <w:t xml:space="preserve">articipation and </w:t>
      </w:r>
      <w:r w:rsidRPr="000E7CE9">
        <w:t>f</w:t>
      </w:r>
      <w:r w:rsidRPr="000A1295">
        <w:t xml:space="preserve">unding of </w:t>
      </w:r>
      <w:r>
        <w:t>s</w:t>
      </w:r>
      <w:r w:rsidRPr="000A1295">
        <w:t xml:space="preserve">hort </w:t>
      </w:r>
      <w:r>
        <w:t>c</w:t>
      </w:r>
      <w:r w:rsidRPr="000A1295">
        <w:t>ourses</w:t>
      </w:r>
      <w:r w:rsidRPr="000E7CE9">
        <w:t>.</w:t>
      </w:r>
      <w:r>
        <w:t xml:space="preserve"> </w:t>
      </w:r>
    </w:p>
    <w:p w14:paraId="466438A2" w14:textId="77777777" w:rsidR="008F0BE7" w:rsidRDefault="008F0BE7" w:rsidP="00864B7C">
      <w:pPr>
        <w:pStyle w:val="NormalBeforeBullet"/>
      </w:pPr>
      <w:r>
        <w:t>Progress towards implementing these activities appears to have been:</w:t>
      </w:r>
    </w:p>
    <w:p w14:paraId="0DDD7BEA" w14:textId="6C12B073" w:rsidR="008F0BE7" w:rsidRPr="00B3492C" w:rsidRDefault="008F0BE7" w:rsidP="008F0BE7">
      <w:pPr>
        <w:pStyle w:val="BulletLast"/>
        <w:ind w:left="357" w:hanging="357"/>
      </w:pPr>
      <w:r w:rsidRPr="00B3492C">
        <w:rPr>
          <w:b/>
        </w:rPr>
        <w:t>Activity 1</w:t>
      </w:r>
      <w:r w:rsidRPr="00B3492C">
        <w:t xml:space="preserve"> (Short Course Award in Strategic Partnering): </w:t>
      </w:r>
      <w:r w:rsidRPr="006E0B8A">
        <w:t>a consultant carried out a scoping exercise in Zimbabwe (agriculture focus) and South Africa (extractives focus) to assess the feasibility of developing and implementing an action learning approach model for short course delivery (Paulsen, 2017). The scoping exercise was carried out with stakeholders in the extractives sector in South Africa and agricultural sector in Zimbabwe, with recommendations for a proposed pilot put to DFAT in October 2017. In February 2018, DFAT requested Palladium to prepare an Implementation Plan and costing to roll out the pilot activity</w:t>
      </w:r>
      <w:r w:rsidR="009E1ADD">
        <w:t>.</w:t>
      </w:r>
      <w:r w:rsidRPr="006E0B8A">
        <w:rPr>
          <w:rStyle w:val="FootnoteReference"/>
        </w:rPr>
        <w:footnoteReference w:id="68"/>
      </w:r>
      <w:r w:rsidRPr="006E0B8A">
        <w:t xml:space="preserve"> Palladium’s six-monthly progress report notes this was presented to DFAT in June 2018, and then simply notes “DFAT advised that no further action was required by Palladium on this activity</w:t>
      </w:r>
      <w:r w:rsidRPr="00B3492C">
        <w:t xml:space="preserve">” (p. 20).  Given the significant resources put into this exercise for the scoping mission, and the preparation of an implementation plan, further discussion on why this activity did not progress (and/or alternative options for engaging with the private sector) is warranted. </w:t>
      </w:r>
    </w:p>
    <w:p w14:paraId="04E78A6A" w14:textId="3A885C0A" w:rsidR="008F0BE7" w:rsidRDefault="008F0BE7" w:rsidP="008F0BE7">
      <w:pPr>
        <w:pStyle w:val="BulletLast"/>
        <w:ind w:left="357" w:hanging="357"/>
      </w:pPr>
      <w:r w:rsidRPr="003D2923">
        <w:rPr>
          <w:b/>
        </w:rPr>
        <w:t>Activity 2</w:t>
      </w:r>
      <w:r>
        <w:t xml:space="preserve"> </w:t>
      </w:r>
      <w:r w:rsidRPr="006E0B8A">
        <w:t xml:space="preserve">(Private sector professional placements and mentoring for selected masters’ </w:t>
      </w:r>
      <w:r w:rsidR="00AB7FF1">
        <w:t>scholar</w:t>
      </w:r>
      <w:r w:rsidRPr="006E0B8A">
        <w:t xml:space="preserve">s): an internship pilot for four masters’ </w:t>
      </w:r>
      <w:r w:rsidR="00AB7FF1">
        <w:t>scholar</w:t>
      </w:r>
      <w:r w:rsidRPr="006E0B8A">
        <w:t>s was held in March 2017. It is not clear from the reporting if this pilot has continued.</w:t>
      </w:r>
      <w:r w:rsidRPr="003D2923">
        <w:t xml:space="preserve"> </w:t>
      </w:r>
      <w:r w:rsidRPr="00F7008A">
        <w:t>The Extractives Mentoring pilot was tr</w:t>
      </w:r>
      <w:r>
        <w:t xml:space="preserve">ialled </w:t>
      </w:r>
      <w:r w:rsidRPr="00F7008A">
        <w:t>with Australia-Africa Minerals &amp; Energy Group (AAMEG</w:t>
      </w:r>
      <w:r w:rsidRPr="0048381A">
        <w:t xml:space="preserve"> </w:t>
      </w:r>
      <w:r w:rsidRPr="003D2923">
        <w:t>Palladium</w:t>
      </w:r>
      <w:r>
        <w:t>’s</w:t>
      </w:r>
      <w:r w:rsidRPr="003D2923">
        <w:t xml:space="preserve"> </w:t>
      </w:r>
      <w:r>
        <w:t>six-monthly progress report</w:t>
      </w:r>
      <w:r w:rsidRPr="003D2923">
        <w:t xml:space="preserve"> notes that p</w:t>
      </w:r>
      <w:r w:rsidRPr="00F7008A">
        <w:t xml:space="preserve">rogress </w:t>
      </w:r>
      <w:r w:rsidRPr="003D2923">
        <w:t xml:space="preserve">was </w:t>
      </w:r>
      <w:r>
        <w:t>s</w:t>
      </w:r>
      <w:r w:rsidRPr="00F7008A">
        <w:t>low</w:t>
      </w:r>
      <w:r w:rsidRPr="003D2923">
        <w:t xml:space="preserve">, that </w:t>
      </w:r>
      <w:r w:rsidRPr="00F7008A">
        <w:t xml:space="preserve">AAMEG </w:t>
      </w:r>
      <w:r w:rsidRPr="003D2923">
        <w:t xml:space="preserve">was unlikely to be </w:t>
      </w:r>
      <w:r w:rsidRPr="00F7008A">
        <w:t>the right organisation to assist with a long</w:t>
      </w:r>
      <w:r w:rsidRPr="003D2923">
        <w:t>-</w:t>
      </w:r>
      <w:r w:rsidRPr="00F7008A">
        <w:t>term mentoring pilot</w:t>
      </w:r>
      <w:r w:rsidRPr="003D2923">
        <w:t xml:space="preserve"> and </w:t>
      </w:r>
      <w:r w:rsidRPr="00F7008A">
        <w:t xml:space="preserve">alternatives </w:t>
      </w:r>
      <w:r w:rsidRPr="003D2923">
        <w:t>we</w:t>
      </w:r>
      <w:r w:rsidRPr="00F7008A">
        <w:t>re being explored</w:t>
      </w:r>
      <w:r>
        <w:t>)</w:t>
      </w:r>
      <w:r w:rsidRPr="00F7008A">
        <w:t xml:space="preserve">. </w:t>
      </w:r>
    </w:p>
    <w:p w14:paraId="41B5C625" w14:textId="77777777" w:rsidR="008F0BE7" w:rsidRPr="00F7008A" w:rsidRDefault="008F0BE7" w:rsidP="008F0BE7">
      <w:pPr>
        <w:pStyle w:val="BulletLast"/>
        <w:ind w:left="357" w:hanging="357"/>
      </w:pPr>
      <w:r>
        <w:rPr>
          <w:b/>
        </w:rPr>
        <w:t xml:space="preserve">Activity 3 </w:t>
      </w:r>
      <w:r w:rsidRPr="006E0B8A">
        <w:t>(Enhanced industry participation and funding of Short Courses):</w:t>
      </w:r>
      <w:r>
        <w:t xml:space="preserve"> the reporting cites examples of difficulties in engaging with AAMEG to participate in the review of the extractive short courses, and challenges in working with the private sector to identify shared-value activities </w:t>
      </w:r>
      <w:r>
        <w:lastRenderedPageBreak/>
        <w:t xml:space="preserve">congruent with Australia Awards in Africa objectives. </w:t>
      </w:r>
      <w:r w:rsidRPr="00F7008A">
        <w:t xml:space="preserve">The </w:t>
      </w:r>
      <w:r>
        <w:t xml:space="preserve">reporting acknowledges the participation of the </w:t>
      </w:r>
      <w:r w:rsidRPr="00F7008A">
        <w:t xml:space="preserve">private sector in </w:t>
      </w:r>
      <w:r>
        <w:t xml:space="preserve">Short Course Award </w:t>
      </w:r>
      <w:r w:rsidRPr="00F7008A">
        <w:t>delivery through hosting field visits, conducting roundtables and guest lectures.</w:t>
      </w:r>
    </w:p>
    <w:p w14:paraId="757F57C6" w14:textId="77777777" w:rsidR="008F0BE7" w:rsidRDefault="008F0BE7" w:rsidP="008F0BE7">
      <w:r w:rsidRPr="008027B3">
        <w:t>While progress was made against these activities, none of them fully progressed to their desired outputs</w:t>
      </w:r>
      <w:r>
        <w:t xml:space="preserve">. </w:t>
      </w:r>
    </w:p>
    <w:p w14:paraId="31573B12" w14:textId="24082AB5" w:rsidR="008F0BE7" w:rsidRPr="0034041E" w:rsidRDefault="008F0BE7" w:rsidP="008F0BE7">
      <w:pPr>
        <w:rPr>
          <w:lang w:val="en-ZA"/>
        </w:rPr>
      </w:pPr>
      <w:r>
        <w:t xml:space="preserve">There have been instances of using alumni and networks from the private sector to assist with promoting Australia Awards, and good participation of the private sector in the delivery of some short courses. </w:t>
      </w:r>
      <w:bookmarkStart w:id="72" w:name="_Toc459217579"/>
      <w:r>
        <w:t xml:space="preserve">Palladium’s </w:t>
      </w:r>
      <w:r w:rsidRPr="0034041E">
        <w:rPr>
          <w:lang w:val="en-ZA"/>
        </w:rPr>
        <w:t xml:space="preserve">review </w:t>
      </w:r>
      <w:r>
        <w:rPr>
          <w:lang w:val="en-ZA"/>
        </w:rPr>
        <w:t xml:space="preserve">of </w:t>
      </w:r>
      <w:r w:rsidRPr="0034041E">
        <w:rPr>
          <w:lang w:val="en-ZA"/>
        </w:rPr>
        <w:t>2016</w:t>
      </w:r>
      <w:r w:rsidR="00864021">
        <w:rPr>
          <w:lang w:val="en-ZA"/>
        </w:rPr>
        <w:t>-</w:t>
      </w:r>
      <w:r w:rsidRPr="0034041E">
        <w:rPr>
          <w:lang w:val="en-ZA"/>
        </w:rPr>
        <w:t>17 short course reports showed that, of the 10 short courses delivered, seven</w:t>
      </w:r>
      <w:r w:rsidRPr="0034041E">
        <w:rPr>
          <w:vertAlign w:val="superscript"/>
        </w:rPr>
        <w:footnoteReference w:id="69"/>
      </w:r>
      <w:r>
        <w:rPr>
          <w:lang w:val="en-ZA"/>
        </w:rPr>
        <w:t xml:space="preserve"> </w:t>
      </w:r>
      <w:r w:rsidRPr="0034041E">
        <w:rPr>
          <w:lang w:val="en-ZA"/>
        </w:rPr>
        <w:t xml:space="preserve">visited a private sector business either in Australia or in Africa. </w:t>
      </w:r>
      <w:r>
        <w:rPr>
          <w:lang w:val="en-ZA"/>
        </w:rPr>
        <w:t xml:space="preserve">The following information is taken from Palladium’s report to the 2017 Program Management Group meeting. </w:t>
      </w:r>
    </w:p>
    <w:p w14:paraId="7A81E9FE" w14:textId="23D27ABA" w:rsidR="008F0BE7" w:rsidRDefault="008F0BE7" w:rsidP="00864B7C">
      <w:pPr>
        <w:rPr>
          <w:lang w:val="en-ZA"/>
        </w:rPr>
      </w:pPr>
      <w:r w:rsidRPr="009C2DDD">
        <w:rPr>
          <w:lang w:val="en-ZA"/>
        </w:rPr>
        <w:t>At least 83</w:t>
      </w:r>
      <w:r w:rsidR="00864021">
        <w:rPr>
          <w:lang w:val="en-ZA"/>
        </w:rPr>
        <w:t xml:space="preserve"> per cent </w:t>
      </w:r>
      <w:r w:rsidRPr="009C2DDD">
        <w:rPr>
          <w:lang w:val="en-ZA"/>
        </w:rPr>
        <w:t>of all field visits</w:t>
      </w:r>
      <w:r w:rsidRPr="0034041E">
        <w:rPr>
          <w:lang w:val="en-ZA"/>
        </w:rPr>
        <w:t xml:space="preserve"> were to private sector establishments</w:t>
      </w:r>
      <w:r>
        <w:rPr>
          <w:lang w:val="en-ZA"/>
        </w:rPr>
        <w:t xml:space="preserve"> (Figure </w:t>
      </w:r>
      <w:r w:rsidR="00864B7C">
        <w:rPr>
          <w:lang w:val="en-ZA"/>
        </w:rPr>
        <w:t>8</w:t>
      </w:r>
      <w:r>
        <w:rPr>
          <w:lang w:val="en-ZA"/>
        </w:rPr>
        <w:t>)</w:t>
      </w:r>
      <w:r w:rsidRPr="0034041E">
        <w:rPr>
          <w:lang w:val="en-ZA"/>
        </w:rPr>
        <w:t xml:space="preserve">. </w:t>
      </w:r>
    </w:p>
    <w:p w14:paraId="64FAA7E9" w14:textId="77777777" w:rsidR="008F0BE7" w:rsidRPr="00C879A1" w:rsidRDefault="008F0BE7" w:rsidP="008F0BE7">
      <w:pPr>
        <w:pStyle w:val="FigureName"/>
      </w:pPr>
      <w:bookmarkStart w:id="73" w:name="_Toc1729557"/>
      <w:r>
        <w:t>Figure 8</w:t>
      </w:r>
      <w:r>
        <w:tab/>
      </w:r>
      <w:r w:rsidRPr="00C879A1">
        <w:t>Field trips to the private sector</w:t>
      </w:r>
      <w:bookmarkEnd w:id="73"/>
    </w:p>
    <w:p w14:paraId="7F08928C" w14:textId="77777777" w:rsidR="008F0BE7" w:rsidRDefault="008F0BE7" w:rsidP="008F0BE7">
      <w:pPr>
        <w:spacing w:line="259" w:lineRule="auto"/>
        <w:jc w:val="both"/>
        <w:rPr>
          <w:rFonts w:ascii="Arial" w:eastAsia="Calibri" w:hAnsi="Arial" w:cs="Arial"/>
          <w:sz w:val="22"/>
          <w:szCs w:val="22"/>
          <w:lang w:val="en-ZA"/>
        </w:rPr>
      </w:pPr>
      <w:r>
        <w:rPr>
          <w:noProof/>
        </w:rPr>
        <w:drawing>
          <wp:inline distT="0" distB="0" distL="0" distR="0" wp14:anchorId="14CF2B34" wp14:editId="6AB922D5">
            <wp:extent cx="5362575" cy="2362200"/>
            <wp:effectExtent l="0" t="0" r="9525" b="0"/>
            <wp:docPr id="1" name="Chart 1">
              <a:extLst xmlns:a="http://schemas.openxmlformats.org/drawingml/2006/main">
                <a:ext uri="{FF2B5EF4-FFF2-40B4-BE49-F238E27FC236}">
                  <a16:creationId xmlns:a16="http://schemas.microsoft.com/office/drawing/2014/main" id="{3117A6D9-95C3-43E3-96DE-D550F1085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6EAFD33" w14:textId="0D7B24A3" w:rsidR="008F0BE7" w:rsidRPr="0034041E" w:rsidRDefault="008F0BE7" w:rsidP="00864B7C">
      <w:pPr>
        <w:rPr>
          <w:rFonts w:eastAsia="Calibri"/>
          <w:lang w:val="en-ZA"/>
        </w:rPr>
      </w:pPr>
      <w:r w:rsidRPr="0034041E">
        <w:rPr>
          <w:rFonts w:eastAsia="Calibri"/>
          <w:b/>
          <w:lang w:val="en-ZA"/>
        </w:rPr>
        <w:t>Agribusiness:</w:t>
      </w:r>
      <w:r>
        <w:rPr>
          <w:rFonts w:eastAsia="Calibri"/>
          <w:lang w:val="en-ZA"/>
        </w:rPr>
        <w:t xml:space="preserve"> </w:t>
      </w:r>
      <w:r w:rsidRPr="0034041E">
        <w:rPr>
          <w:rFonts w:eastAsia="Calibri"/>
          <w:lang w:val="en-ZA"/>
        </w:rPr>
        <w:t>25 establishments in Australia</w:t>
      </w:r>
      <w:r>
        <w:rPr>
          <w:rFonts w:eastAsia="Calibri"/>
          <w:lang w:val="en-ZA"/>
        </w:rPr>
        <w:t xml:space="preserve"> visited</w:t>
      </w:r>
      <w:r w:rsidRPr="0034041E">
        <w:rPr>
          <w:rFonts w:eastAsia="Calibri"/>
          <w:lang w:val="en-ZA"/>
        </w:rPr>
        <w:t>; and three in Africa</w:t>
      </w:r>
      <w:r>
        <w:rPr>
          <w:rFonts w:eastAsia="Calibri"/>
          <w:lang w:val="en-ZA"/>
        </w:rPr>
        <w:t>.</w:t>
      </w:r>
      <w:r w:rsidRPr="0034041E">
        <w:rPr>
          <w:rFonts w:eastAsia="Calibri"/>
          <w:lang w:val="en-ZA"/>
        </w:rPr>
        <w:t xml:space="preserve"> </w:t>
      </w:r>
      <w:r w:rsidR="00AB7FF1">
        <w:rPr>
          <w:rFonts w:eastAsia="Calibri"/>
          <w:lang w:val="en-ZA"/>
        </w:rPr>
        <w:t xml:space="preserve">Participants </w:t>
      </w:r>
      <w:r w:rsidRPr="0034041E">
        <w:rPr>
          <w:rFonts w:eastAsia="Calibri"/>
          <w:lang w:val="en-ZA"/>
        </w:rPr>
        <w:t>examine</w:t>
      </w:r>
      <w:r>
        <w:rPr>
          <w:rFonts w:eastAsia="Calibri"/>
          <w:lang w:val="en-ZA"/>
        </w:rPr>
        <w:t>d</w:t>
      </w:r>
      <w:r w:rsidRPr="0034041E">
        <w:rPr>
          <w:rFonts w:eastAsia="Calibri"/>
          <w:lang w:val="en-ZA"/>
        </w:rPr>
        <w:t xml:space="preserve"> the operation and performance of every stage of the agribusiness value chain. </w:t>
      </w:r>
    </w:p>
    <w:p w14:paraId="00003638" w14:textId="77777777" w:rsidR="008F0BE7" w:rsidRPr="0034041E" w:rsidRDefault="008F0BE7" w:rsidP="00864B7C">
      <w:r w:rsidRPr="0034041E">
        <w:rPr>
          <w:b/>
        </w:rPr>
        <w:t>Managing Mine Closures:</w:t>
      </w:r>
      <w:r>
        <w:t xml:space="preserve"> </w:t>
      </w:r>
      <w:r w:rsidRPr="0034041E">
        <w:t>14 mining organisations</w:t>
      </w:r>
      <w:r>
        <w:t xml:space="preserve"> visited</w:t>
      </w:r>
      <w:r w:rsidRPr="0034041E">
        <w:t xml:space="preserve"> to get firsthand information on progressive rehabilitation and engagement to enhance rehabilitation outcomes</w:t>
      </w:r>
      <w:r>
        <w:t>.</w:t>
      </w:r>
    </w:p>
    <w:p w14:paraId="232CA7A9" w14:textId="1D8B91F3" w:rsidR="008F0BE7" w:rsidRPr="0034041E" w:rsidRDefault="008F0BE7" w:rsidP="00864B7C">
      <w:r w:rsidRPr="0034041E">
        <w:rPr>
          <w:b/>
        </w:rPr>
        <w:t xml:space="preserve">Mineral and Energy Economics </w:t>
      </w:r>
      <w:r>
        <w:rPr>
          <w:b/>
        </w:rPr>
        <w:t xml:space="preserve">course, </w:t>
      </w:r>
      <w:r w:rsidRPr="0034041E">
        <w:rPr>
          <w:b/>
        </w:rPr>
        <w:t xml:space="preserve">I: </w:t>
      </w:r>
      <w:r w:rsidRPr="0034041E">
        <w:t>field visits to four</w:t>
      </w:r>
      <w:r w:rsidRPr="0034041E">
        <w:rPr>
          <w:b/>
        </w:rPr>
        <w:t xml:space="preserve"> </w:t>
      </w:r>
      <w:r w:rsidRPr="0034041E">
        <w:t>establishments</w:t>
      </w:r>
      <w:r>
        <w:t xml:space="preserve"> in Australia</w:t>
      </w:r>
      <w:r w:rsidRPr="0034041E">
        <w:t xml:space="preserve"> to expose </w:t>
      </w:r>
      <w:r w:rsidR="00AB7FF1">
        <w:t xml:space="preserve">participants </w:t>
      </w:r>
      <w:r w:rsidRPr="0034041E">
        <w:t xml:space="preserve">to Australian examples of how theory is translated into best practices, </w:t>
      </w:r>
      <w:proofErr w:type="gramStart"/>
      <w:r w:rsidRPr="0034041E">
        <w:t>challenges</w:t>
      </w:r>
      <w:proofErr w:type="gramEnd"/>
      <w:r w:rsidRPr="0034041E">
        <w:t xml:space="preserve"> and compliance requirements under the regulatory regimes at different levels of governments, taxation regimes</w:t>
      </w:r>
      <w:r w:rsidRPr="00ED730E">
        <w:t>, status of gender balance, environment protection, corporate social responsibility, risk assessments, public access to</w:t>
      </w:r>
      <w:r w:rsidRPr="0034041E">
        <w:t xml:space="preserve"> information and community engagements.</w:t>
      </w:r>
    </w:p>
    <w:p w14:paraId="0328C369" w14:textId="77777777" w:rsidR="008F0BE7" w:rsidRPr="0034041E" w:rsidRDefault="008F0BE7" w:rsidP="00864B7C">
      <w:r>
        <w:rPr>
          <w:b/>
        </w:rPr>
        <w:t>Mineral and Energy Economics c</w:t>
      </w:r>
      <w:r w:rsidRPr="0034041E">
        <w:rPr>
          <w:b/>
        </w:rPr>
        <w:t>ourse</w:t>
      </w:r>
      <w:r>
        <w:rPr>
          <w:b/>
        </w:rPr>
        <w:t>,</w:t>
      </w:r>
      <w:r w:rsidRPr="0034041E">
        <w:rPr>
          <w:b/>
        </w:rPr>
        <w:t xml:space="preserve"> II</w:t>
      </w:r>
      <w:r w:rsidRPr="0034041E">
        <w:t>: visits to four commercial mines in Australia to gain practical experience on the coal miner’s life and the challenges that mining companies face to meet maximum safety standards and stringent environmental protection laws.</w:t>
      </w:r>
    </w:p>
    <w:p w14:paraId="4DDD3935" w14:textId="77777777" w:rsidR="008F0BE7" w:rsidRPr="0034041E" w:rsidRDefault="008F0BE7" w:rsidP="00864B7C">
      <w:pPr>
        <w:rPr>
          <w:b/>
        </w:rPr>
      </w:pPr>
      <w:r w:rsidRPr="0034041E">
        <w:rPr>
          <w:b/>
        </w:rPr>
        <w:t xml:space="preserve">Ocean Governance and Sustainable Fisheries: </w:t>
      </w:r>
      <w:r w:rsidRPr="0034041E">
        <w:t>two field visits to private fishing business in Australia to view commercial trawling equipment and fish tracking devices.</w:t>
      </w:r>
      <w:r w:rsidRPr="0034041E">
        <w:rPr>
          <w:b/>
        </w:rPr>
        <w:t xml:space="preserve"> </w:t>
      </w:r>
    </w:p>
    <w:p w14:paraId="3AE88A96" w14:textId="1AC55CB6" w:rsidR="008F0BE7" w:rsidRPr="0034041E" w:rsidRDefault="008F0BE7" w:rsidP="00864B7C">
      <w:r w:rsidRPr="0034041E">
        <w:rPr>
          <w:b/>
        </w:rPr>
        <w:lastRenderedPageBreak/>
        <w:t>Public Private Infrastructure Partnerships</w:t>
      </w:r>
      <w:r w:rsidRPr="0034041E">
        <w:t>: visits to seven business that have successful public private partnerships (five in Australia and two in Africa)</w:t>
      </w:r>
      <w:r>
        <w:t xml:space="preserve">. </w:t>
      </w:r>
    </w:p>
    <w:p w14:paraId="06196F4B" w14:textId="0673D007" w:rsidR="008F0BE7" w:rsidRPr="0034041E" w:rsidRDefault="008F0BE7" w:rsidP="00864B7C">
      <w:r w:rsidRPr="0034041E">
        <w:rPr>
          <w:b/>
        </w:rPr>
        <w:t xml:space="preserve">Trade Policy and Negotiation: </w:t>
      </w:r>
      <w:r w:rsidRPr="0034041E">
        <w:t xml:space="preserve">field visits to six establishments, to highlight to </w:t>
      </w:r>
      <w:r w:rsidR="00AB7FF1">
        <w:t xml:space="preserve">participants </w:t>
      </w:r>
      <w:r w:rsidRPr="0034041E">
        <w:t>the potential for expansion into international markets through the achievements of small companies, and to illustrate the wider value chain.</w:t>
      </w:r>
    </w:p>
    <w:p w14:paraId="18CF38B6" w14:textId="65C7CED8" w:rsidR="008F0BE7" w:rsidRPr="0034041E" w:rsidRDefault="008F0BE7" w:rsidP="00497182">
      <w:r w:rsidRPr="0034041E">
        <w:t>Of the 10 courses delivered in 2016</w:t>
      </w:r>
      <w:r w:rsidR="00864021">
        <w:t>-</w:t>
      </w:r>
      <w:r w:rsidRPr="0034041E">
        <w:t xml:space="preserve">17, six courses </w:t>
      </w:r>
      <w:r>
        <w:t xml:space="preserve">invited </w:t>
      </w:r>
      <w:r w:rsidRPr="0034041E">
        <w:t>private sector gue</w:t>
      </w:r>
      <w:r>
        <w:t xml:space="preserve">st lecturers/ presenters (Figure 9). </w:t>
      </w:r>
    </w:p>
    <w:p w14:paraId="60BF54E3" w14:textId="77777777" w:rsidR="008F0BE7" w:rsidRPr="00C879A1" w:rsidRDefault="008F0BE7" w:rsidP="008F0BE7">
      <w:pPr>
        <w:pStyle w:val="FigureName"/>
      </w:pPr>
      <w:bookmarkStart w:id="74" w:name="_Toc1729558"/>
      <w:r>
        <w:t>Figure 9</w:t>
      </w:r>
      <w:r>
        <w:tab/>
        <w:t>Guest lecturers on short courses</w:t>
      </w:r>
      <w:bookmarkEnd w:id="74"/>
    </w:p>
    <w:p w14:paraId="27288034" w14:textId="77777777" w:rsidR="008F0BE7" w:rsidRDefault="008F0BE7" w:rsidP="008F0BE7">
      <w:pPr>
        <w:spacing w:line="259" w:lineRule="auto"/>
        <w:contextualSpacing/>
        <w:jc w:val="both"/>
        <w:rPr>
          <w:rFonts w:ascii="Times New Roman" w:eastAsia="Calibri" w:hAnsi="Times New Roman"/>
          <w:sz w:val="24"/>
          <w:szCs w:val="24"/>
          <w:lang w:val="en-ZA"/>
        </w:rPr>
      </w:pPr>
      <w:r>
        <w:rPr>
          <w:noProof/>
        </w:rPr>
        <w:drawing>
          <wp:inline distT="0" distB="0" distL="0" distR="0" wp14:anchorId="5B7A4761" wp14:editId="7D1133B2">
            <wp:extent cx="5638801" cy="2743200"/>
            <wp:effectExtent l="0" t="0" r="0" b="0"/>
            <wp:docPr id="14" name="Chart 14">
              <a:extLst xmlns:a="http://schemas.openxmlformats.org/drawingml/2006/main">
                <a:ext uri="{FF2B5EF4-FFF2-40B4-BE49-F238E27FC236}">
                  <a16:creationId xmlns:a16="http://schemas.microsoft.com/office/drawing/2014/main" id="{1D5A82D8-0B11-47F2-AE61-A9AD4ADB09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CB0868" w14:textId="77777777" w:rsidR="008F0BE7" w:rsidRDefault="008F0BE7" w:rsidP="00864B7C">
      <w:pPr>
        <w:pStyle w:val="FootnoteText"/>
        <w:ind w:firstLine="0"/>
      </w:pPr>
      <w:r w:rsidRPr="00B31EE5">
        <w:rPr>
          <w:rFonts w:eastAsia="Calibri"/>
          <w:lang w:val="en-ZA"/>
        </w:rPr>
        <w:t>Course Names</w:t>
      </w:r>
      <w:r w:rsidR="00864B7C">
        <w:rPr>
          <w:rFonts w:eastAsia="Calibri"/>
          <w:lang w:val="en-ZA"/>
        </w:rPr>
        <w:t xml:space="preserve">: </w:t>
      </w:r>
      <w:r w:rsidRPr="00EC5AFE">
        <w:rPr>
          <w:rFonts w:eastAsia="Calibri"/>
          <w:i/>
          <w:lang w:val="en-ZA"/>
        </w:rPr>
        <w:t>Trade:</w:t>
      </w:r>
      <w:r w:rsidRPr="00B31EE5">
        <w:rPr>
          <w:rFonts w:eastAsia="Calibri"/>
          <w:lang w:val="en-ZA"/>
        </w:rPr>
        <w:t xml:space="preserve"> </w:t>
      </w:r>
      <w:r w:rsidRPr="00B31EE5">
        <w:t>Trade Policy and Negotiation</w:t>
      </w:r>
      <w:r w:rsidR="00864B7C">
        <w:t xml:space="preserve">; </w:t>
      </w:r>
      <w:r w:rsidRPr="00EC5AFE">
        <w:rPr>
          <w:rFonts w:eastAsia="Calibri"/>
          <w:i/>
          <w:lang w:val="en-ZA"/>
        </w:rPr>
        <w:t>MEE:</w:t>
      </w:r>
      <w:r w:rsidRPr="00B31EE5">
        <w:rPr>
          <w:rFonts w:eastAsia="Calibri"/>
          <w:lang w:val="en-ZA"/>
        </w:rPr>
        <w:t xml:space="preserve"> </w:t>
      </w:r>
      <w:r w:rsidRPr="00B31EE5">
        <w:t>Mineral and Energy Economics</w:t>
      </w:r>
      <w:r w:rsidR="00864B7C">
        <w:t xml:space="preserve">; </w:t>
      </w:r>
      <w:r w:rsidRPr="00EC5AFE">
        <w:rPr>
          <w:rFonts w:eastAsia="Calibri"/>
          <w:i/>
          <w:lang w:val="en-ZA"/>
        </w:rPr>
        <w:t>Ocean Governance:</w:t>
      </w:r>
      <w:r w:rsidRPr="00B31EE5">
        <w:rPr>
          <w:rFonts w:eastAsia="Calibri"/>
          <w:lang w:val="en-ZA"/>
        </w:rPr>
        <w:t xml:space="preserve"> </w:t>
      </w:r>
      <w:r w:rsidRPr="00B31EE5">
        <w:t>Ocean Governance and Sustainable Fisheries</w:t>
      </w:r>
      <w:r w:rsidR="00864B7C">
        <w:t xml:space="preserve">; </w:t>
      </w:r>
      <w:r w:rsidRPr="00EC5AFE">
        <w:rPr>
          <w:i/>
        </w:rPr>
        <w:t>IDIAR:</w:t>
      </w:r>
      <w:r w:rsidRPr="00B31EE5">
        <w:t xml:space="preserve"> Increasing the Development Impact of Agricultural Research</w:t>
      </w:r>
      <w:r w:rsidR="00864B7C">
        <w:t xml:space="preserve">; </w:t>
      </w:r>
      <w:r w:rsidRPr="00EC5AFE">
        <w:rPr>
          <w:i/>
        </w:rPr>
        <w:t>PPIP:</w:t>
      </w:r>
      <w:r>
        <w:t xml:space="preserve"> </w:t>
      </w:r>
      <w:r w:rsidRPr="00EC5AFE">
        <w:t>Public Private Infrastructure Partnerships</w:t>
      </w:r>
    </w:p>
    <w:bookmarkEnd w:id="72"/>
    <w:p w14:paraId="78FF1806" w14:textId="77777777" w:rsidR="008F0BE7" w:rsidRPr="0068777F" w:rsidRDefault="008F0BE7" w:rsidP="008F0BE7">
      <w:r w:rsidRPr="0068777F">
        <w:t>In addition to some practical/logistical issues noted regarding engaging with the private sector</w:t>
      </w:r>
      <w:r>
        <w:rPr>
          <w:rStyle w:val="FootnoteReference"/>
        </w:rPr>
        <w:footnoteReference w:id="70"/>
      </w:r>
      <w:r w:rsidRPr="0068777F">
        <w:t xml:space="preserve">, there are </w:t>
      </w:r>
      <w:r>
        <w:t xml:space="preserve">some </w:t>
      </w:r>
      <w:r w:rsidRPr="0068777F">
        <w:t xml:space="preserve">strategic </w:t>
      </w:r>
      <w:r>
        <w:t xml:space="preserve">considerations </w:t>
      </w:r>
      <w:r w:rsidRPr="0068777F">
        <w:t xml:space="preserve">that stand out </w:t>
      </w:r>
      <w:r>
        <w:t xml:space="preserve">from Australia Awards in Africa’s experience to date with private sector engagement: </w:t>
      </w:r>
    </w:p>
    <w:p w14:paraId="6D499E9B" w14:textId="77777777" w:rsidR="008F0BE7" w:rsidRDefault="008F0BE7" w:rsidP="00497182">
      <w:pPr>
        <w:pStyle w:val="Bullet"/>
      </w:pPr>
      <w:r w:rsidRPr="00B51E1F">
        <w:t>It is important to have clarity on both the strategic and functional intent of Australia Awards in Africa engagement with the private sector</w:t>
      </w:r>
      <w:r>
        <w:t xml:space="preserve">, and Australia’s private sector development objectives in Africa to which Australia Awards in Africa is expected to contribute. </w:t>
      </w:r>
      <w:r w:rsidRPr="00B51E1F">
        <w:t xml:space="preserve"> </w:t>
      </w:r>
    </w:p>
    <w:p w14:paraId="3C568709" w14:textId="77777777" w:rsidR="008F0BE7" w:rsidRDefault="008F0BE7" w:rsidP="00497182">
      <w:pPr>
        <w:pStyle w:val="Bullet"/>
      </w:pPr>
      <w:r w:rsidRPr="006E0B8A">
        <w:t xml:space="preserve">Dialogue with potential private sector actors takes time and private sector expectations may not necessarily be aligned with those of </w:t>
      </w:r>
      <w:r>
        <w:t>Australia Awards in Africa</w:t>
      </w:r>
      <w:r w:rsidRPr="006E0B8A">
        <w:t>.</w:t>
      </w:r>
      <w:r w:rsidRPr="000A1295">
        <w:t xml:space="preserve"> There is an expectation of a transactional relationship rather than one grounded on shared value</w:t>
      </w:r>
      <w:r>
        <w:t>s</w:t>
      </w:r>
      <w:r w:rsidRPr="000A1295">
        <w:t xml:space="preserve">. </w:t>
      </w:r>
    </w:p>
    <w:p w14:paraId="5E873F4E" w14:textId="77777777" w:rsidR="008F0BE7" w:rsidRDefault="008F0BE7" w:rsidP="00497182">
      <w:pPr>
        <w:pStyle w:val="Bullet"/>
      </w:pPr>
      <w:r>
        <w:t xml:space="preserve">Conversations with private sector representatives confirmed their preference to engage with scholars from countries in which the company is active. These countries are not always aligned with those countries participating in Australia Awards in Africa. </w:t>
      </w:r>
    </w:p>
    <w:p w14:paraId="059487C7" w14:textId="77777777" w:rsidR="008F0BE7" w:rsidRDefault="008F0BE7" w:rsidP="00497182">
      <w:pPr>
        <w:pStyle w:val="Bullet"/>
      </w:pPr>
      <w:r w:rsidRPr="003159E8">
        <w:t>DFAT leads on liaison with the private sector, with Palladium relying on DFAT Posts to convey a private sector perspective from their engagement with business</w:t>
      </w:r>
      <w:r w:rsidRPr="000A1295">
        <w:t xml:space="preserve">. </w:t>
      </w:r>
      <w:r>
        <w:t xml:space="preserve">However, some Posts require Palladium’s support for promotions outreach to the </w:t>
      </w:r>
      <w:r w:rsidRPr="00E17CD6">
        <w:t>private</w:t>
      </w:r>
      <w:r>
        <w:t xml:space="preserve"> sector. </w:t>
      </w:r>
    </w:p>
    <w:p w14:paraId="2E299B1C" w14:textId="426865F4" w:rsidR="008F0BE7" w:rsidRPr="0094674D" w:rsidRDefault="00BF563B" w:rsidP="00497182">
      <w:pPr>
        <w:pStyle w:val="Bullet"/>
        <w:rPr>
          <w:color w:val="000000" w:themeColor="text1"/>
        </w:rPr>
      </w:pPr>
      <w:r>
        <w:rPr>
          <w:color w:val="000000" w:themeColor="text1"/>
        </w:rPr>
        <w:lastRenderedPageBreak/>
        <w:t>O</w:t>
      </w:r>
      <w:r w:rsidR="008F0BE7" w:rsidRPr="0094674D">
        <w:rPr>
          <w:color w:val="000000" w:themeColor="text1"/>
        </w:rPr>
        <w:t xml:space="preserve">nce strategic </w:t>
      </w:r>
      <w:r w:rsidR="008F0BE7" w:rsidRPr="00A626FD">
        <w:t>clarity</w:t>
      </w:r>
      <w:r>
        <w:t xml:space="preserve"> is achieved</w:t>
      </w:r>
      <w:r w:rsidR="002B19B6">
        <w:rPr>
          <w:color w:val="000000" w:themeColor="text1"/>
        </w:rPr>
        <w:t xml:space="preserve">, </w:t>
      </w:r>
      <w:r w:rsidR="008F0BE7" w:rsidRPr="0094674D">
        <w:rPr>
          <w:color w:val="000000" w:themeColor="text1"/>
        </w:rPr>
        <w:t xml:space="preserve">agreement </w:t>
      </w:r>
      <w:r w:rsidR="002B19B6">
        <w:rPr>
          <w:color w:val="000000" w:themeColor="text1"/>
        </w:rPr>
        <w:t xml:space="preserve">should </w:t>
      </w:r>
      <w:r w:rsidR="008F0BE7" w:rsidRPr="0094674D">
        <w:rPr>
          <w:color w:val="000000" w:themeColor="text1"/>
        </w:rPr>
        <w:t>be reached on the nature of activities to take forward</w:t>
      </w:r>
      <w:r w:rsidR="002B19B6">
        <w:rPr>
          <w:color w:val="000000" w:themeColor="text1"/>
        </w:rPr>
        <w:t xml:space="preserve">, </w:t>
      </w:r>
      <w:r w:rsidR="002B19B6">
        <w:t>what is feasible with existing human and financial resources</w:t>
      </w:r>
      <w:r w:rsidR="008F0BE7" w:rsidRPr="0094674D">
        <w:rPr>
          <w:color w:val="000000" w:themeColor="text1"/>
        </w:rPr>
        <w:t xml:space="preserve"> and the respective roles and responsibilities between Palladium and DFAT. </w:t>
      </w:r>
    </w:p>
    <w:p w14:paraId="0D305565" w14:textId="77777777" w:rsidR="008F0BE7" w:rsidRDefault="008F0BE7" w:rsidP="008F0BE7"/>
    <w:p w14:paraId="1248BD77" w14:textId="77777777" w:rsidR="0082608C" w:rsidRPr="0082608C" w:rsidRDefault="0082608C" w:rsidP="0082608C"/>
    <w:p w14:paraId="0B99336F" w14:textId="039635C4" w:rsidR="000601BC" w:rsidRDefault="000601BC">
      <w:pPr>
        <w:spacing w:before="0" w:after="0" w:line="240" w:lineRule="auto"/>
      </w:pPr>
      <w:r>
        <w:br w:type="page"/>
      </w:r>
    </w:p>
    <w:p w14:paraId="0F56DB74" w14:textId="77777777" w:rsidR="00347431" w:rsidRDefault="000601BC" w:rsidP="000601BC">
      <w:pPr>
        <w:pStyle w:val="SectionTitle"/>
        <w:rPr>
          <w:noProof/>
        </w:rPr>
      </w:pPr>
      <w:bookmarkStart w:id="75" w:name="_Toc1729533"/>
      <w:r>
        <w:rPr>
          <w:noProof/>
        </w:rPr>
        <w:lastRenderedPageBreak/>
        <w:t xml:space="preserve">Appendix G: </w:t>
      </w:r>
      <w:r w:rsidR="00347431">
        <w:rPr>
          <w:noProof/>
        </w:rPr>
        <w:t xml:space="preserve">Expenditure </w:t>
      </w:r>
      <w:r>
        <w:rPr>
          <w:noProof/>
        </w:rPr>
        <w:t>summary</w:t>
      </w:r>
      <w:bookmarkEnd w:id="75"/>
      <w:r w:rsidR="00347431">
        <w:rPr>
          <w:noProof/>
        </w:rPr>
        <w:t xml:space="preserve"> </w:t>
      </w:r>
    </w:p>
    <w:p w14:paraId="122DB87A" w14:textId="77777777" w:rsidR="00D20FEE" w:rsidRDefault="002D37AB" w:rsidP="002D37AB">
      <w:pPr>
        <w:pStyle w:val="FigureName"/>
        <w:rPr>
          <w:noProof/>
        </w:rPr>
      </w:pPr>
      <w:bookmarkStart w:id="76" w:name="_Toc1729559"/>
      <w:r>
        <w:rPr>
          <w:noProof/>
        </w:rPr>
        <w:t xml:space="preserve">Figure </w:t>
      </w:r>
      <w:r w:rsidR="008F0BE7">
        <w:rPr>
          <w:noProof/>
        </w:rPr>
        <w:t>10</w:t>
      </w:r>
      <w:r>
        <w:rPr>
          <w:noProof/>
        </w:rPr>
        <w:tab/>
      </w:r>
      <w:r>
        <w:rPr>
          <w:noProof/>
        </w:rPr>
        <w:tab/>
        <w:t>Actual and projectect expenditure, 2016 - 2020</w:t>
      </w:r>
      <w:bookmarkEnd w:id="76"/>
    </w:p>
    <w:p w14:paraId="7F0AD0CC" w14:textId="77777777" w:rsidR="00347431" w:rsidRDefault="00347431" w:rsidP="00347431">
      <w:pPr>
        <w:rPr>
          <w:noProof/>
        </w:rPr>
      </w:pPr>
      <w:r>
        <w:rPr>
          <w:noProof/>
        </w:rPr>
        <w:drawing>
          <wp:inline distT="0" distB="0" distL="0" distR="0" wp14:anchorId="17F91D3E" wp14:editId="4AE38474">
            <wp:extent cx="6211570" cy="4871545"/>
            <wp:effectExtent l="0" t="0" r="0" b="5715"/>
            <wp:docPr id="15" name="Chart 15">
              <a:extLst xmlns:a="http://schemas.openxmlformats.org/drawingml/2006/main">
                <a:ext uri="{FF2B5EF4-FFF2-40B4-BE49-F238E27FC236}">
                  <a16:creationId xmlns:a16="http://schemas.microsoft.com/office/drawing/2014/main" id="{92377B3C-ABEF-414B-B981-0152113F90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F90FF4" w14:textId="77777777" w:rsidR="00AD7D38" w:rsidRDefault="00AD7D38" w:rsidP="00347431">
      <w:pPr>
        <w:rPr>
          <w:noProof/>
        </w:rPr>
      </w:pPr>
      <w:r>
        <w:rPr>
          <w:noProof/>
        </w:rPr>
        <w:t xml:space="preserve">Note: the expenditure figures do not include management fees </w:t>
      </w:r>
    </w:p>
    <w:p w14:paraId="59E5E891" w14:textId="77777777" w:rsidR="000601BC" w:rsidRDefault="000601BC" w:rsidP="000601BC">
      <w:pPr>
        <w:pStyle w:val="SectionTitle"/>
        <w:rPr>
          <w:noProof/>
        </w:rPr>
      </w:pPr>
      <w:bookmarkStart w:id="77" w:name="_Toc1729534"/>
      <w:r>
        <w:rPr>
          <w:noProof/>
        </w:rPr>
        <w:lastRenderedPageBreak/>
        <w:t>Appendix H: Stakeholder suggestions for improvements</w:t>
      </w:r>
      <w:bookmarkEnd w:id="77"/>
      <w:r>
        <w:rPr>
          <w:noProof/>
        </w:rPr>
        <w:t xml:space="preserve"> </w:t>
      </w:r>
    </w:p>
    <w:p w14:paraId="6417F637" w14:textId="77777777" w:rsidR="0082608C" w:rsidRPr="0082608C" w:rsidRDefault="005D4EA3" w:rsidP="0082608C">
      <w:r>
        <w:t>The following are suggested improvements stakeholders wished to have reflected for DFAT consideration.</w:t>
      </w:r>
    </w:p>
    <w:p w14:paraId="064D7945" w14:textId="77777777" w:rsidR="005D4EA3" w:rsidRDefault="005D4EA3" w:rsidP="002916B4">
      <w:pPr>
        <w:pStyle w:val="Heading3a"/>
        <w:numPr>
          <w:ilvl w:val="0"/>
          <w:numId w:val="0"/>
        </w:numPr>
        <w:ind w:left="720" w:hanging="720"/>
        <w:rPr>
          <w:rFonts w:eastAsia="Calibri"/>
        </w:rPr>
      </w:pPr>
      <w:r>
        <w:rPr>
          <w:rFonts w:eastAsia="Calibri"/>
        </w:rPr>
        <w:t>Suggestions with global Awards policy implications</w:t>
      </w:r>
      <w:r w:rsidR="002916B4">
        <w:rPr>
          <w:rFonts w:eastAsia="Calibri"/>
        </w:rPr>
        <w:t>:</w:t>
      </w:r>
    </w:p>
    <w:p w14:paraId="65320503" w14:textId="77777777" w:rsidR="005D4EA3" w:rsidRPr="00DA5264" w:rsidRDefault="002916B4" w:rsidP="005D4EA3">
      <w:pPr>
        <w:rPr>
          <w:i/>
        </w:rPr>
      </w:pPr>
      <w:r>
        <w:rPr>
          <w:i/>
        </w:rPr>
        <w:t xml:space="preserve">From </w:t>
      </w:r>
      <w:r w:rsidR="005D4EA3" w:rsidRPr="00DA5264">
        <w:rPr>
          <w:i/>
        </w:rPr>
        <w:t xml:space="preserve">Coordinating </w:t>
      </w:r>
      <w:r w:rsidR="005D4EA3">
        <w:rPr>
          <w:i/>
        </w:rPr>
        <w:t>a</w:t>
      </w:r>
      <w:r w:rsidR="005D4EA3" w:rsidRPr="00DA5264">
        <w:rPr>
          <w:i/>
        </w:rPr>
        <w:t>uthorities</w:t>
      </w:r>
    </w:p>
    <w:p w14:paraId="4AF71FBA" w14:textId="77777777" w:rsidR="005D4EA3" w:rsidRPr="00CD3327" w:rsidRDefault="005D4EA3" w:rsidP="005D4EA3">
      <w:pPr>
        <w:pStyle w:val="Bullet"/>
      </w:pPr>
      <w:r>
        <w:t xml:space="preserve">Consider </w:t>
      </w:r>
      <w:r w:rsidRPr="00CD3327">
        <w:t xml:space="preserve">PhD studies </w:t>
      </w:r>
      <w:r>
        <w:t xml:space="preserve">in areas </w:t>
      </w:r>
      <w:r w:rsidRPr="00CD3327">
        <w:t xml:space="preserve">where Australia has </w:t>
      </w:r>
      <w:r>
        <w:t xml:space="preserve">an </w:t>
      </w:r>
      <w:r w:rsidRPr="00CD3327">
        <w:t>advantage.</w:t>
      </w:r>
    </w:p>
    <w:p w14:paraId="05890208" w14:textId="77777777" w:rsidR="005D4EA3" w:rsidRDefault="005D4EA3" w:rsidP="002916B4">
      <w:pPr>
        <w:pStyle w:val="BulletLast"/>
      </w:pPr>
      <w:r w:rsidRPr="00CD3327">
        <w:t xml:space="preserve">Consider bereavement travel support </w:t>
      </w:r>
      <w:r>
        <w:t xml:space="preserve">– of </w:t>
      </w:r>
      <w:r w:rsidRPr="00CD3327">
        <w:t xml:space="preserve">significant cultural </w:t>
      </w:r>
      <w:r>
        <w:t xml:space="preserve">importance </w:t>
      </w:r>
      <w:r w:rsidRPr="00CD3327">
        <w:t>for immediate family members</w:t>
      </w:r>
      <w:r w:rsidRPr="00F818CD">
        <w:t>.</w:t>
      </w:r>
    </w:p>
    <w:p w14:paraId="741FB01D" w14:textId="77777777" w:rsidR="005D4EA3" w:rsidRPr="00032353" w:rsidRDefault="002916B4" w:rsidP="005D4EA3">
      <w:pPr>
        <w:rPr>
          <w:i/>
        </w:rPr>
      </w:pPr>
      <w:r>
        <w:rPr>
          <w:i/>
        </w:rPr>
        <w:t xml:space="preserve">From </w:t>
      </w:r>
      <w:r w:rsidR="005D4EA3" w:rsidRPr="00032353">
        <w:rPr>
          <w:i/>
        </w:rPr>
        <w:t>Posts</w:t>
      </w:r>
    </w:p>
    <w:p w14:paraId="7EB4461D" w14:textId="77777777" w:rsidR="005D4EA3" w:rsidRPr="00032353" w:rsidRDefault="005D4EA3" w:rsidP="005D4EA3">
      <w:pPr>
        <w:pStyle w:val="Bullet"/>
      </w:pPr>
      <w:r w:rsidRPr="00032353">
        <w:t>Panel chairing rules need flexibility</w:t>
      </w:r>
      <w:r>
        <w:t xml:space="preserve">, including in relation to chairing by </w:t>
      </w:r>
      <w:r w:rsidRPr="00032353">
        <w:t>locally engaged staff</w:t>
      </w:r>
      <w:r>
        <w:t>. These resource allocation decisions are best made by posts.</w:t>
      </w:r>
    </w:p>
    <w:p w14:paraId="64F2B0DB" w14:textId="77777777" w:rsidR="005D4EA3" w:rsidRDefault="005D4EA3" w:rsidP="005D4EA3">
      <w:pPr>
        <w:pStyle w:val="Bullet"/>
      </w:pPr>
      <w:bookmarkStart w:id="78" w:name="_Hlk535847887"/>
      <w:r>
        <w:t>There should be m</w:t>
      </w:r>
      <w:r w:rsidRPr="00032353">
        <w:t xml:space="preserve">ore flexibility </w:t>
      </w:r>
      <w:bookmarkEnd w:id="78"/>
      <w:r w:rsidRPr="00032353">
        <w:t>around branding</w:t>
      </w:r>
      <w:r>
        <w:t>.</w:t>
      </w:r>
    </w:p>
    <w:p w14:paraId="4D77B82B" w14:textId="6477E4A5" w:rsidR="005D4EA3" w:rsidRDefault="005D4EA3" w:rsidP="005D4EA3">
      <w:pPr>
        <w:pStyle w:val="Bullet"/>
      </w:pPr>
      <w:r w:rsidRPr="00B363CD">
        <w:t xml:space="preserve">There should be more flexibility around accepting application for </w:t>
      </w:r>
      <w:r w:rsidR="002650DB">
        <w:t>master’s</w:t>
      </w:r>
      <w:r w:rsidRPr="00B363CD">
        <w:t xml:space="preserve"> scholarships of people who already have a </w:t>
      </w:r>
      <w:r w:rsidR="00071748">
        <w:t>master’s</w:t>
      </w:r>
      <w:r>
        <w:t xml:space="preserve"> degree</w:t>
      </w:r>
      <w:r w:rsidRPr="00B363CD">
        <w:t xml:space="preserve">. </w:t>
      </w:r>
      <w:r>
        <w:t xml:space="preserve">Current rules are </w:t>
      </w:r>
      <w:r w:rsidRPr="00B363CD">
        <w:t xml:space="preserve">a barrier to </w:t>
      </w:r>
      <w:r>
        <w:t xml:space="preserve">accepting </w:t>
      </w:r>
      <w:r w:rsidRPr="00B363CD">
        <w:t>key people of influence.</w:t>
      </w:r>
    </w:p>
    <w:p w14:paraId="04E13812" w14:textId="77777777" w:rsidR="005D4EA3" w:rsidRPr="002916B4" w:rsidRDefault="005D4EA3" w:rsidP="002916B4">
      <w:pPr>
        <w:pStyle w:val="Heading3a"/>
        <w:numPr>
          <w:ilvl w:val="0"/>
          <w:numId w:val="0"/>
        </w:numPr>
        <w:ind w:left="720" w:hanging="720"/>
        <w:rPr>
          <w:rFonts w:eastAsia="Calibri"/>
        </w:rPr>
      </w:pPr>
      <w:r w:rsidRPr="002916B4">
        <w:rPr>
          <w:rFonts w:eastAsia="Calibri"/>
        </w:rPr>
        <w:t>Suggestions for Africa Branch</w:t>
      </w:r>
      <w:r w:rsidR="002916B4">
        <w:rPr>
          <w:rFonts w:eastAsia="Calibri"/>
        </w:rPr>
        <w:t>:</w:t>
      </w:r>
    </w:p>
    <w:p w14:paraId="4F30B3F9" w14:textId="77777777" w:rsidR="005D4EA3" w:rsidRPr="00DA5264" w:rsidRDefault="002916B4" w:rsidP="005D4EA3">
      <w:pPr>
        <w:rPr>
          <w:i/>
        </w:rPr>
      </w:pPr>
      <w:bookmarkStart w:id="79" w:name="_Hlk535847333"/>
      <w:r>
        <w:rPr>
          <w:i/>
        </w:rPr>
        <w:t xml:space="preserve">From </w:t>
      </w:r>
      <w:r w:rsidR="005D4EA3" w:rsidRPr="00DA5264">
        <w:rPr>
          <w:i/>
        </w:rPr>
        <w:t>Coordinating Authorities</w:t>
      </w:r>
    </w:p>
    <w:bookmarkEnd w:id="79"/>
    <w:p w14:paraId="1A754275" w14:textId="77777777" w:rsidR="005D4EA3" w:rsidRPr="005D4EA3" w:rsidRDefault="005D4EA3" w:rsidP="005D4EA3">
      <w:pPr>
        <w:pStyle w:val="Bullet"/>
      </w:pPr>
      <w:r w:rsidRPr="005D4EA3">
        <w:t>Raise the SCA age restriction to enable people closer to retirement to participate as well.</w:t>
      </w:r>
    </w:p>
    <w:p w14:paraId="1F8344AB" w14:textId="77777777" w:rsidR="005D4EA3" w:rsidRPr="005D4EA3" w:rsidRDefault="005D4EA3" w:rsidP="005D4EA3">
      <w:pPr>
        <w:pStyle w:val="Bullet"/>
      </w:pPr>
      <w:r w:rsidRPr="005D4EA3">
        <w:t xml:space="preserve">Consider additional training for, and mechanisms for knowledge sharing among, coordinating authorities, including to ensure consistency of approach among different coordinating authorities. </w:t>
      </w:r>
    </w:p>
    <w:p w14:paraId="09EE1683" w14:textId="77777777" w:rsidR="005D4EA3" w:rsidRPr="005D4EA3" w:rsidRDefault="005D4EA3" w:rsidP="002916B4">
      <w:pPr>
        <w:pStyle w:val="BulletLast"/>
      </w:pPr>
      <w:r w:rsidRPr="005D4EA3">
        <w:t>Visits to, and internships in, Australia would also enable coordinating authority staff to be better informed when speaking to applicants.</w:t>
      </w:r>
    </w:p>
    <w:p w14:paraId="0DE25085" w14:textId="77777777" w:rsidR="005D4EA3" w:rsidRPr="00DA5264" w:rsidRDefault="002916B4" w:rsidP="005D4EA3">
      <w:pPr>
        <w:rPr>
          <w:rFonts w:ascii="Calibri" w:eastAsia="Calibri" w:hAnsi="Calibri" w:cs="Calibri"/>
        </w:rPr>
      </w:pPr>
      <w:r>
        <w:rPr>
          <w:i/>
        </w:rPr>
        <w:t xml:space="preserve">From </w:t>
      </w:r>
      <w:r w:rsidR="005D4EA3" w:rsidRPr="002916B4">
        <w:rPr>
          <w:i/>
        </w:rPr>
        <w:t>Posts</w:t>
      </w:r>
    </w:p>
    <w:p w14:paraId="3E37C93F" w14:textId="77777777" w:rsidR="005D4EA3" w:rsidRPr="002916B4" w:rsidRDefault="005D4EA3" w:rsidP="002916B4">
      <w:pPr>
        <w:pStyle w:val="Bullet"/>
        <w:rPr>
          <w:rFonts w:eastAsia="Calibri"/>
        </w:rPr>
      </w:pPr>
      <w:r w:rsidRPr="002916B4">
        <w:rPr>
          <w:rFonts w:eastAsia="Calibri"/>
        </w:rPr>
        <w:t xml:space="preserve">Consider raising the cut off age to 55  </w:t>
      </w:r>
    </w:p>
    <w:p w14:paraId="7D3041EF" w14:textId="7AA927EF" w:rsidR="005D4EA3" w:rsidRPr="002916B4" w:rsidRDefault="00E64A31" w:rsidP="002916B4">
      <w:pPr>
        <w:pStyle w:val="Bullet"/>
        <w:rPr>
          <w:rFonts w:eastAsia="Calibri"/>
        </w:rPr>
      </w:pPr>
      <w:r>
        <w:rPr>
          <w:rFonts w:eastAsia="Calibri"/>
        </w:rPr>
        <w:t>S</w:t>
      </w:r>
      <w:r w:rsidR="005D4EA3" w:rsidRPr="002916B4">
        <w:rPr>
          <w:rFonts w:eastAsia="Calibri"/>
        </w:rPr>
        <w:t>uggested criteria for determining which countries are included:</w:t>
      </w:r>
    </w:p>
    <w:p w14:paraId="3F5E7C0A" w14:textId="77777777" w:rsidR="005D4EA3" w:rsidRPr="006807CC" w:rsidRDefault="005D4EA3" w:rsidP="002916B4">
      <w:pPr>
        <w:pStyle w:val="Dash"/>
        <w:rPr>
          <w:rFonts w:eastAsia="Calibri"/>
        </w:rPr>
      </w:pPr>
      <w:r>
        <w:rPr>
          <w:rFonts w:eastAsia="Calibri"/>
        </w:rPr>
        <w:t xml:space="preserve">Status of the </w:t>
      </w:r>
      <w:r w:rsidRPr="006807CC">
        <w:rPr>
          <w:rFonts w:eastAsia="Calibri"/>
        </w:rPr>
        <w:t xml:space="preserve">of </w:t>
      </w:r>
      <w:r>
        <w:rPr>
          <w:rFonts w:eastAsia="Calibri"/>
        </w:rPr>
        <w:t xml:space="preserve">the bilateral </w:t>
      </w:r>
      <w:r w:rsidRPr="006807CC">
        <w:rPr>
          <w:rFonts w:eastAsia="Calibri"/>
        </w:rPr>
        <w:t xml:space="preserve">relationship </w:t>
      </w:r>
      <w:r>
        <w:rPr>
          <w:rFonts w:eastAsia="Calibri"/>
        </w:rPr>
        <w:t>with</w:t>
      </w:r>
      <w:r w:rsidRPr="006807CC">
        <w:rPr>
          <w:rFonts w:eastAsia="Calibri"/>
        </w:rPr>
        <w:t xml:space="preserve"> </w:t>
      </w:r>
      <w:proofErr w:type="gramStart"/>
      <w:r w:rsidRPr="006807CC">
        <w:rPr>
          <w:rFonts w:eastAsia="Calibri"/>
        </w:rPr>
        <w:t>Australia</w:t>
      </w:r>
      <w:r>
        <w:rPr>
          <w:rFonts w:eastAsia="Calibri"/>
        </w:rPr>
        <w:t>;</w:t>
      </w:r>
      <w:proofErr w:type="gramEnd"/>
    </w:p>
    <w:p w14:paraId="26C95C2F" w14:textId="77777777" w:rsidR="005D4EA3" w:rsidRPr="006807CC" w:rsidRDefault="005D4EA3" w:rsidP="002916B4">
      <w:pPr>
        <w:pStyle w:val="Dash"/>
        <w:rPr>
          <w:rFonts w:eastAsia="Calibri"/>
        </w:rPr>
      </w:pPr>
      <w:r>
        <w:rPr>
          <w:rFonts w:eastAsia="Calibri"/>
        </w:rPr>
        <w:t xml:space="preserve">Constraints on other </w:t>
      </w:r>
      <w:r w:rsidRPr="006807CC">
        <w:rPr>
          <w:rFonts w:eastAsia="Calibri"/>
        </w:rPr>
        <w:t xml:space="preserve">options for Australian </w:t>
      </w:r>
      <w:proofErr w:type="gramStart"/>
      <w:r w:rsidRPr="006807CC">
        <w:rPr>
          <w:rFonts w:eastAsia="Calibri"/>
        </w:rPr>
        <w:t>influence</w:t>
      </w:r>
      <w:r>
        <w:rPr>
          <w:rFonts w:eastAsia="Calibri"/>
        </w:rPr>
        <w:t>;</w:t>
      </w:r>
      <w:proofErr w:type="gramEnd"/>
      <w:r w:rsidRPr="006807CC">
        <w:rPr>
          <w:rFonts w:eastAsia="Calibri"/>
        </w:rPr>
        <w:t xml:space="preserve"> </w:t>
      </w:r>
    </w:p>
    <w:p w14:paraId="15E234AB" w14:textId="77777777" w:rsidR="005D4EA3" w:rsidRPr="00B363CD" w:rsidRDefault="005D4EA3" w:rsidP="002916B4">
      <w:pPr>
        <w:pStyle w:val="Dash"/>
        <w:rPr>
          <w:rFonts w:eastAsia="Calibri"/>
        </w:rPr>
      </w:pPr>
      <w:r w:rsidRPr="00B363CD">
        <w:rPr>
          <w:rFonts w:eastAsia="Calibri"/>
        </w:rPr>
        <w:t>The extent to which Australia’s offering can develop skills and contribute to enabling the country to meet its needs (</w:t>
      </w:r>
      <w:proofErr w:type="gramStart"/>
      <w:r w:rsidRPr="00B363CD">
        <w:rPr>
          <w:rFonts w:eastAsia="Calibri"/>
        </w:rPr>
        <w:t>e.g.</w:t>
      </w:r>
      <w:proofErr w:type="gramEnd"/>
      <w:r w:rsidRPr="00B363CD">
        <w:rPr>
          <w:rFonts w:eastAsia="Calibri"/>
        </w:rPr>
        <w:t xml:space="preserve"> in extractive industries, dryland farming, or public financial management)</w:t>
      </w:r>
      <w:r>
        <w:rPr>
          <w:rFonts w:eastAsia="Calibri"/>
        </w:rPr>
        <w:t>;</w:t>
      </w:r>
    </w:p>
    <w:p w14:paraId="220B4370" w14:textId="0158BCA8" w:rsidR="005D4EA3" w:rsidRDefault="005D4EA3" w:rsidP="002916B4">
      <w:pPr>
        <w:pStyle w:val="Dash"/>
        <w:rPr>
          <w:rFonts w:eastAsia="Calibri"/>
        </w:rPr>
      </w:pPr>
      <w:r>
        <w:rPr>
          <w:rFonts w:eastAsia="Calibri"/>
        </w:rPr>
        <w:t xml:space="preserve">Scope to influence gender equity in the </w:t>
      </w:r>
      <w:proofErr w:type="gramStart"/>
      <w:r>
        <w:rPr>
          <w:rFonts w:eastAsia="Calibri"/>
        </w:rPr>
        <w:t>country;</w:t>
      </w:r>
      <w:proofErr w:type="gramEnd"/>
    </w:p>
    <w:p w14:paraId="444A211E" w14:textId="2A86DAF9" w:rsidR="00E64A31" w:rsidRDefault="00E64A31" w:rsidP="002916B4">
      <w:pPr>
        <w:pStyle w:val="Dash"/>
        <w:rPr>
          <w:rFonts w:eastAsia="Calibri"/>
        </w:rPr>
      </w:pPr>
      <w:r>
        <w:rPr>
          <w:rFonts w:eastAsia="Calibri"/>
        </w:rPr>
        <w:t xml:space="preserve">Maintaining influence in countries of geostrategic </w:t>
      </w:r>
      <w:proofErr w:type="gramStart"/>
      <w:r>
        <w:rPr>
          <w:rFonts w:eastAsia="Calibri"/>
        </w:rPr>
        <w:t>interest;</w:t>
      </w:r>
      <w:proofErr w:type="gramEnd"/>
    </w:p>
    <w:p w14:paraId="27466776" w14:textId="0CFB2134" w:rsidR="00E64A31" w:rsidRDefault="00E64A31" w:rsidP="002916B4">
      <w:pPr>
        <w:pStyle w:val="Dash"/>
        <w:rPr>
          <w:rFonts w:eastAsia="Calibri"/>
        </w:rPr>
      </w:pPr>
      <w:r>
        <w:rPr>
          <w:rFonts w:eastAsia="Calibri"/>
        </w:rPr>
        <w:t>Commercial interests (including emerging markets</w:t>
      </w:r>
      <w:proofErr w:type="gramStart"/>
      <w:r>
        <w:rPr>
          <w:rFonts w:eastAsia="Calibri"/>
        </w:rPr>
        <w:t>);</w:t>
      </w:r>
      <w:proofErr w:type="gramEnd"/>
    </w:p>
    <w:p w14:paraId="2526E5D3" w14:textId="77777777" w:rsidR="005D4EA3" w:rsidRPr="00DA5264" w:rsidRDefault="005D4EA3" w:rsidP="002916B4">
      <w:pPr>
        <w:pStyle w:val="Dash"/>
        <w:rPr>
          <w:rFonts w:eastAsia="Calibri"/>
        </w:rPr>
      </w:pPr>
      <w:r w:rsidRPr="00DA5264">
        <w:rPr>
          <w:rFonts w:eastAsia="Calibri"/>
        </w:rPr>
        <w:t>Anticipated public/private sector split</w:t>
      </w:r>
      <w:r>
        <w:rPr>
          <w:rFonts w:eastAsia="Calibri"/>
        </w:rPr>
        <w:t>.</w:t>
      </w:r>
    </w:p>
    <w:p w14:paraId="604B83BA" w14:textId="77777777" w:rsidR="005D4EA3" w:rsidRPr="00813ED0" w:rsidRDefault="005D4EA3" w:rsidP="005D4EA3">
      <w:pPr>
        <w:pStyle w:val="Bullet"/>
        <w:rPr>
          <w:rFonts w:eastAsia="Calibri"/>
        </w:rPr>
      </w:pPr>
      <w:r w:rsidRPr="00813ED0">
        <w:rPr>
          <w:rFonts w:eastAsia="Calibri"/>
        </w:rPr>
        <w:lastRenderedPageBreak/>
        <w:t xml:space="preserve">Task Palladium to </w:t>
      </w:r>
      <w:r>
        <w:rPr>
          <w:rFonts w:eastAsia="Calibri"/>
        </w:rPr>
        <w:t xml:space="preserve">track down </w:t>
      </w:r>
      <w:r w:rsidRPr="00813ED0">
        <w:rPr>
          <w:rFonts w:eastAsia="Calibri"/>
        </w:rPr>
        <w:t>alumni</w:t>
      </w:r>
      <w:r>
        <w:rPr>
          <w:rFonts w:eastAsia="Calibri"/>
        </w:rPr>
        <w:t>,</w:t>
      </w:r>
      <w:r w:rsidRPr="00813ED0">
        <w:rPr>
          <w:rFonts w:eastAsia="Calibri"/>
        </w:rPr>
        <w:t xml:space="preserve"> </w:t>
      </w:r>
      <w:r>
        <w:rPr>
          <w:rFonts w:eastAsia="Calibri"/>
        </w:rPr>
        <w:t xml:space="preserve">based on </w:t>
      </w:r>
      <w:r w:rsidRPr="00813ED0">
        <w:rPr>
          <w:rFonts w:eastAsia="Calibri"/>
        </w:rPr>
        <w:t>DFAT</w:t>
      </w:r>
      <w:r>
        <w:rPr>
          <w:rFonts w:eastAsia="Calibri"/>
        </w:rPr>
        <w:t>’s</w:t>
      </w:r>
      <w:r w:rsidRPr="00813ED0">
        <w:rPr>
          <w:rFonts w:eastAsia="Calibri"/>
        </w:rPr>
        <w:t xml:space="preserve"> suggest</w:t>
      </w:r>
      <w:r>
        <w:rPr>
          <w:rFonts w:eastAsia="Calibri"/>
        </w:rPr>
        <w:t xml:space="preserve">ions for </w:t>
      </w:r>
      <w:r w:rsidRPr="00813ED0">
        <w:rPr>
          <w:rFonts w:eastAsia="Calibri"/>
        </w:rPr>
        <w:t xml:space="preserve">institutions to </w:t>
      </w:r>
      <w:r>
        <w:rPr>
          <w:rFonts w:eastAsia="Calibri"/>
        </w:rPr>
        <w:t xml:space="preserve">help identify </w:t>
      </w:r>
      <w:r w:rsidRPr="00813ED0">
        <w:rPr>
          <w:rFonts w:eastAsia="Calibri"/>
        </w:rPr>
        <w:t xml:space="preserve">where people are </w:t>
      </w:r>
      <w:proofErr w:type="gramStart"/>
      <w:r w:rsidRPr="00813ED0">
        <w:rPr>
          <w:rFonts w:eastAsia="Calibri"/>
        </w:rPr>
        <w:t>now</w:t>
      </w:r>
      <w:r>
        <w:rPr>
          <w:rFonts w:eastAsia="Calibri"/>
        </w:rPr>
        <w:t>;</w:t>
      </w:r>
      <w:proofErr w:type="gramEnd"/>
      <w:r w:rsidRPr="00813ED0">
        <w:rPr>
          <w:rFonts w:eastAsia="Calibri"/>
        </w:rPr>
        <w:t xml:space="preserve"> </w:t>
      </w:r>
    </w:p>
    <w:p w14:paraId="4C0959A0" w14:textId="77777777" w:rsidR="005D4EA3" w:rsidRPr="00813ED0" w:rsidRDefault="005D4EA3" w:rsidP="005D4EA3">
      <w:pPr>
        <w:pStyle w:val="Bullet"/>
        <w:rPr>
          <w:rFonts w:eastAsia="Calibri"/>
        </w:rPr>
      </w:pPr>
      <w:r w:rsidRPr="00813ED0">
        <w:rPr>
          <w:rFonts w:eastAsia="Calibri"/>
        </w:rPr>
        <w:t>Better, regular communication from</w:t>
      </w:r>
      <w:r>
        <w:rPr>
          <w:rFonts w:eastAsia="Calibri"/>
        </w:rPr>
        <w:t xml:space="preserve"> Africa Branch </w:t>
      </w:r>
      <w:r w:rsidRPr="00813ED0">
        <w:rPr>
          <w:rFonts w:eastAsia="Calibri"/>
        </w:rPr>
        <w:t xml:space="preserve">with </w:t>
      </w:r>
      <w:r>
        <w:rPr>
          <w:rFonts w:eastAsia="Calibri"/>
        </w:rPr>
        <w:t>p</w:t>
      </w:r>
      <w:r w:rsidRPr="00813ED0">
        <w:rPr>
          <w:rFonts w:eastAsia="Calibri"/>
        </w:rPr>
        <w:t>osts involving telecon</w:t>
      </w:r>
      <w:r>
        <w:rPr>
          <w:rFonts w:eastAsia="Calibri"/>
        </w:rPr>
        <w:t>ferences</w:t>
      </w:r>
      <w:r w:rsidRPr="00813ED0">
        <w:rPr>
          <w:rFonts w:eastAsia="Calibri"/>
        </w:rPr>
        <w:t xml:space="preserve"> and emails to advise of any new elements in the work plan for the Awards or operational changes, and deadlines or post expectations</w:t>
      </w:r>
      <w:r>
        <w:rPr>
          <w:rFonts w:eastAsia="Calibri"/>
        </w:rPr>
        <w:t xml:space="preserve">, </w:t>
      </w:r>
      <w:proofErr w:type="gramStart"/>
      <w:r w:rsidR="002916B4">
        <w:rPr>
          <w:rFonts w:eastAsia="Calibri"/>
        </w:rPr>
        <w:t>e.g.</w:t>
      </w:r>
      <w:proofErr w:type="gramEnd"/>
      <w:r w:rsidRPr="00813ED0">
        <w:rPr>
          <w:rFonts w:eastAsia="Calibri"/>
        </w:rPr>
        <w:t xml:space="preserve"> during </w:t>
      </w:r>
      <w:r>
        <w:rPr>
          <w:rFonts w:eastAsia="Calibri"/>
        </w:rPr>
        <w:t xml:space="preserve">the </w:t>
      </w:r>
      <w:r w:rsidRPr="00813ED0">
        <w:rPr>
          <w:rFonts w:eastAsia="Calibri"/>
        </w:rPr>
        <w:t>promotions cycle</w:t>
      </w:r>
      <w:r>
        <w:rPr>
          <w:rFonts w:eastAsia="Calibri"/>
        </w:rPr>
        <w:t>;</w:t>
      </w:r>
    </w:p>
    <w:p w14:paraId="1DC02DE9" w14:textId="77777777" w:rsidR="005D4EA3" w:rsidRPr="00813ED0" w:rsidRDefault="002916B4" w:rsidP="005D4EA3">
      <w:pPr>
        <w:pStyle w:val="Bullet"/>
        <w:rPr>
          <w:rFonts w:eastAsia="Calibri"/>
        </w:rPr>
      </w:pPr>
      <w:r>
        <w:rPr>
          <w:rFonts w:eastAsia="Calibri"/>
        </w:rPr>
        <w:t xml:space="preserve">Africa Branch </w:t>
      </w:r>
      <w:r w:rsidR="005D4EA3" w:rsidRPr="00813ED0">
        <w:rPr>
          <w:rFonts w:eastAsia="Calibri"/>
        </w:rPr>
        <w:t xml:space="preserve">to allow </w:t>
      </w:r>
      <w:r w:rsidR="005D4EA3">
        <w:rPr>
          <w:rFonts w:eastAsia="Calibri"/>
        </w:rPr>
        <w:t>p</w:t>
      </w:r>
      <w:r w:rsidR="005D4EA3" w:rsidRPr="00813ED0">
        <w:rPr>
          <w:rFonts w:eastAsia="Calibri"/>
        </w:rPr>
        <w:t>osts to contact Palladium directly on operational issues for agreed activities (</w:t>
      </w:r>
      <w:proofErr w:type="gramStart"/>
      <w:r w:rsidRPr="00813ED0">
        <w:rPr>
          <w:rFonts w:eastAsia="Calibri"/>
        </w:rPr>
        <w:t>i.e.</w:t>
      </w:r>
      <w:proofErr w:type="gramEnd"/>
      <w:r w:rsidR="005D4EA3" w:rsidRPr="00813ED0">
        <w:rPr>
          <w:rFonts w:eastAsia="Calibri"/>
        </w:rPr>
        <w:t xml:space="preserve"> promotions and alumni events) without having to first go through Canberra, and then to communicate this to </w:t>
      </w:r>
      <w:r w:rsidR="005D4EA3">
        <w:rPr>
          <w:rFonts w:eastAsia="Calibri"/>
        </w:rPr>
        <w:t>p</w:t>
      </w:r>
      <w:r w:rsidR="005D4EA3" w:rsidRPr="00813ED0">
        <w:rPr>
          <w:rFonts w:eastAsia="Calibri"/>
        </w:rPr>
        <w:t>osts and Palladium</w:t>
      </w:r>
      <w:r w:rsidR="005D4EA3">
        <w:rPr>
          <w:rFonts w:eastAsia="Calibri"/>
        </w:rPr>
        <w:t>;</w:t>
      </w:r>
    </w:p>
    <w:p w14:paraId="70AE14DD" w14:textId="77777777" w:rsidR="005D4EA3" w:rsidRDefault="005D4EA3" w:rsidP="005D4EA3">
      <w:pPr>
        <w:pStyle w:val="Bullet"/>
        <w:rPr>
          <w:rFonts w:eastAsia="Calibri"/>
        </w:rPr>
      </w:pPr>
      <w:r>
        <w:rPr>
          <w:rFonts w:eastAsia="Calibri"/>
        </w:rPr>
        <w:t xml:space="preserve">Africa Branch </w:t>
      </w:r>
      <w:r w:rsidRPr="00813ED0">
        <w:rPr>
          <w:rFonts w:eastAsia="Calibri"/>
        </w:rPr>
        <w:t>to agree</w:t>
      </w:r>
      <w:r>
        <w:rPr>
          <w:rFonts w:eastAsia="Calibri"/>
        </w:rPr>
        <w:t xml:space="preserve"> - and advise posts and Palladium -</w:t>
      </w:r>
      <w:r w:rsidRPr="00813ED0">
        <w:rPr>
          <w:rFonts w:eastAsia="Calibri"/>
        </w:rPr>
        <w:t xml:space="preserve"> that Palladium </w:t>
      </w:r>
      <w:r>
        <w:rPr>
          <w:rFonts w:eastAsia="Calibri"/>
        </w:rPr>
        <w:t>clear</w:t>
      </w:r>
      <w:r w:rsidRPr="00813ED0">
        <w:rPr>
          <w:rFonts w:eastAsia="Calibri"/>
        </w:rPr>
        <w:t xml:space="preserve"> drafts of </w:t>
      </w:r>
      <w:r>
        <w:rPr>
          <w:rFonts w:eastAsia="Calibri"/>
        </w:rPr>
        <w:t xml:space="preserve">public diplomacy </w:t>
      </w:r>
      <w:r w:rsidRPr="00813ED0">
        <w:rPr>
          <w:rFonts w:eastAsia="Calibri"/>
        </w:rPr>
        <w:t xml:space="preserve">material concerning alumni from a Post’s countries of accreditation </w:t>
      </w:r>
      <w:r>
        <w:rPr>
          <w:rFonts w:eastAsia="Calibri"/>
        </w:rPr>
        <w:t>with</w:t>
      </w:r>
      <w:r w:rsidRPr="00813ED0">
        <w:rPr>
          <w:rFonts w:eastAsia="Calibri"/>
        </w:rPr>
        <w:t xml:space="preserve"> the relevant post before publication</w:t>
      </w:r>
      <w:r>
        <w:rPr>
          <w:rFonts w:eastAsia="Calibri"/>
        </w:rPr>
        <w:t xml:space="preserve"> (with r</w:t>
      </w:r>
      <w:r w:rsidRPr="00813ED0">
        <w:rPr>
          <w:rFonts w:eastAsia="Calibri"/>
        </w:rPr>
        <w:t>es</w:t>
      </w:r>
      <w:r>
        <w:rPr>
          <w:rFonts w:eastAsia="Calibri"/>
        </w:rPr>
        <w:t>p</w:t>
      </w:r>
      <w:r w:rsidRPr="00813ED0">
        <w:rPr>
          <w:rFonts w:eastAsia="Calibri"/>
        </w:rPr>
        <w:t>on</w:t>
      </w:r>
      <w:r>
        <w:rPr>
          <w:rFonts w:eastAsia="Calibri"/>
        </w:rPr>
        <w:t>s</w:t>
      </w:r>
      <w:r w:rsidRPr="00813ED0">
        <w:rPr>
          <w:rFonts w:eastAsia="Calibri"/>
        </w:rPr>
        <w:t>e timeframes mindful of staff travel requirements</w:t>
      </w:r>
      <w:r>
        <w:rPr>
          <w:rFonts w:eastAsia="Calibri"/>
        </w:rPr>
        <w:t>).</w:t>
      </w:r>
      <w:r w:rsidRPr="00813ED0">
        <w:rPr>
          <w:rFonts w:eastAsia="Calibri"/>
        </w:rPr>
        <w:t xml:space="preserve">  </w:t>
      </w:r>
    </w:p>
    <w:p w14:paraId="61635E97" w14:textId="77777777" w:rsidR="005D4EA3" w:rsidRDefault="005D4EA3" w:rsidP="005D4EA3">
      <w:pPr>
        <w:pStyle w:val="Bullet"/>
        <w:rPr>
          <w:rFonts w:eastAsia="Calibri"/>
        </w:rPr>
      </w:pPr>
      <w:r w:rsidRPr="00B363CD">
        <w:rPr>
          <w:rFonts w:eastAsia="Calibri"/>
        </w:rPr>
        <w:t>I</w:t>
      </w:r>
      <w:r>
        <w:rPr>
          <w:rFonts w:eastAsia="Calibri"/>
        </w:rPr>
        <w:t>n</w:t>
      </w:r>
      <w:r w:rsidRPr="00B363CD">
        <w:rPr>
          <w:rFonts w:eastAsia="Calibri"/>
        </w:rPr>
        <w:t xml:space="preserve"> </w:t>
      </w:r>
      <w:r>
        <w:rPr>
          <w:rFonts w:eastAsia="Calibri"/>
        </w:rPr>
        <w:t>any</w:t>
      </w:r>
      <w:r w:rsidRPr="00B363CD">
        <w:rPr>
          <w:rFonts w:eastAsia="Calibri"/>
        </w:rPr>
        <w:t xml:space="preserve"> future expansion, consideration </w:t>
      </w:r>
      <w:r>
        <w:rPr>
          <w:rFonts w:eastAsia="Calibri"/>
        </w:rPr>
        <w:t>sh</w:t>
      </w:r>
      <w:r w:rsidRPr="00B363CD">
        <w:rPr>
          <w:rFonts w:eastAsia="Calibri"/>
        </w:rPr>
        <w:t xml:space="preserve">ould be given to scholarships </w:t>
      </w:r>
      <w:r>
        <w:rPr>
          <w:rFonts w:eastAsia="Calibri"/>
        </w:rPr>
        <w:t xml:space="preserve">that would </w:t>
      </w:r>
      <w:r w:rsidRPr="00B363CD">
        <w:rPr>
          <w:rFonts w:eastAsia="Calibri"/>
        </w:rPr>
        <w:t xml:space="preserve">help </w:t>
      </w:r>
      <w:r>
        <w:rPr>
          <w:rFonts w:eastAsia="Calibri"/>
        </w:rPr>
        <w:t xml:space="preserve">develop the </w:t>
      </w:r>
      <w:r w:rsidRPr="00B363CD">
        <w:rPr>
          <w:rFonts w:eastAsia="Calibri"/>
        </w:rPr>
        <w:t xml:space="preserve">countries’ tertiary sectors </w:t>
      </w:r>
      <w:r>
        <w:rPr>
          <w:rFonts w:eastAsia="Calibri"/>
        </w:rPr>
        <w:t>as well as</w:t>
      </w:r>
      <w:r w:rsidRPr="00B363CD">
        <w:rPr>
          <w:rFonts w:eastAsia="Calibri"/>
        </w:rPr>
        <w:t xml:space="preserve"> infrastructure</w:t>
      </w:r>
      <w:r>
        <w:rPr>
          <w:rFonts w:eastAsia="Calibri"/>
        </w:rPr>
        <w:t>.</w:t>
      </w:r>
    </w:p>
    <w:p w14:paraId="3C30ADE2" w14:textId="77777777" w:rsidR="005D4EA3" w:rsidRDefault="005D4EA3" w:rsidP="005D4EA3">
      <w:pPr>
        <w:pStyle w:val="Bullet"/>
        <w:rPr>
          <w:rFonts w:eastAsia="Calibri"/>
        </w:rPr>
      </w:pPr>
      <w:r w:rsidRPr="00B363CD">
        <w:rPr>
          <w:rFonts w:eastAsia="Calibri"/>
        </w:rPr>
        <w:t xml:space="preserve">Re-establish monthly hook-ups to </w:t>
      </w:r>
      <w:r>
        <w:rPr>
          <w:rFonts w:eastAsia="Calibri"/>
        </w:rPr>
        <w:t xml:space="preserve">increase </w:t>
      </w:r>
      <w:r w:rsidRPr="00B363CD">
        <w:rPr>
          <w:rFonts w:eastAsia="Calibri"/>
        </w:rPr>
        <w:t>engage</w:t>
      </w:r>
      <w:r>
        <w:rPr>
          <w:rFonts w:eastAsia="Calibri"/>
        </w:rPr>
        <w:t>ment and knowledge sharing</w:t>
      </w:r>
      <w:r w:rsidRPr="00B363CD">
        <w:rPr>
          <w:rFonts w:eastAsia="Calibri"/>
        </w:rPr>
        <w:t xml:space="preserve"> with other </w:t>
      </w:r>
      <w:r>
        <w:rPr>
          <w:rFonts w:eastAsia="Calibri"/>
        </w:rPr>
        <w:t>p</w:t>
      </w:r>
      <w:r w:rsidRPr="00B363CD">
        <w:rPr>
          <w:rFonts w:eastAsia="Calibri"/>
        </w:rPr>
        <w:t>osts.</w:t>
      </w:r>
    </w:p>
    <w:p w14:paraId="328B8793" w14:textId="77777777" w:rsidR="005D4EA3" w:rsidRDefault="005D4EA3" w:rsidP="005D4EA3">
      <w:pPr>
        <w:pStyle w:val="Bullet"/>
        <w:rPr>
          <w:rFonts w:eastAsia="Calibri"/>
        </w:rPr>
      </w:pPr>
      <w:r>
        <w:rPr>
          <w:rFonts w:eastAsia="Calibri"/>
        </w:rPr>
        <w:t xml:space="preserve">A </w:t>
      </w:r>
      <w:r w:rsidRPr="008C7875">
        <w:rPr>
          <w:rFonts w:eastAsia="Calibri"/>
        </w:rPr>
        <w:t xml:space="preserve">plan </w:t>
      </w:r>
      <w:r>
        <w:rPr>
          <w:rFonts w:eastAsia="Calibri"/>
        </w:rPr>
        <w:t xml:space="preserve">detailing the expectations of the post will help determine how resource-intensive the tasking will be and assist in monitoring </w:t>
      </w:r>
      <w:r w:rsidRPr="008C7875">
        <w:rPr>
          <w:rFonts w:eastAsia="Calibri"/>
        </w:rPr>
        <w:t xml:space="preserve">how much </w:t>
      </w:r>
      <w:r>
        <w:rPr>
          <w:rFonts w:eastAsia="Calibri"/>
        </w:rPr>
        <w:t xml:space="preserve">post </w:t>
      </w:r>
      <w:r w:rsidRPr="008C7875">
        <w:rPr>
          <w:rFonts w:eastAsia="Calibri"/>
        </w:rPr>
        <w:t xml:space="preserve">time </w:t>
      </w:r>
      <w:r>
        <w:rPr>
          <w:rFonts w:eastAsia="Calibri"/>
        </w:rPr>
        <w:t>is spent on it.</w:t>
      </w:r>
    </w:p>
    <w:p w14:paraId="2DDCEF64" w14:textId="77777777" w:rsidR="005D4EA3" w:rsidRDefault="005D4EA3" w:rsidP="005D4EA3">
      <w:pPr>
        <w:pStyle w:val="Bullet"/>
        <w:rPr>
          <w:rFonts w:eastAsia="Calibri"/>
        </w:rPr>
      </w:pPr>
      <w:r>
        <w:rPr>
          <w:rFonts w:eastAsia="Calibri"/>
        </w:rPr>
        <w:t xml:space="preserve">It would be helpful to have a single person in Palladium to provide consistent information to the post and exercise </w:t>
      </w:r>
      <w:r w:rsidRPr="008C7875">
        <w:rPr>
          <w:rFonts w:eastAsia="Calibri"/>
        </w:rPr>
        <w:t>quality control.</w:t>
      </w:r>
    </w:p>
    <w:p w14:paraId="0FD892C4" w14:textId="77777777" w:rsidR="005D4EA3" w:rsidRDefault="005D4EA3" w:rsidP="005D4EA3">
      <w:pPr>
        <w:pStyle w:val="Bullet"/>
        <w:rPr>
          <w:rFonts w:eastAsia="Calibri"/>
        </w:rPr>
      </w:pPr>
      <w:r w:rsidRPr="008C7875">
        <w:rPr>
          <w:rFonts w:eastAsia="Calibri"/>
        </w:rPr>
        <w:t xml:space="preserve">Online training on aid programming </w:t>
      </w:r>
      <w:r>
        <w:rPr>
          <w:rFonts w:eastAsia="Calibri"/>
        </w:rPr>
        <w:t xml:space="preserve">would be helpful </w:t>
      </w:r>
      <w:r w:rsidRPr="008C7875">
        <w:rPr>
          <w:rFonts w:eastAsia="Calibri"/>
        </w:rPr>
        <w:t xml:space="preserve">for </w:t>
      </w:r>
      <w:r>
        <w:rPr>
          <w:rFonts w:eastAsia="Calibri"/>
        </w:rPr>
        <w:t xml:space="preserve">post </w:t>
      </w:r>
      <w:r w:rsidRPr="008C7875">
        <w:rPr>
          <w:rFonts w:eastAsia="Calibri"/>
        </w:rPr>
        <w:t>s</w:t>
      </w:r>
      <w:r>
        <w:rPr>
          <w:rFonts w:eastAsia="Calibri"/>
        </w:rPr>
        <w:t>taff</w:t>
      </w:r>
      <w:r w:rsidRPr="008C7875">
        <w:rPr>
          <w:rFonts w:eastAsia="Calibri"/>
        </w:rPr>
        <w:t xml:space="preserve"> dealing with Australia Awards </w:t>
      </w:r>
      <w:r>
        <w:rPr>
          <w:rFonts w:eastAsia="Calibri"/>
        </w:rPr>
        <w:t xml:space="preserve">but who do not have an </w:t>
      </w:r>
      <w:r w:rsidRPr="008C7875">
        <w:rPr>
          <w:rFonts w:eastAsia="Calibri"/>
        </w:rPr>
        <w:t>aid program management background.</w:t>
      </w:r>
    </w:p>
    <w:p w14:paraId="02832EF7" w14:textId="77777777" w:rsidR="005D4EA3" w:rsidRPr="0011422C" w:rsidRDefault="005D4EA3" w:rsidP="005D4EA3">
      <w:pPr>
        <w:pStyle w:val="BulletLast"/>
        <w:rPr>
          <w:rFonts w:eastAsia="Calibri"/>
        </w:rPr>
      </w:pPr>
      <w:r>
        <w:rPr>
          <w:rFonts w:eastAsia="Calibri"/>
        </w:rPr>
        <w:t xml:space="preserve">Flight ticket arrangements for short course participants need to be improved, </w:t>
      </w:r>
      <w:proofErr w:type="gramStart"/>
      <w:r>
        <w:rPr>
          <w:rFonts w:eastAsia="Calibri"/>
        </w:rPr>
        <w:t>e.g.</w:t>
      </w:r>
      <w:proofErr w:type="gramEnd"/>
      <w:r>
        <w:rPr>
          <w:rFonts w:eastAsia="Calibri"/>
        </w:rPr>
        <w:t xml:space="preserve"> avoiding long routes with multiple transfers</w:t>
      </w:r>
    </w:p>
    <w:p w14:paraId="7DAD7153" w14:textId="77777777" w:rsidR="005D4EA3" w:rsidRPr="006E124F" w:rsidRDefault="002916B4" w:rsidP="005D4EA3">
      <w:pPr>
        <w:rPr>
          <w:rFonts w:ascii="Calibri" w:eastAsia="Calibri" w:hAnsi="Calibri" w:cs="Calibri"/>
          <w:i/>
        </w:rPr>
      </w:pPr>
      <w:r>
        <w:rPr>
          <w:rFonts w:ascii="Calibri" w:eastAsia="Calibri" w:hAnsi="Calibri" w:cs="Calibri"/>
          <w:i/>
        </w:rPr>
        <w:t>From a</w:t>
      </w:r>
      <w:r w:rsidR="005D4EA3" w:rsidRPr="006E124F">
        <w:rPr>
          <w:rFonts w:ascii="Calibri" w:eastAsia="Calibri" w:hAnsi="Calibri" w:cs="Calibri"/>
          <w:i/>
        </w:rPr>
        <w:t xml:space="preserve">lumni </w:t>
      </w:r>
    </w:p>
    <w:p w14:paraId="01E174D2" w14:textId="77777777" w:rsidR="005D4EA3" w:rsidRPr="006E124F" w:rsidRDefault="005D4EA3" w:rsidP="005D4EA3">
      <w:pPr>
        <w:pStyle w:val="Bullet"/>
        <w:rPr>
          <w:rFonts w:eastAsia="Calibri"/>
        </w:rPr>
      </w:pPr>
      <w:r w:rsidRPr="006E124F">
        <w:rPr>
          <w:rFonts w:eastAsia="Calibri"/>
        </w:rPr>
        <w:t xml:space="preserve">Supervisors </w:t>
      </w:r>
      <w:r>
        <w:rPr>
          <w:rFonts w:eastAsia="Calibri"/>
        </w:rPr>
        <w:t>and</w:t>
      </w:r>
      <w:r w:rsidRPr="006E124F">
        <w:rPr>
          <w:rFonts w:eastAsia="Calibri"/>
        </w:rPr>
        <w:t xml:space="preserve"> </w:t>
      </w:r>
      <w:r>
        <w:rPr>
          <w:rFonts w:eastAsia="Calibri"/>
        </w:rPr>
        <w:t>d</w:t>
      </w:r>
      <w:r w:rsidRPr="006E124F">
        <w:rPr>
          <w:rFonts w:eastAsia="Calibri"/>
        </w:rPr>
        <w:t xml:space="preserve">irectors should be contacted </w:t>
      </w:r>
      <w:r>
        <w:rPr>
          <w:rFonts w:eastAsia="Calibri"/>
        </w:rPr>
        <w:t>prior to surveys and r</w:t>
      </w:r>
      <w:r w:rsidRPr="006E124F">
        <w:rPr>
          <w:rFonts w:eastAsia="Calibri"/>
        </w:rPr>
        <w:t>eviews</w:t>
      </w:r>
    </w:p>
    <w:p w14:paraId="414B437A" w14:textId="77777777" w:rsidR="005D4EA3" w:rsidRPr="006E124F" w:rsidRDefault="005D4EA3" w:rsidP="005D4EA3">
      <w:pPr>
        <w:pStyle w:val="Bullet"/>
        <w:rPr>
          <w:rFonts w:eastAsia="Calibri"/>
        </w:rPr>
      </w:pPr>
      <w:r>
        <w:rPr>
          <w:rFonts w:eastAsia="Calibri"/>
        </w:rPr>
        <w:t>Improve</w:t>
      </w:r>
      <w:r w:rsidRPr="006E124F">
        <w:rPr>
          <w:rFonts w:eastAsia="Calibri"/>
        </w:rPr>
        <w:t xml:space="preserve"> information sharing</w:t>
      </w:r>
      <w:r>
        <w:rPr>
          <w:rFonts w:eastAsia="Calibri"/>
        </w:rPr>
        <w:t xml:space="preserve"> – give feedback on what happens after a survey is completed</w:t>
      </w:r>
    </w:p>
    <w:p w14:paraId="7F687915" w14:textId="77777777" w:rsidR="005D4EA3" w:rsidRPr="006E124F" w:rsidRDefault="005D4EA3" w:rsidP="005D4EA3">
      <w:pPr>
        <w:pStyle w:val="Bullet"/>
        <w:rPr>
          <w:rFonts w:eastAsia="Calibri"/>
        </w:rPr>
      </w:pPr>
      <w:proofErr w:type="gramStart"/>
      <w:r w:rsidRPr="006E124F">
        <w:rPr>
          <w:rFonts w:eastAsia="Calibri"/>
        </w:rPr>
        <w:t>Open up</w:t>
      </w:r>
      <w:proofErr w:type="gramEnd"/>
      <w:r w:rsidRPr="006E124F">
        <w:rPr>
          <w:rFonts w:eastAsia="Calibri"/>
        </w:rPr>
        <w:t xml:space="preserve"> the grant coverage to include other sectors</w:t>
      </w:r>
    </w:p>
    <w:p w14:paraId="65FA22B2" w14:textId="77777777" w:rsidR="005D4EA3" w:rsidRPr="006E124F" w:rsidRDefault="005D4EA3" w:rsidP="005D4EA3">
      <w:pPr>
        <w:pStyle w:val="BulletLast"/>
        <w:rPr>
          <w:rFonts w:eastAsia="Calibri"/>
        </w:rPr>
      </w:pPr>
      <w:r w:rsidRPr="006E124F">
        <w:rPr>
          <w:rFonts w:eastAsia="Calibri"/>
        </w:rPr>
        <w:t xml:space="preserve">Include </w:t>
      </w:r>
      <w:r>
        <w:rPr>
          <w:rFonts w:eastAsia="Calibri"/>
        </w:rPr>
        <w:t>additional short course,</w:t>
      </w:r>
      <w:r w:rsidRPr="006E124F">
        <w:rPr>
          <w:rFonts w:eastAsia="Calibri"/>
        </w:rPr>
        <w:t xml:space="preserve"> especially in relation to gender and inclusive education </w:t>
      </w:r>
    </w:p>
    <w:p w14:paraId="48120179" w14:textId="77777777" w:rsidR="005D4EA3" w:rsidRPr="005D7A98" w:rsidRDefault="002916B4" w:rsidP="005D4EA3">
      <w:pPr>
        <w:rPr>
          <w:rFonts w:ascii="Calibri" w:eastAsia="Calibri" w:hAnsi="Calibri" w:cs="Calibri"/>
          <w:i/>
        </w:rPr>
      </w:pPr>
      <w:r>
        <w:rPr>
          <w:rFonts w:ascii="Calibri" w:eastAsia="Calibri" w:hAnsi="Calibri" w:cs="Calibri"/>
          <w:i/>
        </w:rPr>
        <w:t>From s</w:t>
      </w:r>
      <w:r w:rsidR="005D4EA3" w:rsidRPr="005D7A98">
        <w:rPr>
          <w:rFonts w:ascii="Calibri" w:eastAsia="Calibri" w:hAnsi="Calibri" w:cs="Calibri"/>
          <w:i/>
        </w:rPr>
        <w:t xml:space="preserve">hort course providers and participants </w:t>
      </w:r>
    </w:p>
    <w:p w14:paraId="75CF4DA1" w14:textId="77777777" w:rsidR="005D4EA3" w:rsidRDefault="005D4EA3" w:rsidP="005D4EA3">
      <w:pPr>
        <w:pStyle w:val="Bullet"/>
        <w:rPr>
          <w:rFonts w:eastAsia="Calibri"/>
        </w:rPr>
      </w:pPr>
      <w:r>
        <w:rPr>
          <w:rFonts w:eastAsia="Calibri"/>
        </w:rPr>
        <w:t xml:space="preserve">Provide more time for delivering the lectures, </w:t>
      </w:r>
      <w:proofErr w:type="gramStart"/>
      <w:r>
        <w:rPr>
          <w:rFonts w:eastAsia="Calibri"/>
        </w:rPr>
        <w:t>e.g.</w:t>
      </w:r>
      <w:proofErr w:type="gramEnd"/>
      <w:r>
        <w:rPr>
          <w:rFonts w:eastAsia="Calibri"/>
        </w:rPr>
        <w:t xml:space="preserve"> 6 weeks in Australia and 4 Weeks in South Africa</w:t>
      </w:r>
    </w:p>
    <w:p w14:paraId="2CE20F0D" w14:textId="77777777" w:rsidR="005D4EA3" w:rsidRDefault="005D4EA3" w:rsidP="005D4EA3">
      <w:pPr>
        <w:pStyle w:val="Bullet"/>
        <w:rPr>
          <w:rFonts w:eastAsia="Calibri"/>
        </w:rPr>
      </w:pPr>
      <w:r>
        <w:rPr>
          <w:rFonts w:eastAsia="Calibri"/>
        </w:rPr>
        <w:t xml:space="preserve">Flight ticket arrangements need to be improved, </w:t>
      </w:r>
      <w:proofErr w:type="gramStart"/>
      <w:r>
        <w:rPr>
          <w:rFonts w:eastAsia="Calibri"/>
        </w:rPr>
        <w:t>e.g.</w:t>
      </w:r>
      <w:proofErr w:type="gramEnd"/>
      <w:r>
        <w:rPr>
          <w:rFonts w:eastAsia="Calibri"/>
        </w:rPr>
        <w:t xml:space="preserve"> avoiding long routes with multiple transfers. Travel arrangements should include arrival at least one day before the course starts and time to pack at the end</w:t>
      </w:r>
    </w:p>
    <w:p w14:paraId="77683F69" w14:textId="77777777" w:rsidR="005D4EA3" w:rsidRDefault="005D4EA3" w:rsidP="005D4EA3">
      <w:pPr>
        <w:pStyle w:val="Bullet"/>
        <w:rPr>
          <w:rFonts w:eastAsia="Calibri"/>
        </w:rPr>
      </w:pPr>
      <w:r>
        <w:rPr>
          <w:rFonts w:eastAsia="Calibri"/>
        </w:rPr>
        <w:t>It would be useful to have more site visits in areas of interest to see theory in practice</w:t>
      </w:r>
    </w:p>
    <w:p w14:paraId="7555893D" w14:textId="77777777" w:rsidR="005D4EA3" w:rsidRDefault="005D4EA3" w:rsidP="005D4EA3">
      <w:pPr>
        <w:pStyle w:val="Bullet"/>
        <w:rPr>
          <w:rFonts w:eastAsia="Calibri"/>
        </w:rPr>
      </w:pPr>
      <w:r>
        <w:rPr>
          <w:rFonts w:eastAsia="Calibri"/>
        </w:rPr>
        <w:t>A less compressed timetable would provide more time to digest material</w:t>
      </w:r>
    </w:p>
    <w:p w14:paraId="6D7EF127" w14:textId="77777777" w:rsidR="005D4EA3" w:rsidRDefault="005D4EA3" w:rsidP="005D4EA3">
      <w:pPr>
        <w:pStyle w:val="Bullet"/>
        <w:rPr>
          <w:rFonts w:eastAsia="Calibri"/>
        </w:rPr>
      </w:pPr>
      <w:r>
        <w:rPr>
          <w:rFonts w:eastAsia="Calibri"/>
        </w:rPr>
        <w:t xml:space="preserve">Provide time for social visits and other opportunities to get a better feel for the country </w:t>
      </w:r>
    </w:p>
    <w:p w14:paraId="39F65915" w14:textId="77777777" w:rsidR="005D4EA3" w:rsidRDefault="005D4EA3" w:rsidP="005D4EA3">
      <w:pPr>
        <w:pStyle w:val="Bullet"/>
        <w:rPr>
          <w:rFonts w:eastAsia="Calibri"/>
        </w:rPr>
      </w:pPr>
      <w:r>
        <w:rPr>
          <w:rFonts w:eastAsia="Calibri"/>
        </w:rPr>
        <w:t>Optimal number for short courses is 20-25.</w:t>
      </w:r>
    </w:p>
    <w:p w14:paraId="6D2D31A1" w14:textId="77777777" w:rsidR="005E0D13" w:rsidRDefault="005E0D13" w:rsidP="002916B4">
      <w:pPr>
        <w:pStyle w:val="Heading3a"/>
        <w:numPr>
          <w:ilvl w:val="0"/>
          <w:numId w:val="0"/>
        </w:numPr>
        <w:ind w:left="720" w:hanging="720"/>
        <w:rPr>
          <w:rFonts w:eastAsia="Calibri"/>
        </w:rPr>
      </w:pPr>
    </w:p>
    <w:p w14:paraId="3AC45478" w14:textId="3D5B287E" w:rsidR="005D4EA3" w:rsidRPr="002916B4" w:rsidRDefault="002916B4" w:rsidP="002916B4">
      <w:pPr>
        <w:pStyle w:val="Heading3a"/>
        <w:numPr>
          <w:ilvl w:val="0"/>
          <w:numId w:val="0"/>
        </w:numPr>
        <w:ind w:left="720" w:hanging="720"/>
        <w:rPr>
          <w:rFonts w:eastAsia="Calibri"/>
        </w:rPr>
      </w:pPr>
      <w:r w:rsidRPr="002916B4">
        <w:rPr>
          <w:rFonts w:eastAsia="Calibri"/>
        </w:rPr>
        <w:t>Suggestions f</w:t>
      </w:r>
      <w:r w:rsidR="005D4EA3" w:rsidRPr="002916B4">
        <w:rPr>
          <w:rFonts w:eastAsia="Calibri"/>
        </w:rPr>
        <w:t>or Palladium:</w:t>
      </w:r>
    </w:p>
    <w:p w14:paraId="18E95145" w14:textId="77777777" w:rsidR="005D4EA3" w:rsidRPr="00DA5264" w:rsidRDefault="002916B4" w:rsidP="005D4EA3">
      <w:pPr>
        <w:rPr>
          <w:i/>
        </w:rPr>
      </w:pPr>
      <w:r>
        <w:rPr>
          <w:i/>
        </w:rPr>
        <w:t xml:space="preserve">From </w:t>
      </w:r>
      <w:r w:rsidR="005D4EA3" w:rsidRPr="00DA5264">
        <w:rPr>
          <w:i/>
        </w:rPr>
        <w:t>Coordinating Authorities</w:t>
      </w:r>
    </w:p>
    <w:p w14:paraId="49DF7718" w14:textId="77777777" w:rsidR="005D4EA3" w:rsidRPr="005D4EA3" w:rsidRDefault="005D4EA3" w:rsidP="005D4EA3">
      <w:pPr>
        <w:pStyle w:val="Bullet"/>
      </w:pPr>
      <w:r w:rsidRPr="005D4EA3">
        <w:t>In addition to noting each applicant’s organisation, the applicant list should also specify each applicant's station/location. This will make it easier to easier for them to find someone they know from the same work location.</w:t>
      </w:r>
    </w:p>
    <w:p w14:paraId="1CE8A1F2" w14:textId="77777777" w:rsidR="005D4EA3" w:rsidRPr="00C47A14" w:rsidRDefault="005D4EA3" w:rsidP="005D4EA3">
      <w:pPr>
        <w:pStyle w:val="Bullet"/>
        <w:rPr>
          <w:rFonts w:eastAsia="Calibri"/>
          <w:b/>
        </w:rPr>
      </w:pPr>
      <w:r w:rsidRPr="00C47A14">
        <w:rPr>
          <w:rFonts w:eastAsia="Calibri"/>
        </w:rPr>
        <w:t>Ensure that coordinating authorities understand the Reintegration Action Plan (RAP) and expected outcomes, that the RAP has visibility during the final briefing and bonding discussions.</w:t>
      </w:r>
    </w:p>
    <w:p w14:paraId="23998CAB" w14:textId="77777777" w:rsidR="005D4EA3" w:rsidRDefault="005D4EA3" w:rsidP="005D4EA3">
      <w:pPr>
        <w:pStyle w:val="BulletLast"/>
        <w:rPr>
          <w:rFonts w:eastAsia="Calibri"/>
        </w:rPr>
      </w:pPr>
      <w:r>
        <w:rPr>
          <w:rFonts w:eastAsia="Calibri"/>
        </w:rPr>
        <w:t xml:space="preserve">Undertake regular reviews of individual RAPs. </w:t>
      </w:r>
      <w:bookmarkStart w:id="80" w:name="_Hlk535847439"/>
      <w:r>
        <w:rPr>
          <w:rFonts w:eastAsia="Calibri"/>
        </w:rPr>
        <w:t>C</w:t>
      </w:r>
      <w:r w:rsidRPr="00C47A14">
        <w:rPr>
          <w:rFonts w:eastAsia="Calibri"/>
        </w:rPr>
        <w:t>oordinating authorities</w:t>
      </w:r>
      <w:r>
        <w:rPr>
          <w:rFonts w:eastAsia="Calibri"/>
        </w:rPr>
        <w:t xml:space="preserve"> </w:t>
      </w:r>
      <w:bookmarkEnd w:id="80"/>
      <w:r>
        <w:rPr>
          <w:rFonts w:eastAsia="Calibri"/>
        </w:rPr>
        <w:t xml:space="preserve">and supervisors could be part of the process. </w:t>
      </w:r>
    </w:p>
    <w:p w14:paraId="54B64819" w14:textId="77777777" w:rsidR="005D4EA3" w:rsidRPr="005D4EA3" w:rsidRDefault="002916B4" w:rsidP="005D4EA3">
      <w:pPr>
        <w:rPr>
          <w:i/>
        </w:rPr>
      </w:pPr>
      <w:r>
        <w:rPr>
          <w:i/>
        </w:rPr>
        <w:t>From a</w:t>
      </w:r>
      <w:r w:rsidR="005D4EA3" w:rsidRPr="005D4EA3">
        <w:rPr>
          <w:i/>
        </w:rPr>
        <w:t xml:space="preserve">lumni and scholars </w:t>
      </w:r>
    </w:p>
    <w:p w14:paraId="6FF8C7F6" w14:textId="77777777" w:rsidR="005D4EA3" w:rsidRPr="004D31BC" w:rsidRDefault="005D4EA3" w:rsidP="005D4EA3">
      <w:pPr>
        <w:pStyle w:val="Bullet"/>
        <w:rPr>
          <w:rFonts w:eastAsia="Calibri"/>
        </w:rPr>
      </w:pPr>
      <w:r>
        <w:rPr>
          <w:rFonts w:eastAsia="Calibri"/>
        </w:rPr>
        <w:t>The application should mention the w</w:t>
      </w:r>
      <w:r w:rsidRPr="004D31BC">
        <w:rPr>
          <w:rFonts w:eastAsia="Calibri"/>
        </w:rPr>
        <w:t xml:space="preserve">ord limit </w:t>
      </w:r>
      <w:r>
        <w:rPr>
          <w:rFonts w:eastAsia="Calibri"/>
        </w:rPr>
        <w:t xml:space="preserve">and enable applicants to track their progress </w:t>
      </w:r>
      <w:r w:rsidRPr="004D31BC">
        <w:rPr>
          <w:rFonts w:eastAsia="Calibri"/>
        </w:rPr>
        <w:t>through</w:t>
      </w:r>
      <w:r>
        <w:rPr>
          <w:rFonts w:eastAsia="Calibri"/>
        </w:rPr>
        <w:t>out</w:t>
      </w:r>
      <w:r w:rsidRPr="004D31BC">
        <w:rPr>
          <w:rFonts w:eastAsia="Calibri"/>
        </w:rPr>
        <w:t xml:space="preserve"> the </w:t>
      </w:r>
      <w:proofErr w:type="gramStart"/>
      <w:r w:rsidRPr="004D31BC">
        <w:rPr>
          <w:rFonts w:eastAsia="Calibri"/>
        </w:rPr>
        <w:t>application</w:t>
      </w:r>
      <w:r>
        <w:rPr>
          <w:rFonts w:eastAsia="Calibri"/>
        </w:rPr>
        <w:t>;</w:t>
      </w:r>
      <w:proofErr w:type="gramEnd"/>
    </w:p>
    <w:p w14:paraId="361C2340" w14:textId="77777777" w:rsidR="005D4EA3" w:rsidRPr="004D31BC" w:rsidRDefault="005D4EA3" w:rsidP="005D4EA3">
      <w:pPr>
        <w:pStyle w:val="Bullet"/>
        <w:rPr>
          <w:rFonts w:eastAsia="Calibri"/>
        </w:rPr>
      </w:pPr>
      <w:r>
        <w:rPr>
          <w:rFonts w:eastAsia="Calibri"/>
        </w:rPr>
        <w:t>I</w:t>
      </w:r>
      <w:r w:rsidRPr="004D31BC">
        <w:rPr>
          <w:rFonts w:eastAsia="Calibri"/>
        </w:rPr>
        <w:t>f possible</w:t>
      </w:r>
      <w:r>
        <w:rPr>
          <w:rFonts w:eastAsia="Calibri"/>
        </w:rPr>
        <w:t xml:space="preserve">, avoid organising pre-departure briefings </w:t>
      </w:r>
      <w:r w:rsidRPr="004D31BC">
        <w:rPr>
          <w:rFonts w:eastAsia="Calibri"/>
        </w:rPr>
        <w:t xml:space="preserve">during </w:t>
      </w:r>
      <w:r>
        <w:rPr>
          <w:rFonts w:eastAsia="Calibri"/>
        </w:rPr>
        <w:t>p</w:t>
      </w:r>
      <w:r w:rsidRPr="004D31BC">
        <w:rPr>
          <w:rFonts w:eastAsia="Calibri"/>
        </w:rPr>
        <w:t xml:space="preserve">ublic </w:t>
      </w:r>
      <w:proofErr w:type="gramStart"/>
      <w:r w:rsidRPr="004D31BC">
        <w:rPr>
          <w:rFonts w:eastAsia="Calibri"/>
        </w:rPr>
        <w:t>holiday</w:t>
      </w:r>
      <w:r>
        <w:rPr>
          <w:rFonts w:eastAsia="Calibri"/>
        </w:rPr>
        <w:t>s;</w:t>
      </w:r>
      <w:proofErr w:type="gramEnd"/>
      <w:r w:rsidRPr="004D31BC">
        <w:rPr>
          <w:rFonts w:eastAsia="Calibri"/>
        </w:rPr>
        <w:t xml:space="preserve"> </w:t>
      </w:r>
    </w:p>
    <w:p w14:paraId="708123E4" w14:textId="77777777" w:rsidR="005D4EA3" w:rsidRPr="004D31BC" w:rsidRDefault="005D4EA3" w:rsidP="005D4EA3">
      <w:pPr>
        <w:pStyle w:val="Bullet"/>
        <w:rPr>
          <w:rFonts w:eastAsia="Calibri"/>
        </w:rPr>
      </w:pPr>
      <w:r>
        <w:rPr>
          <w:rFonts w:eastAsia="Calibri"/>
        </w:rPr>
        <w:t>I</w:t>
      </w:r>
      <w:r w:rsidRPr="004D31BC">
        <w:rPr>
          <w:rFonts w:eastAsia="Calibri"/>
        </w:rPr>
        <w:t>nternships and fellowships for the students t</w:t>
      </w:r>
      <w:r>
        <w:rPr>
          <w:rFonts w:eastAsia="Calibri"/>
        </w:rPr>
        <w:t>o not</w:t>
      </w:r>
      <w:r w:rsidRPr="004D31BC">
        <w:rPr>
          <w:rFonts w:eastAsia="Calibri"/>
        </w:rPr>
        <w:t xml:space="preserve"> lose the practical side of </w:t>
      </w:r>
      <w:proofErr w:type="gramStart"/>
      <w:r w:rsidRPr="004D31BC">
        <w:rPr>
          <w:rFonts w:eastAsia="Calibri"/>
        </w:rPr>
        <w:t>things</w:t>
      </w:r>
      <w:r>
        <w:rPr>
          <w:rFonts w:eastAsia="Calibri"/>
        </w:rPr>
        <w:t>;</w:t>
      </w:r>
      <w:proofErr w:type="gramEnd"/>
    </w:p>
    <w:p w14:paraId="254AD346" w14:textId="77777777" w:rsidR="005D4EA3" w:rsidRPr="004D31BC" w:rsidRDefault="005D4EA3" w:rsidP="005D4EA3">
      <w:pPr>
        <w:pStyle w:val="Bullet"/>
        <w:rPr>
          <w:rFonts w:eastAsia="Calibri"/>
        </w:rPr>
      </w:pPr>
      <w:r>
        <w:rPr>
          <w:rFonts w:eastAsia="Calibri"/>
        </w:rPr>
        <w:t>Supplementary l</w:t>
      </w:r>
      <w:r w:rsidRPr="004D31BC">
        <w:rPr>
          <w:rFonts w:eastAsia="Calibri"/>
        </w:rPr>
        <w:t xml:space="preserve">eadership courses would help to better equip students to become </w:t>
      </w:r>
      <w:r>
        <w:rPr>
          <w:rFonts w:eastAsia="Calibri"/>
        </w:rPr>
        <w:t>bet</w:t>
      </w:r>
      <w:r w:rsidRPr="004D31BC">
        <w:rPr>
          <w:rFonts w:eastAsia="Calibri"/>
        </w:rPr>
        <w:t xml:space="preserve">ter leaders in their </w:t>
      </w:r>
      <w:proofErr w:type="gramStart"/>
      <w:r w:rsidRPr="004D31BC">
        <w:rPr>
          <w:rFonts w:eastAsia="Calibri"/>
        </w:rPr>
        <w:t>countries</w:t>
      </w:r>
      <w:r>
        <w:rPr>
          <w:rFonts w:eastAsia="Calibri"/>
        </w:rPr>
        <w:t>;</w:t>
      </w:r>
      <w:proofErr w:type="gramEnd"/>
    </w:p>
    <w:p w14:paraId="4297D835" w14:textId="77777777" w:rsidR="005D4EA3" w:rsidRPr="004D31BC" w:rsidRDefault="005D4EA3" w:rsidP="005D4EA3">
      <w:pPr>
        <w:pStyle w:val="Bullet"/>
        <w:rPr>
          <w:rFonts w:eastAsia="Calibri"/>
        </w:rPr>
      </w:pPr>
      <w:r>
        <w:rPr>
          <w:rFonts w:eastAsia="Calibri"/>
        </w:rPr>
        <w:t>Shorten the a</w:t>
      </w:r>
      <w:r w:rsidRPr="004D31BC">
        <w:rPr>
          <w:rFonts w:eastAsia="Calibri"/>
        </w:rPr>
        <w:t xml:space="preserve">pplication process – </w:t>
      </w:r>
      <w:r>
        <w:rPr>
          <w:rFonts w:eastAsia="Calibri"/>
        </w:rPr>
        <w:t xml:space="preserve">currently </w:t>
      </w:r>
      <w:r w:rsidRPr="004D31BC">
        <w:rPr>
          <w:rFonts w:eastAsia="Calibri"/>
        </w:rPr>
        <w:t xml:space="preserve">whole year between </w:t>
      </w:r>
      <w:r>
        <w:rPr>
          <w:rFonts w:eastAsia="Calibri"/>
        </w:rPr>
        <w:t>submitting the</w:t>
      </w:r>
      <w:r w:rsidRPr="004D31BC">
        <w:rPr>
          <w:rFonts w:eastAsia="Calibri"/>
        </w:rPr>
        <w:t xml:space="preserve"> application and arrival in </w:t>
      </w:r>
      <w:proofErr w:type="gramStart"/>
      <w:r w:rsidRPr="004D31BC">
        <w:rPr>
          <w:rFonts w:eastAsia="Calibri"/>
        </w:rPr>
        <w:t>Australia</w:t>
      </w:r>
      <w:r>
        <w:rPr>
          <w:rFonts w:eastAsia="Calibri"/>
        </w:rPr>
        <w:t>;</w:t>
      </w:r>
      <w:proofErr w:type="gramEnd"/>
      <w:r w:rsidRPr="004D31BC">
        <w:rPr>
          <w:rFonts w:eastAsia="Calibri"/>
        </w:rPr>
        <w:t xml:space="preserve"> </w:t>
      </w:r>
    </w:p>
    <w:p w14:paraId="564E306F" w14:textId="77777777" w:rsidR="005D4EA3" w:rsidRPr="004D31BC" w:rsidRDefault="005D4EA3" w:rsidP="005D4EA3">
      <w:pPr>
        <w:pStyle w:val="Bullet"/>
        <w:rPr>
          <w:rFonts w:eastAsia="Calibri"/>
        </w:rPr>
      </w:pPr>
      <w:r>
        <w:rPr>
          <w:rFonts w:eastAsia="Calibri"/>
        </w:rPr>
        <w:t xml:space="preserve">Exclude from applications comments from </w:t>
      </w:r>
      <w:r w:rsidRPr="004D31BC">
        <w:rPr>
          <w:rFonts w:eastAsia="Calibri"/>
        </w:rPr>
        <w:t xml:space="preserve">supervisors </w:t>
      </w:r>
      <w:r>
        <w:rPr>
          <w:rFonts w:eastAsia="Calibri"/>
        </w:rPr>
        <w:t xml:space="preserve">who </w:t>
      </w:r>
      <w:r w:rsidRPr="004D31BC">
        <w:rPr>
          <w:rFonts w:eastAsia="Calibri"/>
        </w:rPr>
        <w:t xml:space="preserve">are not supportive of </w:t>
      </w:r>
      <w:r>
        <w:rPr>
          <w:rFonts w:eastAsia="Calibri"/>
        </w:rPr>
        <w:t xml:space="preserve">applicant </w:t>
      </w:r>
      <w:r w:rsidRPr="004D31BC">
        <w:rPr>
          <w:rFonts w:eastAsia="Calibri"/>
        </w:rPr>
        <w:t xml:space="preserve">self-improvement </w:t>
      </w:r>
      <w:r>
        <w:rPr>
          <w:rFonts w:eastAsia="Calibri"/>
        </w:rPr>
        <w:t xml:space="preserve">to avoid </w:t>
      </w:r>
      <w:r w:rsidRPr="004D31BC">
        <w:rPr>
          <w:rFonts w:eastAsia="Calibri"/>
        </w:rPr>
        <w:t>delay</w:t>
      </w:r>
      <w:r>
        <w:rPr>
          <w:rFonts w:eastAsia="Calibri"/>
        </w:rPr>
        <w:t>ing</w:t>
      </w:r>
      <w:r w:rsidRPr="004D31BC">
        <w:rPr>
          <w:rFonts w:eastAsia="Calibri"/>
        </w:rPr>
        <w:t xml:space="preserve"> or sabotag</w:t>
      </w:r>
      <w:r>
        <w:rPr>
          <w:rFonts w:eastAsia="Calibri"/>
        </w:rPr>
        <w:t>ing</w:t>
      </w:r>
      <w:r w:rsidRPr="004D31BC">
        <w:rPr>
          <w:rFonts w:eastAsia="Calibri"/>
        </w:rPr>
        <w:t xml:space="preserve"> </w:t>
      </w:r>
      <w:proofErr w:type="gramStart"/>
      <w:r w:rsidRPr="004D31BC">
        <w:rPr>
          <w:rFonts w:eastAsia="Calibri"/>
        </w:rPr>
        <w:t>applications</w:t>
      </w:r>
      <w:r>
        <w:rPr>
          <w:rFonts w:eastAsia="Calibri"/>
        </w:rPr>
        <w:t>;</w:t>
      </w:r>
      <w:proofErr w:type="gramEnd"/>
      <w:r w:rsidRPr="004D31BC">
        <w:rPr>
          <w:rFonts w:eastAsia="Calibri"/>
        </w:rPr>
        <w:t xml:space="preserve"> </w:t>
      </w:r>
    </w:p>
    <w:p w14:paraId="10A50199" w14:textId="77777777" w:rsidR="005D4EA3" w:rsidRPr="004D31BC" w:rsidRDefault="005D4EA3" w:rsidP="005D4EA3">
      <w:pPr>
        <w:pStyle w:val="Bullet"/>
        <w:rPr>
          <w:rFonts w:eastAsia="Calibri"/>
        </w:rPr>
      </w:pPr>
      <w:r>
        <w:rPr>
          <w:rFonts w:eastAsia="Calibri"/>
        </w:rPr>
        <w:t>Ensure that c</w:t>
      </w:r>
      <w:r w:rsidRPr="004D31BC">
        <w:rPr>
          <w:rFonts w:eastAsia="Calibri"/>
        </w:rPr>
        <w:t>ourse advisor</w:t>
      </w:r>
      <w:r>
        <w:rPr>
          <w:rFonts w:eastAsia="Calibri"/>
        </w:rPr>
        <w:t xml:space="preserve">s provide clear and insightful </w:t>
      </w:r>
      <w:proofErr w:type="gramStart"/>
      <w:r>
        <w:rPr>
          <w:rFonts w:eastAsia="Calibri"/>
        </w:rPr>
        <w:t>information;</w:t>
      </w:r>
      <w:proofErr w:type="gramEnd"/>
    </w:p>
    <w:p w14:paraId="253AF3F2" w14:textId="77777777" w:rsidR="005D4EA3" w:rsidRPr="004D31BC" w:rsidRDefault="005D4EA3" w:rsidP="005D4EA3">
      <w:pPr>
        <w:pStyle w:val="Bullet"/>
        <w:rPr>
          <w:rFonts w:eastAsia="Calibri"/>
        </w:rPr>
      </w:pPr>
      <w:r>
        <w:rPr>
          <w:rFonts w:eastAsia="Calibri"/>
        </w:rPr>
        <w:t xml:space="preserve">Ensure timely responses by </w:t>
      </w:r>
      <w:r w:rsidRPr="004D31BC">
        <w:rPr>
          <w:rFonts w:eastAsia="Calibri"/>
        </w:rPr>
        <w:t>Palladium staff to emails/</w:t>
      </w:r>
      <w:proofErr w:type="gramStart"/>
      <w:r w:rsidRPr="004D31BC">
        <w:rPr>
          <w:rFonts w:eastAsia="Calibri"/>
        </w:rPr>
        <w:t>queries</w:t>
      </w:r>
      <w:r>
        <w:rPr>
          <w:rFonts w:eastAsia="Calibri"/>
        </w:rPr>
        <w:t>;</w:t>
      </w:r>
      <w:proofErr w:type="gramEnd"/>
      <w:r w:rsidRPr="004D31BC">
        <w:rPr>
          <w:rFonts w:eastAsia="Calibri"/>
        </w:rPr>
        <w:t xml:space="preserve"> </w:t>
      </w:r>
    </w:p>
    <w:p w14:paraId="61AD4894" w14:textId="77777777" w:rsidR="005D4EA3" w:rsidRPr="004D31BC" w:rsidRDefault="005D4EA3" w:rsidP="005D4EA3">
      <w:pPr>
        <w:pStyle w:val="Bullet"/>
        <w:rPr>
          <w:rFonts w:eastAsia="Calibri"/>
        </w:rPr>
      </w:pPr>
      <w:r w:rsidRPr="004D31BC">
        <w:rPr>
          <w:rFonts w:eastAsia="Calibri"/>
        </w:rPr>
        <w:t xml:space="preserve">Organise more events/sessions to share the opportunities and use social media to approach more </w:t>
      </w:r>
      <w:proofErr w:type="gramStart"/>
      <w:r w:rsidRPr="004D31BC">
        <w:rPr>
          <w:rFonts w:eastAsia="Calibri"/>
        </w:rPr>
        <w:t>applicants</w:t>
      </w:r>
      <w:r>
        <w:rPr>
          <w:rFonts w:eastAsia="Calibri"/>
        </w:rPr>
        <w:t>;</w:t>
      </w:r>
      <w:proofErr w:type="gramEnd"/>
    </w:p>
    <w:p w14:paraId="4FC64269" w14:textId="77777777" w:rsidR="005D4EA3" w:rsidRPr="004D31BC" w:rsidRDefault="005D4EA3" w:rsidP="005D4EA3">
      <w:pPr>
        <w:pStyle w:val="Bullet"/>
        <w:rPr>
          <w:rFonts w:eastAsia="Calibri"/>
        </w:rPr>
      </w:pPr>
      <w:r>
        <w:rPr>
          <w:rFonts w:eastAsia="Calibri"/>
        </w:rPr>
        <w:t>Produce</w:t>
      </w:r>
      <w:r w:rsidRPr="004D31BC">
        <w:rPr>
          <w:rFonts w:eastAsia="Calibri"/>
        </w:rPr>
        <w:t xml:space="preserve"> a s</w:t>
      </w:r>
      <w:r>
        <w:rPr>
          <w:rFonts w:eastAsia="Calibri"/>
        </w:rPr>
        <w:t>hort</w:t>
      </w:r>
      <w:r w:rsidRPr="004D31BC">
        <w:rPr>
          <w:rFonts w:eastAsia="Calibri"/>
        </w:rPr>
        <w:t xml:space="preserve"> video explaining how to </w:t>
      </w:r>
      <w:r>
        <w:rPr>
          <w:rFonts w:eastAsia="Calibri"/>
        </w:rPr>
        <w:t>complete</w:t>
      </w:r>
      <w:r w:rsidRPr="004D31BC">
        <w:rPr>
          <w:rFonts w:eastAsia="Calibri"/>
        </w:rPr>
        <w:t xml:space="preserve"> the </w:t>
      </w:r>
      <w:r>
        <w:rPr>
          <w:rFonts w:eastAsia="Calibri"/>
        </w:rPr>
        <w:t xml:space="preserve">application </w:t>
      </w:r>
      <w:proofErr w:type="gramStart"/>
      <w:r w:rsidRPr="004D31BC">
        <w:rPr>
          <w:rFonts w:eastAsia="Calibri"/>
        </w:rPr>
        <w:t>form</w:t>
      </w:r>
      <w:r>
        <w:rPr>
          <w:rFonts w:eastAsia="Calibri"/>
        </w:rPr>
        <w:t>;</w:t>
      </w:r>
      <w:proofErr w:type="gramEnd"/>
    </w:p>
    <w:p w14:paraId="03EE9E86" w14:textId="77777777" w:rsidR="005D4EA3" w:rsidRPr="004D31BC" w:rsidRDefault="005D4EA3" w:rsidP="005D4EA3">
      <w:pPr>
        <w:pStyle w:val="Bullet"/>
        <w:rPr>
          <w:rFonts w:eastAsia="Calibri"/>
        </w:rPr>
      </w:pPr>
      <w:r>
        <w:rPr>
          <w:rFonts w:eastAsia="Calibri"/>
        </w:rPr>
        <w:t>M</w:t>
      </w:r>
      <w:r w:rsidRPr="004D31BC">
        <w:rPr>
          <w:rFonts w:eastAsia="Calibri"/>
        </w:rPr>
        <w:t>ak</w:t>
      </w:r>
      <w:r>
        <w:rPr>
          <w:rFonts w:eastAsia="Calibri"/>
        </w:rPr>
        <w:t>e</w:t>
      </w:r>
      <w:r w:rsidRPr="004D31BC">
        <w:rPr>
          <w:rFonts w:eastAsia="Calibri"/>
        </w:rPr>
        <w:t xml:space="preserve"> sure coordinating authority </w:t>
      </w:r>
      <w:r>
        <w:rPr>
          <w:rFonts w:eastAsia="Calibri"/>
        </w:rPr>
        <w:t xml:space="preserve">staff </w:t>
      </w:r>
      <w:r w:rsidRPr="004D31BC">
        <w:rPr>
          <w:rFonts w:eastAsia="Calibri"/>
        </w:rPr>
        <w:t xml:space="preserve">are visible and contactable during the application period </w:t>
      </w:r>
      <w:r>
        <w:rPr>
          <w:rFonts w:eastAsia="Calibri"/>
        </w:rPr>
        <w:t xml:space="preserve">rather than just coming in at the </w:t>
      </w:r>
      <w:r w:rsidRPr="004D31BC">
        <w:rPr>
          <w:rFonts w:eastAsia="Calibri"/>
        </w:rPr>
        <w:t xml:space="preserve">interview </w:t>
      </w:r>
      <w:proofErr w:type="gramStart"/>
      <w:r w:rsidRPr="004D31BC">
        <w:rPr>
          <w:rFonts w:eastAsia="Calibri"/>
        </w:rPr>
        <w:t>s</w:t>
      </w:r>
      <w:r>
        <w:rPr>
          <w:rFonts w:eastAsia="Calibri"/>
        </w:rPr>
        <w:t>tage;</w:t>
      </w:r>
      <w:proofErr w:type="gramEnd"/>
    </w:p>
    <w:p w14:paraId="74442F20" w14:textId="77777777" w:rsidR="005D4EA3" w:rsidRPr="004D31BC" w:rsidRDefault="005D4EA3" w:rsidP="005D4EA3">
      <w:pPr>
        <w:pStyle w:val="Bullet"/>
        <w:rPr>
          <w:rFonts w:eastAsia="Calibri"/>
        </w:rPr>
      </w:pPr>
      <w:r w:rsidRPr="004D31BC">
        <w:rPr>
          <w:rFonts w:eastAsia="Calibri"/>
        </w:rPr>
        <w:t>Widely advertise the scholarship through the media (radio, TV, newspapers, social media</w:t>
      </w:r>
      <w:proofErr w:type="gramStart"/>
      <w:r w:rsidRPr="004D31BC">
        <w:rPr>
          <w:rFonts w:eastAsia="Calibri"/>
        </w:rPr>
        <w:t>)</w:t>
      </w:r>
      <w:r>
        <w:rPr>
          <w:rFonts w:eastAsia="Calibri"/>
        </w:rPr>
        <w:t>;</w:t>
      </w:r>
      <w:proofErr w:type="gramEnd"/>
    </w:p>
    <w:p w14:paraId="76D0E485" w14:textId="77777777" w:rsidR="005D4EA3" w:rsidRPr="004D31BC" w:rsidRDefault="005D4EA3" w:rsidP="005D4EA3">
      <w:pPr>
        <w:pStyle w:val="Bullet"/>
        <w:rPr>
          <w:rFonts w:eastAsia="Calibri"/>
        </w:rPr>
      </w:pPr>
      <w:r w:rsidRPr="004D31BC">
        <w:rPr>
          <w:rFonts w:eastAsia="Calibri"/>
        </w:rPr>
        <w:t>Utilise alumni office</w:t>
      </w:r>
      <w:r>
        <w:rPr>
          <w:rFonts w:eastAsia="Calibri"/>
        </w:rPr>
        <w:t>s</w:t>
      </w:r>
      <w:r w:rsidRPr="004D31BC">
        <w:rPr>
          <w:rFonts w:eastAsia="Calibri"/>
        </w:rPr>
        <w:t xml:space="preserve"> </w:t>
      </w:r>
      <w:r>
        <w:rPr>
          <w:rFonts w:eastAsia="Calibri"/>
        </w:rPr>
        <w:t>for</w:t>
      </w:r>
      <w:r w:rsidRPr="004D31BC">
        <w:rPr>
          <w:rFonts w:eastAsia="Calibri"/>
        </w:rPr>
        <w:t xml:space="preserve"> word</w:t>
      </w:r>
      <w:r>
        <w:rPr>
          <w:rFonts w:eastAsia="Calibri"/>
        </w:rPr>
        <w:t>-</w:t>
      </w:r>
      <w:r w:rsidRPr="004D31BC">
        <w:rPr>
          <w:rFonts w:eastAsia="Calibri"/>
        </w:rPr>
        <w:t>of</w:t>
      </w:r>
      <w:r>
        <w:rPr>
          <w:rFonts w:eastAsia="Calibri"/>
        </w:rPr>
        <w:t>-</w:t>
      </w:r>
      <w:r w:rsidRPr="004D31BC">
        <w:rPr>
          <w:rFonts w:eastAsia="Calibri"/>
        </w:rPr>
        <w:t xml:space="preserve">mouth </w:t>
      </w:r>
      <w:proofErr w:type="gramStart"/>
      <w:r>
        <w:rPr>
          <w:rFonts w:eastAsia="Calibri"/>
        </w:rPr>
        <w:t>publicity;</w:t>
      </w:r>
      <w:proofErr w:type="gramEnd"/>
    </w:p>
    <w:p w14:paraId="46DBB2EF" w14:textId="77777777" w:rsidR="005D4EA3" w:rsidRPr="004D31BC" w:rsidRDefault="005D4EA3" w:rsidP="005D4EA3">
      <w:pPr>
        <w:pStyle w:val="Bullet"/>
        <w:rPr>
          <w:rFonts w:eastAsia="Calibri"/>
        </w:rPr>
      </w:pPr>
      <w:r>
        <w:rPr>
          <w:rFonts w:eastAsia="Calibri"/>
        </w:rPr>
        <w:t>Consider how the application process can avoid negative consequences for applicants from unsupportive employers (who need to be engaged at an early stage</w:t>
      </w:r>
      <w:proofErr w:type="gramStart"/>
      <w:r>
        <w:rPr>
          <w:rFonts w:eastAsia="Calibri"/>
        </w:rPr>
        <w:t>);</w:t>
      </w:r>
      <w:proofErr w:type="gramEnd"/>
    </w:p>
    <w:p w14:paraId="756C54F6" w14:textId="77777777" w:rsidR="005D4EA3" w:rsidRPr="004D31BC" w:rsidRDefault="005D4EA3" w:rsidP="005D4EA3">
      <w:pPr>
        <w:pStyle w:val="Bullet"/>
        <w:rPr>
          <w:rFonts w:eastAsia="Calibri"/>
        </w:rPr>
      </w:pPr>
      <w:r>
        <w:rPr>
          <w:rFonts w:eastAsia="Calibri"/>
        </w:rPr>
        <w:t>Consider study</w:t>
      </w:r>
      <w:r w:rsidRPr="004D31BC">
        <w:rPr>
          <w:rFonts w:eastAsia="Calibri"/>
        </w:rPr>
        <w:t xml:space="preserve"> opportunit</w:t>
      </w:r>
      <w:r>
        <w:rPr>
          <w:rFonts w:eastAsia="Calibri"/>
        </w:rPr>
        <w:t>ies</w:t>
      </w:r>
      <w:r w:rsidRPr="004D31BC">
        <w:rPr>
          <w:rFonts w:eastAsia="Calibri"/>
        </w:rPr>
        <w:t xml:space="preserve"> </w:t>
      </w:r>
      <w:r>
        <w:rPr>
          <w:rFonts w:eastAsia="Calibri"/>
        </w:rPr>
        <w:t xml:space="preserve">for </w:t>
      </w:r>
      <w:r w:rsidRPr="004D31BC">
        <w:rPr>
          <w:rFonts w:eastAsia="Calibri"/>
        </w:rPr>
        <w:t xml:space="preserve">people </w:t>
      </w:r>
      <w:r>
        <w:rPr>
          <w:rFonts w:eastAsia="Calibri"/>
        </w:rPr>
        <w:t xml:space="preserve">wo have been </w:t>
      </w:r>
      <w:r w:rsidRPr="004D31BC">
        <w:rPr>
          <w:rFonts w:eastAsia="Calibri"/>
        </w:rPr>
        <w:t xml:space="preserve">working </w:t>
      </w:r>
      <w:r>
        <w:rPr>
          <w:rFonts w:eastAsia="Calibri"/>
        </w:rPr>
        <w:t xml:space="preserve">for </w:t>
      </w:r>
      <w:r w:rsidRPr="004D31BC">
        <w:rPr>
          <w:rFonts w:eastAsia="Calibri"/>
        </w:rPr>
        <w:t xml:space="preserve">less than </w:t>
      </w:r>
      <w:r>
        <w:rPr>
          <w:rFonts w:eastAsia="Calibri"/>
        </w:rPr>
        <w:t xml:space="preserve">two </w:t>
      </w:r>
      <w:r w:rsidRPr="004D31BC">
        <w:rPr>
          <w:rFonts w:eastAsia="Calibri"/>
        </w:rPr>
        <w:t>years</w:t>
      </w:r>
      <w:r>
        <w:rPr>
          <w:rFonts w:eastAsia="Calibri"/>
        </w:rPr>
        <w:t>, including those who have recently</w:t>
      </w:r>
      <w:r w:rsidRPr="004D31BC">
        <w:rPr>
          <w:rFonts w:eastAsia="Calibri"/>
        </w:rPr>
        <w:t xml:space="preserve"> graduated with good </w:t>
      </w:r>
      <w:proofErr w:type="gramStart"/>
      <w:r w:rsidRPr="004D31BC">
        <w:rPr>
          <w:rFonts w:eastAsia="Calibri"/>
        </w:rPr>
        <w:t>marks</w:t>
      </w:r>
      <w:r>
        <w:rPr>
          <w:rFonts w:eastAsia="Calibri"/>
        </w:rPr>
        <w:t>;</w:t>
      </w:r>
      <w:proofErr w:type="gramEnd"/>
    </w:p>
    <w:p w14:paraId="58044EE9" w14:textId="77777777" w:rsidR="005D4EA3" w:rsidRPr="004D31BC" w:rsidRDefault="005D4EA3" w:rsidP="005D4EA3">
      <w:pPr>
        <w:pStyle w:val="Bullet"/>
        <w:rPr>
          <w:rFonts w:eastAsia="Calibri"/>
        </w:rPr>
      </w:pPr>
      <w:r>
        <w:rPr>
          <w:rFonts w:eastAsia="Calibri"/>
        </w:rPr>
        <w:t>Consider a</w:t>
      </w:r>
      <w:r w:rsidRPr="004D31BC">
        <w:rPr>
          <w:rFonts w:eastAsia="Calibri"/>
        </w:rPr>
        <w:t xml:space="preserve">pplications from unemployed </w:t>
      </w:r>
      <w:proofErr w:type="gramStart"/>
      <w:r w:rsidRPr="004D31BC">
        <w:rPr>
          <w:rFonts w:eastAsia="Calibri"/>
        </w:rPr>
        <w:t>people</w:t>
      </w:r>
      <w:r>
        <w:rPr>
          <w:rFonts w:eastAsia="Calibri"/>
        </w:rPr>
        <w:t>;</w:t>
      </w:r>
      <w:proofErr w:type="gramEnd"/>
    </w:p>
    <w:p w14:paraId="38543010" w14:textId="77777777" w:rsidR="005D4EA3" w:rsidRPr="004D31BC" w:rsidRDefault="005D4EA3" w:rsidP="005D4EA3">
      <w:pPr>
        <w:pStyle w:val="Bullet"/>
        <w:rPr>
          <w:rFonts w:eastAsia="Calibri"/>
        </w:rPr>
      </w:pPr>
      <w:r w:rsidRPr="004D31BC">
        <w:rPr>
          <w:rFonts w:eastAsia="Calibri"/>
        </w:rPr>
        <w:t xml:space="preserve">Remove referral letter from previous jobs, because some were projects and are now </w:t>
      </w:r>
      <w:proofErr w:type="gramStart"/>
      <w:r w:rsidRPr="004D31BC">
        <w:rPr>
          <w:rFonts w:eastAsia="Calibri"/>
        </w:rPr>
        <w:t>closed</w:t>
      </w:r>
      <w:r>
        <w:rPr>
          <w:rFonts w:eastAsia="Calibri"/>
        </w:rPr>
        <w:t>;</w:t>
      </w:r>
      <w:proofErr w:type="gramEnd"/>
    </w:p>
    <w:p w14:paraId="10C4B37A" w14:textId="77777777" w:rsidR="005D4EA3" w:rsidRPr="004D31BC" w:rsidRDefault="005D4EA3" w:rsidP="005D4EA3">
      <w:pPr>
        <w:pStyle w:val="Bullet"/>
        <w:rPr>
          <w:rFonts w:eastAsia="Calibri"/>
        </w:rPr>
      </w:pPr>
      <w:r w:rsidRPr="004D31BC">
        <w:rPr>
          <w:rFonts w:eastAsia="Calibri"/>
        </w:rPr>
        <w:t>Reduce</w:t>
      </w:r>
      <w:r>
        <w:rPr>
          <w:rFonts w:eastAsia="Calibri"/>
        </w:rPr>
        <w:t xml:space="preserve"> the</w:t>
      </w:r>
      <w:r w:rsidRPr="004D31BC">
        <w:rPr>
          <w:rFonts w:eastAsia="Calibri"/>
        </w:rPr>
        <w:t xml:space="preserve"> number of questions in </w:t>
      </w:r>
      <w:r>
        <w:rPr>
          <w:rFonts w:eastAsia="Calibri"/>
        </w:rPr>
        <w:t xml:space="preserve">the </w:t>
      </w:r>
      <w:r w:rsidRPr="004D31BC">
        <w:rPr>
          <w:rFonts w:eastAsia="Calibri"/>
        </w:rPr>
        <w:t xml:space="preserve">application </w:t>
      </w:r>
      <w:proofErr w:type="gramStart"/>
      <w:r w:rsidRPr="004D31BC">
        <w:rPr>
          <w:rFonts w:eastAsia="Calibri"/>
        </w:rPr>
        <w:t>form</w:t>
      </w:r>
      <w:r>
        <w:rPr>
          <w:rFonts w:eastAsia="Calibri"/>
        </w:rPr>
        <w:t>;</w:t>
      </w:r>
      <w:proofErr w:type="gramEnd"/>
    </w:p>
    <w:p w14:paraId="652604BE" w14:textId="77777777" w:rsidR="005D4EA3" w:rsidRPr="004D31BC" w:rsidRDefault="005D4EA3" w:rsidP="005D4EA3">
      <w:pPr>
        <w:pStyle w:val="Bullet"/>
        <w:rPr>
          <w:rFonts w:eastAsia="Calibri"/>
        </w:rPr>
      </w:pPr>
      <w:r w:rsidRPr="004D31BC">
        <w:rPr>
          <w:rFonts w:eastAsia="Calibri"/>
        </w:rPr>
        <w:t xml:space="preserve">Give feedback to unsuccessful </w:t>
      </w:r>
      <w:proofErr w:type="gramStart"/>
      <w:r w:rsidRPr="004D31BC">
        <w:rPr>
          <w:rFonts w:eastAsia="Calibri"/>
        </w:rPr>
        <w:t>candidates</w:t>
      </w:r>
      <w:r>
        <w:rPr>
          <w:rFonts w:eastAsia="Calibri"/>
        </w:rPr>
        <w:t>;</w:t>
      </w:r>
      <w:proofErr w:type="gramEnd"/>
    </w:p>
    <w:p w14:paraId="7E90DA6A" w14:textId="77777777" w:rsidR="005D4EA3" w:rsidRPr="004D31BC" w:rsidRDefault="005D4EA3" w:rsidP="005D4EA3">
      <w:pPr>
        <w:pStyle w:val="Bullet"/>
        <w:rPr>
          <w:rFonts w:eastAsia="Calibri"/>
        </w:rPr>
      </w:pPr>
      <w:r>
        <w:rPr>
          <w:rFonts w:eastAsia="Calibri"/>
        </w:rPr>
        <w:lastRenderedPageBreak/>
        <w:t>The p</w:t>
      </w:r>
      <w:r w:rsidRPr="004D31BC">
        <w:rPr>
          <w:rFonts w:eastAsia="Calibri"/>
        </w:rPr>
        <w:t xml:space="preserve">roximity </w:t>
      </w:r>
      <w:r>
        <w:rPr>
          <w:rFonts w:eastAsia="Calibri"/>
        </w:rPr>
        <w:t>to</w:t>
      </w:r>
      <w:r w:rsidRPr="004D31BC">
        <w:rPr>
          <w:rFonts w:eastAsia="Calibri"/>
        </w:rPr>
        <w:t xml:space="preserve"> the doctor </w:t>
      </w:r>
      <w:r>
        <w:rPr>
          <w:rFonts w:eastAsia="Calibri"/>
        </w:rPr>
        <w:t>undertaking</w:t>
      </w:r>
      <w:r w:rsidRPr="004D31BC">
        <w:rPr>
          <w:rFonts w:eastAsia="Calibri"/>
        </w:rPr>
        <w:t xml:space="preserve"> medical</w:t>
      </w:r>
      <w:r>
        <w:rPr>
          <w:rFonts w:eastAsia="Calibri"/>
        </w:rPr>
        <w:t xml:space="preserve"> assessments</w:t>
      </w:r>
      <w:r w:rsidRPr="004D31BC">
        <w:rPr>
          <w:rFonts w:eastAsia="Calibri"/>
        </w:rPr>
        <w:t xml:space="preserve"> and </w:t>
      </w:r>
      <w:r>
        <w:rPr>
          <w:rFonts w:eastAsia="Calibri"/>
        </w:rPr>
        <w:t xml:space="preserve">the </w:t>
      </w:r>
      <w:r w:rsidRPr="004D31BC">
        <w:rPr>
          <w:rFonts w:eastAsia="Calibri"/>
        </w:rPr>
        <w:t xml:space="preserve">hospital for x-rays should be considered to reduce strain on </w:t>
      </w:r>
      <w:r>
        <w:rPr>
          <w:rFonts w:eastAsia="Calibri"/>
        </w:rPr>
        <w:t>applicants</w:t>
      </w:r>
      <w:r w:rsidRPr="004D31BC">
        <w:rPr>
          <w:rFonts w:eastAsia="Calibri"/>
        </w:rPr>
        <w:t xml:space="preserve"> (in Botswana </w:t>
      </w:r>
      <w:r>
        <w:rPr>
          <w:rFonts w:eastAsia="Calibri"/>
        </w:rPr>
        <w:t xml:space="preserve">the </w:t>
      </w:r>
      <w:r w:rsidRPr="004D31BC">
        <w:rPr>
          <w:rFonts w:eastAsia="Calibri"/>
        </w:rPr>
        <w:t>distance</w:t>
      </w:r>
      <w:r>
        <w:rPr>
          <w:rFonts w:eastAsia="Calibri"/>
        </w:rPr>
        <w:t xml:space="preserve"> can be a significant barrier</w:t>
      </w:r>
      <w:r w:rsidRPr="004D31BC">
        <w:rPr>
          <w:rFonts w:eastAsia="Calibri"/>
        </w:rPr>
        <w:t>)</w:t>
      </w:r>
      <w:r>
        <w:rPr>
          <w:rFonts w:eastAsia="Calibri"/>
        </w:rPr>
        <w:t>.</w:t>
      </w:r>
    </w:p>
    <w:p w14:paraId="16181C35" w14:textId="77777777" w:rsidR="000601BC" w:rsidRPr="000601BC" w:rsidRDefault="000601BC" w:rsidP="000601BC"/>
    <w:p w14:paraId="35FECEEF" w14:textId="1B4D3DC6" w:rsidR="0082608C" w:rsidRDefault="000601BC" w:rsidP="00EF0F31">
      <w:pPr>
        <w:pStyle w:val="SectionTitle"/>
      </w:pPr>
      <w:bookmarkStart w:id="81" w:name="_Toc1729535"/>
      <w:r>
        <w:lastRenderedPageBreak/>
        <w:t xml:space="preserve">Appendix I: </w:t>
      </w:r>
      <w:bookmarkStart w:id="82" w:name="_Hlk535758253"/>
      <w:r w:rsidR="008A009A">
        <w:t xml:space="preserve">MEF </w:t>
      </w:r>
      <w:r w:rsidR="000E00D8">
        <w:t xml:space="preserve">and reporting </w:t>
      </w:r>
      <w:r w:rsidR="005E0D13">
        <w:t>recommendations</w:t>
      </w:r>
      <w:bookmarkEnd w:id="81"/>
      <w:r w:rsidR="005E0D13">
        <w:t xml:space="preserve"> </w:t>
      </w:r>
    </w:p>
    <w:bookmarkEnd w:id="82"/>
    <w:p w14:paraId="0B556AB6" w14:textId="6B781BE0" w:rsidR="00547BA5" w:rsidRDefault="00547BA5" w:rsidP="00547BA5">
      <w:r>
        <w:t>The literature and data review analysed program data for evidence of progress towards outcomes, performance benchmarks and results. This involved combining the data provided in four MEFs from Palladium’s six-monthly progress reports into one MEF matrix. At this point, several issues with the way in which the data is reported became apparent</w:t>
      </w:r>
      <w:r w:rsidR="008A1927">
        <w:t xml:space="preserve"> – the following changes to the MEF and reporting content are recommended</w:t>
      </w:r>
      <w:r>
        <w:t>:</w:t>
      </w:r>
    </w:p>
    <w:p w14:paraId="1AD381D0" w14:textId="1AA0FA52" w:rsidR="00CE7786" w:rsidRDefault="00547BA5" w:rsidP="00CE7786">
      <w:pPr>
        <w:pStyle w:val="BulletLast"/>
      </w:pPr>
      <w:r>
        <w:t xml:space="preserve">The results reported in the MEF annexes in the six-monthly progress report are not disaggregated as per the instructions in the MEF.  </w:t>
      </w:r>
      <w:r w:rsidR="008A1927">
        <w:t xml:space="preserve">At a minimum, data should be disaggregated by gender, disability, organisation type, </w:t>
      </w:r>
      <w:proofErr w:type="gramStart"/>
      <w:r w:rsidR="008A1927">
        <w:t>sector</w:t>
      </w:r>
      <w:proofErr w:type="gramEnd"/>
      <w:r w:rsidR="008A1927">
        <w:t xml:space="preserve"> and country wherever possible.</w:t>
      </w:r>
      <w:r w:rsidR="00CE7786" w:rsidRPr="00CE7786">
        <w:t xml:space="preserve"> </w:t>
      </w:r>
      <w:r w:rsidR="00CE7786" w:rsidRPr="0095418F">
        <w:t xml:space="preserve">Data </w:t>
      </w:r>
      <w:r w:rsidR="00CE7786">
        <w:t xml:space="preserve">also needs to be </w:t>
      </w:r>
      <w:r w:rsidR="00CE7786" w:rsidRPr="0095418F">
        <w:t>consistently disaggregated. For example, when referring to individuals, data should be sex and disability disaggregated (as much as possible). For example, "Twenty-Four Alumni participated at the</w:t>
      </w:r>
      <w:r w:rsidR="00CE7786" w:rsidRPr="008A7A07">
        <w:t xml:space="preserve"> 2017 </w:t>
      </w:r>
      <w:r w:rsidR="00CE7786">
        <w:t>pre-departure briefings</w:t>
      </w:r>
      <w:r w:rsidR="00CE7786" w:rsidRPr="008A7A07">
        <w:t xml:space="preserve"> in eight locations"</w:t>
      </w:r>
      <w:r w:rsidR="00CE7786">
        <w:t xml:space="preserve"> c</w:t>
      </w:r>
      <w:r w:rsidR="00CE7786" w:rsidRPr="008A7A07">
        <w:t xml:space="preserve">ould read "Twenty-four alumni (x </w:t>
      </w:r>
      <w:r w:rsidR="00CE7786">
        <w:t>female</w:t>
      </w:r>
      <w:r w:rsidR="00CE7786" w:rsidRPr="008A7A07">
        <w:t xml:space="preserve">/x </w:t>
      </w:r>
      <w:r w:rsidR="00CE7786">
        <w:t>male</w:t>
      </w:r>
      <w:r w:rsidR="00CE7786" w:rsidRPr="008A7A07">
        <w:t xml:space="preserve">, including x </w:t>
      </w:r>
      <w:r w:rsidR="00CE7786">
        <w:t>female</w:t>
      </w:r>
      <w:r w:rsidR="00CE7786" w:rsidRPr="008A7A07">
        <w:t xml:space="preserve">/x </w:t>
      </w:r>
      <w:r w:rsidR="00CE7786">
        <w:t>male</w:t>
      </w:r>
      <w:r w:rsidR="00CE7786" w:rsidRPr="008A7A07">
        <w:t xml:space="preserve"> with a disability) participated at the 2017 </w:t>
      </w:r>
      <w:r w:rsidR="00CE7786">
        <w:t xml:space="preserve">pre-departure briefings </w:t>
      </w:r>
      <w:r w:rsidR="00CE7786" w:rsidRPr="008A7A07">
        <w:t>in eight locations".</w:t>
      </w:r>
    </w:p>
    <w:p w14:paraId="7632E262" w14:textId="51016C2A" w:rsidR="00547BA5" w:rsidRPr="00AC1146" w:rsidRDefault="008A1927" w:rsidP="00547BA5">
      <w:pPr>
        <w:pStyle w:val="BulletLast"/>
      </w:pPr>
      <w:r>
        <w:t>R</w:t>
      </w:r>
      <w:r w:rsidR="00547BA5">
        <w:t xml:space="preserve">esults are </w:t>
      </w:r>
      <w:r>
        <w:t xml:space="preserve">to be </w:t>
      </w:r>
      <w:r w:rsidR="00547BA5">
        <w:t>reported in a consistent way that allows for aggregation across years</w:t>
      </w:r>
      <w:r>
        <w:t>. This has not occurred to date, t</w:t>
      </w:r>
      <w:r w:rsidR="00547BA5">
        <w:t xml:space="preserve">he result being it is impossible for the MEF to provide a cumulative picture of program results two years into program implementation.  This is one of the primary purposes of a MEF – to provide consistency of data reporting to cumulatively track results (or a program’s progress towards its outcomes).  </w:t>
      </w:r>
    </w:p>
    <w:p w14:paraId="0C104073" w14:textId="77777777" w:rsidR="00547BA5" w:rsidRPr="00E62544" w:rsidRDefault="00547BA5" w:rsidP="00547BA5">
      <w:pPr>
        <w:pStyle w:val="BulletLast"/>
      </w:pPr>
      <w:r w:rsidRPr="00E62544">
        <w:t>The MEF tables included in the six-monthly progress report include only data for the reporting period. This limits the ability of the reader to understand how the program is tracking with progress against the outputs and outcomes. Some statistical tables provide information across years, however the MEF does not.</w:t>
      </w:r>
    </w:p>
    <w:p w14:paraId="668536AB" w14:textId="3ABFA981" w:rsidR="00547BA5" w:rsidRPr="0095418F" w:rsidRDefault="00547BA5" w:rsidP="00547BA5">
      <w:pPr>
        <w:pStyle w:val="BulletLast"/>
      </w:pPr>
      <w:bookmarkStart w:id="83" w:name="_Hlk535843918"/>
      <w:r w:rsidRPr="0095418F">
        <w:t>Palladium’s reporting includes useful detail about issues and specific recommendations for addressing issues or improving practice</w:t>
      </w:r>
      <w:bookmarkEnd w:id="83"/>
      <w:r w:rsidRPr="0095418F">
        <w:t>.  However, the reporting does not note whether recommendations from the previous reporting period have been implemented or not (as recommended in DFAT’s M&amp;E standard on investment reporting).</w:t>
      </w:r>
      <w:r w:rsidR="00CE7786">
        <w:t xml:space="preserve"> It is recommended an annex be included in the six-monthly progress reports to provide a status update on implementation of recommendations from the previous reporting period.</w:t>
      </w:r>
    </w:p>
    <w:p w14:paraId="54039715" w14:textId="77777777" w:rsidR="00547BA5" w:rsidRDefault="00547BA5" w:rsidP="00547BA5">
      <w:pPr>
        <w:pStyle w:val="BulletLast"/>
      </w:pPr>
      <w:r>
        <w:t xml:space="preserve">Some errors were noted with the totals in data summary tables in six-monthly progress reports. For example, </w:t>
      </w:r>
      <w:r w:rsidRPr="007562E5">
        <w:t>Table E: Scope of Services Target Numbers for 2017 (vs Actual to December 2017)</w:t>
      </w:r>
      <w:r>
        <w:t xml:space="preserve"> in six-monthly progress report #3. This suggests manual entry of data for reporting, which may point to data management issues (or it could simply be editing errors).  </w:t>
      </w:r>
    </w:p>
    <w:p w14:paraId="19E6534C" w14:textId="65D67CD9" w:rsidR="00547BA5" w:rsidRDefault="00547BA5" w:rsidP="00547BA5">
      <w:pPr>
        <w:pStyle w:val="BulletLast"/>
      </w:pPr>
      <w:r>
        <w:t xml:space="preserve">Combine the outcomes study datasets from 2017 and 2018 to enhance statistical analysis of data. Having a combined dataset across several years is more valuable from a statistical analysis perspective than separate datasets. </w:t>
      </w:r>
    </w:p>
    <w:p w14:paraId="34164FEB" w14:textId="77777777" w:rsidR="000E00D8" w:rsidRDefault="000E00D8" w:rsidP="0082608C"/>
    <w:p w14:paraId="5704C4E2" w14:textId="77777777" w:rsidR="000E00D8" w:rsidRPr="000E00D8" w:rsidRDefault="000E00D8" w:rsidP="000E00D8"/>
    <w:p w14:paraId="6D01FC1F" w14:textId="77777777" w:rsidR="00EF0F31" w:rsidRDefault="000E00D8" w:rsidP="00EF0F31">
      <w:pPr>
        <w:pStyle w:val="SectionTitle"/>
      </w:pPr>
      <w:bookmarkStart w:id="84" w:name="_Toc1729536"/>
      <w:r>
        <w:lastRenderedPageBreak/>
        <w:t xml:space="preserve">Appendix J: </w:t>
      </w:r>
      <w:r w:rsidR="00EF0F31">
        <w:t>Gender Equality Fund and Disability Equity and Access Fund</w:t>
      </w:r>
      <w:bookmarkEnd w:id="71"/>
      <w:bookmarkEnd w:id="84"/>
      <w:r w:rsidR="00EF0F31">
        <w:t xml:space="preserve"> </w:t>
      </w:r>
    </w:p>
    <w:tbl>
      <w:tblPr>
        <w:tblStyle w:val="TableGrid"/>
        <w:tblW w:w="0" w:type="auto"/>
        <w:tblLook w:val="04A0" w:firstRow="1" w:lastRow="0" w:firstColumn="1" w:lastColumn="0" w:noHBand="0" w:noVBand="1"/>
      </w:tblPr>
      <w:tblGrid>
        <w:gridCol w:w="1996"/>
        <w:gridCol w:w="1512"/>
        <w:gridCol w:w="1990"/>
        <w:gridCol w:w="1538"/>
        <w:gridCol w:w="1990"/>
      </w:tblGrid>
      <w:tr w:rsidR="00EF0F31" w14:paraId="67B67F52" w14:textId="77777777" w:rsidTr="002247A3">
        <w:trPr>
          <w:cnfStyle w:val="100000000000" w:firstRow="1" w:lastRow="0" w:firstColumn="0" w:lastColumn="0" w:oddVBand="0" w:evenVBand="0" w:oddHBand="0" w:evenHBand="0" w:firstRowFirstColumn="0" w:firstRowLastColumn="0" w:lastRowFirstColumn="0" w:lastRowLastColumn="0"/>
          <w:trHeight w:val="170"/>
        </w:trPr>
        <w:tc>
          <w:tcPr>
            <w:tcW w:w="0" w:type="auto"/>
          </w:tcPr>
          <w:p w14:paraId="0032324B" w14:textId="77777777" w:rsidR="00EF0F31" w:rsidRPr="0082608C" w:rsidRDefault="00EF0F31" w:rsidP="002247A3">
            <w:pPr>
              <w:contextualSpacing/>
              <w:rPr>
                <w:color w:val="FFFFFF" w:themeColor="background1"/>
              </w:rPr>
            </w:pPr>
            <w:r w:rsidRPr="0082608C">
              <w:rPr>
                <w:color w:val="FFFFFF" w:themeColor="background1"/>
              </w:rPr>
              <w:t>Reporting period</w:t>
            </w:r>
          </w:p>
        </w:tc>
        <w:tc>
          <w:tcPr>
            <w:tcW w:w="0" w:type="auto"/>
            <w:gridSpan w:val="2"/>
          </w:tcPr>
          <w:p w14:paraId="20C012A2" w14:textId="77777777" w:rsidR="00EF0F31" w:rsidRPr="0082608C" w:rsidRDefault="00EF0F31" w:rsidP="002247A3">
            <w:pPr>
              <w:contextualSpacing/>
              <w:rPr>
                <w:b/>
                <w:bCs/>
                <w:color w:val="FFFFFF" w:themeColor="background1"/>
              </w:rPr>
            </w:pPr>
            <w:r w:rsidRPr="0082608C">
              <w:rPr>
                <w:b/>
                <w:bCs/>
                <w:color w:val="FFFFFF" w:themeColor="background1"/>
              </w:rPr>
              <w:t>Gender Equality Fund (GEF):</w:t>
            </w:r>
          </w:p>
        </w:tc>
        <w:tc>
          <w:tcPr>
            <w:tcW w:w="0" w:type="auto"/>
            <w:gridSpan w:val="2"/>
          </w:tcPr>
          <w:p w14:paraId="03978ADA" w14:textId="77777777" w:rsidR="00EF0F31" w:rsidRPr="0082608C" w:rsidRDefault="00EF0F31" w:rsidP="002247A3">
            <w:pPr>
              <w:contextualSpacing/>
              <w:rPr>
                <w:b/>
                <w:bCs/>
                <w:color w:val="FFFFFF" w:themeColor="background1"/>
              </w:rPr>
            </w:pPr>
            <w:r w:rsidRPr="0082608C">
              <w:rPr>
                <w:b/>
                <w:bCs/>
                <w:color w:val="FFFFFF" w:themeColor="background1"/>
              </w:rPr>
              <w:t>Disability Equity and Access Fund (DEAF):</w:t>
            </w:r>
          </w:p>
        </w:tc>
      </w:tr>
      <w:tr w:rsidR="00EF0F31" w14:paraId="5717D643" w14:textId="77777777" w:rsidTr="002247A3">
        <w:trPr>
          <w:trHeight w:val="170"/>
        </w:trPr>
        <w:tc>
          <w:tcPr>
            <w:tcW w:w="0" w:type="auto"/>
          </w:tcPr>
          <w:p w14:paraId="5F3F5A7C" w14:textId="77777777" w:rsidR="00EF0F31" w:rsidRDefault="00EF0F31" w:rsidP="002247A3">
            <w:pPr>
              <w:contextualSpacing/>
            </w:pPr>
          </w:p>
        </w:tc>
        <w:tc>
          <w:tcPr>
            <w:tcW w:w="0" w:type="auto"/>
          </w:tcPr>
          <w:p w14:paraId="1C7F1DE4" w14:textId="667AD543" w:rsidR="00EF0F31" w:rsidRPr="00E779ED" w:rsidRDefault="00EF0F31" w:rsidP="002247A3">
            <w:pPr>
              <w:contextualSpacing/>
              <w:rPr>
                <w:b/>
                <w:bCs/>
              </w:rPr>
            </w:pPr>
            <w:r>
              <w:t xml:space="preserve">Amount dispensed </w:t>
            </w:r>
          </w:p>
        </w:tc>
        <w:tc>
          <w:tcPr>
            <w:tcW w:w="0" w:type="auto"/>
          </w:tcPr>
          <w:p w14:paraId="53AA7B4F" w14:textId="77777777" w:rsidR="00EF0F31" w:rsidRPr="00E779ED" w:rsidRDefault="00EF0F31" w:rsidP="002247A3">
            <w:pPr>
              <w:contextualSpacing/>
              <w:rPr>
                <w:b/>
                <w:bCs/>
              </w:rPr>
            </w:pPr>
            <w:r>
              <w:t>Number of beneficiaries*</w:t>
            </w:r>
          </w:p>
        </w:tc>
        <w:tc>
          <w:tcPr>
            <w:tcW w:w="0" w:type="auto"/>
          </w:tcPr>
          <w:p w14:paraId="4E496A7A" w14:textId="11545CA2" w:rsidR="00EF0F31" w:rsidRPr="00E779ED" w:rsidRDefault="00EF0F31" w:rsidP="002247A3">
            <w:pPr>
              <w:contextualSpacing/>
              <w:rPr>
                <w:b/>
                <w:bCs/>
              </w:rPr>
            </w:pPr>
            <w:r>
              <w:t xml:space="preserve">Amount dispensed </w:t>
            </w:r>
          </w:p>
        </w:tc>
        <w:tc>
          <w:tcPr>
            <w:tcW w:w="0" w:type="auto"/>
          </w:tcPr>
          <w:p w14:paraId="7186AFEC" w14:textId="77777777" w:rsidR="00EF0F31" w:rsidRPr="00E779ED" w:rsidRDefault="00EF0F31" w:rsidP="002247A3">
            <w:pPr>
              <w:contextualSpacing/>
              <w:rPr>
                <w:b/>
                <w:bCs/>
              </w:rPr>
            </w:pPr>
            <w:r>
              <w:t>Number of beneficiaries*</w:t>
            </w:r>
          </w:p>
        </w:tc>
      </w:tr>
      <w:tr w:rsidR="00EF0F31" w14:paraId="1B70E55E" w14:textId="77777777" w:rsidTr="002247A3">
        <w:trPr>
          <w:trHeight w:val="170"/>
        </w:trPr>
        <w:tc>
          <w:tcPr>
            <w:tcW w:w="0" w:type="auto"/>
          </w:tcPr>
          <w:p w14:paraId="4883A6F9" w14:textId="77777777" w:rsidR="00EF0F31" w:rsidRDefault="00EF0F31" w:rsidP="002247A3">
            <w:pPr>
              <w:contextualSpacing/>
            </w:pPr>
            <w:r>
              <w:t>January – July 2018</w:t>
            </w:r>
          </w:p>
        </w:tc>
        <w:tc>
          <w:tcPr>
            <w:tcW w:w="0" w:type="auto"/>
          </w:tcPr>
          <w:p w14:paraId="7DA9881A" w14:textId="77777777" w:rsidR="00EF0F31" w:rsidRDefault="00EF0F31" w:rsidP="002247A3">
            <w:pPr>
              <w:contextualSpacing/>
            </w:pPr>
            <w:r w:rsidRPr="00E779ED">
              <w:t>1</w:t>
            </w:r>
            <w:r>
              <w:t>,</w:t>
            </w:r>
            <w:r w:rsidRPr="00E779ED">
              <w:t>824</w:t>
            </w:r>
            <w:r>
              <w:t>.00</w:t>
            </w:r>
          </w:p>
        </w:tc>
        <w:tc>
          <w:tcPr>
            <w:tcW w:w="0" w:type="auto"/>
          </w:tcPr>
          <w:p w14:paraId="6BD751FE" w14:textId="77777777" w:rsidR="00EF0F31" w:rsidRPr="00E779ED" w:rsidRDefault="00EF0F31" w:rsidP="002247A3">
            <w:pPr>
              <w:contextualSpacing/>
            </w:pPr>
            <w:r>
              <w:t>4</w:t>
            </w:r>
          </w:p>
        </w:tc>
        <w:tc>
          <w:tcPr>
            <w:tcW w:w="0" w:type="auto"/>
          </w:tcPr>
          <w:p w14:paraId="3E71638D" w14:textId="77777777" w:rsidR="00EF0F31" w:rsidRDefault="00EF0F31" w:rsidP="002247A3">
            <w:pPr>
              <w:contextualSpacing/>
            </w:pPr>
            <w:r w:rsidRPr="00E779ED">
              <w:t>551</w:t>
            </w:r>
          </w:p>
        </w:tc>
        <w:tc>
          <w:tcPr>
            <w:tcW w:w="0" w:type="auto"/>
          </w:tcPr>
          <w:p w14:paraId="1F04EFD1" w14:textId="77777777" w:rsidR="00EF0F31" w:rsidRPr="00E779ED" w:rsidRDefault="00EF0F31" w:rsidP="002247A3">
            <w:pPr>
              <w:contextualSpacing/>
            </w:pPr>
            <w:r>
              <w:t>2</w:t>
            </w:r>
          </w:p>
        </w:tc>
      </w:tr>
      <w:tr w:rsidR="00EF0F31" w14:paraId="3834B507" w14:textId="77777777" w:rsidTr="002247A3">
        <w:trPr>
          <w:trHeight w:val="170"/>
        </w:trPr>
        <w:tc>
          <w:tcPr>
            <w:tcW w:w="0" w:type="auto"/>
          </w:tcPr>
          <w:p w14:paraId="551C02B7" w14:textId="77777777" w:rsidR="00EF0F31" w:rsidRDefault="00EF0F31" w:rsidP="002247A3">
            <w:pPr>
              <w:contextualSpacing/>
            </w:pPr>
            <w:r w:rsidRPr="00CF761D">
              <w:t>July-December 2017</w:t>
            </w:r>
          </w:p>
        </w:tc>
        <w:tc>
          <w:tcPr>
            <w:tcW w:w="0" w:type="auto"/>
          </w:tcPr>
          <w:p w14:paraId="2EA10FD5" w14:textId="77777777" w:rsidR="00EF0F31" w:rsidRDefault="00EF0F31" w:rsidP="002247A3">
            <w:pPr>
              <w:contextualSpacing/>
            </w:pPr>
            <w:r w:rsidRPr="00CF761D">
              <w:t>2,603.95</w:t>
            </w:r>
          </w:p>
        </w:tc>
        <w:tc>
          <w:tcPr>
            <w:tcW w:w="0" w:type="auto"/>
          </w:tcPr>
          <w:p w14:paraId="73E920B0" w14:textId="77777777" w:rsidR="00EF0F31" w:rsidRPr="00CF761D" w:rsidRDefault="00EF0F31" w:rsidP="002247A3">
            <w:pPr>
              <w:contextualSpacing/>
            </w:pPr>
            <w:r>
              <w:t>6</w:t>
            </w:r>
          </w:p>
        </w:tc>
        <w:tc>
          <w:tcPr>
            <w:tcW w:w="0" w:type="auto"/>
          </w:tcPr>
          <w:p w14:paraId="5197F6A0" w14:textId="77777777" w:rsidR="00EF0F31" w:rsidRDefault="00EF0F31" w:rsidP="002247A3">
            <w:pPr>
              <w:contextualSpacing/>
            </w:pPr>
            <w:r w:rsidRPr="00CF761D">
              <w:t>925.85</w:t>
            </w:r>
          </w:p>
        </w:tc>
        <w:tc>
          <w:tcPr>
            <w:tcW w:w="0" w:type="auto"/>
          </w:tcPr>
          <w:p w14:paraId="4DDD272D" w14:textId="77777777" w:rsidR="00EF0F31" w:rsidRPr="00CF761D" w:rsidRDefault="00EF0F31" w:rsidP="002247A3">
            <w:pPr>
              <w:contextualSpacing/>
            </w:pPr>
            <w:r>
              <w:t>1 (male)</w:t>
            </w:r>
          </w:p>
        </w:tc>
      </w:tr>
      <w:tr w:rsidR="00EF0F31" w14:paraId="1BED55E1" w14:textId="77777777" w:rsidTr="002247A3">
        <w:trPr>
          <w:trHeight w:val="170"/>
        </w:trPr>
        <w:tc>
          <w:tcPr>
            <w:tcW w:w="0" w:type="auto"/>
          </w:tcPr>
          <w:p w14:paraId="5911928D" w14:textId="77777777" w:rsidR="00EF0F31" w:rsidRDefault="00EF0F31" w:rsidP="002247A3">
            <w:pPr>
              <w:contextualSpacing/>
            </w:pPr>
            <w:r>
              <w:t>January – July 2017</w:t>
            </w:r>
          </w:p>
        </w:tc>
        <w:tc>
          <w:tcPr>
            <w:tcW w:w="0" w:type="auto"/>
          </w:tcPr>
          <w:p w14:paraId="1230103B" w14:textId="77777777" w:rsidR="00EF0F31" w:rsidRDefault="00EF0F31" w:rsidP="002247A3">
            <w:pPr>
              <w:contextualSpacing/>
            </w:pPr>
            <w:r>
              <w:t>597.00</w:t>
            </w:r>
          </w:p>
        </w:tc>
        <w:tc>
          <w:tcPr>
            <w:tcW w:w="0" w:type="auto"/>
          </w:tcPr>
          <w:p w14:paraId="58EB5537" w14:textId="77777777" w:rsidR="00EF0F31" w:rsidRDefault="00EF0F31" w:rsidP="002247A3">
            <w:pPr>
              <w:contextualSpacing/>
            </w:pPr>
            <w:r>
              <w:t xml:space="preserve">3 </w:t>
            </w:r>
          </w:p>
          <w:p w14:paraId="5730F825" w14:textId="77777777" w:rsidR="00EF0F31" w:rsidRPr="00CF761D" w:rsidRDefault="00EF0F31" w:rsidP="002247A3">
            <w:pPr>
              <w:contextualSpacing/>
            </w:pPr>
            <w:r>
              <w:t>(2 female/1 male)</w:t>
            </w:r>
          </w:p>
        </w:tc>
        <w:tc>
          <w:tcPr>
            <w:tcW w:w="0" w:type="auto"/>
          </w:tcPr>
          <w:p w14:paraId="0CAC8321" w14:textId="77777777" w:rsidR="00EF0F31" w:rsidRPr="00CF761D" w:rsidRDefault="00EF0F31" w:rsidP="002247A3">
            <w:pPr>
              <w:contextualSpacing/>
            </w:pPr>
            <w:r>
              <w:t>-</w:t>
            </w:r>
          </w:p>
        </w:tc>
        <w:tc>
          <w:tcPr>
            <w:tcW w:w="0" w:type="auto"/>
          </w:tcPr>
          <w:p w14:paraId="512F3ABD" w14:textId="77777777" w:rsidR="00EF0F31" w:rsidRPr="00CF761D" w:rsidRDefault="00EF0F31" w:rsidP="002247A3">
            <w:pPr>
              <w:contextualSpacing/>
            </w:pPr>
            <w:r>
              <w:t>-</w:t>
            </w:r>
          </w:p>
        </w:tc>
      </w:tr>
      <w:tr w:rsidR="00EF0F31" w14:paraId="14230D08" w14:textId="77777777" w:rsidTr="002247A3">
        <w:trPr>
          <w:trHeight w:val="170"/>
        </w:trPr>
        <w:tc>
          <w:tcPr>
            <w:tcW w:w="0" w:type="auto"/>
          </w:tcPr>
          <w:p w14:paraId="7B045DD2" w14:textId="77777777" w:rsidR="00EF0F31" w:rsidRDefault="00EF0F31" w:rsidP="002247A3">
            <w:pPr>
              <w:contextualSpacing/>
            </w:pPr>
            <w:r w:rsidRPr="00CF761D">
              <w:t>July-December 201</w:t>
            </w:r>
            <w:r>
              <w:t>6</w:t>
            </w:r>
          </w:p>
        </w:tc>
        <w:tc>
          <w:tcPr>
            <w:tcW w:w="0" w:type="auto"/>
          </w:tcPr>
          <w:p w14:paraId="71902D42" w14:textId="77777777" w:rsidR="00EF0F31" w:rsidRPr="00B732B5" w:rsidRDefault="00EF0F31" w:rsidP="002247A3">
            <w:pPr>
              <w:contextualSpacing/>
            </w:pPr>
            <w:r w:rsidRPr="00B732B5">
              <w:t>4,328.00</w:t>
            </w:r>
          </w:p>
        </w:tc>
        <w:tc>
          <w:tcPr>
            <w:tcW w:w="0" w:type="auto"/>
          </w:tcPr>
          <w:p w14:paraId="43253370" w14:textId="77777777" w:rsidR="00EF0F31" w:rsidRPr="00B732B5" w:rsidRDefault="00EF0F31" w:rsidP="002247A3">
            <w:pPr>
              <w:contextualSpacing/>
            </w:pPr>
            <w:r w:rsidRPr="00B732B5">
              <w:t>5</w:t>
            </w:r>
          </w:p>
        </w:tc>
        <w:tc>
          <w:tcPr>
            <w:tcW w:w="0" w:type="auto"/>
          </w:tcPr>
          <w:p w14:paraId="05333046" w14:textId="77777777" w:rsidR="00EF0F31" w:rsidRPr="00B732B5" w:rsidRDefault="00EF0F31" w:rsidP="002247A3">
            <w:pPr>
              <w:contextualSpacing/>
            </w:pPr>
            <w:r w:rsidRPr="00B732B5">
              <w:t xml:space="preserve"> </w:t>
            </w:r>
            <w:r w:rsidR="00B732B5" w:rsidRPr="00B732B5">
              <w:t>18,950.62</w:t>
            </w:r>
          </w:p>
        </w:tc>
        <w:tc>
          <w:tcPr>
            <w:tcW w:w="0" w:type="auto"/>
          </w:tcPr>
          <w:p w14:paraId="17CFA614" w14:textId="77777777" w:rsidR="00EF0F31" w:rsidRPr="00B732B5" w:rsidRDefault="00EF0F31" w:rsidP="002247A3">
            <w:pPr>
              <w:contextualSpacing/>
            </w:pPr>
            <w:r w:rsidRPr="00B732B5">
              <w:t>6</w:t>
            </w:r>
          </w:p>
        </w:tc>
      </w:tr>
      <w:tr w:rsidR="00EF0F31" w14:paraId="37D99422" w14:textId="77777777" w:rsidTr="00B732B5">
        <w:trPr>
          <w:trHeight w:val="170"/>
        </w:trPr>
        <w:tc>
          <w:tcPr>
            <w:tcW w:w="0" w:type="auto"/>
          </w:tcPr>
          <w:p w14:paraId="1FB7B57D" w14:textId="77777777" w:rsidR="00EF0F31" w:rsidRPr="00CF761D" w:rsidRDefault="00EF0F31" w:rsidP="002247A3">
            <w:pPr>
              <w:contextualSpacing/>
            </w:pPr>
            <w:r>
              <w:t>Total</w:t>
            </w:r>
            <w:r w:rsidR="006B1E8A">
              <w:t xml:space="preserve"> (July 2016 – July 2018)</w:t>
            </w:r>
          </w:p>
        </w:tc>
        <w:tc>
          <w:tcPr>
            <w:tcW w:w="0" w:type="auto"/>
            <w:shd w:val="clear" w:color="auto" w:fill="auto"/>
          </w:tcPr>
          <w:p w14:paraId="65BA3E1F" w14:textId="77777777" w:rsidR="00EF0F31" w:rsidRPr="00B732B5" w:rsidRDefault="00B732B5" w:rsidP="002247A3">
            <w:pPr>
              <w:contextualSpacing/>
            </w:pPr>
            <w:r w:rsidRPr="00B732B5">
              <w:t>9,352.95</w:t>
            </w:r>
          </w:p>
        </w:tc>
        <w:tc>
          <w:tcPr>
            <w:tcW w:w="0" w:type="auto"/>
            <w:shd w:val="clear" w:color="auto" w:fill="auto"/>
          </w:tcPr>
          <w:p w14:paraId="34EE1091" w14:textId="77777777" w:rsidR="00EF0F31" w:rsidRPr="00B732B5" w:rsidRDefault="00EF0F31" w:rsidP="002247A3">
            <w:pPr>
              <w:contextualSpacing/>
            </w:pPr>
            <w:r w:rsidRPr="00B732B5">
              <w:t>18</w:t>
            </w:r>
          </w:p>
        </w:tc>
        <w:tc>
          <w:tcPr>
            <w:tcW w:w="0" w:type="auto"/>
            <w:shd w:val="clear" w:color="auto" w:fill="auto"/>
          </w:tcPr>
          <w:p w14:paraId="2BFE5455" w14:textId="77777777" w:rsidR="00EF0F31" w:rsidRPr="00B732B5" w:rsidRDefault="00B732B5" w:rsidP="002247A3">
            <w:pPr>
              <w:contextualSpacing/>
            </w:pPr>
            <w:r w:rsidRPr="00B732B5">
              <w:t>20,427.47</w:t>
            </w:r>
          </w:p>
        </w:tc>
        <w:tc>
          <w:tcPr>
            <w:tcW w:w="0" w:type="auto"/>
            <w:shd w:val="clear" w:color="auto" w:fill="auto"/>
          </w:tcPr>
          <w:p w14:paraId="56F6098F" w14:textId="77777777" w:rsidR="00EF0F31" w:rsidRPr="00B732B5" w:rsidRDefault="00EF0F31" w:rsidP="002247A3">
            <w:pPr>
              <w:contextualSpacing/>
            </w:pPr>
            <w:r w:rsidRPr="00B732B5">
              <w:t>9</w:t>
            </w:r>
          </w:p>
        </w:tc>
      </w:tr>
    </w:tbl>
    <w:p w14:paraId="3114A662" w14:textId="77777777" w:rsidR="00EF0F31" w:rsidRDefault="00EF0F31" w:rsidP="00EF0F31">
      <w:r>
        <w:t xml:space="preserve">*Not all beneficiary information contained in the six-monthly progress reports is </w:t>
      </w:r>
      <w:proofErr w:type="gramStart"/>
      <w:r>
        <w:t>sex-disaggregated</w:t>
      </w:r>
      <w:proofErr w:type="gramEnd"/>
      <w:r>
        <w:t xml:space="preserve">. </w:t>
      </w:r>
    </w:p>
    <w:p w14:paraId="003FC2C4" w14:textId="77777777" w:rsidR="00C65783" w:rsidRDefault="00C65783" w:rsidP="0082608C">
      <w:pPr>
        <w:pStyle w:val="Bullet"/>
        <w:numPr>
          <w:ilvl w:val="0"/>
          <w:numId w:val="0"/>
        </w:numPr>
        <w:ind w:left="360" w:hanging="360"/>
      </w:pPr>
    </w:p>
    <w:p w14:paraId="291F7F6B" w14:textId="77777777" w:rsidR="00B32F69" w:rsidRDefault="00B32F69">
      <w:pPr>
        <w:spacing w:before="0" w:after="0" w:line="240" w:lineRule="auto"/>
      </w:pPr>
      <w:r>
        <w:br w:type="page"/>
      </w:r>
    </w:p>
    <w:p w14:paraId="3867F7C7" w14:textId="77777777" w:rsidR="00DF2565" w:rsidRDefault="00DF2565" w:rsidP="00B32F69">
      <w:pPr>
        <w:pStyle w:val="SectionTitle"/>
        <w:rPr>
          <w:noProof/>
        </w:rPr>
        <w:sectPr w:rsidR="00DF2565" w:rsidSect="00C15DB3">
          <w:pgSz w:w="11906" w:h="16838" w:code="9"/>
          <w:pgMar w:top="1440" w:right="1440" w:bottom="1440" w:left="1440" w:header="576" w:footer="576" w:gutter="0"/>
          <w:cols w:space="720"/>
          <w:titlePg/>
          <w:docGrid w:linePitch="286"/>
        </w:sectPr>
      </w:pPr>
      <w:bookmarkStart w:id="85" w:name="_Toc150333046"/>
      <w:bookmarkStart w:id="86" w:name="_Toc154550509"/>
    </w:p>
    <w:p w14:paraId="07994F3C" w14:textId="48A736F4" w:rsidR="004850EF" w:rsidRDefault="004850EF" w:rsidP="004850EF">
      <w:pPr>
        <w:pStyle w:val="SectionTitle"/>
        <w:rPr>
          <w:noProof/>
        </w:rPr>
      </w:pPr>
      <w:bookmarkStart w:id="87" w:name="_Toc1729537"/>
      <w:bookmarkEnd w:id="85"/>
      <w:bookmarkEnd w:id="86"/>
      <w:r>
        <w:rPr>
          <w:noProof/>
        </w:rPr>
        <w:lastRenderedPageBreak/>
        <w:t>Glossary</w:t>
      </w:r>
      <w:bookmarkEnd w:id="87"/>
      <w:r>
        <w:rPr>
          <w:noProof/>
        </w:rPr>
        <w:t xml:space="preserve"> </w:t>
      </w:r>
    </w:p>
    <w:tbl>
      <w:tblPr>
        <w:tblW w:w="0" w:type="auto"/>
        <w:tblBorders>
          <w:top w:val="single" w:sz="4" w:space="0" w:color="007FAD"/>
          <w:bottom w:val="single" w:sz="4" w:space="0" w:color="007FAD"/>
          <w:insideH w:val="single" w:sz="4" w:space="0" w:color="007FAD"/>
        </w:tblBorders>
        <w:tblCellMar>
          <w:top w:w="85" w:type="dxa"/>
          <w:bottom w:w="85" w:type="dxa"/>
        </w:tblCellMar>
        <w:tblLook w:val="01A0" w:firstRow="1" w:lastRow="0" w:firstColumn="1" w:lastColumn="1" w:noHBand="0" w:noVBand="0"/>
      </w:tblPr>
      <w:tblGrid>
        <w:gridCol w:w="1394"/>
        <w:gridCol w:w="7632"/>
      </w:tblGrid>
      <w:tr w:rsidR="003D1AE3" w:rsidRPr="005A34BC" w14:paraId="51ACDE95" w14:textId="77777777" w:rsidTr="0092707C">
        <w:trPr>
          <w:trHeight w:val="20"/>
        </w:trPr>
        <w:tc>
          <w:tcPr>
            <w:tcW w:w="1394" w:type="dxa"/>
            <w:shd w:val="clear" w:color="auto" w:fill="007FAD"/>
          </w:tcPr>
          <w:p w14:paraId="1F815E48" w14:textId="77777777" w:rsidR="003D1AE3" w:rsidRPr="005A34BC" w:rsidRDefault="003D1AE3" w:rsidP="0092707C">
            <w:pPr>
              <w:spacing w:after="120"/>
              <w:rPr>
                <w:b/>
                <w:color w:val="FFFFFF"/>
                <w:sz w:val="20"/>
              </w:rPr>
            </w:pPr>
            <w:r w:rsidRPr="005A34BC">
              <w:rPr>
                <w:b/>
                <w:color w:val="FFFFFF"/>
                <w:sz w:val="20"/>
              </w:rPr>
              <w:t>Term</w:t>
            </w:r>
          </w:p>
        </w:tc>
        <w:tc>
          <w:tcPr>
            <w:tcW w:w="7632" w:type="dxa"/>
            <w:shd w:val="clear" w:color="auto" w:fill="007FAD"/>
          </w:tcPr>
          <w:p w14:paraId="410AAD73" w14:textId="77777777" w:rsidR="003D1AE3" w:rsidRPr="005A34BC" w:rsidRDefault="003D1AE3" w:rsidP="0092707C">
            <w:pPr>
              <w:spacing w:after="120"/>
              <w:rPr>
                <w:b/>
                <w:color w:val="FFFFFF"/>
                <w:sz w:val="20"/>
              </w:rPr>
            </w:pPr>
            <w:r w:rsidRPr="005A34BC">
              <w:rPr>
                <w:b/>
                <w:color w:val="FFFFFF"/>
                <w:sz w:val="20"/>
              </w:rPr>
              <w:t>Meaning</w:t>
            </w:r>
          </w:p>
        </w:tc>
      </w:tr>
      <w:tr w:rsidR="003D1AE3" w:rsidRPr="005A34BC" w14:paraId="5B68495E" w14:textId="77777777" w:rsidTr="0092707C">
        <w:trPr>
          <w:trHeight w:val="20"/>
        </w:trPr>
        <w:tc>
          <w:tcPr>
            <w:tcW w:w="1394" w:type="dxa"/>
            <w:shd w:val="clear" w:color="auto" w:fill="FFFFFF"/>
          </w:tcPr>
          <w:p w14:paraId="6FE3D0BE" w14:textId="77777777" w:rsidR="003D1AE3" w:rsidRPr="005A34BC" w:rsidRDefault="003D1AE3" w:rsidP="0092707C">
            <w:pPr>
              <w:spacing w:after="120"/>
              <w:rPr>
                <w:sz w:val="20"/>
              </w:rPr>
            </w:pPr>
            <w:r w:rsidRPr="005A34BC">
              <w:rPr>
                <w:sz w:val="20"/>
              </w:rPr>
              <w:t>Alumni</w:t>
            </w:r>
          </w:p>
        </w:tc>
        <w:tc>
          <w:tcPr>
            <w:tcW w:w="7632" w:type="dxa"/>
            <w:shd w:val="clear" w:color="auto" w:fill="FFFFFF"/>
          </w:tcPr>
          <w:p w14:paraId="11CC0854" w14:textId="77777777" w:rsidR="003D1AE3" w:rsidRPr="005A34BC" w:rsidRDefault="003D1AE3" w:rsidP="0092707C">
            <w:pPr>
              <w:spacing w:after="120"/>
              <w:rPr>
                <w:sz w:val="20"/>
              </w:rPr>
            </w:pPr>
            <w:r w:rsidRPr="005A34BC">
              <w:rPr>
                <w:sz w:val="20"/>
              </w:rPr>
              <w:t>Used to include male and female graduates, in both singular and plural form.</w:t>
            </w:r>
          </w:p>
        </w:tc>
      </w:tr>
      <w:tr w:rsidR="003D1AE3" w:rsidRPr="005A34BC" w14:paraId="29046940" w14:textId="77777777" w:rsidTr="0092707C">
        <w:trPr>
          <w:trHeight w:val="20"/>
        </w:trPr>
        <w:tc>
          <w:tcPr>
            <w:tcW w:w="1394" w:type="dxa"/>
            <w:shd w:val="clear" w:color="auto" w:fill="FFFFFF"/>
          </w:tcPr>
          <w:p w14:paraId="4AD38698" w14:textId="77777777" w:rsidR="003D1AE3" w:rsidRDefault="003D1AE3" w:rsidP="0092707C">
            <w:pPr>
              <w:spacing w:after="120"/>
              <w:rPr>
                <w:sz w:val="20"/>
                <w:lang w:val="en-US"/>
              </w:rPr>
            </w:pPr>
            <w:r w:rsidRPr="005A34BC">
              <w:rPr>
                <w:sz w:val="20"/>
                <w:lang w:val="en-US"/>
              </w:rPr>
              <w:t>Australia Awards Fellowships</w:t>
            </w:r>
            <w:r>
              <w:rPr>
                <w:sz w:val="20"/>
                <w:lang w:val="en-US"/>
              </w:rPr>
              <w:t xml:space="preserve"> </w:t>
            </w:r>
          </w:p>
          <w:p w14:paraId="2FDF6131" w14:textId="77777777" w:rsidR="003D1AE3" w:rsidRPr="00D0276A" w:rsidRDefault="003D1AE3" w:rsidP="0092707C">
            <w:pPr>
              <w:spacing w:after="120"/>
              <w:rPr>
                <w:sz w:val="20"/>
              </w:rPr>
            </w:pPr>
            <w:r>
              <w:rPr>
                <w:sz w:val="20"/>
                <w:lang w:val="en-US"/>
              </w:rPr>
              <w:t>(</w:t>
            </w:r>
            <w:r>
              <w:rPr>
                <w:i/>
                <w:sz w:val="20"/>
                <w:lang w:val="en-US"/>
              </w:rPr>
              <w:t>currently on hold pending outcome of a global review</w:t>
            </w:r>
            <w:r>
              <w:rPr>
                <w:sz w:val="20"/>
                <w:lang w:val="en-US"/>
              </w:rPr>
              <w:t>)</w:t>
            </w:r>
          </w:p>
        </w:tc>
        <w:tc>
          <w:tcPr>
            <w:tcW w:w="7632" w:type="dxa"/>
            <w:shd w:val="clear" w:color="auto" w:fill="FFFFFF"/>
          </w:tcPr>
          <w:p w14:paraId="27A064D3" w14:textId="77777777" w:rsidR="003D1AE3" w:rsidRPr="005A34BC" w:rsidRDefault="003D1AE3" w:rsidP="0092707C">
            <w:pPr>
              <w:spacing w:after="120"/>
              <w:rPr>
                <w:sz w:val="20"/>
                <w:lang w:val="en-US"/>
              </w:rPr>
            </w:pPr>
            <w:r w:rsidRPr="005A34BC">
              <w:rPr>
                <w:sz w:val="20"/>
                <w:lang w:val="en-US"/>
              </w:rPr>
              <w:t xml:space="preserve">These are flexible training and/or research activities in areas of mutual interest to Australian host </w:t>
            </w:r>
            <w:r w:rsidRPr="00071748">
              <w:rPr>
                <w:sz w:val="20"/>
              </w:rPr>
              <w:t>organisations</w:t>
            </w:r>
            <w:r w:rsidRPr="005A34BC">
              <w:rPr>
                <w:sz w:val="20"/>
                <w:lang w:val="en-US"/>
              </w:rPr>
              <w:t xml:space="preserve"> and African fellows. </w:t>
            </w:r>
          </w:p>
          <w:p w14:paraId="4F48CC31" w14:textId="77777777" w:rsidR="003D1AE3" w:rsidRPr="005A34BC" w:rsidRDefault="003D1AE3" w:rsidP="0092707C">
            <w:pPr>
              <w:spacing w:after="120"/>
              <w:rPr>
                <w:sz w:val="20"/>
                <w:lang w:val="en-US"/>
              </w:rPr>
            </w:pPr>
            <w:r w:rsidRPr="00071748">
              <w:rPr>
                <w:sz w:val="20"/>
              </w:rPr>
              <w:t>Organisations</w:t>
            </w:r>
            <w:r w:rsidRPr="005A34BC">
              <w:rPr>
                <w:sz w:val="20"/>
                <w:lang w:val="en-US"/>
              </w:rPr>
              <w:t xml:space="preserve"> in Australia partner with </w:t>
            </w:r>
            <w:r w:rsidRPr="00071748">
              <w:rPr>
                <w:sz w:val="20"/>
              </w:rPr>
              <w:t>organisations</w:t>
            </w:r>
            <w:r w:rsidRPr="005A34BC">
              <w:rPr>
                <w:sz w:val="20"/>
                <w:lang w:val="en-US"/>
              </w:rPr>
              <w:t xml:space="preserve"> in Africa and submit proposals for these courses. They also propose fellows. </w:t>
            </w:r>
          </w:p>
          <w:p w14:paraId="36CE4FF7" w14:textId="77777777" w:rsidR="003D1AE3" w:rsidRPr="005A34BC" w:rsidRDefault="003D1AE3" w:rsidP="0092707C">
            <w:pPr>
              <w:spacing w:after="120"/>
              <w:rPr>
                <w:sz w:val="20"/>
                <w:lang w:val="en-US"/>
              </w:rPr>
            </w:pPr>
            <w:r w:rsidRPr="005A34BC">
              <w:rPr>
                <w:sz w:val="20"/>
                <w:lang w:val="en-US"/>
              </w:rPr>
              <w:t xml:space="preserve">Proposals are evaluated and selected by Canberra Scholarships office. </w:t>
            </w:r>
          </w:p>
          <w:p w14:paraId="23DE7A3E" w14:textId="77777777" w:rsidR="003D1AE3" w:rsidRPr="005A34BC" w:rsidRDefault="003D1AE3" w:rsidP="0092707C">
            <w:pPr>
              <w:spacing w:after="120"/>
              <w:rPr>
                <w:sz w:val="20"/>
              </w:rPr>
            </w:pPr>
            <w:r w:rsidRPr="005A34BC">
              <w:rPr>
                <w:sz w:val="20"/>
                <w:lang w:val="en-US"/>
              </w:rPr>
              <w:t xml:space="preserve">Australia Awards – Africa does not have any input in content or delivery, it only provides some logistical support for implementation and carries the numbers. </w:t>
            </w:r>
          </w:p>
        </w:tc>
      </w:tr>
      <w:tr w:rsidR="003D1AE3" w:rsidRPr="005A34BC" w14:paraId="12C5220D" w14:textId="77777777" w:rsidTr="0092707C">
        <w:trPr>
          <w:trHeight w:val="20"/>
        </w:trPr>
        <w:tc>
          <w:tcPr>
            <w:tcW w:w="1394" w:type="dxa"/>
            <w:shd w:val="clear" w:color="auto" w:fill="FFFFFF"/>
          </w:tcPr>
          <w:p w14:paraId="29469617" w14:textId="77777777" w:rsidR="003D1AE3" w:rsidRPr="005A34BC" w:rsidRDefault="003D1AE3" w:rsidP="0092707C">
            <w:pPr>
              <w:spacing w:after="120"/>
              <w:rPr>
                <w:sz w:val="20"/>
                <w:lang w:val="en-US"/>
              </w:rPr>
            </w:pPr>
            <w:r w:rsidRPr="005A34BC">
              <w:rPr>
                <w:sz w:val="20"/>
                <w:lang w:val="en-US"/>
              </w:rPr>
              <w:t>Development outcomes</w:t>
            </w:r>
          </w:p>
        </w:tc>
        <w:tc>
          <w:tcPr>
            <w:tcW w:w="7632" w:type="dxa"/>
            <w:shd w:val="clear" w:color="auto" w:fill="FFFFFF"/>
          </w:tcPr>
          <w:p w14:paraId="13F8C208" w14:textId="77777777" w:rsidR="003D1AE3" w:rsidRPr="005A34BC" w:rsidRDefault="003D1AE3" w:rsidP="0092707C">
            <w:pPr>
              <w:spacing w:after="120"/>
              <w:rPr>
                <w:sz w:val="20"/>
                <w:lang w:val="en-US"/>
              </w:rPr>
            </w:pPr>
            <w:r w:rsidRPr="005A34BC">
              <w:rPr>
                <w:sz w:val="20"/>
                <w:lang w:val="en-US"/>
              </w:rPr>
              <w:t xml:space="preserve">Actions that lead to the development of a country, directly or indirectly. </w:t>
            </w:r>
          </w:p>
          <w:p w14:paraId="49385FEF" w14:textId="77777777" w:rsidR="003D1AE3" w:rsidRPr="005A34BC" w:rsidRDefault="003D1AE3" w:rsidP="0092707C">
            <w:pPr>
              <w:spacing w:after="120"/>
              <w:rPr>
                <w:sz w:val="20"/>
                <w:lang w:val="en-US"/>
              </w:rPr>
            </w:pPr>
            <w:r w:rsidRPr="005A34BC">
              <w:rPr>
                <w:sz w:val="20"/>
                <w:lang w:val="en-US"/>
              </w:rPr>
              <w:t xml:space="preserve">In the case of Australia Awards alumni, their development contributions could fall in the realm of </w:t>
            </w:r>
            <w:r w:rsidRPr="00071748">
              <w:rPr>
                <w:sz w:val="20"/>
              </w:rPr>
              <w:t>organisational</w:t>
            </w:r>
            <w:r w:rsidRPr="005A34BC">
              <w:rPr>
                <w:sz w:val="20"/>
                <w:lang w:val="en-US"/>
              </w:rPr>
              <w:t xml:space="preserve"> development, wider development contribution or social/community development contributions (volunteer work beyond workplace).</w:t>
            </w:r>
          </w:p>
        </w:tc>
      </w:tr>
      <w:tr w:rsidR="003D1AE3" w:rsidRPr="005A34BC" w14:paraId="5B9D607E" w14:textId="77777777" w:rsidTr="0092707C">
        <w:trPr>
          <w:trHeight w:val="20"/>
        </w:trPr>
        <w:tc>
          <w:tcPr>
            <w:tcW w:w="1394" w:type="dxa"/>
            <w:shd w:val="clear" w:color="auto" w:fill="FFFFFF"/>
          </w:tcPr>
          <w:p w14:paraId="2FB8187A" w14:textId="77777777" w:rsidR="003D1AE3" w:rsidRPr="005A34BC" w:rsidRDefault="003D1AE3" w:rsidP="0092707C">
            <w:pPr>
              <w:spacing w:after="120"/>
              <w:rPr>
                <w:sz w:val="20"/>
              </w:rPr>
            </w:pPr>
            <w:r w:rsidRPr="005A34BC">
              <w:rPr>
                <w:sz w:val="20"/>
              </w:rPr>
              <w:t>Formative evaluation</w:t>
            </w:r>
          </w:p>
        </w:tc>
        <w:tc>
          <w:tcPr>
            <w:tcW w:w="7632" w:type="dxa"/>
            <w:shd w:val="clear" w:color="auto" w:fill="FFFFFF"/>
          </w:tcPr>
          <w:p w14:paraId="448FCC4C" w14:textId="77777777" w:rsidR="003D1AE3" w:rsidRPr="005A34BC" w:rsidRDefault="003D1AE3" w:rsidP="0092707C">
            <w:pPr>
              <w:spacing w:after="120"/>
              <w:rPr>
                <w:noProof/>
                <w:sz w:val="20"/>
              </w:rPr>
            </w:pPr>
            <w:r w:rsidRPr="005A34BC">
              <w:rPr>
                <w:noProof/>
                <w:sz w:val="20"/>
              </w:rPr>
              <w:t>Formative evaluations serve the prupose of improving/shaping a specific program or policy. They usually do not attempt to generalise findings beyond the setting in which the evaluation takes place. Formative evaluations often rely heavily on qualitative methods.</w:t>
            </w:r>
            <w:r w:rsidRPr="005A34BC">
              <w:rPr>
                <w:rStyle w:val="FootnoteReference"/>
                <w:noProof/>
                <w:sz w:val="20"/>
              </w:rPr>
              <w:footnoteReference w:id="71"/>
            </w:r>
            <w:r w:rsidRPr="005A34BC">
              <w:rPr>
                <w:noProof/>
                <w:sz w:val="20"/>
              </w:rPr>
              <w:t xml:space="preserve">  </w:t>
            </w:r>
          </w:p>
        </w:tc>
      </w:tr>
      <w:tr w:rsidR="003D1AE3" w:rsidRPr="005A34BC" w14:paraId="61F045E8" w14:textId="77777777" w:rsidTr="0092707C">
        <w:trPr>
          <w:trHeight w:val="20"/>
        </w:trPr>
        <w:tc>
          <w:tcPr>
            <w:tcW w:w="1394" w:type="dxa"/>
            <w:shd w:val="clear" w:color="auto" w:fill="FFFFFF"/>
          </w:tcPr>
          <w:p w14:paraId="3F8B964B" w14:textId="77777777" w:rsidR="003D1AE3" w:rsidRPr="005A34BC" w:rsidRDefault="003D1AE3" w:rsidP="0092707C">
            <w:pPr>
              <w:spacing w:after="120"/>
              <w:rPr>
                <w:sz w:val="20"/>
              </w:rPr>
            </w:pPr>
            <w:r w:rsidRPr="005A34BC">
              <w:rPr>
                <w:sz w:val="20"/>
              </w:rPr>
              <w:t>Higher education</w:t>
            </w:r>
          </w:p>
        </w:tc>
        <w:tc>
          <w:tcPr>
            <w:tcW w:w="7632" w:type="dxa"/>
            <w:shd w:val="clear" w:color="auto" w:fill="FFFFFF"/>
          </w:tcPr>
          <w:p w14:paraId="691190E3" w14:textId="77777777" w:rsidR="003D1AE3" w:rsidRPr="005A34BC" w:rsidRDefault="003D1AE3" w:rsidP="0092707C">
            <w:pPr>
              <w:spacing w:after="120"/>
              <w:rPr>
                <w:sz w:val="20"/>
              </w:rPr>
            </w:pPr>
            <w:r w:rsidRPr="005A34BC">
              <w:rPr>
                <w:sz w:val="20"/>
              </w:rPr>
              <w:t>Higher education refers to both university and post-secondary vocational education.</w:t>
            </w:r>
          </w:p>
        </w:tc>
      </w:tr>
      <w:tr w:rsidR="003D1AE3" w:rsidRPr="005A34BC" w14:paraId="453BC2FF" w14:textId="77777777" w:rsidTr="0092707C">
        <w:trPr>
          <w:trHeight w:val="20"/>
        </w:trPr>
        <w:tc>
          <w:tcPr>
            <w:tcW w:w="1394" w:type="dxa"/>
            <w:shd w:val="clear" w:color="auto" w:fill="FFFFFF"/>
          </w:tcPr>
          <w:p w14:paraId="59B6AF45" w14:textId="77777777" w:rsidR="003D1AE3" w:rsidRPr="005A34BC" w:rsidRDefault="003D1AE3" w:rsidP="0092707C">
            <w:pPr>
              <w:spacing w:after="120"/>
              <w:rPr>
                <w:sz w:val="20"/>
              </w:rPr>
            </w:pPr>
            <w:r w:rsidRPr="005A34BC">
              <w:rPr>
                <w:sz w:val="20"/>
                <w:lang w:val="en-US"/>
              </w:rPr>
              <w:t xml:space="preserve">Links </w:t>
            </w:r>
          </w:p>
        </w:tc>
        <w:tc>
          <w:tcPr>
            <w:tcW w:w="7632" w:type="dxa"/>
            <w:shd w:val="clear" w:color="auto" w:fill="FFFFFF"/>
          </w:tcPr>
          <w:p w14:paraId="506EC9AD" w14:textId="77777777" w:rsidR="003D1AE3" w:rsidRPr="005A34BC" w:rsidRDefault="003D1AE3" w:rsidP="0092707C">
            <w:pPr>
              <w:spacing w:after="120"/>
              <w:rPr>
                <w:sz w:val="20"/>
              </w:rPr>
            </w:pPr>
            <w:r w:rsidRPr="005A34BC">
              <w:rPr>
                <w:sz w:val="20"/>
                <w:lang w:val="en-US"/>
              </w:rPr>
              <w:t>Links relate to personal, professional and/or institutional/</w:t>
            </w:r>
            <w:r w:rsidRPr="00071748">
              <w:rPr>
                <w:sz w:val="20"/>
              </w:rPr>
              <w:t>organisational</w:t>
            </w:r>
            <w:r w:rsidRPr="005A34BC">
              <w:rPr>
                <w:sz w:val="20"/>
                <w:lang w:val="en-US"/>
              </w:rPr>
              <w:t xml:space="preserve"> level relationships established by Alumni between Africa-Australia.</w:t>
            </w:r>
          </w:p>
        </w:tc>
      </w:tr>
      <w:tr w:rsidR="003D1AE3" w:rsidRPr="005A34BC" w14:paraId="5131DA85" w14:textId="77777777" w:rsidTr="0092707C">
        <w:trPr>
          <w:trHeight w:val="20"/>
        </w:trPr>
        <w:tc>
          <w:tcPr>
            <w:tcW w:w="1394" w:type="dxa"/>
            <w:shd w:val="clear" w:color="auto" w:fill="FFFFFF"/>
          </w:tcPr>
          <w:p w14:paraId="20B47F9D" w14:textId="77777777" w:rsidR="003D1AE3" w:rsidRPr="005A34BC" w:rsidRDefault="003D1AE3" w:rsidP="0092707C">
            <w:pPr>
              <w:spacing w:after="120"/>
              <w:rPr>
                <w:sz w:val="20"/>
                <w:lang w:val="en-US"/>
              </w:rPr>
            </w:pPr>
            <w:r w:rsidRPr="005A34BC">
              <w:rPr>
                <w:sz w:val="20"/>
                <w:lang w:val="en-US"/>
              </w:rPr>
              <w:t>Outcomes</w:t>
            </w:r>
          </w:p>
        </w:tc>
        <w:tc>
          <w:tcPr>
            <w:tcW w:w="7632" w:type="dxa"/>
            <w:shd w:val="clear" w:color="auto" w:fill="FFFFFF"/>
          </w:tcPr>
          <w:p w14:paraId="47906EBF" w14:textId="77777777" w:rsidR="003D1AE3" w:rsidRPr="005A34BC" w:rsidRDefault="003D1AE3" w:rsidP="0092707C">
            <w:pPr>
              <w:spacing w:after="120"/>
              <w:rPr>
                <w:sz w:val="20"/>
                <w:lang w:val="en-US"/>
              </w:rPr>
            </w:pPr>
            <w:r w:rsidRPr="005A34BC">
              <w:rPr>
                <w:sz w:val="20"/>
                <w:lang w:val="en-US"/>
              </w:rPr>
              <w:t xml:space="preserve">Outcomes in Australia Awards relate to three main program objectives: </w:t>
            </w:r>
          </w:p>
          <w:p w14:paraId="0AF55E85" w14:textId="77777777" w:rsidR="003D1AE3" w:rsidRPr="005A34BC" w:rsidRDefault="003D1AE3" w:rsidP="00B74CD9">
            <w:pPr>
              <w:numPr>
                <w:ilvl w:val="0"/>
                <w:numId w:val="16"/>
              </w:numPr>
              <w:spacing w:after="120"/>
              <w:rPr>
                <w:sz w:val="20"/>
                <w:lang w:val="en-US"/>
              </w:rPr>
            </w:pPr>
            <w:r w:rsidRPr="005A34BC">
              <w:rPr>
                <w:sz w:val="20"/>
                <w:lang w:val="en-US"/>
              </w:rPr>
              <w:t xml:space="preserve">Alumni are using awards skills, knowledge and networks in key sectors relevant to their training to contribute to sustainable development in their workplace and/ </w:t>
            </w:r>
            <w:proofErr w:type="gramStart"/>
            <w:r w:rsidRPr="005A34BC">
              <w:rPr>
                <w:sz w:val="20"/>
                <w:lang w:val="en-US"/>
              </w:rPr>
              <w:t>community;</w:t>
            </w:r>
            <w:proofErr w:type="gramEnd"/>
          </w:p>
          <w:p w14:paraId="0237D296" w14:textId="77777777" w:rsidR="003D1AE3" w:rsidRPr="005A34BC" w:rsidRDefault="003D1AE3" w:rsidP="00B74CD9">
            <w:pPr>
              <w:numPr>
                <w:ilvl w:val="0"/>
                <w:numId w:val="16"/>
              </w:numPr>
              <w:spacing w:after="120"/>
              <w:rPr>
                <w:sz w:val="20"/>
                <w:lang w:val="en-US"/>
              </w:rPr>
            </w:pPr>
            <w:r w:rsidRPr="005A34BC">
              <w:rPr>
                <w:sz w:val="20"/>
                <w:lang w:val="en-US"/>
              </w:rPr>
              <w:t>Targeted countries in Africa view Australia as a valued partner; and</w:t>
            </w:r>
          </w:p>
          <w:p w14:paraId="329675CC" w14:textId="77777777" w:rsidR="003D1AE3" w:rsidRPr="005A34BC" w:rsidRDefault="003D1AE3" w:rsidP="00B74CD9">
            <w:pPr>
              <w:numPr>
                <w:ilvl w:val="0"/>
                <w:numId w:val="16"/>
              </w:numPr>
              <w:spacing w:after="120"/>
              <w:rPr>
                <w:sz w:val="20"/>
                <w:lang w:val="en-US"/>
              </w:rPr>
            </w:pPr>
            <w:r w:rsidRPr="005A34BC">
              <w:rPr>
                <w:sz w:val="20"/>
                <w:lang w:val="en-US"/>
              </w:rPr>
              <w:t xml:space="preserve">Alumni have positive ongoing links with Australia </w:t>
            </w:r>
          </w:p>
        </w:tc>
      </w:tr>
      <w:tr w:rsidR="003D1AE3" w:rsidRPr="005A34BC" w14:paraId="30A99EE7" w14:textId="77777777" w:rsidTr="0092707C">
        <w:trPr>
          <w:trHeight w:val="20"/>
        </w:trPr>
        <w:tc>
          <w:tcPr>
            <w:tcW w:w="1394" w:type="dxa"/>
            <w:shd w:val="clear" w:color="auto" w:fill="FFFFFF"/>
          </w:tcPr>
          <w:p w14:paraId="0098EEC5" w14:textId="77777777" w:rsidR="003D1AE3" w:rsidRPr="005A34BC" w:rsidRDefault="003D1AE3" w:rsidP="0092707C">
            <w:pPr>
              <w:spacing w:after="120"/>
              <w:rPr>
                <w:sz w:val="20"/>
                <w:lang w:val="en-US"/>
              </w:rPr>
            </w:pPr>
            <w:r w:rsidRPr="005A34BC">
              <w:rPr>
                <w:sz w:val="20"/>
                <w:lang w:val="en-US"/>
              </w:rPr>
              <w:t>Scholarships</w:t>
            </w:r>
            <w:r w:rsidRPr="005A34BC">
              <w:rPr>
                <w:sz w:val="20"/>
                <w:lang w:val="en-US"/>
              </w:rPr>
              <w:tab/>
            </w:r>
          </w:p>
        </w:tc>
        <w:tc>
          <w:tcPr>
            <w:tcW w:w="7632" w:type="dxa"/>
            <w:shd w:val="clear" w:color="auto" w:fill="FFFFFF"/>
          </w:tcPr>
          <w:p w14:paraId="060CB5DD" w14:textId="77777777" w:rsidR="003D1AE3" w:rsidRPr="005A34BC" w:rsidRDefault="003D1AE3" w:rsidP="0092707C">
            <w:pPr>
              <w:spacing w:after="120"/>
              <w:rPr>
                <w:sz w:val="20"/>
                <w:lang w:val="en-US"/>
              </w:rPr>
            </w:pPr>
            <w:r w:rsidRPr="005A34BC">
              <w:rPr>
                <w:sz w:val="20"/>
                <w:lang w:val="en-US"/>
              </w:rPr>
              <w:t xml:space="preserve">Long term study opportunities comprising Master and PhD. PhDs were offered in the Agriculture sector only. </w:t>
            </w:r>
            <w:proofErr w:type="gramStart"/>
            <w:r w:rsidRPr="005A34BC">
              <w:rPr>
                <w:sz w:val="20"/>
                <w:lang w:val="en-US"/>
              </w:rPr>
              <w:t>Masters</w:t>
            </w:r>
            <w:proofErr w:type="gramEnd"/>
            <w:r w:rsidRPr="005A34BC">
              <w:rPr>
                <w:sz w:val="20"/>
                <w:lang w:val="en-US"/>
              </w:rPr>
              <w:t xml:space="preserve"> scholarships cover a range of sectors, including Extractives, Health, Agriculture and Public Policy. They are awarded following a competitive application and selection process managed by Palladium</w:t>
            </w:r>
          </w:p>
        </w:tc>
      </w:tr>
      <w:tr w:rsidR="003D1AE3" w:rsidRPr="005A34BC" w14:paraId="05DE4CBE" w14:textId="77777777" w:rsidTr="0092707C">
        <w:trPr>
          <w:trHeight w:val="20"/>
        </w:trPr>
        <w:tc>
          <w:tcPr>
            <w:tcW w:w="1394" w:type="dxa"/>
            <w:shd w:val="clear" w:color="auto" w:fill="FFFFFF"/>
          </w:tcPr>
          <w:p w14:paraId="7641CB0E" w14:textId="77777777" w:rsidR="003D1AE3" w:rsidRPr="005A34BC" w:rsidRDefault="003D1AE3" w:rsidP="0092707C">
            <w:pPr>
              <w:spacing w:after="120"/>
              <w:rPr>
                <w:sz w:val="20"/>
              </w:rPr>
            </w:pPr>
            <w:r w:rsidRPr="005A34BC">
              <w:rPr>
                <w:sz w:val="20"/>
                <w:lang w:val="en-US"/>
              </w:rPr>
              <w:lastRenderedPageBreak/>
              <w:t>Short Course Awards</w:t>
            </w:r>
          </w:p>
        </w:tc>
        <w:tc>
          <w:tcPr>
            <w:tcW w:w="7632" w:type="dxa"/>
            <w:shd w:val="clear" w:color="auto" w:fill="FFFFFF"/>
          </w:tcPr>
          <w:p w14:paraId="5517CF69" w14:textId="77777777" w:rsidR="003D1AE3" w:rsidRPr="005A34BC" w:rsidRDefault="003D1AE3" w:rsidP="0092707C">
            <w:pPr>
              <w:spacing w:after="120"/>
              <w:rPr>
                <w:sz w:val="20"/>
                <w:lang w:val="en-US"/>
              </w:rPr>
            </w:pPr>
            <w:r w:rsidRPr="005A34BC">
              <w:rPr>
                <w:sz w:val="20"/>
                <w:lang w:val="en-US"/>
              </w:rPr>
              <w:t xml:space="preserve">Short term training courses in key priority sectors (Extractive, Education, Governance/Public Policy, Agriculture, Health). </w:t>
            </w:r>
          </w:p>
          <w:p w14:paraId="0D7CBFFF" w14:textId="77777777" w:rsidR="003D1AE3" w:rsidRPr="005A34BC" w:rsidRDefault="003D1AE3" w:rsidP="0092707C">
            <w:pPr>
              <w:spacing w:after="120"/>
              <w:rPr>
                <w:sz w:val="20"/>
              </w:rPr>
            </w:pPr>
            <w:r w:rsidRPr="005A34BC">
              <w:rPr>
                <w:sz w:val="20"/>
                <w:lang w:val="en-US"/>
              </w:rPr>
              <w:t>Short Course Awards are delivered through partnerships between Australian and African institutions involving delivery in-Africa or a combination of in-Africa and in-Australia delivery. They are awarded following a competitive application and selection process managed by Palladium.</w:t>
            </w:r>
          </w:p>
        </w:tc>
      </w:tr>
      <w:tr w:rsidR="003D1AE3" w:rsidRPr="005A34BC" w14:paraId="7A2CD426" w14:textId="77777777" w:rsidTr="0092707C">
        <w:trPr>
          <w:trHeight w:val="20"/>
        </w:trPr>
        <w:tc>
          <w:tcPr>
            <w:tcW w:w="1394" w:type="dxa"/>
            <w:shd w:val="clear" w:color="auto" w:fill="FFFFFF"/>
          </w:tcPr>
          <w:p w14:paraId="3C32C3DB" w14:textId="77777777" w:rsidR="003D1AE3" w:rsidRPr="005A34BC" w:rsidRDefault="003D1AE3" w:rsidP="0092707C">
            <w:pPr>
              <w:spacing w:after="120"/>
              <w:rPr>
                <w:sz w:val="20"/>
                <w:lang w:val="en-US"/>
              </w:rPr>
            </w:pPr>
            <w:r w:rsidRPr="005A34BC">
              <w:rPr>
                <w:sz w:val="20"/>
                <w:lang w:val="en-US"/>
              </w:rPr>
              <w:t>Skills transfer</w:t>
            </w:r>
          </w:p>
        </w:tc>
        <w:tc>
          <w:tcPr>
            <w:tcW w:w="7632" w:type="dxa"/>
            <w:shd w:val="clear" w:color="auto" w:fill="FFFFFF"/>
          </w:tcPr>
          <w:p w14:paraId="02907032" w14:textId="77777777" w:rsidR="003D1AE3" w:rsidRPr="005A34BC" w:rsidRDefault="003D1AE3" w:rsidP="0092707C">
            <w:pPr>
              <w:spacing w:after="120"/>
              <w:rPr>
                <w:sz w:val="20"/>
                <w:lang w:val="en-US"/>
              </w:rPr>
            </w:pPr>
            <w:r w:rsidRPr="005A34BC">
              <w:rPr>
                <w:sz w:val="20"/>
                <w:lang w:val="en-US"/>
              </w:rPr>
              <w:t>Refers to training, coaching or any other such effort made to share Award gained skills with others.</w:t>
            </w:r>
          </w:p>
        </w:tc>
      </w:tr>
      <w:tr w:rsidR="003D1AE3" w:rsidRPr="005A34BC" w14:paraId="254EB77A" w14:textId="77777777" w:rsidTr="0092707C">
        <w:trPr>
          <w:trHeight w:val="20"/>
        </w:trPr>
        <w:tc>
          <w:tcPr>
            <w:tcW w:w="1394" w:type="dxa"/>
            <w:shd w:val="clear" w:color="auto" w:fill="FFFFFF"/>
          </w:tcPr>
          <w:p w14:paraId="24D3B988" w14:textId="77777777" w:rsidR="003D1AE3" w:rsidRPr="005A34BC" w:rsidRDefault="003D1AE3" w:rsidP="0092707C">
            <w:pPr>
              <w:spacing w:after="120"/>
              <w:rPr>
                <w:sz w:val="20"/>
              </w:rPr>
            </w:pPr>
            <w:r w:rsidRPr="005A34BC">
              <w:rPr>
                <w:sz w:val="20"/>
              </w:rPr>
              <w:t>Training</w:t>
            </w:r>
          </w:p>
        </w:tc>
        <w:tc>
          <w:tcPr>
            <w:tcW w:w="7632" w:type="dxa"/>
            <w:shd w:val="clear" w:color="auto" w:fill="FFFFFF"/>
          </w:tcPr>
          <w:p w14:paraId="69816D65" w14:textId="77777777" w:rsidR="003D1AE3" w:rsidRPr="005A34BC" w:rsidRDefault="003D1AE3" w:rsidP="0092707C">
            <w:pPr>
              <w:spacing w:after="120"/>
              <w:rPr>
                <w:sz w:val="20"/>
              </w:rPr>
            </w:pPr>
            <w:r w:rsidRPr="005A34BC">
              <w:rPr>
                <w:sz w:val="20"/>
              </w:rPr>
              <w:t xml:space="preserve">Training </w:t>
            </w:r>
            <w:proofErr w:type="gramStart"/>
            <w:r w:rsidRPr="005A34BC">
              <w:rPr>
                <w:sz w:val="20"/>
              </w:rPr>
              <w:t>include</w:t>
            </w:r>
            <w:proofErr w:type="gramEnd"/>
            <w:r w:rsidRPr="005A34BC">
              <w:rPr>
                <w:sz w:val="20"/>
              </w:rPr>
              <w:t xml:space="preserve"> university courses, formal training and competency-based training. In practice, training did not include on-the-job training or distance education.</w:t>
            </w:r>
          </w:p>
        </w:tc>
      </w:tr>
    </w:tbl>
    <w:p w14:paraId="57E1797E" w14:textId="77777777" w:rsidR="004850EF" w:rsidRDefault="004850EF" w:rsidP="004850EF">
      <w:pPr>
        <w:rPr>
          <w:noProof/>
        </w:rPr>
      </w:pPr>
      <w:r>
        <w:rPr>
          <w:noProof/>
        </w:rPr>
        <w:br w:type="page"/>
      </w:r>
    </w:p>
    <w:p w14:paraId="7FFEBD1F" w14:textId="77777777" w:rsidR="003D1AE3" w:rsidRDefault="003D1AE3" w:rsidP="003D1AE3">
      <w:pPr>
        <w:pStyle w:val="SectionTitle"/>
        <w:rPr>
          <w:noProof/>
        </w:rPr>
      </w:pPr>
      <w:bookmarkStart w:id="88" w:name="_Toc527411601"/>
      <w:bookmarkStart w:id="89" w:name="_Toc1729538"/>
      <w:r>
        <w:rPr>
          <w:noProof/>
        </w:rPr>
        <w:lastRenderedPageBreak/>
        <w:t>Reference</w:t>
      </w:r>
      <w:r w:rsidR="0092707C">
        <w:rPr>
          <w:noProof/>
        </w:rPr>
        <w:t>s</w:t>
      </w:r>
      <w:bookmarkEnd w:id="88"/>
      <w:bookmarkEnd w:id="89"/>
    </w:p>
    <w:p w14:paraId="6AAA531B" w14:textId="77777777" w:rsidR="003D1AE3" w:rsidRDefault="003D1AE3" w:rsidP="003D1AE3">
      <w:r>
        <w:t>Australia Awards Global Tracer Facility, 2017. Tracer Survey Year 1 2016-17. Kenya Country Report Alumni of 2006 to 2010</w:t>
      </w:r>
    </w:p>
    <w:p w14:paraId="234334F6" w14:textId="77777777" w:rsidR="003D1AE3" w:rsidRDefault="003D1AE3" w:rsidP="003D1AE3">
      <w:r>
        <w:t>Australia Awards Global Tracer Facility, 2017. Tracer Survey Year 1 2016-17. Lesotho Country Report Alumni of 2006 to 2010</w:t>
      </w:r>
    </w:p>
    <w:p w14:paraId="64538866" w14:textId="77777777" w:rsidR="003D1AE3" w:rsidRDefault="003D1AE3" w:rsidP="003D1AE3">
      <w:r>
        <w:t>Australia Awards Global Tracer Facility, 2017. Tracer Survey Year 1 2016-17. Malawi Country Report Alumni of 2006 to 2010</w:t>
      </w:r>
    </w:p>
    <w:p w14:paraId="73A49262" w14:textId="77777777" w:rsidR="003D1AE3" w:rsidRDefault="003D1AE3" w:rsidP="003D1AE3">
      <w:r>
        <w:t>Australia Awards Global Tracer Facility, 2017. Tracer Survey Year 1 2016-17. United Republic of Tanzania Country Report</w:t>
      </w:r>
    </w:p>
    <w:p w14:paraId="0B90B7EF" w14:textId="77777777" w:rsidR="003D1AE3" w:rsidRDefault="003D1AE3" w:rsidP="003D1AE3">
      <w:r>
        <w:t>Australia Awards Global Tracer Facility, 2017. Tracer Survey Year 1 2016-17. Zambia Country Report Alumni of 2006 to 2010.</w:t>
      </w:r>
    </w:p>
    <w:p w14:paraId="49ED08E4" w14:textId="77777777" w:rsidR="00CD4530" w:rsidRDefault="00CD4530" w:rsidP="00A56C78">
      <w:r w:rsidRPr="000845EA">
        <w:t>Australia Awards Global Tracer Facility, 2017. Tracer Survey Report Year 1 - 2016-17, Alumni of 2006 to 2010</w:t>
      </w:r>
      <w:r>
        <w:t>.</w:t>
      </w:r>
    </w:p>
    <w:p w14:paraId="257AEE18" w14:textId="77777777" w:rsidR="00A56C78" w:rsidRDefault="00A56C78" w:rsidP="00A56C78">
      <w:pPr>
        <w:rPr>
          <w:sz w:val="22"/>
          <w:szCs w:val="22"/>
          <w:highlight w:val="yellow"/>
        </w:rPr>
      </w:pPr>
      <w:r w:rsidRPr="00F9212C">
        <w:t>Clarke-</w:t>
      </w:r>
      <w:proofErr w:type="spellStart"/>
      <w:r w:rsidRPr="00F9212C">
        <w:t>Okah</w:t>
      </w:r>
      <w:proofErr w:type="spellEnd"/>
      <w:r>
        <w:t xml:space="preserve">, W., 2017. </w:t>
      </w:r>
      <w:r w:rsidRPr="00F9212C">
        <w:t>Split Location Delivery and Distance Education Assessment</w:t>
      </w:r>
      <w:r>
        <w:t xml:space="preserve">. </w:t>
      </w:r>
      <w:r w:rsidRPr="00F9212C">
        <w:t>Report on Literature Review</w:t>
      </w:r>
      <w:r>
        <w:t>.</w:t>
      </w:r>
      <w:r>
        <w:rPr>
          <w:sz w:val="22"/>
          <w:szCs w:val="22"/>
          <w:highlight w:val="yellow"/>
        </w:rPr>
        <w:t xml:space="preserve"> </w:t>
      </w:r>
    </w:p>
    <w:p w14:paraId="780CCB55" w14:textId="77777777" w:rsidR="003D1AE3" w:rsidRPr="00A44097" w:rsidRDefault="003D1AE3" w:rsidP="003D1AE3">
      <w:r w:rsidRPr="006D2717">
        <w:t>DFAT, 2015. Aid Investment Plan sub-Saharan Africa, 2015-2019.</w:t>
      </w:r>
      <w:r w:rsidRPr="00A44097">
        <w:t xml:space="preserve"> </w:t>
      </w:r>
    </w:p>
    <w:p w14:paraId="1DE17A10" w14:textId="77777777" w:rsidR="003D1AE3" w:rsidRDefault="003D1AE3" w:rsidP="003D1AE3">
      <w:r>
        <w:t>DFAT, 2015. Australia Awards in Africa (2016-2020) Investment Design, May 2015</w:t>
      </w:r>
    </w:p>
    <w:p w14:paraId="6E1466CA" w14:textId="77777777" w:rsidR="003D1AE3" w:rsidRDefault="003D1AE3" w:rsidP="003D1AE3">
      <w:pPr>
        <w:rPr>
          <w:rStyle w:val="Emphasis"/>
          <w:i w:val="0"/>
          <w:lang w:val="en-US"/>
        </w:rPr>
      </w:pPr>
      <w:r w:rsidRPr="00FD020D">
        <w:t xml:space="preserve">DFAT, 2015. Development for All 2015-2020: Strategy for strengthening disability-inclusive development in Australia’s aid program. </w:t>
      </w:r>
    </w:p>
    <w:p w14:paraId="1FB84F51" w14:textId="77777777" w:rsidR="003D1AE3" w:rsidRPr="003554FE" w:rsidRDefault="003D1AE3" w:rsidP="003D1AE3">
      <w:r>
        <w:t xml:space="preserve">DFAT, 2015. </w:t>
      </w:r>
      <w:r w:rsidRPr="000768BF">
        <w:t>Strategy for Australia’s aid investments in private sector development</w:t>
      </w:r>
      <w:r>
        <w:t xml:space="preserve">. </w:t>
      </w:r>
    </w:p>
    <w:p w14:paraId="7CC79AAF" w14:textId="77777777" w:rsidR="00A56C78" w:rsidRDefault="00A56C78" w:rsidP="00A56C78">
      <w:pPr>
        <w:rPr>
          <w:sz w:val="22"/>
          <w:szCs w:val="22"/>
          <w:highlight w:val="yellow"/>
        </w:rPr>
      </w:pPr>
      <w:r w:rsidRPr="00A56C78">
        <w:rPr>
          <w:sz w:val="22"/>
          <w:szCs w:val="22"/>
        </w:rPr>
        <w:t xml:space="preserve">DFAT, 2015. Building Women’s Leadership: </w:t>
      </w:r>
      <w:proofErr w:type="gramStart"/>
      <w:r w:rsidRPr="00A56C78">
        <w:rPr>
          <w:sz w:val="22"/>
          <w:szCs w:val="22"/>
        </w:rPr>
        <w:t>the</w:t>
      </w:r>
      <w:proofErr w:type="gramEnd"/>
      <w:r w:rsidRPr="00A56C78">
        <w:rPr>
          <w:sz w:val="22"/>
          <w:szCs w:val="22"/>
        </w:rPr>
        <w:t xml:space="preserve"> Contribution of Australia Awards Scholarships. Office of Development Effectiveness, Commonwealth of Australia</w:t>
      </w:r>
    </w:p>
    <w:p w14:paraId="108617A0" w14:textId="77777777" w:rsidR="003D1AE3" w:rsidRDefault="003D1AE3" w:rsidP="003D1AE3">
      <w:pPr>
        <w:rPr>
          <w:highlight w:val="yellow"/>
        </w:rPr>
      </w:pPr>
      <w:r>
        <w:t xml:space="preserve">DFAT, 2016. </w:t>
      </w:r>
      <w:r w:rsidRPr="003B5A1D">
        <w:t>Gender equality and women’s empowerment strategy</w:t>
      </w:r>
      <w:r>
        <w:t xml:space="preserve">. </w:t>
      </w:r>
    </w:p>
    <w:p w14:paraId="034505E8" w14:textId="77777777" w:rsidR="003D1AE3" w:rsidRPr="00194296" w:rsidRDefault="003D1AE3" w:rsidP="003D1AE3">
      <w:r w:rsidRPr="00194296">
        <w:t>DFAT, 2016. Australia Awards Global Strategy 2016-2018</w:t>
      </w:r>
      <w:r>
        <w:t>.</w:t>
      </w:r>
    </w:p>
    <w:p w14:paraId="0A005247" w14:textId="77777777" w:rsidR="003D1AE3" w:rsidRPr="00194296" w:rsidRDefault="003D1AE3" w:rsidP="003D1AE3">
      <w:r w:rsidRPr="00194296">
        <w:t>DFAT, 2016. Australia Awards Global Monitoring and Evaluation Framework</w:t>
      </w:r>
      <w:r>
        <w:t>.</w:t>
      </w:r>
    </w:p>
    <w:p w14:paraId="49611BBA" w14:textId="77777777" w:rsidR="003D1AE3" w:rsidRPr="00194296" w:rsidRDefault="003D1AE3" w:rsidP="003D1AE3">
      <w:r w:rsidRPr="00194296">
        <w:t xml:space="preserve">DFAT, 2016. Australia Global Alumni Engagement Strategy 2016 </w:t>
      </w:r>
      <w:r>
        <w:t>–</w:t>
      </w:r>
      <w:r w:rsidRPr="00194296">
        <w:t xml:space="preserve"> 2020</w:t>
      </w:r>
      <w:r>
        <w:t>.</w:t>
      </w:r>
    </w:p>
    <w:p w14:paraId="2D71864E" w14:textId="77777777" w:rsidR="003D1AE3" w:rsidRDefault="003D1AE3" w:rsidP="003D1AE3">
      <w:r>
        <w:t xml:space="preserve">DFAT, 2017. Foreign Policy </w:t>
      </w:r>
      <w:r w:rsidRPr="008F68E9">
        <w:t>White Paper.</w:t>
      </w:r>
    </w:p>
    <w:p w14:paraId="773A1D6C" w14:textId="77777777" w:rsidR="003D1AE3" w:rsidRDefault="003D1AE3" w:rsidP="003D1AE3">
      <w:r w:rsidRPr="006D2717">
        <w:t>DFAT, 2017. Australia Awards-Africa Gender Equality and Social Inclusion review</w:t>
      </w:r>
    </w:p>
    <w:p w14:paraId="0B87B631" w14:textId="77777777" w:rsidR="00E246CF" w:rsidRPr="00E246CF" w:rsidRDefault="00E246CF" w:rsidP="00E246CF">
      <w:r w:rsidRPr="00E246CF">
        <w:t xml:space="preserve">DFAT, 2018. Australia Awards Scholarships Policy Handbook February 2017. </w:t>
      </w:r>
    </w:p>
    <w:p w14:paraId="70653650" w14:textId="77777777" w:rsidR="00E246CF" w:rsidRPr="00E246CF" w:rsidRDefault="00E246CF" w:rsidP="00E246CF">
      <w:r>
        <w:t xml:space="preserve">DFAT, 2018. </w:t>
      </w:r>
      <w:r w:rsidRPr="00E246CF">
        <w:t xml:space="preserve">Australia </w:t>
      </w:r>
      <w:r>
        <w:t xml:space="preserve">Awards </w:t>
      </w:r>
      <w:r w:rsidRPr="00E246CF">
        <w:t>Linkages Framework</w:t>
      </w:r>
      <w:r>
        <w:t xml:space="preserve"> 2018 – 2021, </w:t>
      </w:r>
      <w:r w:rsidRPr="00E246CF">
        <w:t>Discussion Paper – 23 September 2018</w:t>
      </w:r>
      <w:r>
        <w:t>.</w:t>
      </w:r>
    </w:p>
    <w:p w14:paraId="75E183F6" w14:textId="77777777" w:rsidR="003D1AE3" w:rsidRPr="006D2717" w:rsidRDefault="003D1AE3" w:rsidP="003D1AE3">
      <w:r w:rsidRPr="006D2717">
        <w:t>DFAT Aid Quality Reports (2016, 2017 &amp; 2018)</w:t>
      </w:r>
    </w:p>
    <w:p w14:paraId="67905998" w14:textId="77777777" w:rsidR="003D1AE3" w:rsidRPr="006D2717" w:rsidRDefault="003D1AE3" w:rsidP="003D1AE3">
      <w:r w:rsidRPr="006D2717">
        <w:t>DFAT Partner Performance Assessments (2016, 2017 &amp; 2018)</w:t>
      </w:r>
    </w:p>
    <w:p w14:paraId="27CA0558" w14:textId="77777777" w:rsidR="003D1AE3" w:rsidRPr="006D2717" w:rsidRDefault="003D1AE3" w:rsidP="003D1AE3">
      <w:r w:rsidRPr="006D2717">
        <w:t xml:space="preserve">DFAT Aggregate Development Results (2016 &amp; 2018) </w:t>
      </w:r>
    </w:p>
    <w:p w14:paraId="0C3BD4BE" w14:textId="77777777" w:rsidR="003D1AE3" w:rsidRDefault="003D1AE3" w:rsidP="003D1AE3">
      <w:r w:rsidRPr="006D2717">
        <w:lastRenderedPageBreak/>
        <w:t>DFAT Aid Program Performance Reports (2016, 2107)</w:t>
      </w:r>
    </w:p>
    <w:p w14:paraId="6E5D3358" w14:textId="77777777" w:rsidR="00CA3E2D" w:rsidRPr="006D2717" w:rsidRDefault="00CA3E2D" w:rsidP="003D1AE3">
      <w:r w:rsidRPr="00CA3E2D">
        <w:t>Morrow, S. &amp; Morrissey, T. 2014. Review of development contributions of Alumni in six African countries.</w:t>
      </w:r>
    </w:p>
    <w:p w14:paraId="0887AB43" w14:textId="77777777" w:rsidR="003D1AE3" w:rsidRPr="006D2717" w:rsidRDefault="003D1AE3" w:rsidP="003D1AE3">
      <w:r w:rsidRPr="006D2717">
        <w:t xml:space="preserve">Office of Development Effective, 2015. Evaluation of the contribution of Australia Awards to Women’s Leadership. </w:t>
      </w:r>
    </w:p>
    <w:p w14:paraId="57C1D938" w14:textId="77777777" w:rsidR="003D1AE3" w:rsidRDefault="003D1AE3" w:rsidP="003D1AE3">
      <w:r>
        <w:t xml:space="preserve">Palladium, 2016. Australia Awards-Africa </w:t>
      </w:r>
      <w:r w:rsidRPr="00A44097">
        <w:t>Baseline Perceptions Survey Report</w:t>
      </w:r>
    </w:p>
    <w:p w14:paraId="42B715CE" w14:textId="77777777" w:rsidR="005D4B20" w:rsidRDefault="005D4B20" w:rsidP="005D4B20">
      <w:r>
        <w:t>Palladium, 2016. Australia Awards-Africa African Women in Leadership Network (WILN) Strategic Plan 2016-2020, March 2016.</w:t>
      </w:r>
    </w:p>
    <w:p w14:paraId="04CC5F39" w14:textId="77777777" w:rsidR="00072AB5" w:rsidRDefault="00072AB5" w:rsidP="00072AB5">
      <w:r>
        <w:t>Palladium, 2016. Australia Awards-Africa Annual Plan 2016 – 2017.</w:t>
      </w:r>
    </w:p>
    <w:p w14:paraId="2F6DC9F3" w14:textId="77777777" w:rsidR="003D1AE3" w:rsidRDefault="003D1AE3" w:rsidP="003D1AE3">
      <w:r>
        <w:t>Palladium, 2016. Australia Awards-Africa</w:t>
      </w:r>
      <w:r w:rsidRPr="00A44097">
        <w:t xml:space="preserve"> Private Sector Engagement Strategy</w:t>
      </w:r>
      <w:r>
        <w:t>, November 2016.</w:t>
      </w:r>
      <w:r w:rsidRPr="00A44097">
        <w:t xml:space="preserve"> </w:t>
      </w:r>
    </w:p>
    <w:p w14:paraId="21E94A9E" w14:textId="77777777" w:rsidR="00A56C78" w:rsidRDefault="00A56C78" w:rsidP="00A56C78">
      <w:r>
        <w:t xml:space="preserve">Palladium, </w:t>
      </w:r>
      <w:r w:rsidRPr="00C5340B">
        <w:t>2016</w:t>
      </w:r>
      <w:r>
        <w:t>.</w:t>
      </w:r>
      <w:r w:rsidRPr="00C5340B">
        <w:t xml:space="preserve"> Industry Placements Pilot Internship Evaluation</w:t>
      </w:r>
      <w:r>
        <w:t>.</w:t>
      </w:r>
    </w:p>
    <w:p w14:paraId="0DE052FD" w14:textId="77777777" w:rsidR="00A56C78" w:rsidRDefault="00A56C78" w:rsidP="00A56C78">
      <w:r>
        <w:t xml:space="preserve">Palladium, 2017. </w:t>
      </w:r>
      <w:r w:rsidRPr="00FD7A5C">
        <w:t>Australia Awards in Africa Alumni Engagement Strategy</w:t>
      </w:r>
      <w:r>
        <w:t>, 2017-2018.</w:t>
      </w:r>
    </w:p>
    <w:p w14:paraId="71DC613D" w14:textId="77777777" w:rsidR="003D1AE3" w:rsidRDefault="003D1AE3" w:rsidP="003D1AE3">
      <w:r>
        <w:t>Palladium, 2017. Australia Awards-Africa Six Monthly Report #1, February 2017.</w:t>
      </w:r>
    </w:p>
    <w:p w14:paraId="2E8B5D3E" w14:textId="77777777" w:rsidR="00072AB5" w:rsidRDefault="00072AB5" w:rsidP="00072AB5">
      <w:r>
        <w:t>Palladium, 2017. Australia Awards-Africa Annual Plan 2017 – 2018.</w:t>
      </w:r>
    </w:p>
    <w:p w14:paraId="3384E592" w14:textId="77777777" w:rsidR="003D1AE3" w:rsidRDefault="003D1AE3" w:rsidP="003D1AE3">
      <w:r>
        <w:t>Palladium, 2017. Australia Awards-Africa Six Monthly Report #2, August 2017.</w:t>
      </w:r>
    </w:p>
    <w:p w14:paraId="0C67E7E9" w14:textId="77777777" w:rsidR="003D1AE3" w:rsidRDefault="003D1AE3" w:rsidP="003D1AE3">
      <w:r>
        <w:t>Palladium, 2018. Australia Awards-Africa Six Monthly Report #3, February 2018.</w:t>
      </w:r>
    </w:p>
    <w:p w14:paraId="09388F45" w14:textId="77777777" w:rsidR="00072AB5" w:rsidRDefault="00072AB5" w:rsidP="003D1AE3">
      <w:r>
        <w:t>Palladium, 2018. Australia Awards-Africa Annual Plan 2018 – 2019.</w:t>
      </w:r>
    </w:p>
    <w:p w14:paraId="59DCF154" w14:textId="77777777" w:rsidR="003D1AE3" w:rsidRDefault="003D1AE3" w:rsidP="003D1AE3">
      <w:r>
        <w:t>Palladium, 2018. Australia Awards-Africa Six Monthly Report #4, August 2018.</w:t>
      </w:r>
    </w:p>
    <w:p w14:paraId="0C230440" w14:textId="77777777" w:rsidR="003D1AE3" w:rsidRDefault="003D1AE3" w:rsidP="003D1AE3">
      <w:r>
        <w:t>Palladium, 2018. Australia Awards-Africa Outcomes Study 2017.</w:t>
      </w:r>
    </w:p>
    <w:p w14:paraId="3666D1D5" w14:textId="77777777" w:rsidR="00367DD5" w:rsidRDefault="00367DD5" w:rsidP="00367DD5">
      <w:r>
        <w:t>Palladium, 2018. Australia Awards-Africa Outcomes Study 2018 (draft).</w:t>
      </w:r>
    </w:p>
    <w:p w14:paraId="218CB644" w14:textId="77777777" w:rsidR="005D4B20" w:rsidRDefault="005D4B20" w:rsidP="005D4B20">
      <w:r>
        <w:t xml:space="preserve">Palladium, 2018. Australia Awards-Africa Selection Report: 2019 Masters Intake; 2019 Masters Intake – Niger; 2018 Short Course Intake; 2018 </w:t>
      </w:r>
      <w:r w:rsidR="001712C6">
        <w:t>Postdoctoral</w:t>
      </w:r>
      <w:r>
        <w:t xml:space="preserve"> Fellowship Intake.</w:t>
      </w:r>
    </w:p>
    <w:p w14:paraId="2E391909" w14:textId="77777777" w:rsidR="003D1AE3" w:rsidRDefault="003D1AE3" w:rsidP="003D1AE3">
      <w:r>
        <w:t xml:space="preserve">Paulsen, </w:t>
      </w:r>
      <w:r w:rsidR="00A56C78">
        <w:t xml:space="preserve">N., </w:t>
      </w:r>
      <w:r>
        <w:t>2017. Australia Awards-Africa Design Concept for an Innovative Award Program.</w:t>
      </w:r>
    </w:p>
    <w:p w14:paraId="5F8228F0" w14:textId="77777777" w:rsidR="003A2713" w:rsidRDefault="003A2713" w:rsidP="003D1AE3"/>
    <w:sectPr w:rsidR="003A2713" w:rsidSect="00C15DB3">
      <w:pgSz w:w="11906" w:h="16838" w:code="9"/>
      <w:pgMar w:top="1440" w:right="1440" w:bottom="1440" w:left="1440" w:header="576" w:footer="57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A28C1" w14:textId="77777777" w:rsidR="007A7792" w:rsidRDefault="007A7792">
      <w:pPr>
        <w:spacing w:after="0"/>
      </w:pPr>
      <w:r>
        <w:separator/>
      </w:r>
    </w:p>
  </w:endnote>
  <w:endnote w:type="continuationSeparator" w:id="0">
    <w:p w14:paraId="46952DAD" w14:textId="77777777" w:rsidR="007A7792" w:rsidRDefault="007A7792">
      <w:pPr>
        <w:spacing w:after="0"/>
      </w:pPr>
      <w:r>
        <w:continuationSeparator/>
      </w:r>
    </w:p>
  </w:endnote>
  <w:endnote w:type="continuationNotice" w:id="1">
    <w:p w14:paraId="5B5EE492" w14:textId="77777777" w:rsidR="007A7792" w:rsidRDefault="007A77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Trebuchet MS"/>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eta Normal">
    <w:altName w:val="Cambria"/>
    <w:panose1 w:val="00000000000000000000"/>
    <w:charset w:val="00"/>
    <w:family w:val="roman"/>
    <w:notTrueType/>
    <w:pitch w:val="default"/>
    <w:sig w:usb0="00000003" w:usb1="00000000" w:usb2="00000000" w:usb3="00000000" w:csb0="00000001" w:csb1="00000000"/>
  </w:font>
  <w:font w:name="Meta Bold">
    <w:altName w:val="Cambria"/>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9A08" w14:textId="77777777" w:rsidR="0003019E" w:rsidRDefault="0003019E">
    <w:pPr>
      <w:pStyle w:val="Footer"/>
      <w:jc w:val="center"/>
    </w:pPr>
    <w:r>
      <w:fldChar w:fldCharType="begin"/>
    </w:r>
    <w:r>
      <w:instrText xml:space="preserve"> PAGE   \* MERGEFORMAT </w:instrText>
    </w:r>
    <w:r>
      <w:fldChar w:fldCharType="separate"/>
    </w:r>
    <w:r>
      <w:rPr>
        <w:noProof/>
      </w:rPr>
      <w:t>10</w:t>
    </w:r>
    <w:r>
      <w:fldChar w:fldCharType="end"/>
    </w:r>
  </w:p>
  <w:p w14:paraId="69C9FAC6" w14:textId="77777777" w:rsidR="0003019E" w:rsidRDefault="0003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A7A1" w14:textId="56733AC1" w:rsidR="0003019E" w:rsidRDefault="0003019E" w:rsidP="007D1C94">
    <w:pPr>
      <w:pStyle w:val="Footer"/>
      <w:jc w:val="center"/>
    </w:pPr>
    <w:r>
      <w:fldChar w:fldCharType="begin"/>
    </w:r>
    <w:r>
      <w:instrText xml:space="preserve"> PAGE   \* MERGEFORMAT </w:instrText>
    </w:r>
    <w:r>
      <w:fldChar w:fldCharType="separate"/>
    </w:r>
    <w:r w:rsidR="00EC62DB">
      <w:rPr>
        <w:noProof/>
      </w:rPr>
      <w:t>39</w:t>
    </w:r>
    <w:r>
      <w:fldChar w:fldCharType="end"/>
    </w:r>
  </w:p>
  <w:p w14:paraId="72C4D295" w14:textId="77777777" w:rsidR="0003019E" w:rsidRPr="0022613E" w:rsidRDefault="0003019E" w:rsidP="007D1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15BC" w14:textId="37460AAF" w:rsidR="0003019E" w:rsidRPr="00B81364" w:rsidRDefault="0003019E" w:rsidP="00F94BBA">
    <w:pPr>
      <w:pStyle w:val="Footer"/>
      <w:jc w:val="center"/>
      <w:rPr>
        <w:color w:val="FFFFFF"/>
      </w:rPr>
    </w:pPr>
    <w:r w:rsidRPr="00B81364">
      <w:rPr>
        <w:color w:val="FFFFFF"/>
      </w:rPr>
      <w:fldChar w:fldCharType="begin"/>
    </w:r>
    <w:r w:rsidRPr="00B81364">
      <w:rPr>
        <w:color w:val="FFFFFF"/>
      </w:rPr>
      <w:instrText xml:space="preserve"> PAGE   \* MERGEFORMAT </w:instrText>
    </w:r>
    <w:r w:rsidRPr="00B81364">
      <w:rPr>
        <w:color w:val="FFFFFF"/>
      </w:rPr>
      <w:fldChar w:fldCharType="separate"/>
    </w:r>
    <w:r w:rsidR="00EC62DB">
      <w:rPr>
        <w:noProof/>
        <w:color w:val="FFFFFF"/>
      </w:rPr>
      <w:t>i</w:t>
    </w:r>
    <w:r w:rsidRPr="00B81364">
      <w:rPr>
        <w:color w:val="FFFFF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791461"/>
      <w:docPartObj>
        <w:docPartGallery w:val="Page Numbers (Bottom of Page)"/>
        <w:docPartUnique/>
      </w:docPartObj>
    </w:sdtPr>
    <w:sdtEndPr>
      <w:rPr>
        <w:noProof/>
      </w:rPr>
    </w:sdtEndPr>
    <w:sdtContent>
      <w:p w14:paraId="3AF2F13E" w14:textId="55A4A8AF" w:rsidR="0003019E" w:rsidRDefault="0003019E" w:rsidP="00773CBF">
        <w:pPr>
          <w:pStyle w:val="Footer"/>
          <w:jc w:val="center"/>
        </w:pPr>
        <w:r>
          <w:fldChar w:fldCharType="begin"/>
        </w:r>
        <w:r>
          <w:instrText xml:space="preserve"> PAGE   \* MERGEFORMAT </w:instrText>
        </w:r>
        <w:r>
          <w:fldChar w:fldCharType="separate"/>
        </w:r>
        <w:r w:rsidR="00EC62DB">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737721"/>
      <w:docPartObj>
        <w:docPartGallery w:val="Page Numbers (Bottom of Page)"/>
        <w:docPartUnique/>
      </w:docPartObj>
    </w:sdtPr>
    <w:sdtEndPr>
      <w:rPr>
        <w:noProof/>
      </w:rPr>
    </w:sdtEndPr>
    <w:sdtContent>
      <w:p w14:paraId="2FFBE504" w14:textId="58E4536F" w:rsidR="0003019E" w:rsidRDefault="0003019E" w:rsidP="00AA45A4">
        <w:pPr>
          <w:pStyle w:val="Footer"/>
          <w:jc w:val="center"/>
        </w:pPr>
        <w:r>
          <w:fldChar w:fldCharType="begin"/>
        </w:r>
        <w:r>
          <w:instrText xml:space="preserve"> PAGE   \* MERGEFORMAT </w:instrText>
        </w:r>
        <w:r>
          <w:fldChar w:fldCharType="separate"/>
        </w:r>
        <w:r w:rsidR="00EC62DB">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460021"/>
      <w:docPartObj>
        <w:docPartGallery w:val="Page Numbers (Bottom of Page)"/>
        <w:docPartUnique/>
      </w:docPartObj>
    </w:sdtPr>
    <w:sdtEndPr>
      <w:rPr>
        <w:noProof/>
      </w:rPr>
    </w:sdtEndPr>
    <w:sdtContent>
      <w:p w14:paraId="077B6839" w14:textId="36EBD189" w:rsidR="0003019E" w:rsidRDefault="0003019E" w:rsidP="00AA45A4">
        <w:pPr>
          <w:pStyle w:val="Footer"/>
          <w:jc w:val="center"/>
        </w:pPr>
        <w:r>
          <w:fldChar w:fldCharType="begin"/>
        </w:r>
        <w:r>
          <w:instrText xml:space="preserve"> PAGE   \* MERGEFORMAT </w:instrText>
        </w:r>
        <w:r>
          <w:fldChar w:fldCharType="separate"/>
        </w:r>
        <w:r w:rsidR="00EC62DB">
          <w:rPr>
            <w:noProof/>
          </w:rPr>
          <w:t>30</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09012" w14:textId="0DA7CFE1" w:rsidR="0003019E" w:rsidRDefault="0003019E" w:rsidP="00AA45A4">
    <w:pPr>
      <w:pStyle w:val="Footer"/>
      <w:jc w:val="center"/>
    </w:pPr>
    <w:r>
      <w:fldChar w:fldCharType="begin"/>
    </w:r>
    <w:r>
      <w:instrText xml:space="preserve"> PAGE   \* MERGEFORMAT </w:instrText>
    </w:r>
    <w:r>
      <w:fldChar w:fldCharType="separate"/>
    </w:r>
    <w:r w:rsidR="00EC62DB">
      <w:rPr>
        <w:noProof/>
      </w:rP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DF269" w14:textId="77777777" w:rsidR="007A7792" w:rsidRDefault="007A7792">
      <w:pPr>
        <w:spacing w:after="0"/>
      </w:pPr>
      <w:r>
        <w:separator/>
      </w:r>
    </w:p>
  </w:footnote>
  <w:footnote w:type="continuationSeparator" w:id="0">
    <w:p w14:paraId="0B8B827F" w14:textId="77777777" w:rsidR="007A7792" w:rsidRDefault="007A7792">
      <w:pPr>
        <w:spacing w:after="0"/>
      </w:pPr>
      <w:r>
        <w:continuationSeparator/>
      </w:r>
    </w:p>
  </w:footnote>
  <w:footnote w:type="continuationNotice" w:id="1">
    <w:p w14:paraId="3BB659C4" w14:textId="77777777" w:rsidR="007A7792" w:rsidRDefault="007A7792">
      <w:pPr>
        <w:spacing w:before="0" w:after="0" w:line="240" w:lineRule="auto"/>
      </w:pPr>
    </w:p>
  </w:footnote>
  <w:footnote w:id="2">
    <w:p w14:paraId="604836F5" w14:textId="5B74F1D2" w:rsidR="0003019E" w:rsidRDefault="0003019E" w:rsidP="000F6B3C">
      <w:pPr>
        <w:pStyle w:val="FootnoteText"/>
      </w:pPr>
      <w:r>
        <w:rPr>
          <w:rStyle w:val="FootnoteReference"/>
        </w:rPr>
        <w:footnoteRef/>
      </w:r>
      <w:r>
        <w:t xml:space="preserve"> </w:t>
      </w:r>
      <w:r>
        <w:tab/>
        <w:t xml:space="preserve">Depending on the desired design and contractual processes, it may require up to two years to complete a robust design process, procure a managing contractor and mobilise an implementation team. </w:t>
      </w:r>
    </w:p>
    <w:p w14:paraId="4D7147F2" w14:textId="77777777" w:rsidR="0003019E" w:rsidRPr="00A86477" w:rsidRDefault="0003019E" w:rsidP="000F6B3C">
      <w:pPr>
        <w:pStyle w:val="FootnoteText"/>
        <w:rPr>
          <w:lang w:val="en-NZ"/>
        </w:rPr>
      </w:pPr>
    </w:p>
  </w:footnote>
  <w:footnote w:id="3">
    <w:p w14:paraId="47AE9065" w14:textId="77777777" w:rsidR="0003019E" w:rsidRPr="00F61B37" w:rsidRDefault="0003019E" w:rsidP="00D50AE0">
      <w:pPr>
        <w:pStyle w:val="FootnoteText"/>
      </w:pPr>
      <w:r>
        <w:rPr>
          <w:rStyle w:val="FootnoteReference"/>
        </w:rPr>
        <w:footnoteRef/>
      </w:r>
      <w:r>
        <w:t xml:space="preserve"> </w:t>
      </w:r>
      <w:r>
        <w:tab/>
        <w:t xml:space="preserve">Australia Award Fellowships are currently on hold, pending the outcome of a global review. </w:t>
      </w:r>
      <w:r w:rsidRPr="00880005">
        <w:t>The Scholarships and Alumni Branch have previously funded up to 90 Australia Award Fellowships per year in Sub-Saharan Africa.</w:t>
      </w:r>
    </w:p>
  </w:footnote>
  <w:footnote w:id="4">
    <w:p w14:paraId="0EE64437" w14:textId="77777777" w:rsidR="0003019E" w:rsidRPr="002B6840" w:rsidRDefault="0003019E">
      <w:pPr>
        <w:pStyle w:val="FootnoteText"/>
        <w:rPr>
          <w:lang w:val="en-NZ"/>
        </w:rPr>
      </w:pPr>
      <w:r>
        <w:rPr>
          <w:rStyle w:val="FootnoteReference"/>
        </w:rPr>
        <w:footnoteRef/>
      </w:r>
      <w:r>
        <w:t xml:space="preserve"> </w:t>
      </w:r>
      <w:r>
        <w:rPr>
          <w:lang w:val="en-NZ"/>
        </w:rPr>
        <w:tab/>
        <w:t xml:space="preserve">Some alumni engagement activities and monitoring and evaluation activities (such as surveys) include pre-2016 alumni. Palladium reporting also includes information and data, where appropriate, prior to 2016. </w:t>
      </w:r>
    </w:p>
  </w:footnote>
  <w:footnote w:id="5">
    <w:p w14:paraId="32D3BD6F" w14:textId="77777777" w:rsidR="0003019E" w:rsidRPr="007151E2" w:rsidRDefault="0003019E" w:rsidP="002D0043">
      <w:pPr>
        <w:pStyle w:val="FootnoteText"/>
        <w:rPr>
          <w:lang w:val="en-NZ"/>
        </w:rPr>
      </w:pPr>
      <w:r>
        <w:rPr>
          <w:rStyle w:val="FootnoteReference"/>
        </w:rPr>
        <w:footnoteRef/>
      </w:r>
      <w:r>
        <w:t xml:space="preserve"> </w:t>
      </w:r>
      <w:r>
        <w:rPr>
          <w:lang w:val="en-NZ"/>
        </w:rPr>
        <w:tab/>
      </w:r>
      <w:r w:rsidRPr="007151E2">
        <w:rPr>
          <w:lang w:val="en-NZ"/>
        </w:rPr>
        <w:t>Master</w:t>
      </w:r>
      <w:r>
        <w:rPr>
          <w:lang w:val="en-NZ"/>
        </w:rPr>
        <w:t>’</w:t>
      </w:r>
      <w:r w:rsidRPr="007151E2">
        <w:rPr>
          <w:lang w:val="en-NZ"/>
        </w:rPr>
        <w:t xml:space="preserve">s, short course and </w:t>
      </w:r>
      <w:r>
        <w:rPr>
          <w:lang w:val="en-NZ"/>
        </w:rPr>
        <w:t>postdoctoral</w:t>
      </w:r>
      <w:r w:rsidRPr="007151E2">
        <w:rPr>
          <w:lang w:val="en-NZ"/>
        </w:rPr>
        <w:t xml:space="preserve"> pilot</w:t>
      </w:r>
      <w:r>
        <w:rPr>
          <w:lang w:val="en-NZ"/>
        </w:rPr>
        <w:t>. Fellowships were previously available (delivered through DFAT’s Scholarships and Alumni Branch) but are currently on hold pending the outcome of a review.</w:t>
      </w:r>
    </w:p>
  </w:footnote>
  <w:footnote w:id="6">
    <w:p w14:paraId="001721CC" w14:textId="77777777" w:rsidR="0003019E" w:rsidRPr="00565C3D" w:rsidRDefault="0003019E">
      <w:pPr>
        <w:pStyle w:val="FootnoteText"/>
        <w:rPr>
          <w:lang w:val="en-NZ"/>
        </w:rPr>
      </w:pPr>
      <w:r>
        <w:rPr>
          <w:rStyle w:val="FootnoteReference"/>
        </w:rPr>
        <w:footnoteRef/>
      </w:r>
      <w:r>
        <w:t xml:space="preserve"> </w:t>
      </w:r>
      <w:r>
        <w:tab/>
      </w:r>
      <w:r>
        <w:rPr>
          <w:noProof/>
        </w:rPr>
        <w:t xml:space="preserve">DFAT officers were present at interviews </w:t>
      </w:r>
      <w:r w:rsidRPr="00AB6873">
        <w:rPr>
          <w:noProof/>
        </w:rPr>
        <w:t xml:space="preserve">conducted with </w:t>
      </w:r>
      <w:r>
        <w:rPr>
          <w:noProof/>
        </w:rPr>
        <w:t xml:space="preserve">some (not all) government representatives from African countries, </w:t>
      </w:r>
      <w:r w:rsidRPr="00AB6873">
        <w:rPr>
          <w:noProof/>
        </w:rPr>
        <w:t>Australian Government representatives</w:t>
      </w:r>
      <w:r>
        <w:rPr>
          <w:noProof/>
        </w:rPr>
        <w:t xml:space="preserve"> and two of the alumni roundtable</w:t>
      </w:r>
      <w:r w:rsidRPr="00AB6873">
        <w:rPr>
          <w:noProof/>
        </w:rPr>
        <w:t xml:space="preserve">. </w:t>
      </w:r>
    </w:p>
  </w:footnote>
  <w:footnote w:id="7">
    <w:p w14:paraId="127833C1" w14:textId="77777777" w:rsidR="0003019E" w:rsidRPr="008C5C80" w:rsidRDefault="0003019E">
      <w:pPr>
        <w:pStyle w:val="FootnoteText"/>
        <w:rPr>
          <w:lang w:val="en-NZ"/>
        </w:rPr>
      </w:pPr>
      <w:r>
        <w:rPr>
          <w:rStyle w:val="FootnoteReference"/>
        </w:rPr>
        <w:footnoteRef/>
      </w:r>
      <w:r>
        <w:t xml:space="preserve"> </w:t>
      </w:r>
      <w:r>
        <w:tab/>
      </w:r>
      <w:r>
        <w:rPr>
          <w:lang w:val="en-NZ"/>
        </w:rPr>
        <w:t xml:space="preserve">The literature and data review used an Excel spreadsheet from the July 2018 six-monthly progress report. Palladium subsequently provided the evaluator with a database of scholar information as at 11 November 2018.  </w:t>
      </w:r>
    </w:p>
  </w:footnote>
  <w:footnote w:id="8">
    <w:p w14:paraId="28661FC6" w14:textId="48B9F86F" w:rsidR="0003019E" w:rsidRPr="00F01F2A" w:rsidRDefault="0003019E" w:rsidP="0062776E">
      <w:pPr>
        <w:pStyle w:val="FootnoteText"/>
        <w:rPr>
          <w:lang w:val="en-NZ"/>
        </w:rPr>
      </w:pPr>
      <w:r>
        <w:rPr>
          <w:rStyle w:val="FootnoteReference"/>
        </w:rPr>
        <w:footnoteRef/>
      </w:r>
      <w:r>
        <w:t xml:space="preserve"> </w:t>
      </w:r>
      <w:r>
        <w:rPr>
          <w:lang w:val="en-NZ"/>
        </w:rPr>
        <w:tab/>
      </w:r>
      <w:r w:rsidRPr="00F01F2A">
        <w:rPr>
          <w:lang w:val="en-NZ"/>
        </w:rPr>
        <w:t xml:space="preserve">73 </w:t>
      </w:r>
      <w:r w:rsidRPr="00D50326">
        <w:rPr>
          <w:lang w:val="en-NZ"/>
        </w:rPr>
        <w:t xml:space="preserve">per cent (n=270) of respondents made some form of development contribution with 98 per cent (n=265) of those attributing it to a greater or certain extent to skills acquired on award (2017 outcomes study). 98 per cent </w:t>
      </w:r>
      <w:r>
        <w:rPr>
          <w:lang w:val="en-NZ"/>
        </w:rPr>
        <w:t xml:space="preserve">(n=61) </w:t>
      </w:r>
      <w:r w:rsidRPr="00D50326">
        <w:rPr>
          <w:lang w:val="en-NZ"/>
        </w:rPr>
        <w:t>reported</w:t>
      </w:r>
      <w:r w:rsidRPr="0062776E">
        <w:rPr>
          <w:lang w:val="en-NZ"/>
        </w:rPr>
        <w:t xml:space="preserve"> using the skills and knowledge gained from the award to contribute to development outcomes (2018 outcomes study).</w:t>
      </w:r>
    </w:p>
  </w:footnote>
  <w:footnote w:id="9">
    <w:p w14:paraId="70DDB9F3" w14:textId="44C56FFD" w:rsidR="0003019E" w:rsidRPr="000C5E91" w:rsidRDefault="0003019E" w:rsidP="008B53A2">
      <w:pPr>
        <w:pStyle w:val="FootnoteText"/>
        <w:rPr>
          <w:lang w:val="en-NZ"/>
        </w:rPr>
      </w:pPr>
      <w:r>
        <w:rPr>
          <w:rStyle w:val="FootnoteReference"/>
        </w:rPr>
        <w:footnoteRef/>
      </w:r>
      <w:r>
        <w:t xml:space="preserve"> </w:t>
      </w:r>
      <w:r>
        <w:tab/>
        <w:t xml:space="preserve">Types of contributions include: practice contributions (changes in operational approach or technique) – 64 per cent (2017) and 54 per cent (2018); skills transfer (for example, training or coaching) – 18 per cent (2017) and policy </w:t>
      </w:r>
      <w:r w:rsidRPr="000C5E91">
        <w:t xml:space="preserve">contributions (for example, developing/amending specific plans or frameworks) – 15 per cent (2017). </w:t>
      </w:r>
    </w:p>
  </w:footnote>
  <w:footnote w:id="10">
    <w:p w14:paraId="053390CC" w14:textId="5BBE640D" w:rsidR="0003019E" w:rsidRPr="000C5E91" w:rsidRDefault="0003019E">
      <w:pPr>
        <w:pStyle w:val="FootnoteText"/>
        <w:rPr>
          <w:i/>
          <w:lang w:val="en-NZ"/>
        </w:rPr>
      </w:pPr>
      <w:r w:rsidRPr="000C5E91">
        <w:rPr>
          <w:rStyle w:val="FootnoteReference"/>
        </w:rPr>
        <w:footnoteRef/>
      </w:r>
      <w:r w:rsidRPr="000C5E91">
        <w:t xml:space="preserve"> </w:t>
      </w:r>
      <w:r w:rsidRPr="000C5E91">
        <w:tab/>
        <w:t>73</w:t>
      </w:r>
      <w:r w:rsidRPr="000C5E91">
        <w:rPr>
          <w:lang w:val="en-NZ"/>
        </w:rPr>
        <w:t xml:space="preserve"> per cent (n=270) and 76 per cent (n=47) respectively in the 2017 and 2018 outcomes studies.</w:t>
      </w:r>
      <w:r w:rsidRPr="000C5E91">
        <w:rPr>
          <w:i/>
          <w:lang w:val="en-NZ"/>
        </w:rPr>
        <w:t xml:space="preserve"> </w:t>
      </w:r>
    </w:p>
  </w:footnote>
  <w:footnote w:id="11">
    <w:p w14:paraId="26469CC8" w14:textId="77777777" w:rsidR="0003019E" w:rsidRPr="00107E6F" w:rsidRDefault="0003019E">
      <w:pPr>
        <w:pStyle w:val="FootnoteText"/>
        <w:rPr>
          <w:lang w:val="en-NZ"/>
        </w:rPr>
      </w:pPr>
      <w:r w:rsidRPr="000C5E91">
        <w:rPr>
          <w:rStyle w:val="FootnoteReference"/>
        </w:rPr>
        <w:footnoteRef/>
      </w:r>
      <w:r w:rsidRPr="000C5E91">
        <w:t xml:space="preserve"> </w:t>
      </w:r>
      <w:r w:rsidRPr="000C5E91">
        <w:rPr>
          <w:lang w:val="en-NZ"/>
        </w:rPr>
        <w:tab/>
      </w:r>
      <w:r w:rsidRPr="000C5E91">
        <w:t>For example, some of the small grants are directly addressing issues of gender inequality and social exclusion</w:t>
      </w:r>
      <w:r>
        <w:t xml:space="preserve">. </w:t>
      </w:r>
    </w:p>
  </w:footnote>
  <w:footnote w:id="12">
    <w:p w14:paraId="7DF960BF" w14:textId="5B09A42B" w:rsidR="0003019E" w:rsidRPr="001A3414" w:rsidRDefault="0003019E" w:rsidP="00732E2A">
      <w:pPr>
        <w:pStyle w:val="FootnoteText"/>
      </w:pPr>
      <w:r w:rsidRPr="00107305">
        <w:rPr>
          <w:rStyle w:val="FootnoteReference"/>
        </w:rPr>
        <w:footnoteRef/>
      </w:r>
      <w:r w:rsidRPr="00107305">
        <w:t xml:space="preserve"> </w:t>
      </w:r>
      <w:r w:rsidRPr="00107305">
        <w:tab/>
      </w:r>
      <w:r w:rsidRPr="001A3414">
        <w:t>In addition to Australia Awards in Africa, Australia provides small grants through its Direct Aid Program</w:t>
      </w:r>
      <w:r>
        <w:t xml:space="preserve"> and funds </w:t>
      </w:r>
      <w:r w:rsidRPr="001A3414">
        <w:t xml:space="preserve">global and regional programs including humanitarian assistance, Australian Volunteers, the Australian Centre for International Agricultural Research and the Australian NGO Cooperation Program. </w:t>
      </w:r>
    </w:p>
  </w:footnote>
  <w:footnote w:id="13">
    <w:p w14:paraId="63017326" w14:textId="77777777" w:rsidR="0003019E" w:rsidRPr="0001515C" w:rsidRDefault="0003019E">
      <w:pPr>
        <w:pStyle w:val="FootnoteText"/>
        <w:rPr>
          <w:lang w:val="en-NZ"/>
        </w:rPr>
      </w:pPr>
      <w:r>
        <w:rPr>
          <w:rStyle w:val="FootnoteReference"/>
        </w:rPr>
        <w:footnoteRef/>
      </w:r>
      <w:r>
        <w:t xml:space="preserve"> </w:t>
      </w:r>
      <w:r>
        <w:tab/>
        <w:t>For example, visa restrictions for citizens of some African countries to travel to Australia and the significant reduction in Australia’s aid program funding to Africa in the financial year 2015-2016.</w:t>
      </w:r>
    </w:p>
  </w:footnote>
  <w:footnote w:id="14">
    <w:p w14:paraId="49AB6B12" w14:textId="239366AE" w:rsidR="0003019E" w:rsidRPr="000C5E91" w:rsidRDefault="0003019E" w:rsidP="002C5318">
      <w:pPr>
        <w:pStyle w:val="FootnoteText"/>
        <w:rPr>
          <w:lang w:val="en-NZ"/>
        </w:rPr>
      </w:pPr>
      <w:r w:rsidRPr="00107305">
        <w:rPr>
          <w:rStyle w:val="FootnoteReference"/>
        </w:rPr>
        <w:footnoteRef/>
      </w:r>
      <w:r w:rsidRPr="00107305">
        <w:t xml:space="preserve"> </w:t>
      </w:r>
      <w:r w:rsidRPr="00107305">
        <w:tab/>
        <w:t xml:space="preserve">Coordinating authorities are representatives from </w:t>
      </w:r>
      <w:r>
        <w:t xml:space="preserve">the </w:t>
      </w:r>
      <w:r w:rsidRPr="00107305">
        <w:t xml:space="preserve">African government agencies </w:t>
      </w:r>
      <w:r>
        <w:t xml:space="preserve">who are </w:t>
      </w:r>
      <w:r w:rsidRPr="00107305">
        <w:t xml:space="preserve">responsible for human resource </w:t>
      </w:r>
      <w:r w:rsidRPr="001F25C6">
        <w:t xml:space="preserve">development </w:t>
      </w:r>
      <w:r w:rsidRPr="000C5E91">
        <w:t xml:space="preserve">in their country.     </w:t>
      </w:r>
    </w:p>
  </w:footnote>
  <w:footnote w:id="15">
    <w:p w14:paraId="50376B74" w14:textId="0D72C88E" w:rsidR="0003019E" w:rsidRPr="000C5E91" w:rsidRDefault="0003019E">
      <w:pPr>
        <w:pStyle w:val="FootnoteText"/>
        <w:rPr>
          <w:i/>
          <w:lang w:val="en-NZ"/>
        </w:rPr>
      </w:pPr>
      <w:r w:rsidRPr="000C5E91">
        <w:rPr>
          <w:rStyle w:val="FootnoteReference"/>
        </w:rPr>
        <w:footnoteRef/>
      </w:r>
      <w:r w:rsidRPr="000C5E91">
        <w:t xml:space="preserve"> </w:t>
      </w:r>
      <w:r w:rsidRPr="000C5E91">
        <w:tab/>
      </w:r>
      <w:r w:rsidRPr="000C5E91">
        <w:rPr>
          <w:lang w:val="en-NZ"/>
        </w:rPr>
        <w:t xml:space="preserve">30 per cent (n=82) of alumni who responded to the 2017 outcomes study reported positive on-going links with Australian students and 35 per cent (n=95) with other Australian organisations. The study found the strength of the links with Australia and Australians decreases the longer alumni are home. </w:t>
      </w:r>
      <w:r w:rsidRPr="000C5E91">
        <w:rPr>
          <w:i/>
          <w:lang w:val="en-NZ"/>
        </w:rPr>
        <w:t xml:space="preserve"> </w:t>
      </w:r>
    </w:p>
  </w:footnote>
  <w:footnote w:id="16">
    <w:p w14:paraId="792219C7" w14:textId="77777777" w:rsidR="0003019E" w:rsidRPr="008F5F12" w:rsidRDefault="0003019E">
      <w:pPr>
        <w:pStyle w:val="FootnoteText"/>
        <w:rPr>
          <w:lang w:val="en-NZ"/>
        </w:rPr>
      </w:pPr>
      <w:r w:rsidRPr="000C5E91">
        <w:rPr>
          <w:rStyle w:val="FootnoteReference"/>
        </w:rPr>
        <w:footnoteRef/>
      </w:r>
      <w:r w:rsidRPr="000C5E91">
        <w:t xml:space="preserve"> </w:t>
      </w:r>
      <w:r w:rsidRPr="000C5E91">
        <w:tab/>
        <w:t>T</w:t>
      </w:r>
      <w:r w:rsidRPr="000C5E91">
        <w:rPr>
          <w:lang w:val="en-NZ"/>
        </w:rPr>
        <w:t xml:space="preserve">he </w:t>
      </w:r>
      <w:r w:rsidRPr="008F5F12">
        <w:rPr>
          <w:lang w:val="en-NZ"/>
        </w:rPr>
        <w:t>2017 outcomes study reported organisational links between alumni’s home institutions and Australian organisations was low, with less than a quarter of alumni reporting that such a link existed.</w:t>
      </w:r>
    </w:p>
  </w:footnote>
  <w:footnote w:id="17">
    <w:p w14:paraId="62C4B6EE" w14:textId="77777777" w:rsidR="0003019E" w:rsidRPr="0064189A" w:rsidRDefault="0003019E" w:rsidP="008F5F12">
      <w:pPr>
        <w:pStyle w:val="FootnoteText"/>
        <w:rPr>
          <w:lang w:val="en-NZ"/>
        </w:rPr>
      </w:pPr>
      <w:r w:rsidRPr="008F5F12">
        <w:rPr>
          <w:rStyle w:val="FootnoteReference"/>
        </w:rPr>
        <w:footnoteRef/>
      </w:r>
      <w:r w:rsidRPr="008F5F12">
        <w:t xml:space="preserve"> </w:t>
      </w:r>
      <w:r w:rsidRPr="008F5F12">
        <w:rPr>
          <w:lang w:val="en-NZ"/>
        </w:rPr>
        <w:tab/>
        <w:t xml:space="preserve">32 of the 91 alumni from African countries who responded to the tracer survey. </w:t>
      </w:r>
    </w:p>
  </w:footnote>
  <w:footnote w:id="18">
    <w:p w14:paraId="2C43E2ED" w14:textId="77777777" w:rsidR="0003019E" w:rsidRPr="000845EA" w:rsidRDefault="0003019E">
      <w:pPr>
        <w:pStyle w:val="FootnoteText"/>
      </w:pPr>
      <w:r w:rsidRPr="000845EA">
        <w:rPr>
          <w:rStyle w:val="FootnoteReference"/>
        </w:rPr>
        <w:footnoteRef/>
      </w:r>
      <w:r w:rsidRPr="000845EA">
        <w:rPr>
          <w:rStyle w:val="FootnoteReference"/>
        </w:rPr>
        <w:t xml:space="preserve"> </w:t>
      </w:r>
      <w:r>
        <w:tab/>
      </w:r>
      <w:r w:rsidRPr="000845EA">
        <w:t>Australia Awards Global Tracer Facility, 2017. Tracer Survey Report Year 1 - 2016-17, Alumni of 2006 to 2010</w:t>
      </w:r>
      <w:r>
        <w:t>, p</w:t>
      </w:r>
      <w:r w:rsidRPr="000845EA">
        <w:t>.</w:t>
      </w:r>
      <w:r>
        <w:t xml:space="preserve"> 26.</w:t>
      </w:r>
    </w:p>
  </w:footnote>
  <w:footnote w:id="19">
    <w:p w14:paraId="43656CD9" w14:textId="0BA3D24D" w:rsidR="0003019E" w:rsidRPr="00FA62B3" w:rsidRDefault="0003019E" w:rsidP="000845EA">
      <w:pPr>
        <w:pStyle w:val="FootnoteText"/>
      </w:pPr>
      <w:r>
        <w:rPr>
          <w:rStyle w:val="FootnoteReference"/>
        </w:rPr>
        <w:footnoteRef/>
      </w:r>
      <w:r>
        <w:t xml:space="preserve"> </w:t>
      </w:r>
      <w:r>
        <w:tab/>
      </w:r>
      <w:r w:rsidRPr="001A77E0">
        <w:t>Alumni reported that while they were on-award, they were more likely to form links with other African students (76 per cent, other international students (70 per cent) and with Australian academics and institutions (63 per cent), 2017 outcomes study.</w:t>
      </w:r>
    </w:p>
  </w:footnote>
  <w:footnote w:id="20">
    <w:p w14:paraId="250D9700" w14:textId="77777777" w:rsidR="0003019E" w:rsidRPr="00856AAE" w:rsidRDefault="0003019E">
      <w:pPr>
        <w:pStyle w:val="FootnoteText"/>
        <w:rPr>
          <w:lang w:val="en-NZ"/>
        </w:rPr>
      </w:pPr>
      <w:r>
        <w:rPr>
          <w:rStyle w:val="FootnoteReference"/>
        </w:rPr>
        <w:footnoteRef/>
      </w:r>
      <w:r>
        <w:t xml:space="preserve"> </w:t>
      </w:r>
      <w:r>
        <w:rPr>
          <w:lang w:val="en-NZ"/>
        </w:rPr>
        <w:tab/>
        <w:t xml:space="preserve">It is acknowledged a positive bias is likely as alumni self-selected to participate in the evaluation consultations. </w:t>
      </w:r>
    </w:p>
  </w:footnote>
  <w:footnote w:id="21">
    <w:p w14:paraId="1566B07F" w14:textId="619FAD7D" w:rsidR="0003019E" w:rsidRPr="00FA62B3" w:rsidRDefault="0003019E">
      <w:pPr>
        <w:pStyle w:val="FootnoteText"/>
        <w:rPr>
          <w:lang w:val="en-NZ"/>
        </w:rPr>
      </w:pPr>
      <w:r w:rsidRPr="00FA62B3">
        <w:rPr>
          <w:rStyle w:val="FootnoteReference"/>
        </w:rPr>
        <w:footnoteRef/>
      </w:r>
      <w:r w:rsidRPr="00FA62B3">
        <w:rPr>
          <w:rStyle w:val="FootnoteReference"/>
        </w:rPr>
        <w:t xml:space="preserve"> </w:t>
      </w:r>
      <w:r w:rsidRPr="00FA62B3">
        <w:rPr>
          <w:rStyle w:val="FootnoteReference"/>
        </w:rPr>
        <w:tab/>
      </w:r>
      <w:r>
        <w:t xml:space="preserve">DFAT (2018), </w:t>
      </w:r>
      <w:r w:rsidRPr="00FA62B3">
        <w:t xml:space="preserve">Australia </w:t>
      </w:r>
      <w:r>
        <w:t xml:space="preserve">Awards </w:t>
      </w:r>
      <w:r w:rsidRPr="00FA62B3">
        <w:t>Linkages Framework</w:t>
      </w:r>
      <w:r>
        <w:t xml:space="preserve"> 2018-21, </w:t>
      </w:r>
      <w:r w:rsidRPr="00FA62B3">
        <w:t>Discussion Paper – 23 September 2018</w:t>
      </w:r>
      <w:r>
        <w:t>.</w:t>
      </w:r>
    </w:p>
  </w:footnote>
  <w:footnote w:id="22">
    <w:p w14:paraId="1F8DB548" w14:textId="77777777" w:rsidR="0003019E" w:rsidRPr="007151E2" w:rsidRDefault="0003019E" w:rsidP="0052721D">
      <w:pPr>
        <w:pStyle w:val="FootnoteText"/>
      </w:pPr>
      <w:r>
        <w:rPr>
          <w:rStyle w:val="FootnoteReference"/>
        </w:rPr>
        <w:footnoteRef/>
      </w:r>
      <w:r>
        <w:t xml:space="preserve"> </w:t>
      </w:r>
      <w:r>
        <w:tab/>
        <w:t>Awards types include m</w:t>
      </w:r>
      <w:r w:rsidRPr="007151E2">
        <w:t>aster</w:t>
      </w:r>
      <w:r>
        <w:t>’</w:t>
      </w:r>
      <w:r w:rsidRPr="007151E2">
        <w:t>s, short course</w:t>
      </w:r>
      <w:r>
        <w:t>s</w:t>
      </w:r>
      <w:r w:rsidRPr="007151E2">
        <w:t xml:space="preserve"> and </w:t>
      </w:r>
      <w:r>
        <w:t>postdoctoral fellowships (</w:t>
      </w:r>
      <w:r w:rsidRPr="007151E2">
        <w:t>pilot</w:t>
      </w:r>
      <w:r>
        <w:t>). Fellowships were previously available (delivered through DFAT’s Scholarships and Alumni Branch) but are currently on hold pending the outcome of a review.</w:t>
      </w:r>
    </w:p>
  </w:footnote>
  <w:footnote w:id="23">
    <w:p w14:paraId="1A704707" w14:textId="77777777" w:rsidR="0003019E" w:rsidRPr="00993AEE" w:rsidRDefault="0003019E" w:rsidP="00D96A5C">
      <w:pPr>
        <w:pStyle w:val="FootnoteText"/>
      </w:pPr>
      <w:r>
        <w:rPr>
          <w:rStyle w:val="FootnoteReference"/>
        </w:rPr>
        <w:footnoteRef/>
      </w:r>
      <w:r>
        <w:t xml:space="preserve"> </w:t>
      </w:r>
      <w:r>
        <w:rPr>
          <w:lang w:val="en-NZ"/>
        </w:rPr>
        <w:tab/>
        <w:t>The Australia Awards in Africa design notes “t</w:t>
      </w:r>
      <w:r w:rsidRPr="00993AEE">
        <w:t>he countries eligible for awards will be</w:t>
      </w:r>
      <w:r>
        <w:t xml:space="preserve"> </w:t>
      </w:r>
      <w:r w:rsidRPr="00993AEE">
        <w:t>consolidated, located primarily to Eastern and Southern Africa and to a small number of countries</w:t>
      </w:r>
      <w:r>
        <w:t xml:space="preserve"> </w:t>
      </w:r>
      <w:r w:rsidRPr="00993AEE">
        <w:t>elsewhere in Sub-Saharan Africa where Australia has compelling national interests.</w:t>
      </w:r>
      <w:r>
        <w:t>”, p. 4.</w:t>
      </w:r>
    </w:p>
  </w:footnote>
  <w:footnote w:id="24">
    <w:p w14:paraId="6061900A" w14:textId="77777777" w:rsidR="0003019E" w:rsidRPr="00FD5428" w:rsidRDefault="0003019E" w:rsidP="00D96A5C">
      <w:pPr>
        <w:pStyle w:val="FootnoteText"/>
        <w:rPr>
          <w:rFonts w:ascii="Times New Roman" w:hAnsi="Times New Roman"/>
          <w:sz w:val="24"/>
          <w:szCs w:val="24"/>
          <w:lang w:val="en-NZ" w:eastAsia="en-NZ"/>
        </w:rPr>
      </w:pPr>
      <w:r w:rsidRPr="00EB6011">
        <w:rPr>
          <w:rStyle w:val="FootnoteReference"/>
        </w:rPr>
        <w:footnoteRef/>
      </w:r>
      <w:r w:rsidRPr="00EB6011">
        <w:t xml:space="preserve"> </w:t>
      </w:r>
      <w:r w:rsidRPr="00EB6011">
        <w:rPr>
          <w:lang w:val="en-NZ"/>
        </w:rPr>
        <w:tab/>
      </w:r>
      <w:r w:rsidRPr="00EB6011">
        <w:t xml:space="preserve">The </w:t>
      </w:r>
      <w:r>
        <w:t>P</w:t>
      </w:r>
      <w:r w:rsidRPr="00EB6011">
        <w:t>ost allocation for exceptional candidates involves reserving a limited number of places for long-term awards (up to 15) and</w:t>
      </w:r>
      <w:r>
        <w:t xml:space="preserve"> short course awards (up to 24) each year. The window currently applies to seven sub-Saharan Posts: Abuja, Accra, Addis Ababa, Harare, Port Louis, Nairobi and Pretoria for countries of accreditation that are eligible for travel to study in Australia. Posts have </w:t>
      </w:r>
      <w:r w:rsidRPr="00FD5428">
        <w:t>discretion</w:t>
      </w:r>
      <w:r>
        <w:t xml:space="preserve"> as to which countries to approach for nominations</w:t>
      </w:r>
      <w:r w:rsidRPr="00FD5428">
        <w:t>.</w:t>
      </w:r>
    </w:p>
  </w:footnote>
  <w:footnote w:id="25">
    <w:p w14:paraId="19DFA7D3" w14:textId="77777777" w:rsidR="0003019E" w:rsidRPr="00B5319E" w:rsidRDefault="0003019E" w:rsidP="00D96A5C">
      <w:pPr>
        <w:pStyle w:val="FootnoteText"/>
        <w:rPr>
          <w:lang w:val="en-NZ"/>
        </w:rPr>
      </w:pPr>
      <w:r>
        <w:rPr>
          <w:rStyle w:val="FootnoteReference"/>
        </w:rPr>
        <w:footnoteRef/>
      </w:r>
      <w:r>
        <w:t xml:space="preserve"> </w:t>
      </w:r>
      <w:r>
        <w:rPr>
          <w:lang w:val="en-NZ"/>
        </w:rPr>
        <w:tab/>
        <w:t xml:space="preserve">The guidelines were updated in October 2018 and clarify that Posts are to </w:t>
      </w:r>
      <w:r>
        <w:t xml:space="preserve">identify and pre-screen applicants before forwarding nominations to Palladium.  </w:t>
      </w:r>
    </w:p>
  </w:footnote>
  <w:footnote w:id="26">
    <w:p w14:paraId="34361B7A" w14:textId="77777777" w:rsidR="0003019E" w:rsidRPr="00714057" w:rsidRDefault="0003019E">
      <w:pPr>
        <w:pStyle w:val="FootnoteText"/>
        <w:rPr>
          <w:lang w:val="en-NZ"/>
        </w:rPr>
      </w:pPr>
      <w:r>
        <w:rPr>
          <w:rStyle w:val="FootnoteReference"/>
        </w:rPr>
        <w:footnoteRef/>
      </w:r>
      <w:r>
        <w:t xml:space="preserve"> </w:t>
      </w:r>
      <w:r>
        <w:rPr>
          <w:lang w:val="en-NZ"/>
        </w:rPr>
        <w:tab/>
        <w:t>DFAT, 2016. Australia Awards Global Strategy, p. 7.</w:t>
      </w:r>
    </w:p>
  </w:footnote>
  <w:footnote w:id="27">
    <w:p w14:paraId="1AC8D849" w14:textId="3387420F" w:rsidR="0003019E" w:rsidRPr="00ED22E6" w:rsidRDefault="0003019E" w:rsidP="00D96A5C">
      <w:pPr>
        <w:pStyle w:val="FootnoteText"/>
        <w:rPr>
          <w:lang w:val="en-NZ"/>
        </w:rPr>
      </w:pPr>
      <w:r>
        <w:rPr>
          <w:rStyle w:val="FootnoteReference"/>
        </w:rPr>
        <w:footnoteRef/>
      </w:r>
      <w:r>
        <w:t xml:space="preserve"> </w:t>
      </w:r>
      <w:r>
        <w:rPr>
          <w:lang w:val="en-NZ"/>
        </w:rPr>
        <w:tab/>
        <w:t xml:space="preserve">It is noted that other donors, such as the World Bank, are investing in this area. For example, see </w:t>
      </w:r>
      <w:hyperlink r:id="rId1" w:history="1">
        <w:r w:rsidRPr="00796BD1">
          <w:rPr>
            <w:rStyle w:val="Hyperlink"/>
            <w:lang w:val="en-NZ"/>
          </w:rPr>
          <w:t>https://www.worldbank.org/en/news/press-release/2018/10/30/world-bank-approves-293-million-to-boost-regional-integration-and-technical-training-in-east-africa</w:t>
        </w:r>
      </w:hyperlink>
      <w:r>
        <w:rPr>
          <w:lang w:val="en-NZ"/>
        </w:rPr>
        <w:t xml:space="preserve"> </w:t>
      </w:r>
    </w:p>
  </w:footnote>
  <w:footnote w:id="28">
    <w:p w14:paraId="261E2E81" w14:textId="77777777" w:rsidR="0003019E" w:rsidRPr="00E046AE" w:rsidRDefault="0003019E">
      <w:pPr>
        <w:pStyle w:val="FootnoteText"/>
        <w:rPr>
          <w:lang w:val="en-NZ"/>
        </w:rPr>
      </w:pPr>
      <w:r w:rsidRPr="005049BC">
        <w:rPr>
          <w:rStyle w:val="FootnoteReference"/>
        </w:rPr>
        <w:footnoteRef/>
      </w:r>
      <w:r w:rsidRPr="005049BC">
        <w:t xml:space="preserve"> </w:t>
      </w:r>
      <w:r w:rsidRPr="005049BC">
        <w:rPr>
          <w:lang w:val="en-NZ"/>
        </w:rPr>
        <w:tab/>
        <w:t>DFAT, 2015. Australia Awards in Africa (2016-2020) Investment Design, p. 23.</w:t>
      </w:r>
    </w:p>
  </w:footnote>
  <w:footnote w:id="29">
    <w:p w14:paraId="6EEAD75D" w14:textId="77777777" w:rsidR="0003019E" w:rsidRPr="0094298D" w:rsidRDefault="0003019E">
      <w:pPr>
        <w:pStyle w:val="FootnoteText"/>
        <w:rPr>
          <w:lang w:val="en-NZ"/>
        </w:rPr>
      </w:pPr>
      <w:r w:rsidRPr="0094298D">
        <w:rPr>
          <w:rStyle w:val="FootnoteReference"/>
        </w:rPr>
        <w:footnoteRef/>
      </w:r>
      <w:r>
        <w:t xml:space="preserve"> </w:t>
      </w:r>
      <w:r>
        <w:rPr>
          <w:lang w:val="en-NZ"/>
        </w:rPr>
        <w:tab/>
        <w:t xml:space="preserve">Australia Awards in </w:t>
      </w:r>
      <w:r w:rsidRPr="0094298D">
        <w:t xml:space="preserve">Africa six-monthly report #2 notes </w:t>
      </w:r>
      <w:r>
        <w:t xml:space="preserve">information-technology </w:t>
      </w:r>
      <w:r w:rsidRPr="0094298D">
        <w:t>infrastructure limitations and the lack of established linkages between Australian and African universities at the level required to facilitate join</w:t>
      </w:r>
      <w:r>
        <w:t>t</w:t>
      </w:r>
      <w:r w:rsidRPr="0094298D">
        <w:t xml:space="preserve"> learning as key reasons for not exploring this further. </w:t>
      </w:r>
    </w:p>
  </w:footnote>
  <w:footnote w:id="30">
    <w:p w14:paraId="4254F615" w14:textId="77777777" w:rsidR="0003019E" w:rsidRPr="003677A1" w:rsidRDefault="0003019E">
      <w:pPr>
        <w:pStyle w:val="FootnoteText"/>
        <w:rPr>
          <w:lang w:val="en-NZ"/>
        </w:rPr>
      </w:pPr>
      <w:r>
        <w:rPr>
          <w:rStyle w:val="FootnoteReference"/>
        </w:rPr>
        <w:footnoteRef/>
      </w:r>
      <w:r>
        <w:t xml:space="preserve"> </w:t>
      </w:r>
      <w:r>
        <w:rPr>
          <w:lang w:val="en-NZ"/>
        </w:rPr>
        <w:tab/>
        <w:t>DFAT, 2016. Australia Global Alumni Engagement Strategy, p. 5.</w:t>
      </w:r>
    </w:p>
  </w:footnote>
  <w:footnote w:id="31">
    <w:p w14:paraId="507161AA" w14:textId="77777777" w:rsidR="0003019E" w:rsidRPr="00455B2F" w:rsidRDefault="0003019E">
      <w:pPr>
        <w:pStyle w:val="FootnoteText"/>
        <w:rPr>
          <w:lang w:val="en-NZ"/>
        </w:rPr>
      </w:pPr>
      <w:r>
        <w:rPr>
          <w:rStyle w:val="FootnoteReference"/>
        </w:rPr>
        <w:footnoteRef/>
      </w:r>
      <w:r>
        <w:t xml:space="preserve"> </w:t>
      </w:r>
      <w:r>
        <w:tab/>
        <w:t xml:space="preserve">Examples include </w:t>
      </w:r>
      <w:r w:rsidRPr="007061EF">
        <w:t xml:space="preserve">leveraging off international in-Africa conferences </w:t>
      </w:r>
      <w:r>
        <w:t xml:space="preserve">such as </w:t>
      </w:r>
      <w:r w:rsidRPr="00455B2F">
        <w:t>Investing in African Mining Indaba</w:t>
      </w:r>
      <w:r>
        <w:t xml:space="preserve"> and in-Australia forum such as </w:t>
      </w:r>
      <w:r w:rsidRPr="007061EF">
        <w:t>Africa Down Under</w:t>
      </w:r>
      <w:r>
        <w:t>.</w:t>
      </w:r>
    </w:p>
  </w:footnote>
  <w:footnote w:id="32">
    <w:p w14:paraId="28BC8F06" w14:textId="49CAB970" w:rsidR="0003019E" w:rsidRPr="001207B9" w:rsidRDefault="0003019E">
      <w:pPr>
        <w:pStyle w:val="FootnoteText"/>
        <w:rPr>
          <w:lang w:val="en-NZ"/>
        </w:rPr>
      </w:pPr>
      <w:r>
        <w:rPr>
          <w:rStyle w:val="FootnoteReference"/>
        </w:rPr>
        <w:footnoteRef/>
      </w:r>
      <w:r>
        <w:t xml:space="preserve"> </w:t>
      </w:r>
      <w:r>
        <w:tab/>
        <w:t xml:space="preserve">For example, in 2017, </w:t>
      </w:r>
      <w:r w:rsidRPr="007061EF">
        <w:t xml:space="preserve">24 recently returned alumni participated at the 2017 pre-departure briefings in eight locations to share their on-award experience with </w:t>
      </w:r>
      <w:r>
        <w:t>scholar</w:t>
      </w:r>
      <w:r w:rsidRPr="007061EF">
        <w:t>s preparing to depart for Australia</w:t>
      </w:r>
      <w:r>
        <w:t>.</w:t>
      </w:r>
    </w:p>
  </w:footnote>
  <w:footnote w:id="33">
    <w:p w14:paraId="64C7B1F8" w14:textId="77777777" w:rsidR="0003019E" w:rsidRPr="00560F5E" w:rsidRDefault="0003019E">
      <w:pPr>
        <w:pStyle w:val="FootnoteText"/>
        <w:rPr>
          <w:lang w:val="en-NZ"/>
        </w:rPr>
      </w:pPr>
      <w:r>
        <w:rPr>
          <w:rStyle w:val="FootnoteReference"/>
        </w:rPr>
        <w:footnoteRef/>
      </w:r>
      <w:r>
        <w:t xml:space="preserve"> </w:t>
      </w:r>
      <w:r>
        <w:rPr>
          <w:lang w:val="en-NZ"/>
        </w:rPr>
        <w:tab/>
      </w:r>
      <w:r>
        <w:t xml:space="preserve">The </w:t>
      </w:r>
      <w:r w:rsidRPr="005D4866">
        <w:t xml:space="preserve">WILN </w:t>
      </w:r>
      <w:r w:rsidRPr="00CF4AF5">
        <w:t xml:space="preserve">was established in 2013 as a forum to support the advancement of </w:t>
      </w:r>
      <w:r>
        <w:t xml:space="preserve">alumnae </w:t>
      </w:r>
      <w:r w:rsidRPr="00CF4AF5">
        <w:t>and to strengthen women’s leadership</w:t>
      </w:r>
      <w:r>
        <w:t>.</w:t>
      </w:r>
    </w:p>
  </w:footnote>
  <w:footnote w:id="34">
    <w:p w14:paraId="5C035A4C" w14:textId="77777777" w:rsidR="0003019E" w:rsidRPr="00BE03EE" w:rsidRDefault="0003019E">
      <w:pPr>
        <w:pStyle w:val="FootnoteText"/>
        <w:rPr>
          <w:lang w:val="en-NZ"/>
        </w:rPr>
      </w:pPr>
      <w:r>
        <w:rPr>
          <w:rStyle w:val="FootnoteReference"/>
        </w:rPr>
        <w:footnoteRef/>
      </w:r>
      <w:r>
        <w:t xml:space="preserve"> </w:t>
      </w:r>
      <w:r>
        <w:rPr>
          <w:lang w:val="en-NZ"/>
        </w:rPr>
        <w:tab/>
        <w:t xml:space="preserve">Alumni Associations are independent from Australia Awards-Africa and registered with the relevant government authority in their country. Their membership typically includes Australia Awards alumni and privately-funded alumni who have studied in Australia or participated in a short course. </w:t>
      </w:r>
    </w:p>
  </w:footnote>
  <w:footnote w:id="35">
    <w:p w14:paraId="07AC0256" w14:textId="77777777" w:rsidR="0003019E" w:rsidRPr="003A69F5" w:rsidRDefault="0003019E">
      <w:pPr>
        <w:pStyle w:val="FootnoteText"/>
        <w:rPr>
          <w:lang w:val="en-NZ"/>
        </w:rPr>
      </w:pPr>
      <w:r>
        <w:rPr>
          <w:rStyle w:val="FootnoteReference"/>
        </w:rPr>
        <w:footnoteRef/>
      </w:r>
      <w:r>
        <w:t xml:space="preserve"> </w:t>
      </w:r>
      <w:r>
        <w:rPr>
          <w:lang w:val="en-NZ"/>
        </w:rPr>
        <w:tab/>
        <w:t xml:space="preserve">These workshops occur in Australia, usually in the semester prior to a scholar completing their award. The format of the workshops was updated following the new approach to reintegration outlined in the 2018/19 work plan. The workshops were held in Brisbane (May 2018) and Sydney (June 2018) with </w:t>
      </w:r>
      <w:r w:rsidRPr="007C125D">
        <w:rPr>
          <w:lang w:val="en-NZ"/>
        </w:rPr>
        <w:t xml:space="preserve">86 per cent of </w:t>
      </w:r>
      <w:r>
        <w:rPr>
          <w:lang w:val="en-NZ"/>
        </w:rPr>
        <w:t>s</w:t>
      </w:r>
      <w:r w:rsidRPr="007C125D">
        <w:rPr>
          <w:lang w:val="en-NZ"/>
        </w:rPr>
        <w:t>cholars returning mid-year 2018 attended one</w:t>
      </w:r>
      <w:r>
        <w:rPr>
          <w:lang w:val="en-NZ"/>
        </w:rPr>
        <w:t xml:space="preserve"> of the workshops.</w:t>
      </w:r>
    </w:p>
  </w:footnote>
  <w:footnote w:id="36">
    <w:p w14:paraId="6CE23FDB" w14:textId="77777777" w:rsidR="0003019E" w:rsidRPr="00A74614" w:rsidRDefault="0003019E" w:rsidP="00660B92">
      <w:pPr>
        <w:pStyle w:val="FootnoteText"/>
        <w:rPr>
          <w:lang w:val="en-NZ"/>
        </w:rPr>
      </w:pPr>
      <w:r>
        <w:rPr>
          <w:rStyle w:val="FootnoteReference"/>
        </w:rPr>
        <w:footnoteRef/>
      </w:r>
      <w:r>
        <w:t xml:space="preserve"> </w:t>
      </w:r>
      <w:r>
        <w:rPr>
          <w:lang w:val="en-NZ"/>
        </w:rPr>
        <w:tab/>
        <w:t xml:space="preserve">Posts reported using Direct Aid Program allocations and alumni engagement allocations from Africa Branch and the Scholarships and Alumni Branch in DFAT Canberra to support Post-led alumni engagement activities. </w:t>
      </w:r>
    </w:p>
  </w:footnote>
  <w:footnote w:id="37">
    <w:p w14:paraId="3EB8B19D" w14:textId="77777777" w:rsidR="0003019E" w:rsidRPr="00DC7A46" w:rsidRDefault="0003019E">
      <w:pPr>
        <w:pStyle w:val="FootnoteText"/>
        <w:rPr>
          <w:lang w:val="en-NZ"/>
        </w:rPr>
      </w:pPr>
      <w:r>
        <w:rPr>
          <w:rStyle w:val="FootnoteReference"/>
        </w:rPr>
        <w:footnoteRef/>
      </w:r>
      <w:r>
        <w:t xml:space="preserve"> </w:t>
      </w:r>
      <w:r>
        <w:tab/>
        <w:t>For example,</w:t>
      </w:r>
      <w:r w:rsidRPr="003B50C7">
        <w:t xml:space="preserve"> the Australia-South Africa Alumni Association's partnership with three girls’ high schools in the Soweto township near Johannesburg</w:t>
      </w:r>
      <w:r>
        <w:t xml:space="preserve">. </w:t>
      </w:r>
    </w:p>
  </w:footnote>
  <w:footnote w:id="38">
    <w:p w14:paraId="4E82B405" w14:textId="77777777" w:rsidR="0003019E" w:rsidRPr="00DC7A46" w:rsidRDefault="0003019E">
      <w:pPr>
        <w:pStyle w:val="FootnoteText"/>
        <w:rPr>
          <w:lang w:val="en-NZ"/>
        </w:rPr>
      </w:pPr>
      <w:r>
        <w:rPr>
          <w:rStyle w:val="FootnoteReference"/>
        </w:rPr>
        <w:footnoteRef/>
      </w:r>
      <w:r>
        <w:t xml:space="preserve"> </w:t>
      </w:r>
      <w:r>
        <w:tab/>
        <w:t xml:space="preserve">Can be found at </w:t>
      </w:r>
      <w:hyperlink r:id="rId2" w:history="1">
        <w:r w:rsidRPr="00CE5AB5">
          <w:rPr>
            <w:rStyle w:val="Hyperlink"/>
          </w:rPr>
          <w:t>https://mauritius.embassy.gov.au/files/plut/Alumni%20in%20Mauritius%20Publication.pdf</w:t>
        </w:r>
      </w:hyperlink>
    </w:p>
  </w:footnote>
  <w:footnote w:id="39">
    <w:p w14:paraId="0740F172" w14:textId="77777777" w:rsidR="0003019E" w:rsidRPr="00C87D98" w:rsidRDefault="0003019E">
      <w:pPr>
        <w:pStyle w:val="FootnoteText"/>
        <w:rPr>
          <w:lang w:val="en-NZ"/>
        </w:rPr>
      </w:pPr>
      <w:r w:rsidRPr="00764B2C">
        <w:rPr>
          <w:rStyle w:val="FootnoteReference"/>
        </w:rPr>
        <w:footnoteRef/>
      </w:r>
      <w:r>
        <w:t xml:space="preserve"> </w:t>
      </w:r>
      <w:r w:rsidRPr="00764B2C">
        <w:rPr>
          <w:rStyle w:val="FootnoteReference"/>
        </w:rPr>
        <w:t xml:space="preserve"> </w:t>
      </w:r>
      <w:r>
        <w:rPr>
          <w:rStyle w:val="FootnoteReference"/>
        </w:rPr>
        <w:tab/>
      </w:r>
      <w:r w:rsidRPr="00764B2C">
        <w:rPr>
          <w:lang w:val="en-NZ"/>
        </w:rPr>
        <w:t>“[the program] will pilot an innovative public-private partnership scheme seeking contributions from reputable Australian companies to increase the number of places available to African government and civil society participants, open up short course awards to company employees and improve training outcomes by fostering engagement and networking between public, private and civil society participants” (p.4).</w:t>
      </w:r>
    </w:p>
  </w:footnote>
  <w:footnote w:id="40">
    <w:p w14:paraId="617B5CC8" w14:textId="77777777" w:rsidR="0003019E" w:rsidRPr="00C41C2E" w:rsidRDefault="0003019E">
      <w:pPr>
        <w:pStyle w:val="FootnoteText"/>
        <w:rPr>
          <w:lang w:val="en-NZ"/>
        </w:rPr>
      </w:pPr>
      <w:r>
        <w:rPr>
          <w:rStyle w:val="FootnoteReference"/>
        </w:rPr>
        <w:footnoteRef/>
      </w:r>
      <w:r>
        <w:t xml:space="preserve"> </w:t>
      </w:r>
      <w:r>
        <w:rPr>
          <w:lang w:val="en-NZ"/>
        </w:rPr>
        <w:tab/>
        <w:t xml:space="preserve">For example, Palladium reporting notes </w:t>
      </w:r>
      <w:r w:rsidRPr="006E0B8A">
        <w:t xml:space="preserve">the mentoring pilot in cooperation with </w:t>
      </w:r>
      <w:r>
        <w:t xml:space="preserve">the Australia-Africa </w:t>
      </w:r>
      <w:r w:rsidRPr="00F7008A">
        <w:t>Minerals &amp; Energy Group</w:t>
      </w:r>
      <w:r>
        <w:t xml:space="preserve"> was affected by time constraints on industry members, </w:t>
      </w:r>
      <w:r w:rsidRPr="00B3492C">
        <w:t xml:space="preserve">the lack of structure of the </w:t>
      </w:r>
      <w:r>
        <w:t xml:space="preserve">mentoring </w:t>
      </w:r>
      <w:r w:rsidRPr="00B3492C">
        <w:t>program, and a lack of professional guidance on what makes good mentorship</w:t>
      </w:r>
      <w:r>
        <w:t>.</w:t>
      </w:r>
    </w:p>
  </w:footnote>
  <w:footnote w:id="41">
    <w:p w14:paraId="54A3519A" w14:textId="77777777" w:rsidR="0003019E" w:rsidRPr="00E559C7" w:rsidRDefault="0003019E">
      <w:pPr>
        <w:pStyle w:val="FootnoteText"/>
        <w:rPr>
          <w:lang w:val="en-NZ"/>
        </w:rPr>
      </w:pPr>
      <w:r>
        <w:rPr>
          <w:rStyle w:val="FootnoteReference"/>
        </w:rPr>
        <w:footnoteRef/>
      </w:r>
      <w:r>
        <w:t xml:space="preserve"> </w:t>
      </w:r>
      <w:r>
        <w:rPr>
          <w:lang w:val="en-NZ"/>
        </w:rPr>
        <w:tab/>
        <w:t xml:space="preserve">The effectiveness of this mechanism is significantly reduced if there is not a representative from each Post. </w:t>
      </w:r>
    </w:p>
  </w:footnote>
  <w:footnote w:id="42">
    <w:p w14:paraId="187E5ED5" w14:textId="4E287C2F" w:rsidR="0003019E" w:rsidRPr="002E202B" w:rsidRDefault="0003019E">
      <w:pPr>
        <w:pStyle w:val="FootnoteText"/>
        <w:rPr>
          <w:lang w:val="en-NZ"/>
        </w:rPr>
      </w:pPr>
      <w:r>
        <w:rPr>
          <w:rStyle w:val="FootnoteReference"/>
        </w:rPr>
        <w:footnoteRef/>
      </w:r>
      <w:r>
        <w:t xml:space="preserve"> </w:t>
      </w:r>
      <w:r>
        <w:tab/>
        <w:t xml:space="preserve">The evaluation </w:t>
      </w:r>
      <w:r w:rsidRPr="00135AF5">
        <w:rPr>
          <w:lang w:val="en-NZ"/>
        </w:rPr>
        <w:t>heard from short course providers that working relationships with Palladium are strong and they appreciate opportunities such as the 2018 short course workshop in Brisbane to come together and share experiences and good practice (for example, how to incorporate gender equality and social inclusion into short courses).</w:t>
      </w:r>
    </w:p>
  </w:footnote>
  <w:footnote w:id="43">
    <w:p w14:paraId="4308DBB5" w14:textId="77777777" w:rsidR="0003019E" w:rsidRPr="005420BE" w:rsidRDefault="0003019E">
      <w:pPr>
        <w:pStyle w:val="FootnoteText"/>
        <w:rPr>
          <w:lang w:val="en-NZ"/>
        </w:rPr>
      </w:pPr>
      <w:r>
        <w:rPr>
          <w:rStyle w:val="FootnoteReference"/>
        </w:rPr>
        <w:footnoteRef/>
      </w:r>
      <w:r>
        <w:t xml:space="preserve"> </w:t>
      </w:r>
      <w:r>
        <w:tab/>
      </w:r>
      <w:r w:rsidRPr="005420BE">
        <w:rPr>
          <w:lang w:val="en-NZ"/>
        </w:rPr>
        <w:t>The annual statistics report Palladium provides to Posts could be the basis for this digest to coordinating authorities (after removal of any confidential information).</w:t>
      </w:r>
    </w:p>
  </w:footnote>
  <w:footnote w:id="44">
    <w:p w14:paraId="45E18FC9" w14:textId="77777777" w:rsidR="0003019E" w:rsidRPr="00B915F5" w:rsidRDefault="0003019E">
      <w:pPr>
        <w:pStyle w:val="FootnoteText"/>
        <w:rPr>
          <w:lang w:val="en-NZ"/>
        </w:rPr>
      </w:pPr>
      <w:r>
        <w:rPr>
          <w:rStyle w:val="FootnoteReference"/>
        </w:rPr>
        <w:footnoteRef/>
      </w:r>
      <w:r>
        <w:t xml:space="preserve"> </w:t>
      </w:r>
      <w:r>
        <w:rPr>
          <w:lang w:val="en-NZ"/>
        </w:rPr>
        <w:tab/>
        <w:t xml:space="preserve">For example, mobilisation information for Australia Awards scholars. </w:t>
      </w:r>
    </w:p>
  </w:footnote>
  <w:footnote w:id="45">
    <w:p w14:paraId="7955F479" w14:textId="6872B503" w:rsidR="0003019E" w:rsidRPr="00347431" w:rsidRDefault="0003019E">
      <w:pPr>
        <w:pStyle w:val="FootnoteText"/>
        <w:rPr>
          <w:lang w:val="en-NZ"/>
        </w:rPr>
      </w:pPr>
      <w:r>
        <w:rPr>
          <w:rStyle w:val="FootnoteReference"/>
        </w:rPr>
        <w:footnoteRef/>
      </w:r>
      <w:r>
        <w:t xml:space="preserve"> </w:t>
      </w:r>
      <w:r>
        <w:tab/>
        <w:t>Palladium’s expenditure report to the Program Management Group meeting in October 2018 shows a</w:t>
      </w:r>
      <w:r w:rsidRPr="00347431">
        <w:rPr>
          <w:lang w:val="en-NZ"/>
        </w:rPr>
        <w:t>s of 30 September 2018 (63 per cent of the contract duration), the program has 53 per cent of the total contract value. By 30 June 2019 (81 per cent of the contract duration) the program will have spent 75 per cent of funds.</w:t>
      </w:r>
      <w:r>
        <w:rPr>
          <w:lang w:val="en-NZ"/>
        </w:rPr>
        <w:t xml:space="preserve"> </w:t>
      </w:r>
      <w:r w:rsidRPr="00CC24A0">
        <w:rPr>
          <w:lang w:val="en-NZ"/>
        </w:rPr>
        <w:t xml:space="preserve">Significant variances within program costs include </w:t>
      </w:r>
      <w:r w:rsidR="009A1D4E">
        <w:rPr>
          <w:lang w:val="en-NZ"/>
        </w:rPr>
        <w:t xml:space="preserve">proposed </w:t>
      </w:r>
      <w:r w:rsidRPr="00CC24A0">
        <w:rPr>
          <w:lang w:val="en-NZ"/>
        </w:rPr>
        <w:t>reductions in alumni engagement and monitoring and evaluation costs (combined ~</w:t>
      </w:r>
      <w:r>
        <w:rPr>
          <w:lang w:val="en-NZ"/>
        </w:rPr>
        <w:t>$</w:t>
      </w:r>
      <w:r w:rsidRPr="00CC24A0">
        <w:rPr>
          <w:lang w:val="en-NZ"/>
        </w:rPr>
        <w:t>1,054,000) and an increase for delivery of short courses (~</w:t>
      </w:r>
      <w:r>
        <w:rPr>
          <w:lang w:val="en-NZ"/>
        </w:rPr>
        <w:t>$</w:t>
      </w:r>
      <w:r w:rsidRPr="00CC24A0">
        <w:rPr>
          <w:lang w:val="en-NZ"/>
        </w:rPr>
        <w:t xml:space="preserve">1,040,000).  </w:t>
      </w:r>
    </w:p>
  </w:footnote>
  <w:footnote w:id="46">
    <w:p w14:paraId="7190B9B8" w14:textId="77777777" w:rsidR="0003019E" w:rsidRPr="00ED39CA" w:rsidRDefault="0003019E">
      <w:pPr>
        <w:pStyle w:val="FootnoteText"/>
        <w:rPr>
          <w:lang w:val="en-NZ"/>
        </w:rPr>
      </w:pPr>
      <w:r>
        <w:rPr>
          <w:rStyle w:val="FootnoteReference"/>
        </w:rPr>
        <w:footnoteRef/>
      </w:r>
      <w:r>
        <w:t xml:space="preserve"> </w:t>
      </w:r>
      <w:r>
        <w:rPr>
          <w:lang w:val="en-NZ"/>
        </w:rPr>
        <w:tab/>
      </w:r>
      <w:r w:rsidRPr="00ED39CA">
        <w:rPr>
          <w:lang w:val="en-NZ"/>
        </w:rPr>
        <w:t>Program Management Group Meeting Paper #2, Financial Performance, October 2018</w:t>
      </w:r>
      <w:r>
        <w:rPr>
          <w:lang w:val="en-NZ"/>
        </w:rPr>
        <w:t>.</w:t>
      </w:r>
    </w:p>
  </w:footnote>
  <w:footnote w:id="47">
    <w:p w14:paraId="5831BA1C" w14:textId="77777777" w:rsidR="0003019E" w:rsidRPr="00AF156A" w:rsidRDefault="0003019E">
      <w:pPr>
        <w:pStyle w:val="FootnoteText"/>
        <w:rPr>
          <w:lang w:val="en-NZ"/>
        </w:rPr>
      </w:pPr>
      <w:r>
        <w:rPr>
          <w:rStyle w:val="FootnoteReference"/>
        </w:rPr>
        <w:footnoteRef/>
      </w:r>
      <w:r>
        <w:t xml:space="preserve"> </w:t>
      </w:r>
      <w:r>
        <w:tab/>
      </w:r>
      <w:r w:rsidRPr="00D046DB">
        <w:t>For example,</w:t>
      </w:r>
      <w:r w:rsidRPr="00AF156A">
        <w:t xml:space="preserve"> </w:t>
      </w:r>
      <w:r w:rsidRPr="00D046DB">
        <w:t xml:space="preserve">a new guideline to clarify an updated process for the implementation of the post allocation for exceptional candidates </w:t>
      </w:r>
      <w:r>
        <w:t xml:space="preserve">was approved when </w:t>
      </w:r>
      <w:r w:rsidRPr="00D046DB">
        <w:t xml:space="preserve">inconsistent processes </w:t>
      </w:r>
      <w:r>
        <w:t xml:space="preserve">were noted </w:t>
      </w:r>
      <w:r w:rsidRPr="00D046DB">
        <w:t>as affecting the quality of application received</w:t>
      </w:r>
      <w:r>
        <w:t xml:space="preserve">. </w:t>
      </w:r>
    </w:p>
  </w:footnote>
  <w:footnote w:id="48">
    <w:p w14:paraId="5B3643C2" w14:textId="477EECB6" w:rsidR="0003019E" w:rsidRPr="00924D3D" w:rsidRDefault="0003019E" w:rsidP="005E2AD5">
      <w:pPr>
        <w:pStyle w:val="FootnoteText"/>
        <w:rPr>
          <w:lang w:val="en-NZ"/>
        </w:rPr>
      </w:pPr>
      <w:r>
        <w:rPr>
          <w:rStyle w:val="FootnoteReference"/>
        </w:rPr>
        <w:footnoteRef/>
      </w:r>
      <w:r>
        <w:t xml:space="preserve"> </w:t>
      </w:r>
      <w:r>
        <w:rPr>
          <w:lang w:val="en-NZ"/>
        </w:rPr>
        <w:tab/>
        <w:t xml:space="preserve">For example, </w:t>
      </w:r>
      <w:r w:rsidRPr="00924D3D">
        <w:rPr>
          <w:lang w:val="en-NZ"/>
        </w:rPr>
        <w:t>Palladium started using infographic executive summaries in reports to respond to DFAT’s need for data presented in a succinct, easily-digestible form.</w:t>
      </w:r>
    </w:p>
  </w:footnote>
  <w:footnote w:id="49">
    <w:p w14:paraId="61305AF8" w14:textId="1CFBD23F" w:rsidR="0003019E" w:rsidRPr="00924D3D" w:rsidRDefault="0003019E" w:rsidP="00E63679">
      <w:pPr>
        <w:pStyle w:val="FootnoteText"/>
      </w:pPr>
      <w:r w:rsidRPr="00924D3D">
        <w:rPr>
          <w:rStyle w:val="FootnoteReference"/>
        </w:rPr>
        <w:footnoteRef/>
      </w:r>
      <w:r w:rsidRPr="00924D3D">
        <w:t xml:space="preserve"> </w:t>
      </w:r>
      <w:r w:rsidRPr="00924D3D">
        <w:tab/>
        <w:t xml:space="preserve">The evaluation notes the scope of services includes a performance indicator for the inclusion of people with disability which DFAT will amend.   </w:t>
      </w:r>
    </w:p>
  </w:footnote>
  <w:footnote w:id="50">
    <w:p w14:paraId="33696A81" w14:textId="77777777" w:rsidR="0003019E" w:rsidRPr="00893553" w:rsidRDefault="0003019E">
      <w:pPr>
        <w:pStyle w:val="FootnoteText"/>
        <w:rPr>
          <w:lang w:val="en-NZ"/>
        </w:rPr>
      </w:pPr>
      <w:r w:rsidRPr="00924D3D">
        <w:rPr>
          <w:rStyle w:val="FootnoteReference"/>
        </w:rPr>
        <w:footnoteRef/>
      </w:r>
      <w:r w:rsidRPr="00924D3D">
        <w:t xml:space="preserve"> </w:t>
      </w:r>
      <w:r w:rsidRPr="00924D3D">
        <w:tab/>
        <w:t>U</w:t>
      </w:r>
      <w:r w:rsidRPr="00924D3D">
        <w:rPr>
          <w:lang w:val="en-NZ"/>
        </w:rPr>
        <w:t>sing a survey instrument that is aligned with the DFAT’s Global Tracer Facility survey instrument.</w:t>
      </w:r>
      <w:r w:rsidRPr="00924D3D">
        <w:t xml:space="preserve"> A notable advantage of the Australia Awards in</w:t>
      </w:r>
      <w:r>
        <w:t xml:space="preserve"> Africa outcomes study is </w:t>
      </w:r>
      <w:r w:rsidRPr="003C354C">
        <w:t xml:space="preserve">that, unlike the Global Tracer Facility </w:t>
      </w:r>
      <w:r>
        <w:t>survey</w:t>
      </w:r>
      <w:r w:rsidRPr="003C354C">
        <w:t xml:space="preserve">, it includes </w:t>
      </w:r>
      <w:r>
        <w:t xml:space="preserve">short course </w:t>
      </w:r>
      <w:r w:rsidRPr="003C354C">
        <w:t>alumni</w:t>
      </w:r>
      <w:r>
        <w:t>.</w:t>
      </w:r>
    </w:p>
  </w:footnote>
  <w:footnote w:id="51">
    <w:p w14:paraId="6E27A802" w14:textId="705F7152" w:rsidR="0003019E" w:rsidRPr="00585B9C" w:rsidRDefault="0003019E" w:rsidP="00183274">
      <w:pPr>
        <w:pStyle w:val="FootnoteText"/>
        <w:rPr>
          <w:lang w:val="en-NZ"/>
        </w:rPr>
      </w:pPr>
      <w:r>
        <w:rPr>
          <w:rStyle w:val="FootnoteReference"/>
        </w:rPr>
        <w:footnoteRef/>
      </w:r>
      <w:r>
        <w:t xml:space="preserve"> </w:t>
      </w:r>
      <w:r>
        <w:tab/>
      </w:r>
      <w:r w:rsidRPr="001227F6">
        <w:rPr>
          <w:lang w:val="en-NZ"/>
        </w:rPr>
        <w:t>Ministerial approval was for $32</w:t>
      </w:r>
      <w:r w:rsidR="009A1D4E">
        <w:rPr>
          <w:lang w:val="en-NZ"/>
        </w:rPr>
        <w:t xml:space="preserve"> </w:t>
      </w:r>
      <w:r w:rsidRPr="001227F6">
        <w:rPr>
          <w:lang w:val="en-NZ"/>
        </w:rPr>
        <w:t>million per year to be spent on scholarships</w:t>
      </w:r>
      <w:r>
        <w:rPr>
          <w:lang w:val="en-NZ"/>
        </w:rPr>
        <w:t>.</w:t>
      </w:r>
      <w:r w:rsidRPr="001227F6">
        <w:rPr>
          <w:lang w:val="en-NZ"/>
        </w:rPr>
        <w:t xml:space="preserve"> </w:t>
      </w:r>
    </w:p>
  </w:footnote>
  <w:footnote w:id="52">
    <w:p w14:paraId="02654A12" w14:textId="77777777" w:rsidR="0003019E" w:rsidRPr="00A2700A" w:rsidRDefault="0003019E" w:rsidP="00252A2A">
      <w:pPr>
        <w:pStyle w:val="FootnoteText"/>
        <w:rPr>
          <w:lang w:val="en-NZ"/>
        </w:rPr>
      </w:pPr>
      <w:r>
        <w:rPr>
          <w:rStyle w:val="FootnoteReference"/>
        </w:rPr>
        <w:footnoteRef/>
      </w:r>
      <w:r>
        <w:t xml:space="preserve"> </w:t>
      </w:r>
      <w:r>
        <w:tab/>
        <w:t xml:space="preserve">For the 2019 Australia Awards scholarship intake 1,034 (29 per cent of total applications) were from women, with </w:t>
      </w:r>
      <w:r w:rsidRPr="00763E3C">
        <w:t>91 (</w:t>
      </w:r>
      <w:r>
        <w:t>3</w:t>
      </w:r>
      <w:r w:rsidRPr="00763E3C">
        <w:t xml:space="preserve"> per cent of total applications</w:t>
      </w:r>
      <w:r>
        <w:t>)</w:t>
      </w:r>
      <w:r w:rsidRPr="00763E3C">
        <w:t xml:space="preserve"> were from persons who disclosed a disability</w:t>
      </w:r>
    </w:p>
  </w:footnote>
  <w:footnote w:id="53">
    <w:p w14:paraId="14CDB757" w14:textId="7CF344BD" w:rsidR="0003019E" w:rsidRPr="000E6B9B" w:rsidRDefault="0003019E">
      <w:pPr>
        <w:pStyle w:val="FootnoteText"/>
        <w:rPr>
          <w:lang w:val="en-NZ"/>
        </w:rPr>
      </w:pPr>
      <w:r>
        <w:rPr>
          <w:rStyle w:val="FootnoteReference"/>
        </w:rPr>
        <w:footnoteRef/>
      </w:r>
      <w:r>
        <w:t xml:space="preserve"> </w:t>
      </w:r>
      <w:r>
        <w:rPr>
          <w:lang w:val="en-NZ"/>
        </w:rPr>
        <w:tab/>
      </w:r>
      <w:r>
        <w:rPr>
          <w:rFonts w:ascii="Helvetica" w:hAnsi="Helvetica" w:cs="Helvetica"/>
          <w:color w:val="000000"/>
          <w:szCs w:val="21"/>
          <w:lang w:val="en-NZ"/>
        </w:rPr>
        <w:t>“</w:t>
      </w:r>
      <w:r w:rsidRPr="00FB27B3">
        <w:rPr>
          <w:lang w:val="en-NZ"/>
        </w:rPr>
        <w:t xml:space="preserve">Although considered, the new program will not specify a target figure on the number of </w:t>
      </w:r>
      <w:r>
        <w:rPr>
          <w:lang w:val="en-NZ"/>
        </w:rPr>
        <w:t>scholar</w:t>
      </w:r>
      <w:r w:rsidRPr="00FB27B3">
        <w:rPr>
          <w:lang w:val="en-NZ"/>
        </w:rPr>
        <w:t>s</w:t>
      </w:r>
      <w:r>
        <w:rPr>
          <w:lang w:val="en-NZ"/>
        </w:rPr>
        <w:t xml:space="preserve"> </w:t>
      </w:r>
      <w:r w:rsidRPr="00FB27B3">
        <w:rPr>
          <w:lang w:val="en-NZ"/>
        </w:rPr>
        <w:t>who have a disability or are working to support people with a disability. Applying moderation to</w:t>
      </w:r>
      <w:r>
        <w:rPr>
          <w:lang w:val="en-NZ"/>
        </w:rPr>
        <w:t xml:space="preserve"> </w:t>
      </w:r>
      <w:r w:rsidRPr="00FB27B3">
        <w:rPr>
          <w:lang w:val="en-NZ"/>
        </w:rPr>
        <w:t xml:space="preserve">meet a target would likely skew the outcomes when only a small number of awards are available to priority countries or run the risk of not being able to fill short </w:t>
      </w:r>
      <w:r>
        <w:rPr>
          <w:lang w:val="en-NZ"/>
        </w:rPr>
        <w:t>c</w:t>
      </w:r>
      <w:r w:rsidRPr="00FB27B3">
        <w:rPr>
          <w:lang w:val="en-NZ"/>
        </w:rPr>
        <w:t>ourses.</w:t>
      </w:r>
      <w:r>
        <w:rPr>
          <w:lang w:val="en-NZ"/>
        </w:rPr>
        <w:t xml:space="preserve">” Australia Awards in Africa Investment Design, </w:t>
      </w:r>
      <w:r w:rsidRPr="00FB27B3">
        <w:rPr>
          <w:lang w:val="en-NZ"/>
        </w:rPr>
        <w:t>p</w:t>
      </w:r>
      <w:r>
        <w:rPr>
          <w:lang w:val="en-NZ"/>
        </w:rPr>
        <w:t>p</w:t>
      </w:r>
      <w:r w:rsidRPr="00FB27B3">
        <w:rPr>
          <w:lang w:val="en-NZ"/>
        </w:rPr>
        <w:t>. 14</w:t>
      </w:r>
      <w:r>
        <w:rPr>
          <w:lang w:val="en-NZ"/>
        </w:rPr>
        <w:t>-15</w:t>
      </w:r>
      <w:r w:rsidRPr="00FB27B3">
        <w:rPr>
          <w:lang w:val="en-NZ"/>
        </w:rPr>
        <w:t>.</w:t>
      </w:r>
    </w:p>
  </w:footnote>
  <w:footnote w:id="54">
    <w:p w14:paraId="32FF51A1" w14:textId="77777777" w:rsidR="0003019E" w:rsidRPr="00235A18" w:rsidRDefault="0003019E">
      <w:pPr>
        <w:pStyle w:val="FootnoteText"/>
        <w:rPr>
          <w:lang w:val="en-NZ"/>
        </w:rPr>
      </w:pPr>
      <w:r>
        <w:rPr>
          <w:rStyle w:val="FootnoteReference"/>
        </w:rPr>
        <w:footnoteRef/>
      </w:r>
      <w:r>
        <w:t xml:space="preserve"> </w:t>
      </w:r>
      <w:r>
        <w:rPr>
          <w:lang w:val="en-NZ"/>
        </w:rPr>
        <w:tab/>
      </w:r>
      <w:r>
        <w:t xml:space="preserve">From the Stay Connected workshop survey, of the 27 that responded to the question on exposure, only eight Scholars (25 per cent) had completed the Australia Awards GESI e-course. Further, only six (19 per cent) had attended a GESI training or </w:t>
      </w:r>
      <w:r w:rsidRPr="004738D5">
        <w:t>forum</w:t>
      </w:r>
      <w:r>
        <w:t xml:space="preserve"> while on award. Reasons for no GESI exposure included: 12 indicated that GESI was not part of their course, seven were not aware of any GESI related opportunities while two indicated did not have time to seek these opportunities. There was no significant difference in the responses for males and females</w:t>
      </w:r>
    </w:p>
  </w:footnote>
  <w:footnote w:id="55">
    <w:p w14:paraId="07EB5538" w14:textId="77777777" w:rsidR="0003019E" w:rsidRPr="002270D5" w:rsidRDefault="0003019E">
      <w:pPr>
        <w:pStyle w:val="FootnoteText"/>
        <w:rPr>
          <w:lang w:val="en-NZ"/>
        </w:rPr>
      </w:pPr>
      <w:r>
        <w:rPr>
          <w:rStyle w:val="FootnoteReference"/>
        </w:rPr>
        <w:footnoteRef/>
      </w:r>
      <w:r>
        <w:t xml:space="preserve"> </w:t>
      </w:r>
      <w:r>
        <w:tab/>
        <w:t>All 249 in 2016 and all 149 in 2017</w:t>
      </w:r>
    </w:p>
  </w:footnote>
  <w:footnote w:id="56">
    <w:p w14:paraId="6A30EA6E" w14:textId="08CB2971" w:rsidR="0003019E" w:rsidRPr="00033568" w:rsidRDefault="0003019E">
      <w:pPr>
        <w:pStyle w:val="FootnoteText"/>
        <w:rPr>
          <w:lang w:val="en-NZ"/>
        </w:rPr>
      </w:pPr>
      <w:r>
        <w:rPr>
          <w:rStyle w:val="FootnoteReference"/>
        </w:rPr>
        <w:footnoteRef/>
      </w:r>
      <w:r>
        <w:t xml:space="preserve"> </w:t>
      </w:r>
      <w:r>
        <w:tab/>
      </w:r>
      <w:r w:rsidRPr="000A7A56">
        <w:t xml:space="preserve">Purchasing the </w:t>
      </w:r>
      <w:r>
        <w:t xml:space="preserve">insurance </w:t>
      </w:r>
      <w:r w:rsidRPr="000A7A56">
        <w:t xml:space="preserve">for dependents prior to mobilising to Australia has a significant cost implication for the </w:t>
      </w:r>
      <w:r>
        <w:t xml:space="preserve">scholar. </w:t>
      </w:r>
    </w:p>
  </w:footnote>
  <w:footnote w:id="57">
    <w:p w14:paraId="62041F45" w14:textId="77777777" w:rsidR="0003019E" w:rsidRDefault="0003019E" w:rsidP="00072B60">
      <w:pPr>
        <w:pStyle w:val="FootnoteText"/>
      </w:pPr>
      <w:r>
        <w:rPr>
          <w:rStyle w:val="FootnoteReference"/>
        </w:rPr>
        <w:footnoteRef/>
      </w:r>
      <w:r>
        <w:t xml:space="preserve"> </w:t>
      </w:r>
      <w:r>
        <w:tab/>
        <w:t xml:space="preserve">Depending on the desired design and contractual processes, it may require up to two years to complete a robust design process, complete procurement arrangement for a managing contractor and mobilise an implementation team. </w:t>
      </w:r>
    </w:p>
    <w:p w14:paraId="5330812B" w14:textId="77777777" w:rsidR="0003019E" w:rsidRPr="00A86477" w:rsidRDefault="0003019E" w:rsidP="00072B60">
      <w:pPr>
        <w:pStyle w:val="FootnoteText"/>
        <w:rPr>
          <w:lang w:val="en-NZ"/>
        </w:rPr>
      </w:pPr>
    </w:p>
  </w:footnote>
  <w:footnote w:id="58">
    <w:p w14:paraId="719E7ACA" w14:textId="77777777" w:rsidR="0003019E" w:rsidRPr="00565C3D" w:rsidRDefault="0003019E" w:rsidP="003C28CF">
      <w:pPr>
        <w:pStyle w:val="FootnoteText"/>
        <w:rPr>
          <w:lang w:val="en-NZ"/>
        </w:rPr>
      </w:pPr>
      <w:r>
        <w:rPr>
          <w:rStyle w:val="FootnoteReference"/>
        </w:rPr>
        <w:footnoteRef/>
      </w:r>
      <w:r>
        <w:t xml:space="preserve"> </w:t>
      </w:r>
      <w:r>
        <w:tab/>
      </w:r>
      <w:r>
        <w:rPr>
          <w:noProof/>
        </w:rPr>
        <w:t xml:space="preserve">DFAT officers were present at interviews </w:t>
      </w:r>
      <w:r w:rsidRPr="00AB6873">
        <w:rPr>
          <w:noProof/>
        </w:rPr>
        <w:t xml:space="preserve">conducted with </w:t>
      </w:r>
      <w:r>
        <w:rPr>
          <w:noProof/>
        </w:rPr>
        <w:t xml:space="preserve">some (not all) government representatives from African countries, </w:t>
      </w:r>
      <w:r w:rsidRPr="00AB6873">
        <w:rPr>
          <w:noProof/>
        </w:rPr>
        <w:t>Australian Government representatives</w:t>
      </w:r>
      <w:r>
        <w:rPr>
          <w:noProof/>
        </w:rPr>
        <w:t xml:space="preserve"> and two of the alumni roundtable</w:t>
      </w:r>
      <w:r w:rsidRPr="00AB6873">
        <w:rPr>
          <w:noProof/>
        </w:rPr>
        <w:t xml:space="preserve">. </w:t>
      </w:r>
    </w:p>
  </w:footnote>
  <w:footnote w:id="59">
    <w:p w14:paraId="67D988BF" w14:textId="77777777" w:rsidR="0003019E" w:rsidRPr="007151E2" w:rsidRDefault="0003019E" w:rsidP="00945D51">
      <w:pPr>
        <w:pStyle w:val="FootnoteText"/>
        <w:rPr>
          <w:lang w:val="en-NZ"/>
        </w:rPr>
      </w:pPr>
      <w:r>
        <w:rPr>
          <w:rStyle w:val="FootnoteReference"/>
        </w:rPr>
        <w:footnoteRef/>
      </w:r>
      <w:r>
        <w:t xml:space="preserve"> </w:t>
      </w:r>
      <w:r>
        <w:rPr>
          <w:lang w:val="en-NZ"/>
        </w:rPr>
        <w:tab/>
      </w:r>
      <w:r w:rsidRPr="007151E2">
        <w:rPr>
          <w:lang w:val="en-NZ"/>
        </w:rPr>
        <w:t xml:space="preserve">Masters, short course and </w:t>
      </w:r>
      <w:r>
        <w:rPr>
          <w:lang w:val="en-NZ"/>
        </w:rPr>
        <w:t>postdoctoral</w:t>
      </w:r>
      <w:r w:rsidRPr="007151E2">
        <w:rPr>
          <w:lang w:val="en-NZ"/>
        </w:rPr>
        <w:t xml:space="preserve"> pilot</w:t>
      </w:r>
      <w:r>
        <w:rPr>
          <w:lang w:val="en-NZ"/>
        </w:rPr>
        <w:t>. Fellowships were previously available (delivered through DFAT’s Scholarships and Alumni Branch) but are currently on hold pending the outcome of a review.</w:t>
      </w:r>
    </w:p>
  </w:footnote>
  <w:footnote w:id="60">
    <w:p w14:paraId="1F6000D9" w14:textId="1CF50A07" w:rsidR="0003019E" w:rsidRDefault="0003019E" w:rsidP="00CE3F1A">
      <w:pPr>
        <w:pStyle w:val="FootnoteText"/>
      </w:pPr>
      <w:r>
        <w:rPr>
          <w:rStyle w:val="FootnoteReference"/>
        </w:rPr>
        <w:footnoteRef/>
      </w:r>
      <w:r>
        <w:t xml:space="preserve"> </w:t>
      </w:r>
      <w:r>
        <w:tab/>
      </w:r>
      <w:r w:rsidR="00EC527D">
        <w:t>NVivo</w:t>
      </w:r>
      <w:r>
        <w:t xml:space="preserve"> is a qualitative research software. It is used to manage copious quantities of data and simplify the process for identifying emerging themes and gaps and drawing out findings and lessons. Interview data collected during in-country consultations will be added to the coding and analysis undertaken for this literature review. </w:t>
      </w:r>
    </w:p>
  </w:footnote>
  <w:footnote w:id="61">
    <w:p w14:paraId="410D492B" w14:textId="77777777" w:rsidR="0003019E" w:rsidRPr="005E5CF6" w:rsidRDefault="0003019E" w:rsidP="002D0043">
      <w:pPr>
        <w:pStyle w:val="FootnoteText"/>
        <w:rPr>
          <w:lang w:val="en-NZ"/>
        </w:rPr>
      </w:pPr>
      <w:r>
        <w:rPr>
          <w:rStyle w:val="FootnoteReference"/>
        </w:rPr>
        <w:footnoteRef/>
      </w:r>
      <w:r>
        <w:t xml:space="preserve"> </w:t>
      </w:r>
      <w:r>
        <w:tab/>
        <w:t xml:space="preserve">On-award surveys are conducted twice a year for Australia Awards scholars at tertiary institutions in Australia. </w:t>
      </w:r>
    </w:p>
  </w:footnote>
  <w:footnote w:id="62">
    <w:p w14:paraId="35BCC346" w14:textId="77777777" w:rsidR="0003019E" w:rsidRPr="005E5CF6" w:rsidRDefault="0003019E" w:rsidP="002D0043">
      <w:pPr>
        <w:pStyle w:val="FootnoteText"/>
        <w:rPr>
          <w:lang w:val="en-NZ"/>
        </w:rPr>
      </w:pPr>
      <w:r>
        <w:rPr>
          <w:rStyle w:val="FootnoteReference"/>
        </w:rPr>
        <w:footnoteRef/>
      </w:r>
      <w:r>
        <w:t xml:space="preserve"> </w:t>
      </w:r>
      <w:r>
        <w:rPr>
          <w:lang w:val="en-NZ"/>
        </w:rPr>
        <w:tab/>
        <w:t>DFAT’s Global Tracer Facility is the primary mechanism for undertaking tracer and case studies of Australia Awards alumni.</w:t>
      </w:r>
    </w:p>
  </w:footnote>
  <w:footnote w:id="63">
    <w:p w14:paraId="259C274D" w14:textId="77777777" w:rsidR="0003019E" w:rsidRPr="00E645D2" w:rsidRDefault="0003019E" w:rsidP="00B658A0">
      <w:pPr>
        <w:pStyle w:val="FootnoteText"/>
        <w:rPr>
          <w:lang w:val="en-NZ"/>
        </w:rPr>
      </w:pPr>
      <w:r>
        <w:rPr>
          <w:rStyle w:val="FootnoteReference"/>
        </w:rPr>
        <w:footnoteRef/>
      </w:r>
      <w:r>
        <w:t xml:space="preserve"> </w:t>
      </w:r>
      <w:r>
        <w:rPr>
          <w:lang w:val="en-NZ"/>
        </w:rPr>
        <w:tab/>
        <w:t xml:space="preserve">DFAT staff at Nairobi, Pretoria and Abuja posts were consulted during the development of the evaluation plan. </w:t>
      </w:r>
      <w:r>
        <w:rPr>
          <w:lang w:val="en-NZ"/>
        </w:rPr>
        <w:tab/>
      </w:r>
    </w:p>
  </w:footnote>
  <w:footnote w:id="64">
    <w:p w14:paraId="729C8AC3" w14:textId="77777777" w:rsidR="0003019E" w:rsidRPr="00772D57" w:rsidRDefault="0003019E" w:rsidP="00772D57">
      <w:pPr>
        <w:pStyle w:val="FootnoteText"/>
        <w:rPr>
          <w:lang w:val="en-NZ"/>
        </w:rPr>
      </w:pPr>
      <w:r w:rsidRPr="00772D57">
        <w:rPr>
          <w:rStyle w:val="FootnoteReference"/>
        </w:rPr>
        <w:footnoteRef/>
      </w:r>
      <w:r w:rsidRPr="00772D57">
        <w:rPr>
          <w:rStyle w:val="FootnoteReference"/>
        </w:rPr>
        <w:t xml:space="preserve"> </w:t>
      </w:r>
      <w:r w:rsidRPr="00772D57">
        <w:rPr>
          <w:rStyle w:val="FootnoteReference"/>
        </w:rPr>
        <w:tab/>
      </w:r>
      <w:r w:rsidRPr="00772D57">
        <w:rPr>
          <w:lang w:val="en-NZ"/>
        </w:rPr>
        <w:t>The pilot was initially open to eligible applicants affiliated to South African universities that are members of the AAUN. In 2018 it was open to eligible applicants affiliated with Ghanaian, Kenyan or South African universities that are members of the AAUN.</w:t>
      </w:r>
    </w:p>
  </w:footnote>
  <w:footnote w:id="65">
    <w:p w14:paraId="7A845A37" w14:textId="77777777" w:rsidR="0003019E" w:rsidRPr="00010E04" w:rsidRDefault="0003019E" w:rsidP="00393D24">
      <w:pPr>
        <w:pStyle w:val="FootnoteText"/>
        <w:rPr>
          <w:lang w:val="en-NZ"/>
        </w:rPr>
      </w:pPr>
      <w:r>
        <w:rPr>
          <w:rStyle w:val="FootnoteReference"/>
        </w:rPr>
        <w:footnoteRef/>
      </w:r>
      <w:r w:rsidRPr="00772D57">
        <w:rPr>
          <w:rStyle w:val="FootnoteReference"/>
        </w:rPr>
        <w:t xml:space="preserve"> </w:t>
      </w:r>
      <w:r>
        <w:rPr>
          <w:rStyle w:val="FootnoteReference"/>
        </w:rPr>
        <w:tab/>
      </w:r>
      <w:r w:rsidRPr="00772D57">
        <w:rPr>
          <w:lang w:val="en-NZ"/>
        </w:rPr>
        <w:t>Face-to-face individual or group interviews were conducted with fellows and supervisors in Pretoria, Accra and Nairobi in November 2018 and individual telephone and/or skype interviews for fellows in Australia conducted in December 2018 and January 2019.</w:t>
      </w:r>
    </w:p>
  </w:footnote>
  <w:footnote w:id="66">
    <w:p w14:paraId="4285E817" w14:textId="77777777" w:rsidR="0003019E" w:rsidRPr="00A83A77" w:rsidRDefault="0003019E" w:rsidP="00393D24">
      <w:pPr>
        <w:pStyle w:val="FootnoteText"/>
        <w:rPr>
          <w:lang w:val="en-NZ"/>
        </w:rPr>
      </w:pPr>
      <w:r>
        <w:rPr>
          <w:rStyle w:val="FootnoteReference"/>
        </w:rPr>
        <w:footnoteRef/>
      </w:r>
      <w:r>
        <w:t xml:space="preserve"> </w:t>
      </w:r>
      <w:r>
        <w:rPr>
          <w:lang w:val="en-NZ"/>
        </w:rPr>
        <w:tab/>
        <w:t>Six-monthly progress report #4, p. 19.</w:t>
      </w:r>
    </w:p>
  </w:footnote>
  <w:footnote w:id="67">
    <w:p w14:paraId="26259ACA" w14:textId="77777777" w:rsidR="0003019E" w:rsidRPr="00C87D98" w:rsidRDefault="0003019E" w:rsidP="008F0BE7">
      <w:pPr>
        <w:pStyle w:val="FootnoteText"/>
        <w:rPr>
          <w:lang w:val="en-NZ"/>
        </w:rPr>
      </w:pPr>
      <w:r w:rsidRPr="00764B2C">
        <w:rPr>
          <w:rStyle w:val="FootnoteReference"/>
        </w:rPr>
        <w:footnoteRef/>
      </w:r>
      <w:r>
        <w:t xml:space="preserve"> </w:t>
      </w:r>
      <w:r w:rsidRPr="00764B2C">
        <w:rPr>
          <w:rStyle w:val="FootnoteReference"/>
        </w:rPr>
        <w:t xml:space="preserve"> </w:t>
      </w:r>
      <w:r>
        <w:rPr>
          <w:rStyle w:val="FootnoteReference"/>
        </w:rPr>
        <w:tab/>
      </w:r>
      <w:r w:rsidRPr="00764B2C">
        <w:rPr>
          <w:lang w:val="en-NZ"/>
        </w:rPr>
        <w:t>“[the program] will pilot an innovative public-private partnership scheme seeking contributions from reputable Australian companies to increase the number of places available to African government and civil society participants, open up short course awards to company employees and improve training outcomes by fostering engagement and networking between public, private and civil society participants” (p.4).</w:t>
      </w:r>
    </w:p>
  </w:footnote>
  <w:footnote w:id="68">
    <w:p w14:paraId="0BB00875" w14:textId="77777777" w:rsidR="0003019E" w:rsidRDefault="0003019E" w:rsidP="008F0BE7">
      <w:pPr>
        <w:pStyle w:val="FootnoteText"/>
      </w:pPr>
      <w:r>
        <w:rPr>
          <w:rStyle w:val="FootnoteReference"/>
        </w:rPr>
        <w:footnoteRef/>
      </w:r>
      <w:r>
        <w:t xml:space="preserve"> </w:t>
      </w:r>
      <w:r>
        <w:tab/>
        <w:t>Six-monthly progress report #4, p. 20.</w:t>
      </w:r>
    </w:p>
  </w:footnote>
  <w:footnote w:id="69">
    <w:p w14:paraId="7B413882" w14:textId="77777777" w:rsidR="0003019E" w:rsidRPr="002C79E5" w:rsidRDefault="0003019E" w:rsidP="008F0BE7">
      <w:pPr>
        <w:pStyle w:val="FootnoteText"/>
        <w:rPr>
          <w:lang w:val="en-ZA"/>
        </w:rPr>
      </w:pPr>
      <w:r>
        <w:rPr>
          <w:rStyle w:val="FootnoteReference"/>
        </w:rPr>
        <w:footnoteRef/>
      </w:r>
      <w:r>
        <w:t xml:space="preserve"> </w:t>
      </w:r>
      <w:r>
        <w:tab/>
      </w:r>
      <w:r w:rsidRPr="00864B7C">
        <w:rPr>
          <w:lang w:val="en-NZ"/>
        </w:rPr>
        <w:t>The Managing Macroeconomic in Resource Rich Countries Course did not provide any private sector engagements in their Milestone 2 report. Increasing the Development Impact of Agricultural Research (IDIAR) – Field visits were limited to government institutions or cooperatives</w:t>
      </w:r>
      <w:r>
        <w:rPr>
          <w:lang w:val="en-NZ"/>
        </w:rPr>
        <w:t>.</w:t>
      </w:r>
      <w:r>
        <w:rPr>
          <w:rFonts w:ascii="Arial" w:hAnsi="Arial" w:cs="Arial"/>
          <w:sz w:val="18"/>
          <w:lang w:val="en-ZA"/>
        </w:rPr>
        <w:t xml:space="preserve"> </w:t>
      </w:r>
    </w:p>
  </w:footnote>
  <w:footnote w:id="70">
    <w:p w14:paraId="1021C26C" w14:textId="77777777" w:rsidR="0003019E" w:rsidRPr="00C41C2E" w:rsidRDefault="0003019E" w:rsidP="008F0BE7">
      <w:pPr>
        <w:pStyle w:val="FootnoteText"/>
        <w:rPr>
          <w:lang w:val="en-NZ"/>
        </w:rPr>
      </w:pPr>
      <w:r>
        <w:rPr>
          <w:rStyle w:val="FootnoteReference"/>
        </w:rPr>
        <w:footnoteRef/>
      </w:r>
      <w:r>
        <w:t xml:space="preserve"> </w:t>
      </w:r>
      <w:r>
        <w:rPr>
          <w:lang w:val="en-NZ"/>
        </w:rPr>
        <w:tab/>
        <w:t xml:space="preserve">For example, Palladium reporting notes </w:t>
      </w:r>
      <w:r w:rsidRPr="006E0B8A">
        <w:t xml:space="preserve">the mentoring pilot in cooperation with </w:t>
      </w:r>
      <w:r>
        <w:t xml:space="preserve">the Australia-Africa </w:t>
      </w:r>
      <w:r w:rsidRPr="00F7008A">
        <w:t>Minerals &amp; Energy Group</w:t>
      </w:r>
      <w:r>
        <w:t xml:space="preserve"> was affected by time constraints on industry members, </w:t>
      </w:r>
      <w:r w:rsidRPr="00B3492C">
        <w:t xml:space="preserve">the lack of structure of the </w:t>
      </w:r>
      <w:r>
        <w:t xml:space="preserve">mentoring </w:t>
      </w:r>
      <w:r w:rsidRPr="00B3492C">
        <w:t>program, and a lack of professional guidance on what makes good mentorship</w:t>
      </w:r>
      <w:r>
        <w:t>.</w:t>
      </w:r>
    </w:p>
  </w:footnote>
  <w:footnote w:id="71">
    <w:p w14:paraId="7A2C71FD" w14:textId="77777777" w:rsidR="0003019E" w:rsidRPr="00C35163" w:rsidRDefault="0003019E" w:rsidP="003D1AE3">
      <w:pPr>
        <w:pStyle w:val="FootnoteText"/>
        <w:ind w:left="0" w:firstLine="0"/>
      </w:pPr>
      <w:r>
        <w:rPr>
          <w:rStyle w:val="FootnoteReference"/>
        </w:rPr>
        <w:footnoteRef/>
      </w:r>
      <w:r>
        <w:t xml:space="preserve"> </w:t>
      </w:r>
      <w:r>
        <w:tab/>
      </w:r>
      <w:r>
        <w:fldChar w:fldCharType="begin"/>
      </w:r>
      <w:r w:rsidRPr="00766B65">
        <w:instrText xml:space="preserve"> BIBLIOGRAPHY  \l 5129 </w:instrText>
      </w:r>
      <w:r>
        <w:fldChar w:fldCharType="separate"/>
      </w:r>
      <w:r w:rsidRPr="00766B65">
        <w:rPr>
          <w:noProof/>
        </w:rPr>
        <w:t>Patton</w:t>
      </w:r>
      <w:r>
        <w:rPr>
          <w:noProof/>
        </w:rPr>
        <w:t xml:space="preserve">, M. Q. (2002). </w:t>
      </w:r>
      <w:r>
        <w:rPr>
          <w:i/>
          <w:iCs/>
          <w:noProof/>
        </w:rPr>
        <w:t>Qualitative research and evaluation methods, 3rd ed.</w:t>
      </w:r>
      <w:r>
        <w:rPr>
          <w:noProof/>
        </w:rPr>
        <w:t xml:space="preserve"> Sage.</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57503" w14:textId="1C4D6615" w:rsidR="0003019E" w:rsidRDefault="0003019E">
    <w:pPr>
      <w:pStyle w:val="Header"/>
    </w:pPr>
    <w:r>
      <w:rPr>
        <w:noProof/>
      </w:rPr>
      <w:fldChar w:fldCharType="begin"/>
    </w:r>
    <w:r>
      <w:rPr>
        <w:noProof/>
      </w:rPr>
      <w:instrText xml:space="preserve"> FILENAME   \* MERGEFORMAT </w:instrText>
    </w:r>
    <w:r>
      <w:rPr>
        <w:noProof/>
      </w:rPr>
      <w:fldChar w:fldCharType="separate"/>
    </w:r>
    <w:r w:rsidR="00EC62DB">
      <w:rPr>
        <w:noProof/>
      </w:rPr>
      <w:t>AAA Mid-term Evaluation_Final Report.docx</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C3937" w14:textId="77777777" w:rsidR="0003019E" w:rsidRPr="00AA45A4" w:rsidRDefault="0003019E" w:rsidP="00AA4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684" w14:textId="77777777" w:rsidR="0003019E" w:rsidRPr="00AA45A4" w:rsidRDefault="0003019E" w:rsidP="00AA4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C09001B"/>
    <w:lvl w:ilvl="0">
      <w:start w:val="1"/>
      <w:numFmt w:val="lowerRoman"/>
      <w:pStyle w:val="Numberlist2"/>
      <w:lvlText w:val="%1."/>
      <w:lvlJc w:val="right"/>
      <w:pPr>
        <w:ind w:left="926" w:hanging="360"/>
      </w:pPr>
    </w:lvl>
  </w:abstractNum>
  <w:abstractNum w:abstractNumId="1" w15:restartNumberingAfterBreak="0">
    <w:nsid w:val="FFFFFF7F"/>
    <w:multiLevelType w:val="singleLevel"/>
    <w:tmpl w:val="815641AE"/>
    <w:lvl w:ilvl="0">
      <w:start w:val="1"/>
      <w:numFmt w:val="decimal"/>
      <w:pStyle w:val="NumberList3"/>
      <w:lvlText w:val="%1."/>
      <w:lvlJc w:val="left"/>
      <w:pPr>
        <w:tabs>
          <w:tab w:val="num" w:pos="643"/>
        </w:tabs>
        <w:ind w:left="643" w:hanging="360"/>
      </w:pPr>
    </w:lvl>
  </w:abstractNum>
  <w:abstractNum w:abstractNumId="2" w15:restartNumberingAfterBreak="0">
    <w:nsid w:val="020D66F2"/>
    <w:multiLevelType w:val="hybridMultilevel"/>
    <w:tmpl w:val="484046F0"/>
    <w:lvl w:ilvl="0" w:tplc="FA564518">
      <w:start w:val="1"/>
      <w:numFmt w:val="lowerLetter"/>
      <w:pStyle w:val="TableListNumber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4621CE7"/>
    <w:multiLevelType w:val="hybridMultilevel"/>
    <w:tmpl w:val="9F282FDC"/>
    <w:lvl w:ilvl="0" w:tplc="7862B858">
      <w:start w:val="1"/>
      <w:numFmt w:val="bullet"/>
      <w:pStyle w:val="TableDash"/>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B4224"/>
    <w:multiLevelType w:val="hybridMultilevel"/>
    <w:tmpl w:val="0E427BCE"/>
    <w:lvl w:ilvl="0" w:tplc="167A8A7E">
      <w:start w:val="1"/>
      <w:numFmt w:val="bullet"/>
      <w:pStyle w:val="Box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7DD8"/>
    <w:multiLevelType w:val="hybridMultilevel"/>
    <w:tmpl w:val="BE4AD784"/>
    <w:lvl w:ilvl="0" w:tplc="A6C2F2AE">
      <w:start w:val="1"/>
      <w:numFmt w:val="lowerLetter"/>
      <w:pStyle w:val="TableNumberList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6" w15:restartNumberingAfterBreak="0">
    <w:nsid w:val="209B02A7"/>
    <w:multiLevelType w:val="singleLevel"/>
    <w:tmpl w:val="0B94AE00"/>
    <w:lvl w:ilvl="0">
      <w:start w:val="1"/>
      <w:numFmt w:val="bullet"/>
      <w:pStyle w:val="Dash"/>
      <w:lvlText w:val="»"/>
      <w:lvlJc w:val="left"/>
      <w:pPr>
        <w:ind w:left="644" w:hanging="360"/>
      </w:pPr>
      <w:rPr>
        <w:rFonts w:ascii="Times New Roman" w:hAnsi="Times New Roman" w:cs="Times New Roman" w:hint="default"/>
        <w:color w:val="auto"/>
        <w:sz w:val="21"/>
        <w:szCs w:val="21"/>
      </w:rPr>
    </w:lvl>
  </w:abstractNum>
  <w:abstractNum w:abstractNumId="7"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73F263C"/>
    <w:multiLevelType w:val="multilevel"/>
    <w:tmpl w:val="1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F4420E"/>
    <w:multiLevelType w:val="hybridMultilevel"/>
    <w:tmpl w:val="873CB1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BB7690D"/>
    <w:multiLevelType w:val="hybridMultilevel"/>
    <w:tmpl w:val="E7E6FF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E100756"/>
    <w:multiLevelType w:val="hybridMultilevel"/>
    <w:tmpl w:val="ED6497E4"/>
    <w:lvl w:ilvl="0" w:tplc="9586D7A6">
      <w:start w:val="1"/>
      <w:numFmt w:val="decimal"/>
      <w:pStyle w:val="Table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0B4E12"/>
    <w:multiLevelType w:val="hybridMultilevel"/>
    <w:tmpl w:val="B066C7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15" w15:restartNumberingAfterBreak="0">
    <w:nsid w:val="598A5214"/>
    <w:multiLevelType w:val="hybridMultilevel"/>
    <w:tmpl w:val="7884C832"/>
    <w:lvl w:ilvl="0" w:tplc="07522316">
      <w:start w:val="1"/>
      <w:numFmt w:val="decimal"/>
      <w:pStyle w:val="TableNumberList"/>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6C55035"/>
    <w:multiLevelType w:val="hybridMultilevel"/>
    <w:tmpl w:val="55C6E97A"/>
    <w:lvl w:ilvl="0" w:tplc="7848D426">
      <w:start w:val="1"/>
      <w:numFmt w:val="bullet"/>
      <w:pStyle w:val="Table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05961"/>
    <w:multiLevelType w:val="hybridMultilevel"/>
    <w:tmpl w:val="3B4E9752"/>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8" w15:restartNumberingAfterBreak="0">
    <w:nsid w:val="6F486563"/>
    <w:multiLevelType w:val="hybridMultilevel"/>
    <w:tmpl w:val="E7E6FF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6BA16CD"/>
    <w:multiLevelType w:val="hybridMultilevel"/>
    <w:tmpl w:val="BEC2A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6E75B3E"/>
    <w:multiLevelType w:val="hybridMultilevel"/>
    <w:tmpl w:val="99282C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89D72FC"/>
    <w:multiLevelType w:val="hybridMultilevel"/>
    <w:tmpl w:val="ABBCD23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D8A723A"/>
    <w:multiLevelType w:val="hybridMultilevel"/>
    <w:tmpl w:val="F800D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F7A528B"/>
    <w:multiLevelType w:val="hybridMultilevel"/>
    <w:tmpl w:val="278C870E"/>
    <w:lvl w:ilvl="0" w:tplc="C6E6DB1A">
      <w:start w:val="1"/>
      <w:numFmt w:val="bullet"/>
      <w:pStyle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9"/>
  </w:num>
  <w:num w:numId="6">
    <w:abstractNumId w:val="12"/>
  </w:num>
  <w:num w:numId="7">
    <w:abstractNumId w:val="2"/>
  </w:num>
  <w:num w:numId="8">
    <w:abstractNumId w:val="6"/>
  </w:num>
  <w:num w:numId="9">
    <w:abstractNumId w:val="23"/>
  </w:num>
  <w:num w:numId="10">
    <w:abstractNumId w:val="16"/>
  </w:num>
  <w:num w:numId="11">
    <w:abstractNumId w:val="3"/>
  </w:num>
  <w:num w:numId="12">
    <w:abstractNumId w:val="15"/>
  </w:num>
  <w:num w:numId="13">
    <w:abstractNumId w:val="5"/>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4"/>
  </w:num>
  <w:num w:numId="19">
    <w:abstractNumId w:val="22"/>
  </w:num>
  <w:num w:numId="20">
    <w:abstractNumId w:val="19"/>
  </w:num>
  <w:num w:numId="21">
    <w:abstractNumId w:val="21"/>
  </w:num>
  <w:num w:numId="22">
    <w:abstractNumId w:val="18"/>
  </w:num>
  <w:num w:numId="23">
    <w:abstractNumId w:val="10"/>
  </w:num>
  <w:num w:numId="24">
    <w:abstractNumId w:val="20"/>
  </w:num>
  <w:num w:numId="2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0" w:nlCheck="1" w:checkStyle="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ZA" w:vendorID="64" w:dllVersion="0" w:nlCheck="1" w:checkStyle="0"/>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E4"/>
    <w:rsid w:val="00001E83"/>
    <w:rsid w:val="00002E25"/>
    <w:rsid w:val="00003021"/>
    <w:rsid w:val="00005A86"/>
    <w:rsid w:val="00005CEC"/>
    <w:rsid w:val="00012721"/>
    <w:rsid w:val="00013A29"/>
    <w:rsid w:val="00013B44"/>
    <w:rsid w:val="0001515C"/>
    <w:rsid w:val="00017B3B"/>
    <w:rsid w:val="00020488"/>
    <w:rsid w:val="00020AE5"/>
    <w:rsid w:val="00021BE4"/>
    <w:rsid w:val="000236C1"/>
    <w:rsid w:val="000239EB"/>
    <w:rsid w:val="000266F9"/>
    <w:rsid w:val="00026DD6"/>
    <w:rsid w:val="0003019E"/>
    <w:rsid w:val="0003291C"/>
    <w:rsid w:val="00033568"/>
    <w:rsid w:val="00034A9E"/>
    <w:rsid w:val="000361C4"/>
    <w:rsid w:val="00036AC1"/>
    <w:rsid w:val="00037F87"/>
    <w:rsid w:val="0004031E"/>
    <w:rsid w:val="000441F4"/>
    <w:rsid w:val="000443B2"/>
    <w:rsid w:val="00044B9D"/>
    <w:rsid w:val="00045389"/>
    <w:rsid w:val="000465D6"/>
    <w:rsid w:val="000472DB"/>
    <w:rsid w:val="000479A2"/>
    <w:rsid w:val="00051476"/>
    <w:rsid w:val="000526A4"/>
    <w:rsid w:val="0005315E"/>
    <w:rsid w:val="00055CE4"/>
    <w:rsid w:val="000570D6"/>
    <w:rsid w:val="000601BC"/>
    <w:rsid w:val="000618B3"/>
    <w:rsid w:val="00062633"/>
    <w:rsid w:val="00064814"/>
    <w:rsid w:val="00065412"/>
    <w:rsid w:val="0006573D"/>
    <w:rsid w:val="00065F61"/>
    <w:rsid w:val="00065FE8"/>
    <w:rsid w:val="00066251"/>
    <w:rsid w:val="000668B1"/>
    <w:rsid w:val="00071748"/>
    <w:rsid w:val="0007269B"/>
    <w:rsid w:val="00072AB5"/>
    <w:rsid w:val="00072B60"/>
    <w:rsid w:val="00073550"/>
    <w:rsid w:val="000746A3"/>
    <w:rsid w:val="00075DE2"/>
    <w:rsid w:val="00075FCC"/>
    <w:rsid w:val="0007614B"/>
    <w:rsid w:val="0007619D"/>
    <w:rsid w:val="00076356"/>
    <w:rsid w:val="00076978"/>
    <w:rsid w:val="0007799B"/>
    <w:rsid w:val="00080AFE"/>
    <w:rsid w:val="00080EA9"/>
    <w:rsid w:val="000818F1"/>
    <w:rsid w:val="00081A96"/>
    <w:rsid w:val="00081B20"/>
    <w:rsid w:val="00082952"/>
    <w:rsid w:val="00083C94"/>
    <w:rsid w:val="0008453B"/>
    <w:rsid w:val="000845EA"/>
    <w:rsid w:val="000849FC"/>
    <w:rsid w:val="00085750"/>
    <w:rsid w:val="000900F7"/>
    <w:rsid w:val="00091497"/>
    <w:rsid w:val="000920CD"/>
    <w:rsid w:val="00092EBA"/>
    <w:rsid w:val="00093C82"/>
    <w:rsid w:val="00095690"/>
    <w:rsid w:val="00095D41"/>
    <w:rsid w:val="000A2029"/>
    <w:rsid w:val="000A7D45"/>
    <w:rsid w:val="000B045E"/>
    <w:rsid w:val="000B1EAD"/>
    <w:rsid w:val="000B370F"/>
    <w:rsid w:val="000B3C9F"/>
    <w:rsid w:val="000B4D59"/>
    <w:rsid w:val="000B5A3A"/>
    <w:rsid w:val="000B7A81"/>
    <w:rsid w:val="000C0A59"/>
    <w:rsid w:val="000C10BA"/>
    <w:rsid w:val="000C135D"/>
    <w:rsid w:val="000C518D"/>
    <w:rsid w:val="000C5E91"/>
    <w:rsid w:val="000C607A"/>
    <w:rsid w:val="000C60C9"/>
    <w:rsid w:val="000D5560"/>
    <w:rsid w:val="000D6B89"/>
    <w:rsid w:val="000D70C8"/>
    <w:rsid w:val="000D725A"/>
    <w:rsid w:val="000E00D8"/>
    <w:rsid w:val="000E03D7"/>
    <w:rsid w:val="000E328E"/>
    <w:rsid w:val="000E3641"/>
    <w:rsid w:val="000E53D7"/>
    <w:rsid w:val="000E6B9B"/>
    <w:rsid w:val="000E78B1"/>
    <w:rsid w:val="000F1020"/>
    <w:rsid w:val="000F1962"/>
    <w:rsid w:val="000F2C13"/>
    <w:rsid w:val="000F2E93"/>
    <w:rsid w:val="000F5473"/>
    <w:rsid w:val="000F56FC"/>
    <w:rsid w:val="000F6430"/>
    <w:rsid w:val="000F6B3C"/>
    <w:rsid w:val="000F6EBB"/>
    <w:rsid w:val="000F733D"/>
    <w:rsid w:val="00100909"/>
    <w:rsid w:val="00100B1F"/>
    <w:rsid w:val="00101CB5"/>
    <w:rsid w:val="00101D6D"/>
    <w:rsid w:val="00103778"/>
    <w:rsid w:val="00104E39"/>
    <w:rsid w:val="00104F00"/>
    <w:rsid w:val="00105E90"/>
    <w:rsid w:val="00107305"/>
    <w:rsid w:val="00107E6F"/>
    <w:rsid w:val="001104FE"/>
    <w:rsid w:val="0011151B"/>
    <w:rsid w:val="00112053"/>
    <w:rsid w:val="0011375D"/>
    <w:rsid w:val="00113DC0"/>
    <w:rsid w:val="001142D2"/>
    <w:rsid w:val="00114BAC"/>
    <w:rsid w:val="00116679"/>
    <w:rsid w:val="0011670A"/>
    <w:rsid w:val="00116C17"/>
    <w:rsid w:val="00117752"/>
    <w:rsid w:val="00120594"/>
    <w:rsid w:val="001207B9"/>
    <w:rsid w:val="0012105F"/>
    <w:rsid w:val="001227F6"/>
    <w:rsid w:val="001229FD"/>
    <w:rsid w:val="00123714"/>
    <w:rsid w:val="00125331"/>
    <w:rsid w:val="001262CC"/>
    <w:rsid w:val="00126402"/>
    <w:rsid w:val="00127531"/>
    <w:rsid w:val="001305F8"/>
    <w:rsid w:val="00130BFF"/>
    <w:rsid w:val="00134BEA"/>
    <w:rsid w:val="00134E08"/>
    <w:rsid w:val="00135A26"/>
    <w:rsid w:val="00135AF5"/>
    <w:rsid w:val="00136E8F"/>
    <w:rsid w:val="0014078F"/>
    <w:rsid w:val="00144CD7"/>
    <w:rsid w:val="001469E6"/>
    <w:rsid w:val="0014745B"/>
    <w:rsid w:val="00147CE6"/>
    <w:rsid w:val="00150997"/>
    <w:rsid w:val="0015413C"/>
    <w:rsid w:val="00154694"/>
    <w:rsid w:val="001548B9"/>
    <w:rsid w:val="001548BC"/>
    <w:rsid w:val="00154C3D"/>
    <w:rsid w:val="00155371"/>
    <w:rsid w:val="001566C1"/>
    <w:rsid w:val="001617D2"/>
    <w:rsid w:val="00161824"/>
    <w:rsid w:val="00161B37"/>
    <w:rsid w:val="0016424F"/>
    <w:rsid w:val="00165127"/>
    <w:rsid w:val="00166274"/>
    <w:rsid w:val="00166618"/>
    <w:rsid w:val="00170AEA"/>
    <w:rsid w:val="0017102C"/>
    <w:rsid w:val="001712C6"/>
    <w:rsid w:val="001739D1"/>
    <w:rsid w:val="0017452F"/>
    <w:rsid w:val="0017580A"/>
    <w:rsid w:val="00176B77"/>
    <w:rsid w:val="00177A67"/>
    <w:rsid w:val="00180997"/>
    <w:rsid w:val="001827F2"/>
    <w:rsid w:val="00183274"/>
    <w:rsid w:val="0018629D"/>
    <w:rsid w:val="001863B5"/>
    <w:rsid w:val="001870CD"/>
    <w:rsid w:val="00191686"/>
    <w:rsid w:val="0019576E"/>
    <w:rsid w:val="001962E5"/>
    <w:rsid w:val="001966C1"/>
    <w:rsid w:val="001977CB"/>
    <w:rsid w:val="001978A6"/>
    <w:rsid w:val="001A1A0F"/>
    <w:rsid w:val="001A2583"/>
    <w:rsid w:val="001A3015"/>
    <w:rsid w:val="001A3414"/>
    <w:rsid w:val="001A4D9A"/>
    <w:rsid w:val="001A72AB"/>
    <w:rsid w:val="001A77E0"/>
    <w:rsid w:val="001B067C"/>
    <w:rsid w:val="001B0FFE"/>
    <w:rsid w:val="001B2154"/>
    <w:rsid w:val="001B2E8B"/>
    <w:rsid w:val="001B454D"/>
    <w:rsid w:val="001B480A"/>
    <w:rsid w:val="001B5754"/>
    <w:rsid w:val="001B7260"/>
    <w:rsid w:val="001C2BB4"/>
    <w:rsid w:val="001C3A9F"/>
    <w:rsid w:val="001C3F25"/>
    <w:rsid w:val="001C4F76"/>
    <w:rsid w:val="001C5B06"/>
    <w:rsid w:val="001C754B"/>
    <w:rsid w:val="001C79D1"/>
    <w:rsid w:val="001D1843"/>
    <w:rsid w:val="001D2F5C"/>
    <w:rsid w:val="001D4D1F"/>
    <w:rsid w:val="001D5F49"/>
    <w:rsid w:val="001E147E"/>
    <w:rsid w:val="001E223C"/>
    <w:rsid w:val="001E259C"/>
    <w:rsid w:val="001E294B"/>
    <w:rsid w:val="001E2AAC"/>
    <w:rsid w:val="001E3941"/>
    <w:rsid w:val="001E6C5F"/>
    <w:rsid w:val="001E7A50"/>
    <w:rsid w:val="001F05D0"/>
    <w:rsid w:val="001F25C6"/>
    <w:rsid w:val="001F2BDC"/>
    <w:rsid w:val="001F2FB6"/>
    <w:rsid w:val="001F3DFE"/>
    <w:rsid w:val="001F3F44"/>
    <w:rsid w:val="001F70F6"/>
    <w:rsid w:val="0020011F"/>
    <w:rsid w:val="00201707"/>
    <w:rsid w:val="00201C9C"/>
    <w:rsid w:val="00201D5F"/>
    <w:rsid w:val="00201FCC"/>
    <w:rsid w:val="002027C0"/>
    <w:rsid w:val="0020319C"/>
    <w:rsid w:val="0020347E"/>
    <w:rsid w:val="002046FB"/>
    <w:rsid w:val="00204A2A"/>
    <w:rsid w:val="00205078"/>
    <w:rsid w:val="0020520A"/>
    <w:rsid w:val="002056C1"/>
    <w:rsid w:val="002110C1"/>
    <w:rsid w:val="00211BAF"/>
    <w:rsid w:val="00211EA2"/>
    <w:rsid w:val="00214629"/>
    <w:rsid w:val="00215419"/>
    <w:rsid w:val="0022016C"/>
    <w:rsid w:val="0022275E"/>
    <w:rsid w:val="00223521"/>
    <w:rsid w:val="002247A3"/>
    <w:rsid w:val="002261EF"/>
    <w:rsid w:val="002270D5"/>
    <w:rsid w:val="0022752D"/>
    <w:rsid w:val="00230052"/>
    <w:rsid w:val="0023031B"/>
    <w:rsid w:val="00230A4E"/>
    <w:rsid w:val="002350C3"/>
    <w:rsid w:val="00235388"/>
    <w:rsid w:val="00235A18"/>
    <w:rsid w:val="00241827"/>
    <w:rsid w:val="00242AD4"/>
    <w:rsid w:val="0024311A"/>
    <w:rsid w:val="00252A2A"/>
    <w:rsid w:val="00253D8A"/>
    <w:rsid w:val="00255136"/>
    <w:rsid w:val="00256BEC"/>
    <w:rsid w:val="002601E3"/>
    <w:rsid w:val="00260F2F"/>
    <w:rsid w:val="00262589"/>
    <w:rsid w:val="00262F0F"/>
    <w:rsid w:val="002639EA"/>
    <w:rsid w:val="00264C2F"/>
    <w:rsid w:val="002650DB"/>
    <w:rsid w:val="002658E4"/>
    <w:rsid w:val="0026592D"/>
    <w:rsid w:val="00271AB6"/>
    <w:rsid w:val="00271AE5"/>
    <w:rsid w:val="00271B40"/>
    <w:rsid w:val="00272B08"/>
    <w:rsid w:val="00274F2B"/>
    <w:rsid w:val="00280DDC"/>
    <w:rsid w:val="00284611"/>
    <w:rsid w:val="00284F00"/>
    <w:rsid w:val="00290E06"/>
    <w:rsid w:val="002916B4"/>
    <w:rsid w:val="0029345F"/>
    <w:rsid w:val="0029690B"/>
    <w:rsid w:val="002A0098"/>
    <w:rsid w:val="002A03B6"/>
    <w:rsid w:val="002A1BFD"/>
    <w:rsid w:val="002A2302"/>
    <w:rsid w:val="002A4F2F"/>
    <w:rsid w:val="002A61CC"/>
    <w:rsid w:val="002A79C0"/>
    <w:rsid w:val="002B19B6"/>
    <w:rsid w:val="002B3033"/>
    <w:rsid w:val="002B4A6C"/>
    <w:rsid w:val="002B512C"/>
    <w:rsid w:val="002B6077"/>
    <w:rsid w:val="002B6840"/>
    <w:rsid w:val="002C19BF"/>
    <w:rsid w:val="002C3F92"/>
    <w:rsid w:val="002C46D4"/>
    <w:rsid w:val="002C5318"/>
    <w:rsid w:val="002C572A"/>
    <w:rsid w:val="002C6010"/>
    <w:rsid w:val="002C6084"/>
    <w:rsid w:val="002C61F5"/>
    <w:rsid w:val="002C7BDC"/>
    <w:rsid w:val="002D0043"/>
    <w:rsid w:val="002D0313"/>
    <w:rsid w:val="002D0691"/>
    <w:rsid w:val="002D0BC5"/>
    <w:rsid w:val="002D2476"/>
    <w:rsid w:val="002D30AA"/>
    <w:rsid w:val="002D37AB"/>
    <w:rsid w:val="002D4C78"/>
    <w:rsid w:val="002D547E"/>
    <w:rsid w:val="002D6B5A"/>
    <w:rsid w:val="002E0546"/>
    <w:rsid w:val="002E0AC2"/>
    <w:rsid w:val="002E1045"/>
    <w:rsid w:val="002E202B"/>
    <w:rsid w:val="002E458C"/>
    <w:rsid w:val="002E4FED"/>
    <w:rsid w:val="002E50E1"/>
    <w:rsid w:val="002E591C"/>
    <w:rsid w:val="002E6060"/>
    <w:rsid w:val="002F2749"/>
    <w:rsid w:val="002F2CD2"/>
    <w:rsid w:val="002F4668"/>
    <w:rsid w:val="002F54A3"/>
    <w:rsid w:val="002F5DCE"/>
    <w:rsid w:val="002F6A0E"/>
    <w:rsid w:val="002F6F16"/>
    <w:rsid w:val="00300365"/>
    <w:rsid w:val="0030654F"/>
    <w:rsid w:val="003078CC"/>
    <w:rsid w:val="00307EBE"/>
    <w:rsid w:val="00312772"/>
    <w:rsid w:val="00312F7A"/>
    <w:rsid w:val="00314635"/>
    <w:rsid w:val="00314C87"/>
    <w:rsid w:val="003153B4"/>
    <w:rsid w:val="003159E8"/>
    <w:rsid w:val="003160B0"/>
    <w:rsid w:val="00316149"/>
    <w:rsid w:val="0031669C"/>
    <w:rsid w:val="00316F38"/>
    <w:rsid w:val="00320A3E"/>
    <w:rsid w:val="00320DEF"/>
    <w:rsid w:val="0032158D"/>
    <w:rsid w:val="00321BC0"/>
    <w:rsid w:val="003238BE"/>
    <w:rsid w:val="00325266"/>
    <w:rsid w:val="00330BA8"/>
    <w:rsid w:val="0033188B"/>
    <w:rsid w:val="00334924"/>
    <w:rsid w:val="003353C9"/>
    <w:rsid w:val="00336545"/>
    <w:rsid w:val="003375F1"/>
    <w:rsid w:val="00342F27"/>
    <w:rsid w:val="00347431"/>
    <w:rsid w:val="003500E5"/>
    <w:rsid w:val="00352C62"/>
    <w:rsid w:val="0035342F"/>
    <w:rsid w:val="0035468E"/>
    <w:rsid w:val="0035513F"/>
    <w:rsid w:val="003574B1"/>
    <w:rsid w:val="00357F4B"/>
    <w:rsid w:val="003614E5"/>
    <w:rsid w:val="003614FB"/>
    <w:rsid w:val="0036403B"/>
    <w:rsid w:val="00364813"/>
    <w:rsid w:val="0036503B"/>
    <w:rsid w:val="00367135"/>
    <w:rsid w:val="003677A1"/>
    <w:rsid w:val="00367DD5"/>
    <w:rsid w:val="00367FC2"/>
    <w:rsid w:val="00371856"/>
    <w:rsid w:val="00375036"/>
    <w:rsid w:val="00375E8F"/>
    <w:rsid w:val="00376398"/>
    <w:rsid w:val="00376C21"/>
    <w:rsid w:val="00376C75"/>
    <w:rsid w:val="0038163B"/>
    <w:rsid w:val="00383874"/>
    <w:rsid w:val="00383971"/>
    <w:rsid w:val="0038510A"/>
    <w:rsid w:val="003855DA"/>
    <w:rsid w:val="00391686"/>
    <w:rsid w:val="0039206D"/>
    <w:rsid w:val="0039261C"/>
    <w:rsid w:val="0039361E"/>
    <w:rsid w:val="00393D24"/>
    <w:rsid w:val="00394DE5"/>
    <w:rsid w:val="00396083"/>
    <w:rsid w:val="003969C7"/>
    <w:rsid w:val="00396F45"/>
    <w:rsid w:val="003A04A0"/>
    <w:rsid w:val="003A2713"/>
    <w:rsid w:val="003A32F0"/>
    <w:rsid w:val="003A3CEC"/>
    <w:rsid w:val="003A69F5"/>
    <w:rsid w:val="003A736E"/>
    <w:rsid w:val="003B0B9C"/>
    <w:rsid w:val="003B268F"/>
    <w:rsid w:val="003B4F97"/>
    <w:rsid w:val="003B50C7"/>
    <w:rsid w:val="003B58E3"/>
    <w:rsid w:val="003B6324"/>
    <w:rsid w:val="003B69C4"/>
    <w:rsid w:val="003B6ACF"/>
    <w:rsid w:val="003B7C89"/>
    <w:rsid w:val="003C01F5"/>
    <w:rsid w:val="003C28CF"/>
    <w:rsid w:val="003C47EB"/>
    <w:rsid w:val="003C5BA5"/>
    <w:rsid w:val="003C7E77"/>
    <w:rsid w:val="003D05AD"/>
    <w:rsid w:val="003D0620"/>
    <w:rsid w:val="003D0B4E"/>
    <w:rsid w:val="003D1AE3"/>
    <w:rsid w:val="003D594A"/>
    <w:rsid w:val="003D7183"/>
    <w:rsid w:val="003D7B26"/>
    <w:rsid w:val="003E5940"/>
    <w:rsid w:val="003E5CD5"/>
    <w:rsid w:val="003E66D3"/>
    <w:rsid w:val="003E7380"/>
    <w:rsid w:val="003E75A6"/>
    <w:rsid w:val="003F0239"/>
    <w:rsid w:val="003F0D08"/>
    <w:rsid w:val="003F6FF6"/>
    <w:rsid w:val="003F7ED2"/>
    <w:rsid w:val="00401297"/>
    <w:rsid w:val="0040142E"/>
    <w:rsid w:val="0040175A"/>
    <w:rsid w:val="00403CC4"/>
    <w:rsid w:val="004052A3"/>
    <w:rsid w:val="00407712"/>
    <w:rsid w:val="004111B9"/>
    <w:rsid w:val="004113C3"/>
    <w:rsid w:val="0041338E"/>
    <w:rsid w:val="00415131"/>
    <w:rsid w:val="0041575D"/>
    <w:rsid w:val="004164C0"/>
    <w:rsid w:val="004164D1"/>
    <w:rsid w:val="004176A4"/>
    <w:rsid w:val="00420B99"/>
    <w:rsid w:val="00421099"/>
    <w:rsid w:val="004223AB"/>
    <w:rsid w:val="00422CB2"/>
    <w:rsid w:val="00422EF0"/>
    <w:rsid w:val="004230E5"/>
    <w:rsid w:val="00423A51"/>
    <w:rsid w:val="00424161"/>
    <w:rsid w:val="00425E89"/>
    <w:rsid w:val="0042621D"/>
    <w:rsid w:val="004305CC"/>
    <w:rsid w:val="00437CBE"/>
    <w:rsid w:val="0044143B"/>
    <w:rsid w:val="00442C95"/>
    <w:rsid w:val="00444F7E"/>
    <w:rsid w:val="00446B48"/>
    <w:rsid w:val="004514B6"/>
    <w:rsid w:val="0045156C"/>
    <w:rsid w:val="00451A0F"/>
    <w:rsid w:val="00454B34"/>
    <w:rsid w:val="00455140"/>
    <w:rsid w:val="00455B2F"/>
    <w:rsid w:val="00456B53"/>
    <w:rsid w:val="004573C9"/>
    <w:rsid w:val="00461621"/>
    <w:rsid w:val="004628B4"/>
    <w:rsid w:val="00465B5A"/>
    <w:rsid w:val="00466FD9"/>
    <w:rsid w:val="0047028E"/>
    <w:rsid w:val="00471C62"/>
    <w:rsid w:val="0047280E"/>
    <w:rsid w:val="004738D5"/>
    <w:rsid w:val="00473FA8"/>
    <w:rsid w:val="004778D4"/>
    <w:rsid w:val="004822BC"/>
    <w:rsid w:val="0048295D"/>
    <w:rsid w:val="00484A94"/>
    <w:rsid w:val="004850EF"/>
    <w:rsid w:val="004861A4"/>
    <w:rsid w:val="004868A5"/>
    <w:rsid w:val="0048716B"/>
    <w:rsid w:val="004900B9"/>
    <w:rsid w:val="004918B9"/>
    <w:rsid w:val="004920E2"/>
    <w:rsid w:val="004933C2"/>
    <w:rsid w:val="004952A7"/>
    <w:rsid w:val="004955E5"/>
    <w:rsid w:val="004957C3"/>
    <w:rsid w:val="00495981"/>
    <w:rsid w:val="004966D4"/>
    <w:rsid w:val="00497182"/>
    <w:rsid w:val="00497D20"/>
    <w:rsid w:val="004A1F3D"/>
    <w:rsid w:val="004A32FA"/>
    <w:rsid w:val="004A68F3"/>
    <w:rsid w:val="004A7AE6"/>
    <w:rsid w:val="004A7D6A"/>
    <w:rsid w:val="004B1C91"/>
    <w:rsid w:val="004B5719"/>
    <w:rsid w:val="004B68A9"/>
    <w:rsid w:val="004C05FA"/>
    <w:rsid w:val="004C27DD"/>
    <w:rsid w:val="004C491B"/>
    <w:rsid w:val="004C5B30"/>
    <w:rsid w:val="004C7503"/>
    <w:rsid w:val="004C7A73"/>
    <w:rsid w:val="004D23EE"/>
    <w:rsid w:val="004D3F09"/>
    <w:rsid w:val="004D4B62"/>
    <w:rsid w:val="004D5C07"/>
    <w:rsid w:val="004D60BC"/>
    <w:rsid w:val="004D6F4E"/>
    <w:rsid w:val="004D79BE"/>
    <w:rsid w:val="004D7D5B"/>
    <w:rsid w:val="004E30CA"/>
    <w:rsid w:val="004E3C43"/>
    <w:rsid w:val="004E3E58"/>
    <w:rsid w:val="004E401B"/>
    <w:rsid w:val="004E5DAD"/>
    <w:rsid w:val="004F0311"/>
    <w:rsid w:val="004F1E57"/>
    <w:rsid w:val="004F283E"/>
    <w:rsid w:val="004F4A8B"/>
    <w:rsid w:val="004F52A5"/>
    <w:rsid w:val="004F52D0"/>
    <w:rsid w:val="004F5B57"/>
    <w:rsid w:val="004F73D9"/>
    <w:rsid w:val="004F7679"/>
    <w:rsid w:val="004F7CD6"/>
    <w:rsid w:val="00503431"/>
    <w:rsid w:val="00503CA6"/>
    <w:rsid w:val="005049A5"/>
    <w:rsid w:val="005049BC"/>
    <w:rsid w:val="00504A64"/>
    <w:rsid w:val="00505935"/>
    <w:rsid w:val="00506BFC"/>
    <w:rsid w:val="005078F1"/>
    <w:rsid w:val="00513B05"/>
    <w:rsid w:val="00520C37"/>
    <w:rsid w:val="0052375E"/>
    <w:rsid w:val="00526D4A"/>
    <w:rsid w:val="005270D6"/>
    <w:rsid w:val="0052721D"/>
    <w:rsid w:val="005276FC"/>
    <w:rsid w:val="00531FE3"/>
    <w:rsid w:val="00533E12"/>
    <w:rsid w:val="0053427D"/>
    <w:rsid w:val="005351D1"/>
    <w:rsid w:val="0054017B"/>
    <w:rsid w:val="0054040C"/>
    <w:rsid w:val="005420BE"/>
    <w:rsid w:val="00542101"/>
    <w:rsid w:val="005426D1"/>
    <w:rsid w:val="0054354D"/>
    <w:rsid w:val="00544AE6"/>
    <w:rsid w:val="00547BA5"/>
    <w:rsid w:val="005500D7"/>
    <w:rsid w:val="00551546"/>
    <w:rsid w:val="005515B6"/>
    <w:rsid w:val="00551994"/>
    <w:rsid w:val="00551E64"/>
    <w:rsid w:val="005524B2"/>
    <w:rsid w:val="00552681"/>
    <w:rsid w:val="005529A9"/>
    <w:rsid w:val="00552E97"/>
    <w:rsid w:val="00556BE5"/>
    <w:rsid w:val="005575C3"/>
    <w:rsid w:val="00560BA1"/>
    <w:rsid w:val="00560F5E"/>
    <w:rsid w:val="005615FF"/>
    <w:rsid w:val="00562A71"/>
    <w:rsid w:val="00565265"/>
    <w:rsid w:val="00565AC9"/>
    <w:rsid w:val="00565C3D"/>
    <w:rsid w:val="00566495"/>
    <w:rsid w:val="00566B7A"/>
    <w:rsid w:val="00567C48"/>
    <w:rsid w:val="005708F1"/>
    <w:rsid w:val="00570B3C"/>
    <w:rsid w:val="00570B94"/>
    <w:rsid w:val="005729E2"/>
    <w:rsid w:val="00575E54"/>
    <w:rsid w:val="00575E6E"/>
    <w:rsid w:val="00576155"/>
    <w:rsid w:val="0058027B"/>
    <w:rsid w:val="00580D04"/>
    <w:rsid w:val="00585B9C"/>
    <w:rsid w:val="005905D0"/>
    <w:rsid w:val="0059121C"/>
    <w:rsid w:val="005917D6"/>
    <w:rsid w:val="00591D07"/>
    <w:rsid w:val="00591EF2"/>
    <w:rsid w:val="00592036"/>
    <w:rsid w:val="00592327"/>
    <w:rsid w:val="00592B76"/>
    <w:rsid w:val="005934DF"/>
    <w:rsid w:val="005948E2"/>
    <w:rsid w:val="00595A68"/>
    <w:rsid w:val="00597044"/>
    <w:rsid w:val="005A137D"/>
    <w:rsid w:val="005A3007"/>
    <w:rsid w:val="005A3244"/>
    <w:rsid w:val="005A325D"/>
    <w:rsid w:val="005A5776"/>
    <w:rsid w:val="005A5F3D"/>
    <w:rsid w:val="005A72C4"/>
    <w:rsid w:val="005B14EE"/>
    <w:rsid w:val="005B1BF2"/>
    <w:rsid w:val="005B32A2"/>
    <w:rsid w:val="005B3B6E"/>
    <w:rsid w:val="005B4351"/>
    <w:rsid w:val="005B4BBB"/>
    <w:rsid w:val="005B6482"/>
    <w:rsid w:val="005C1FB2"/>
    <w:rsid w:val="005C281E"/>
    <w:rsid w:val="005C4437"/>
    <w:rsid w:val="005C70CF"/>
    <w:rsid w:val="005C7CF2"/>
    <w:rsid w:val="005D360A"/>
    <w:rsid w:val="005D4318"/>
    <w:rsid w:val="005D4866"/>
    <w:rsid w:val="005D49CC"/>
    <w:rsid w:val="005D4B20"/>
    <w:rsid w:val="005D4B51"/>
    <w:rsid w:val="005D4EA3"/>
    <w:rsid w:val="005D71C2"/>
    <w:rsid w:val="005E0D13"/>
    <w:rsid w:val="005E0E9C"/>
    <w:rsid w:val="005E19FB"/>
    <w:rsid w:val="005E2050"/>
    <w:rsid w:val="005E2A24"/>
    <w:rsid w:val="005E2AD5"/>
    <w:rsid w:val="005E54A6"/>
    <w:rsid w:val="005E56DD"/>
    <w:rsid w:val="005E6D67"/>
    <w:rsid w:val="005F1827"/>
    <w:rsid w:val="005F5328"/>
    <w:rsid w:val="005F796C"/>
    <w:rsid w:val="005F7AEE"/>
    <w:rsid w:val="005F7CB6"/>
    <w:rsid w:val="00600D70"/>
    <w:rsid w:val="00601DED"/>
    <w:rsid w:val="00602109"/>
    <w:rsid w:val="00602CF1"/>
    <w:rsid w:val="006063AA"/>
    <w:rsid w:val="006068DE"/>
    <w:rsid w:val="00606C4B"/>
    <w:rsid w:val="0060721B"/>
    <w:rsid w:val="00610CC8"/>
    <w:rsid w:val="00611DF9"/>
    <w:rsid w:val="006120F4"/>
    <w:rsid w:val="006135B1"/>
    <w:rsid w:val="00616058"/>
    <w:rsid w:val="00616DFF"/>
    <w:rsid w:val="00617D09"/>
    <w:rsid w:val="00617D7D"/>
    <w:rsid w:val="006210E8"/>
    <w:rsid w:val="00621C27"/>
    <w:rsid w:val="0062776E"/>
    <w:rsid w:val="006332D3"/>
    <w:rsid w:val="006336DF"/>
    <w:rsid w:val="00634A27"/>
    <w:rsid w:val="006356C6"/>
    <w:rsid w:val="00635EE1"/>
    <w:rsid w:val="00636332"/>
    <w:rsid w:val="006414A0"/>
    <w:rsid w:val="0064189A"/>
    <w:rsid w:val="00641BFA"/>
    <w:rsid w:val="00642DFE"/>
    <w:rsid w:val="0064324E"/>
    <w:rsid w:val="0064325F"/>
    <w:rsid w:val="006448BD"/>
    <w:rsid w:val="00644A73"/>
    <w:rsid w:val="00646908"/>
    <w:rsid w:val="00647A8C"/>
    <w:rsid w:val="00647C97"/>
    <w:rsid w:val="006503BB"/>
    <w:rsid w:val="006513A2"/>
    <w:rsid w:val="006516B8"/>
    <w:rsid w:val="006533F9"/>
    <w:rsid w:val="0065354F"/>
    <w:rsid w:val="00653CA8"/>
    <w:rsid w:val="0065468E"/>
    <w:rsid w:val="00660B92"/>
    <w:rsid w:val="00661459"/>
    <w:rsid w:val="00662386"/>
    <w:rsid w:val="006624F6"/>
    <w:rsid w:val="0066662D"/>
    <w:rsid w:val="0066754C"/>
    <w:rsid w:val="00670272"/>
    <w:rsid w:val="00670CED"/>
    <w:rsid w:val="00671612"/>
    <w:rsid w:val="006721E7"/>
    <w:rsid w:val="00675D34"/>
    <w:rsid w:val="0067626E"/>
    <w:rsid w:val="006830E4"/>
    <w:rsid w:val="00683545"/>
    <w:rsid w:val="00685EC8"/>
    <w:rsid w:val="00686367"/>
    <w:rsid w:val="00690E11"/>
    <w:rsid w:val="006922C8"/>
    <w:rsid w:val="006928ED"/>
    <w:rsid w:val="00692B21"/>
    <w:rsid w:val="00692B58"/>
    <w:rsid w:val="006943CA"/>
    <w:rsid w:val="006958B0"/>
    <w:rsid w:val="006962F8"/>
    <w:rsid w:val="006965A8"/>
    <w:rsid w:val="006A0281"/>
    <w:rsid w:val="006A0292"/>
    <w:rsid w:val="006A035B"/>
    <w:rsid w:val="006A3A42"/>
    <w:rsid w:val="006A4376"/>
    <w:rsid w:val="006A44A3"/>
    <w:rsid w:val="006A5C6B"/>
    <w:rsid w:val="006A5EC2"/>
    <w:rsid w:val="006A70BB"/>
    <w:rsid w:val="006B0266"/>
    <w:rsid w:val="006B1E8A"/>
    <w:rsid w:val="006B2AAE"/>
    <w:rsid w:val="006B4086"/>
    <w:rsid w:val="006B458B"/>
    <w:rsid w:val="006B4EF3"/>
    <w:rsid w:val="006C0AB4"/>
    <w:rsid w:val="006C127E"/>
    <w:rsid w:val="006C1354"/>
    <w:rsid w:val="006C1DCA"/>
    <w:rsid w:val="006C45BE"/>
    <w:rsid w:val="006C62B2"/>
    <w:rsid w:val="006C71FC"/>
    <w:rsid w:val="006C79E5"/>
    <w:rsid w:val="006C7D6E"/>
    <w:rsid w:val="006D0D7A"/>
    <w:rsid w:val="006D2050"/>
    <w:rsid w:val="006D212B"/>
    <w:rsid w:val="006D287F"/>
    <w:rsid w:val="006D29BE"/>
    <w:rsid w:val="006D567A"/>
    <w:rsid w:val="006D67E8"/>
    <w:rsid w:val="006E062F"/>
    <w:rsid w:val="006E06E9"/>
    <w:rsid w:val="006E1CFA"/>
    <w:rsid w:val="006E2F25"/>
    <w:rsid w:val="006E313F"/>
    <w:rsid w:val="006E38D0"/>
    <w:rsid w:val="006E46D4"/>
    <w:rsid w:val="006E4CE2"/>
    <w:rsid w:val="006E74D2"/>
    <w:rsid w:val="006F0485"/>
    <w:rsid w:val="006F0F1D"/>
    <w:rsid w:val="006F26DF"/>
    <w:rsid w:val="006F3213"/>
    <w:rsid w:val="006F3E72"/>
    <w:rsid w:val="006F4C6F"/>
    <w:rsid w:val="006F5743"/>
    <w:rsid w:val="006F65AE"/>
    <w:rsid w:val="006F6925"/>
    <w:rsid w:val="006F6C17"/>
    <w:rsid w:val="00700776"/>
    <w:rsid w:val="00701598"/>
    <w:rsid w:val="007041B9"/>
    <w:rsid w:val="00704FE3"/>
    <w:rsid w:val="00706F65"/>
    <w:rsid w:val="00707607"/>
    <w:rsid w:val="007118FF"/>
    <w:rsid w:val="00711A30"/>
    <w:rsid w:val="00712FF9"/>
    <w:rsid w:val="00714057"/>
    <w:rsid w:val="00715EA4"/>
    <w:rsid w:val="00716F8A"/>
    <w:rsid w:val="0072063C"/>
    <w:rsid w:val="0072070D"/>
    <w:rsid w:val="00721310"/>
    <w:rsid w:val="007216E7"/>
    <w:rsid w:val="0072192F"/>
    <w:rsid w:val="007221D4"/>
    <w:rsid w:val="007247C2"/>
    <w:rsid w:val="007259A9"/>
    <w:rsid w:val="007277D4"/>
    <w:rsid w:val="007310C0"/>
    <w:rsid w:val="00731A84"/>
    <w:rsid w:val="00731EB0"/>
    <w:rsid w:val="00732445"/>
    <w:rsid w:val="00732E2A"/>
    <w:rsid w:val="0073354A"/>
    <w:rsid w:val="007336CF"/>
    <w:rsid w:val="00733958"/>
    <w:rsid w:val="00735A9E"/>
    <w:rsid w:val="00741339"/>
    <w:rsid w:val="00742B1F"/>
    <w:rsid w:val="00743897"/>
    <w:rsid w:val="00743DE0"/>
    <w:rsid w:val="007449E7"/>
    <w:rsid w:val="00745700"/>
    <w:rsid w:val="00745CE3"/>
    <w:rsid w:val="00747592"/>
    <w:rsid w:val="0075064A"/>
    <w:rsid w:val="0075151A"/>
    <w:rsid w:val="007532F6"/>
    <w:rsid w:val="007534CB"/>
    <w:rsid w:val="00753716"/>
    <w:rsid w:val="0075482F"/>
    <w:rsid w:val="0075653E"/>
    <w:rsid w:val="00756EC4"/>
    <w:rsid w:val="0075739D"/>
    <w:rsid w:val="00760392"/>
    <w:rsid w:val="00764B2C"/>
    <w:rsid w:val="00765005"/>
    <w:rsid w:val="00765157"/>
    <w:rsid w:val="0076588D"/>
    <w:rsid w:val="00770007"/>
    <w:rsid w:val="00770969"/>
    <w:rsid w:val="00770EC6"/>
    <w:rsid w:val="00772D57"/>
    <w:rsid w:val="00772D67"/>
    <w:rsid w:val="00772EC1"/>
    <w:rsid w:val="00773725"/>
    <w:rsid w:val="00773806"/>
    <w:rsid w:val="00773CBF"/>
    <w:rsid w:val="00774E31"/>
    <w:rsid w:val="00775295"/>
    <w:rsid w:val="007754ED"/>
    <w:rsid w:val="0077681C"/>
    <w:rsid w:val="0077791D"/>
    <w:rsid w:val="00777F6F"/>
    <w:rsid w:val="00780C84"/>
    <w:rsid w:val="0078237E"/>
    <w:rsid w:val="0078554B"/>
    <w:rsid w:val="007861FB"/>
    <w:rsid w:val="00787D35"/>
    <w:rsid w:val="007900C7"/>
    <w:rsid w:val="0079012B"/>
    <w:rsid w:val="007912C7"/>
    <w:rsid w:val="0079186F"/>
    <w:rsid w:val="00793655"/>
    <w:rsid w:val="00793721"/>
    <w:rsid w:val="007944AA"/>
    <w:rsid w:val="00794A50"/>
    <w:rsid w:val="00795420"/>
    <w:rsid w:val="00795B53"/>
    <w:rsid w:val="00797D44"/>
    <w:rsid w:val="007A0B0A"/>
    <w:rsid w:val="007A1F2D"/>
    <w:rsid w:val="007A2A35"/>
    <w:rsid w:val="007A4D4F"/>
    <w:rsid w:val="007A7792"/>
    <w:rsid w:val="007B15C9"/>
    <w:rsid w:val="007B223E"/>
    <w:rsid w:val="007B2752"/>
    <w:rsid w:val="007B4302"/>
    <w:rsid w:val="007B466F"/>
    <w:rsid w:val="007B6376"/>
    <w:rsid w:val="007B6A80"/>
    <w:rsid w:val="007C143B"/>
    <w:rsid w:val="007C19FC"/>
    <w:rsid w:val="007C1D1B"/>
    <w:rsid w:val="007C2DBF"/>
    <w:rsid w:val="007C3B62"/>
    <w:rsid w:val="007C70C2"/>
    <w:rsid w:val="007C75B3"/>
    <w:rsid w:val="007D0C04"/>
    <w:rsid w:val="007D0D0A"/>
    <w:rsid w:val="007D1C94"/>
    <w:rsid w:val="007D1D2E"/>
    <w:rsid w:val="007D2E90"/>
    <w:rsid w:val="007D77AE"/>
    <w:rsid w:val="007E3593"/>
    <w:rsid w:val="007E6A87"/>
    <w:rsid w:val="007E6F49"/>
    <w:rsid w:val="007E76A4"/>
    <w:rsid w:val="007E7BD0"/>
    <w:rsid w:val="007F1E6C"/>
    <w:rsid w:val="007F1EDB"/>
    <w:rsid w:val="007F411E"/>
    <w:rsid w:val="008003EF"/>
    <w:rsid w:val="008027B3"/>
    <w:rsid w:val="008043D8"/>
    <w:rsid w:val="00805815"/>
    <w:rsid w:val="00806DCB"/>
    <w:rsid w:val="00810ECD"/>
    <w:rsid w:val="008116F0"/>
    <w:rsid w:val="00811B17"/>
    <w:rsid w:val="00812E83"/>
    <w:rsid w:val="0081444E"/>
    <w:rsid w:val="0081700E"/>
    <w:rsid w:val="00817DD5"/>
    <w:rsid w:val="00817F20"/>
    <w:rsid w:val="00817FE6"/>
    <w:rsid w:val="00820923"/>
    <w:rsid w:val="00823DB6"/>
    <w:rsid w:val="00824750"/>
    <w:rsid w:val="008251C3"/>
    <w:rsid w:val="008257FD"/>
    <w:rsid w:val="00825828"/>
    <w:rsid w:val="0082608C"/>
    <w:rsid w:val="008276D3"/>
    <w:rsid w:val="00827AEF"/>
    <w:rsid w:val="008304E4"/>
    <w:rsid w:val="0083228D"/>
    <w:rsid w:val="00834933"/>
    <w:rsid w:val="00836306"/>
    <w:rsid w:val="00836A09"/>
    <w:rsid w:val="0084077B"/>
    <w:rsid w:val="008416E5"/>
    <w:rsid w:val="00841970"/>
    <w:rsid w:val="00843E41"/>
    <w:rsid w:val="00844104"/>
    <w:rsid w:val="0084649E"/>
    <w:rsid w:val="00846C9D"/>
    <w:rsid w:val="00847F09"/>
    <w:rsid w:val="0085017B"/>
    <w:rsid w:val="00851808"/>
    <w:rsid w:val="0085275A"/>
    <w:rsid w:val="00853F36"/>
    <w:rsid w:val="00854AE9"/>
    <w:rsid w:val="00855D99"/>
    <w:rsid w:val="00856185"/>
    <w:rsid w:val="00856AAE"/>
    <w:rsid w:val="00860D11"/>
    <w:rsid w:val="00860F35"/>
    <w:rsid w:val="008620DE"/>
    <w:rsid w:val="008639EE"/>
    <w:rsid w:val="00863AFB"/>
    <w:rsid w:val="00863F59"/>
    <w:rsid w:val="00864021"/>
    <w:rsid w:val="00864B7C"/>
    <w:rsid w:val="00864F7F"/>
    <w:rsid w:val="0086535C"/>
    <w:rsid w:val="00866EB5"/>
    <w:rsid w:val="00867ACF"/>
    <w:rsid w:val="008700A0"/>
    <w:rsid w:val="008715B9"/>
    <w:rsid w:val="00872157"/>
    <w:rsid w:val="008722FB"/>
    <w:rsid w:val="00872442"/>
    <w:rsid w:val="0087313C"/>
    <w:rsid w:val="008733F1"/>
    <w:rsid w:val="008746FC"/>
    <w:rsid w:val="008747BF"/>
    <w:rsid w:val="00876C26"/>
    <w:rsid w:val="00877634"/>
    <w:rsid w:val="008777B4"/>
    <w:rsid w:val="00877C1F"/>
    <w:rsid w:val="0088030E"/>
    <w:rsid w:val="00880E5D"/>
    <w:rsid w:val="008815EF"/>
    <w:rsid w:val="00881A18"/>
    <w:rsid w:val="00881BBD"/>
    <w:rsid w:val="008845CD"/>
    <w:rsid w:val="00885AF6"/>
    <w:rsid w:val="00886450"/>
    <w:rsid w:val="00887FA3"/>
    <w:rsid w:val="00891A8A"/>
    <w:rsid w:val="00891A99"/>
    <w:rsid w:val="00892449"/>
    <w:rsid w:val="00892BC6"/>
    <w:rsid w:val="00893553"/>
    <w:rsid w:val="0089741F"/>
    <w:rsid w:val="00897D68"/>
    <w:rsid w:val="008A009A"/>
    <w:rsid w:val="008A01B1"/>
    <w:rsid w:val="008A1046"/>
    <w:rsid w:val="008A1927"/>
    <w:rsid w:val="008A42F1"/>
    <w:rsid w:val="008A42FD"/>
    <w:rsid w:val="008A5A63"/>
    <w:rsid w:val="008A5B09"/>
    <w:rsid w:val="008A7EB3"/>
    <w:rsid w:val="008B1103"/>
    <w:rsid w:val="008B429C"/>
    <w:rsid w:val="008B53A2"/>
    <w:rsid w:val="008B7077"/>
    <w:rsid w:val="008C0BB6"/>
    <w:rsid w:val="008C3DA5"/>
    <w:rsid w:val="008C54BB"/>
    <w:rsid w:val="008C5C80"/>
    <w:rsid w:val="008C698F"/>
    <w:rsid w:val="008C6B5B"/>
    <w:rsid w:val="008D00FF"/>
    <w:rsid w:val="008D09FB"/>
    <w:rsid w:val="008D2F62"/>
    <w:rsid w:val="008D32BA"/>
    <w:rsid w:val="008D36F3"/>
    <w:rsid w:val="008D45A1"/>
    <w:rsid w:val="008D5825"/>
    <w:rsid w:val="008D5E5D"/>
    <w:rsid w:val="008D6BDA"/>
    <w:rsid w:val="008E066E"/>
    <w:rsid w:val="008E0F36"/>
    <w:rsid w:val="008E4B76"/>
    <w:rsid w:val="008E5F67"/>
    <w:rsid w:val="008F0BE7"/>
    <w:rsid w:val="008F12C8"/>
    <w:rsid w:val="008F3AA8"/>
    <w:rsid w:val="008F48F5"/>
    <w:rsid w:val="008F5510"/>
    <w:rsid w:val="008F5F12"/>
    <w:rsid w:val="008F68E9"/>
    <w:rsid w:val="009040ED"/>
    <w:rsid w:val="009063A6"/>
    <w:rsid w:val="0090683C"/>
    <w:rsid w:val="00910147"/>
    <w:rsid w:val="009108B9"/>
    <w:rsid w:val="009111B6"/>
    <w:rsid w:val="00911310"/>
    <w:rsid w:val="009120F7"/>
    <w:rsid w:val="0091213E"/>
    <w:rsid w:val="00914B13"/>
    <w:rsid w:val="00916545"/>
    <w:rsid w:val="00916C4C"/>
    <w:rsid w:val="009225F7"/>
    <w:rsid w:val="00922671"/>
    <w:rsid w:val="00924560"/>
    <w:rsid w:val="00924D3D"/>
    <w:rsid w:val="00924D6C"/>
    <w:rsid w:val="009254CC"/>
    <w:rsid w:val="009260AF"/>
    <w:rsid w:val="0092622F"/>
    <w:rsid w:val="0092673C"/>
    <w:rsid w:val="0092707C"/>
    <w:rsid w:val="00932416"/>
    <w:rsid w:val="00932C6D"/>
    <w:rsid w:val="009336CA"/>
    <w:rsid w:val="00934E0B"/>
    <w:rsid w:val="009419DD"/>
    <w:rsid w:val="00941DA9"/>
    <w:rsid w:val="00942754"/>
    <w:rsid w:val="0094298D"/>
    <w:rsid w:val="0094311C"/>
    <w:rsid w:val="00943E09"/>
    <w:rsid w:val="0094411D"/>
    <w:rsid w:val="00945183"/>
    <w:rsid w:val="00945D51"/>
    <w:rsid w:val="00945E3D"/>
    <w:rsid w:val="00946F0C"/>
    <w:rsid w:val="00947F66"/>
    <w:rsid w:val="009535D9"/>
    <w:rsid w:val="00954ED6"/>
    <w:rsid w:val="00955A76"/>
    <w:rsid w:val="0095694E"/>
    <w:rsid w:val="00960349"/>
    <w:rsid w:val="0096081E"/>
    <w:rsid w:val="00961243"/>
    <w:rsid w:val="00963583"/>
    <w:rsid w:val="00964810"/>
    <w:rsid w:val="009648DF"/>
    <w:rsid w:val="00966F27"/>
    <w:rsid w:val="00971DCD"/>
    <w:rsid w:val="0097210B"/>
    <w:rsid w:val="009725B9"/>
    <w:rsid w:val="00976D59"/>
    <w:rsid w:val="00980604"/>
    <w:rsid w:val="0098186B"/>
    <w:rsid w:val="0098333F"/>
    <w:rsid w:val="00983A21"/>
    <w:rsid w:val="009847FC"/>
    <w:rsid w:val="009855B8"/>
    <w:rsid w:val="00986660"/>
    <w:rsid w:val="00986DF3"/>
    <w:rsid w:val="009877F5"/>
    <w:rsid w:val="0099227D"/>
    <w:rsid w:val="00992A98"/>
    <w:rsid w:val="00992D7A"/>
    <w:rsid w:val="00993AEE"/>
    <w:rsid w:val="009951C5"/>
    <w:rsid w:val="009970EB"/>
    <w:rsid w:val="00997A58"/>
    <w:rsid w:val="009A0940"/>
    <w:rsid w:val="009A16DE"/>
    <w:rsid w:val="009A1A73"/>
    <w:rsid w:val="009A1D4E"/>
    <w:rsid w:val="009A24FF"/>
    <w:rsid w:val="009A503F"/>
    <w:rsid w:val="009A5B6B"/>
    <w:rsid w:val="009A5EBD"/>
    <w:rsid w:val="009C0BD7"/>
    <w:rsid w:val="009C37ED"/>
    <w:rsid w:val="009C7BA5"/>
    <w:rsid w:val="009D4B66"/>
    <w:rsid w:val="009D5227"/>
    <w:rsid w:val="009D56F8"/>
    <w:rsid w:val="009D58A6"/>
    <w:rsid w:val="009D61FB"/>
    <w:rsid w:val="009D7D61"/>
    <w:rsid w:val="009E11A0"/>
    <w:rsid w:val="009E1ADD"/>
    <w:rsid w:val="009E396C"/>
    <w:rsid w:val="009E3A5D"/>
    <w:rsid w:val="009E3B68"/>
    <w:rsid w:val="009E516B"/>
    <w:rsid w:val="009E6E9F"/>
    <w:rsid w:val="009F005A"/>
    <w:rsid w:val="009F0C72"/>
    <w:rsid w:val="009F2181"/>
    <w:rsid w:val="009F2596"/>
    <w:rsid w:val="009F2E33"/>
    <w:rsid w:val="009F31DB"/>
    <w:rsid w:val="009F3C1A"/>
    <w:rsid w:val="009F460E"/>
    <w:rsid w:val="009F642D"/>
    <w:rsid w:val="00A002BF"/>
    <w:rsid w:val="00A00B8E"/>
    <w:rsid w:val="00A0155E"/>
    <w:rsid w:val="00A03AE2"/>
    <w:rsid w:val="00A07503"/>
    <w:rsid w:val="00A07B91"/>
    <w:rsid w:val="00A104FB"/>
    <w:rsid w:val="00A1295C"/>
    <w:rsid w:val="00A14600"/>
    <w:rsid w:val="00A14A72"/>
    <w:rsid w:val="00A153BC"/>
    <w:rsid w:val="00A215E6"/>
    <w:rsid w:val="00A21934"/>
    <w:rsid w:val="00A23F6C"/>
    <w:rsid w:val="00A24078"/>
    <w:rsid w:val="00A25238"/>
    <w:rsid w:val="00A266A2"/>
    <w:rsid w:val="00A26DCB"/>
    <w:rsid w:val="00A2700A"/>
    <w:rsid w:val="00A27C59"/>
    <w:rsid w:val="00A30D31"/>
    <w:rsid w:val="00A32508"/>
    <w:rsid w:val="00A33852"/>
    <w:rsid w:val="00A354DC"/>
    <w:rsid w:val="00A35D46"/>
    <w:rsid w:val="00A36FAC"/>
    <w:rsid w:val="00A41045"/>
    <w:rsid w:val="00A41A39"/>
    <w:rsid w:val="00A43807"/>
    <w:rsid w:val="00A439D8"/>
    <w:rsid w:val="00A509EE"/>
    <w:rsid w:val="00A528E6"/>
    <w:rsid w:val="00A52F24"/>
    <w:rsid w:val="00A532D5"/>
    <w:rsid w:val="00A53B69"/>
    <w:rsid w:val="00A564A7"/>
    <w:rsid w:val="00A56BA0"/>
    <w:rsid w:val="00A56C78"/>
    <w:rsid w:val="00A57E1D"/>
    <w:rsid w:val="00A60C38"/>
    <w:rsid w:val="00A61873"/>
    <w:rsid w:val="00A61D77"/>
    <w:rsid w:val="00A6211E"/>
    <w:rsid w:val="00A62933"/>
    <w:rsid w:val="00A62ED3"/>
    <w:rsid w:val="00A6424B"/>
    <w:rsid w:val="00A65873"/>
    <w:rsid w:val="00A6589B"/>
    <w:rsid w:val="00A65BB3"/>
    <w:rsid w:val="00A65ED9"/>
    <w:rsid w:val="00A70EE3"/>
    <w:rsid w:val="00A71144"/>
    <w:rsid w:val="00A72825"/>
    <w:rsid w:val="00A74614"/>
    <w:rsid w:val="00A75F5D"/>
    <w:rsid w:val="00A77E24"/>
    <w:rsid w:val="00A80216"/>
    <w:rsid w:val="00A81954"/>
    <w:rsid w:val="00A84C23"/>
    <w:rsid w:val="00A8558C"/>
    <w:rsid w:val="00A86477"/>
    <w:rsid w:val="00A91519"/>
    <w:rsid w:val="00A9331B"/>
    <w:rsid w:val="00A93825"/>
    <w:rsid w:val="00A943A8"/>
    <w:rsid w:val="00A95590"/>
    <w:rsid w:val="00A974CA"/>
    <w:rsid w:val="00AA22B9"/>
    <w:rsid w:val="00AA36B6"/>
    <w:rsid w:val="00AA3A0D"/>
    <w:rsid w:val="00AA45A4"/>
    <w:rsid w:val="00AA72D5"/>
    <w:rsid w:val="00AA78CC"/>
    <w:rsid w:val="00AB0959"/>
    <w:rsid w:val="00AB0A82"/>
    <w:rsid w:val="00AB0CE3"/>
    <w:rsid w:val="00AB200C"/>
    <w:rsid w:val="00AB6366"/>
    <w:rsid w:val="00AB6873"/>
    <w:rsid w:val="00AB6A4F"/>
    <w:rsid w:val="00AB7FF1"/>
    <w:rsid w:val="00AC2FB8"/>
    <w:rsid w:val="00AC4FF9"/>
    <w:rsid w:val="00AC7C21"/>
    <w:rsid w:val="00AD0CD0"/>
    <w:rsid w:val="00AD0E2B"/>
    <w:rsid w:val="00AD1469"/>
    <w:rsid w:val="00AD29C2"/>
    <w:rsid w:val="00AD2B5B"/>
    <w:rsid w:val="00AD4784"/>
    <w:rsid w:val="00AD4F84"/>
    <w:rsid w:val="00AD5598"/>
    <w:rsid w:val="00AD7D38"/>
    <w:rsid w:val="00AE1FE5"/>
    <w:rsid w:val="00AE2DD9"/>
    <w:rsid w:val="00AE4762"/>
    <w:rsid w:val="00AE4816"/>
    <w:rsid w:val="00AE6E57"/>
    <w:rsid w:val="00AF08D1"/>
    <w:rsid w:val="00AF0C16"/>
    <w:rsid w:val="00AF156A"/>
    <w:rsid w:val="00AF2B67"/>
    <w:rsid w:val="00AF3A17"/>
    <w:rsid w:val="00AF4A27"/>
    <w:rsid w:val="00AF5DA3"/>
    <w:rsid w:val="00AF6247"/>
    <w:rsid w:val="00AF6BEE"/>
    <w:rsid w:val="00B01208"/>
    <w:rsid w:val="00B02D82"/>
    <w:rsid w:val="00B034BA"/>
    <w:rsid w:val="00B03739"/>
    <w:rsid w:val="00B0445E"/>
    <w:rsid w:val="00B045F9"/>
    <w:rsid w:val="00B055E8"/>
    <w:rsid w:val="00B11A0D"/>
    <w:rsid w:val="00B12204"/>
    <w:rsid w:val="00B12B43"/>
    <w:rsid w:val="00B14555"/>
    <w:rsid w:val="00B157BE"/>
    <w:rsid w:val="00B1647E"/>
    <w:rsid w:val="00B1723F"/>
    <w:rsid w:val="00B211DC"/>
    <w:rsid w:val="00B21F71"/>
    <w:rsid w:val="00B22095"/>
    <w:rsid w:val="00B227F1"/>
    <w:rsid w:val="00B24C8F"/>
    <w:rsid w:val="00B25051"/>
    <w:rsid w:val="00B25DC0"/>
    <w:rsid w:val="00B25F55"/>
    <w:rsid w:val="00B26E3A"/>
    <w:rsid w:val="00B2704B"/>
    <w:rsid w:val="00B31C81"/>
    <w:rsid w:val="00B32BBE"/>
    <w:rsid w:val="00B32F69"/>
    <w:rsid w:val="00B36AFB"/>
    <w:rsid w:val="00B3721E"/>
    <w:rsid w:val="00B43019"/>
    <w:rsid w:val="00B44B68"/>
    <w:rsid w:val="00B45ACC"/>
    <w:rsid w:val="00B45CB7"/>
    <w:rsid w:val="00B475FD"/>
    <w:rsid w:val="00B50248"/>
    <w:rsid w:val="00B50296"/>
    <w:rsid w:val="00B50D30"/>
    <w:rsid w:val="00B51E1F"/>
    <w:rsid w:val="00B5319E"/>
    <w:rsid w:val="00B546B9"/>
    <w:rsid w:val="00B54E95"/>
    <w:rsid w:val="00B55188"/>
    <w:rsid w:val="00B55641"/>
    <w:rsid w:val="00B55F41"/>
    <w:rsid w:val="00B57A6A"/>
    <w:rsid w:val="00B62111"/>
    <w:rsid w:val="00B63525"/>
    <w:rsid w:val="00B64994"/>
    <w:rsid w:val="00B658A0"/>
    <w:rsid w:val="00B659EC"/>
    <w:rsid w:val="00B66457"/>
    <w:rsid w:val="00B7037D"/>
    <w:rsid w:val="00B706EB"/>
    <w:rsid w:val="00B71BCF"/>
    <w:rsid w:val="00B72DD5"/>
    <w:rsid w:val="00B732B5"/>
    <w:rsid w:val="00B73319"/>
    <w:rsid w:val="00B743B7"/>
    <w:rsid w:val="00B74CD9"/>
    <w:rsid w:val="00B76634"/>
    <w:rsid w:val="00B7688F"/>
    <w:rsid w:val="00B805AD"/>
    <w:rsid w:val="00B848EE"/>
    <w:rsid w:val="00B8579A"/>
    <w:rsid w:val="00B859E2"/>
    <w:rsid w:val="00B9003B"/>
    <w:rsid w:val="00B9029C"/>
    <w:rsid w:val="00B915F5"/>
    <w:rsid w:val="00B91D09"/>
    <w:rsid w:val="00B92CE5"/>
    <w:rsid w:val="00B92D25"/>
    <w:rsid w:val="00B97E9E"/>
    <w:rsid w:val="00B97EE5"/>
    <w:rsid w:val="00BA21F3"/>
    <w:rsid w:val="00BA251B"/>
    <w:rsid w:val="00BA2E37"/>
    <w:rsid w:val="00BA3387"/>
    <w:rsid w:val="00BA5205"/>
    <w:rsid w:val="00BA6B32"/>
    <w:rsid w:val="00BA6E2B"/>
    <w:rsid w:val="00BA7CAC"/>
    <w:rsid w:val="00BB0A8B"/>
    <w:rsid w:val="00BB0FA8"/>
    <w:rsid w:val="00BB0FC9"/>
    <w:rsid w:val="00BB108C"/>
    <w:rsid w:val="00BB1574"/>
    <w:rsid w:val="00BB159D"/>
    <w:rsid w:val="00BB17AC"/>
    <w:rsid w:val="00BB1907"/>
    <w:rsid w:val="00BB1970"/>
    <w:rsid w:val="00BB2B90"/>
    <w:rsid w:val="00BB372A"/>
    <w:rsid w:val="00BB3EAF"/>
    <w:rsid w:val="00BB4017"/>
    <w:rsid w:val="00BB4044"/>
    <w:rsid w:val="00BB4AF9"/>
    <w:rsid w:val="00BB5800"/>
    <w:rsid w:val="00BC278C"/>
    <w:rsid w:val="00BC29EA"/>
    <w:rsid w:val="00BC5EEA"/>
    <w:rsid w:val="00BC6AD9"/>
    <w:rsid w:val="00BC6DEA"/>
    <w:rsid w:val="00BD346C"/>
    <w:rsid w:val="00BD3DD7"/>
    <w:rsid w:val="00BD41E5"/>
    <w:rsid w:val="00BD569D"/>
    <w:rsid w:val="00BD5822"/>
    <w:rsid w:val="00BD5A0E"/>
    <w:rsid w:val="00BE03EE"/>
    <w:rsid w:val="00BE0658"/>
    <w:rsid w:val="00BE0F2D"/>
    <w:rsid w:val="00BE104E"/>
    <w:rsid w:val="00BE10F8"/>
    <w:rsid w:val="00BE3345"/>
    <w:rsid w:val="00BE637E"/>
    <w:rsid w:val="00BF12F8"/>
    <w:rsid w:val="00BF1AFC"/>
    <w:rsid w:val="00BF2048"/>
    <w:rsid w:val="00BF4974"/>
    <w:rsid w:val="00BF563B"/>
    <w:rsid w:val="00BF5FA3"/>
    <w:rsid w:val="00BF6533"/>
    <w:rsid w:val="00C0003A"/>
    <w:rsid w:val="00C00DBB"/>
    <w:rsid w:val="00C01961"/>
    <w:rsid w:val="00C02D76"/>
    <w:rsid w:val="00C03D32"/>
    <w:rsid w:val="00C049B6"/>
    <w:rsid w:val="00C053D7"/>
    <w:rsid w:val="00C06A42"/>
    <w:rsid w:val="00C06C8E"/>
    <w:rsid w:val="00C06E87"/>
    <w:rsid w:val="00C07135"/>
    <w:rsid w:val="00C07935"/>
    <w:rsid w:val="00C07E9A"/>
    <w:rsid w:val="00C11513"/>
    <w:rsid w:val="00C127CD"/>
    <w:rsid w:val="00C149F8"/>
    <w:rsid w:val="00C14D28"/>
    <w:rsid w:val="00C151AB"/>
    <w:rsid w:val="00C15DB3"/>
    <w:rsid w:val="00C15DF7"/>
    <w:rsid w:val="00C15F48"/>
    <w:rsid w:val="00C16AE9"/>
    <w:rsid w:val="00C20D77"/>
    <w:rsid w:val="00C21690"/>
    <w:rsid w:val="00C23266"/>
    <w:rsid w:val="00C24AFA"/>
    <w:rsid w:val="00C26138"/>
    <w:rsid w:val="00C278CF"/>
    <w:rsid w:val="00C30B0E"/>
    <w:rsid w:val="00C32E6F"/>
    <w:rsid w:val="00C3559C"/>
    <w:rsid w:val="00C41100"/>
    <w:rsid w:val="00C41C2E"/>
    <w:rsid w:val="00C42742"/>
    <w:rsid w:val="00C45C28"/>
    <w:rsid w:val="00C45E1E"/>
    <w:rsid w:val="00C46814"/>
    <w:rsid w:val="00C46C62"/>
    <w:rsid w:val="00C4773C"/>
    <w:rsid w:val="00C50D3E"/>
    <w:rsid w:val="00C53264"/>
    <w:rsid w:val="00C5340B"/>
    <w:rsid w:val="00C539E0"/>
    <w:rsid w:val="00C53D9C"/>
    <w:rsid w:val="00C54F3E"/>
    <w:rsid w:val="00C55E19"/>
    <w:rsid w:val="00C56771"/>
    <w:rsid w:val="00C56B12"/>
    <w:rsid w:val="00C56E7E"/>
    <w:rsid w:val="00C6100C"/>
    <w:rsid w:val="00C611C6"/>
    <w:rsid w:val="00C65783"/>
    <w:rsid w:val="00C66E10"/>
    <w:rsid w:val="00C6705E"/>
    <w:rsid w:val="00C67E73"/>
    <w:rsid w:val="00C71042"/>
    <w:rsid w:val="00C72A03"/>
    <w:rsid w:val="00C74AD9"/>
    <w:rsid w:val="00C74D8E"/>
    <w:rsid w:val="00C75DE5"/>
    <w:rsid w:val="00C75FC3"/>
    <w:rsid w:val="00C766CE"/>
    <w:rsid w:val="00C81DF2"/>
    <w:rsid w:val="00C831DF"/>
    <w:rsid w:val="00C83C57"/>
    <w:rsid w:val="00C86166"/>
    <w:rsid w:val="00C87829"/>
    <w:rsid w:val="00C87D98"/>
    <w:rsid w:val="00C90C19"/>
    <w:rsid w:val="00C90C82"/>
    <w:rsid w:val="00C91877"/>
    <w:rsid w:val="00C92341"/>
    <w:rsid w:val="00C93379"/>
    <w:rsid w:val="00C93EF7"/>
    <w:rsid w:val="00C952E2"/>
    <w:rsid w:val="00C9562E"/>
    <w:rsid w:val="00C9694E"/>
    <w:rsid w:val="00C96EBE"/>
    <w:rsid w:val="00CA0E3D"/>
    <w:rsid w:val="00CA12F9"/>
    <w:rsid w:val="00CA15C8"/>
    <w:rsid w:val="00CA17E1"/>
    <w:rsid w:val="00CA3E2D"/>
    <w:rsid w:val="00CA4625"/>
    <w:rsid w:val="00CB10E3"/>
    <w:rsid w:val="00CB2308"/>
    <w:rsid w:val="00CB37A2"/>
    <w:rsid w:val="00CB7EBF"/>
    <w:rsid w:val="00CC24A0"/>
    <w:rsid w:val="00CC2542"/>
    <w:rsid w:val="00CC29CA"/>
    <w:rsid w:val="00CC2E7A"/>
    <w:rsid w:val="00CC39E1"/>
    <w:rsid w:val="00CC3EA1"/>
    <w:rsid w:val="00CC497F"/>
    <w:rsid w:val="00CC580A"/>
    <w:rsid w:val="00CC76F7"/>
    <w:rsid w:val="00CD18FE"/>
    <w:rsid w:val="00CD344C"/>
    <w:rsid w:val="00CD40AB"/>
    <w:rsid w:val="00CD4530"/>
    <w:rsid w:val="00CD48FE"/>
    <w:rsid w:val="00CD4E02"/>
    <w:rsid w:val="00CD6288"/>
    <w:rsid w:val="00CD6F8C"/>
    <w:rsid w:val="00CD704B"/>
    <w:rsid w:val="00CE060A"/>
    <w:rsid w:val="00CE0EB4"/>
    <w:rsid w:val="00CE27D3"/>
    <w:rsid w:val="00CE3F1A"/>
    <w:rsid w:val="00CE43C8"/>
    <w:rsid w:val="00CE5085"/>
    <w:rsid w:val="00CE6473"/>
    <w:rsid w:val="00CE663A"/>
    <w:rsid w:val="00CE7786"/>
    <w:rsid w:val="00CF08D0"/>
    <w:rsid w:val="00CF12D1"/>
    <w:rsid w:val="00CF4AF5"/>
    <w:rsid w:val="00CF4C32"/>
    <w:rsid w:val="00CF5124"/>
    <w:rsid w:val="00CF6C64"/>
    <w:rsid w:val="00CF72B1"/>
    <w:rsid w:val="00CF7CFA"/>
    <w:rsid w:val="00D00A6F"/>
    <w:rsid w:val="00D018E7"/>
    <w:rsid w:val="00D020BE"/>
    <w:rsid w:val="00D0250D"/>
    <w:rsid w:val="00D03405"/>
    <w:rsid w:val="00D0393C"/>
    <w:rsid w:val="00D046DB"/>
    <w:rsid w:val="00D04D40"/>
    <w:rsid w:val="00D063ED"/>
    <w:rsid w:val="00D064BC"/>
    <w:rsid w:val="00D1616E"/>
    <w:rsid w:val="00D20BE9"/>
    <w:rsid w:val="00D20FD9"/>
    <w:rsid w:val="00D20FEE"/>
    <w:rsid w:val="00D21151"/>
    <w:rsid w:val="00D2167D"/>
    <w:rsid w:val="00D21A9E"/>
    <w:rsid w:val="00D21E7C"/>
    <w:rsid w:val="00D2616A"/>
    <w:rsid w:val="00D26D91"/>
    <w:rsid w:val="00D30614"/>
    <w:rsid w:val="00D31025"/>
    <w:rsid w:val="00D32FE2"/>
    <w:rsid w:val="00D34C18"/>
    <w:rsid w:val="00D37584"/>
    <w:rsid w:val="00D406D4"/>
    <w:rsid w:val="00D409C1"/>
    <w:rsid w:val="00D41636"/>
    <w:rsid w:val="00D43A38"/>
    <w:rsid w:val="00D446E4"/>
    <w:rsid w:val="00D476AA"/>
    <w:rsid w:val="00D50326"/>
    <w:rsid w:val="00D50AE0"/>
    <w:rsid w:val="00D51083"/>
    <w:rsid w:val="00D52680"/>
    <w:rsid w:val="00D5333B"/>
    <w:rsid w:val="00D54429"/>
    <w:rsid w:val="00D55CC8"/>
    <w:rsid w:val="00D56D4C"/>
    <w:rsid w:val="00D57B38"/>
    <w:rsid w:val="00D6387E"/>
    <w:rsid w:val="00D646B9"/>
    <w:rsid w:val="00D64F47"/>
    <w:rsid w:val="00D66583"/>
    <w:rsid w:val="00D66942"/>
    <w:rsid w:val="00D66F86"/>
    <w:rsid w:val="00D70312"/>
    <w:rsid w:val="00D7081E"/>
    <w:rsid w:val="00D73DBF"/>
    <w:rsid w:val="00D740DA"/>
    <w:rsid w:val="00D75AC5"/>
    <w:rsid w:val="00D80AAD"/>
    <w:rsid w:val="00D85147"/>
    <w:rsid w:val="00D91FB3"/>
    <w:rsid w:val="00D92E7A"/>
    <w:rsid w:val="00D939C8"/>
    <w:rsid w:val="00D94808"/>
    <w:rsid w:val="00D94943"/>
    <w:rsid w:val="00D95391"/>
    <w:rsid w:val="00D96A5C"/>
    <w:rsid w:val="00D96F7C"/>
    <w:rsid w:val="00D97F28"/>
    <w:rsid w:val="00DA1E1F"/>
    <w:rsid w:val="00DA2D21"/>
    <w:rsid w:val="00DA4E6C"/>
    <w:rsid w:val="00DA625F"/>
    <w:rsid w:val="00DA765B"/>
    <w:rsid w:val="00DA7713"/>
    <w:rsid w:val="00DB04EB"/>
    <w:rsid w:val="00DB424E"/>
    <w:rsid w:val="00DB7405"/>
    <w:rsid w:val="00DB7EF3"/>
    <w:rsid w:val="00DC069F"/>
    <w:rsid w:val="00DC122C"/>
    <w:rsid w:val="00DC3A5E"/>
    <w:rsid w:val="00DC5865"/>
    <w:rsid w:val="00DC7351"/>
    <w:rsid w:val="00DC7A46"/>
    <w:rsid w:val="00DC7C08"/>
    <w:rsid w:val="00DD04B5"/>
    <w:rsid w:val="00DD051F"/>
    <w:rsid w:val="00DD301B"/>
    <w:rsid w:val="00DD351A"/>
    <w:rsid w:val="00DD372C"/>
    <w:rsid w:val="00DD4F49"/>
    <w:rsid w:val="00DE02BB"/>
    <w:rsid w:val="00DE0CAE"/>
    <w:rsid w:val="00DE1322"/>
    <w:rsid w:val="00DE3FBF"/>
    <w:rsid w:val="00DE4615"/>
    <w:rsid w:val="00DF1B3A"/>
    <w:rsid w:val="00DF2565"/>
    <w:rsid w:val="00DF3CA1"/>
    <w:rsid w:val="00DF4CDA"/>
    <w:rsid w:val="00DF56DD"/>
    <w:rsid w:val="00DF74E6"/>
    <w:rsid w:val="00E017A3"/>
    <w:rsid w:val="00E02535"/>
    <w:rsid w:val="00E02652"/>
    <w:rsid w:val="00E03DDC"/>
    <w:rsid w:val="00E046AE"/>
    <w:rsid w:val="00E059C2"/>
    <w:rsid w:val="00E069DD"/>
    <w:rsid w:val="00E07D7E"/>
    <w:rsid w:val="00E10557"/>
    <w:rsid w:val="00E11F77"/>
    <w:rsid w:val="00E138DF"/>
    <w:rsid w:val="00E13B46"/>
    <w:rsid w:val="00E13BE7"/>
    <w:rsid w:val="00E14D64"/>
    <w:rsid w:val="00E15D90"/>
    <w:rsid w:val="00E160AA"/>
    <w:rsid w:val="00E16E17"/>
    <w:rsid w:val="00E17469"/>
    <w:rsid w:val="00E17BD5"/>
    <w:rsid w:val="00E17CD6"/>
    <w:rsid w:val="00E209DA"/>
    <w:rsid w:val="00E21112"/>
    <w:rsid w:val="00E246CF"/>
    <w:rsid w:val="00E277A7"/>
    <w:rsid w:val="00E30F87"/>
    <w:rsid w:val="00E31DDC"/>
    <w:rsid w:val="00E3247B"/>
    <w:rsid w:val="00E32B0F"/>
    <w:rsid w:val="00E334F5"/>
    <w:rsid w:val="00E337E0"/>
    <w:rsid w:val="00E33A40"/>
    <w:rsid w:val="00E33AB3"/>
    <w:rsid w:val="00E33BCB"/>
    <w:rsid w:val="00E35DF1"/>
    <w:rsid w:val="00E40C05"/>
    <w:rsid w:val="00E42052"/>
    <w:rsid w:val="00E422BF"/>
    <w:rsid w:val="00E425D1"/>
    <w:rsid w:val="00E427C3"/>
    <w:rsid w:val="00E437BF"/>
    <w:rsid w:val="00E4381B"/>
    <w:rsid w:val="00E44799"/>
    <w:rsid w:val="00E47418"/>
    <w:rsid w:val="00E47488"/>
    <w:rsid w:val="00E4789D"/>
    <w:rsid w:val="00E50CBE"/>
    <w:rsid w:val="00E51945"/>
    <w:rsid w:val="00E53DDE"/>
    <w:rsid w:val="00E5497C"/>
    <w:rsid w:val="00E54BEB"/>
    <w:rsid w:val="00E559C7"/>
    <w:rsid w:val="00E567C8"/>
    <w:rsid w:val="00E56E22"/>
    <w:rsid w:val="00E57870"/>
    <w:rsid w:val="00E57A5B"/>
    <w:rsid w:val="00E60E4F"/>
    <w:rsid w:val="00E613C6"/>
    <w:rsid w:val="00E61CC5"/>
    <w:rsid w:val="00E61D7E"/>
    <w:rsid w:val="00E634D2"/>
    <w:rsid w:val="00E63679"/>
    <w:rsid w:val="00E64A31"/>
    <w:rsid w:val="00E661EA"/>
    <w:rsid w:val="00E66470"/>
    <w:rsid w:val="00E67FCD"/>
    <w:rsid w:val="00E71357"/>
    <w:rsid w:val="00E716F8"/>
    <w:rsid w:val="00E718A6"/>
    <w:rsid w:val="00E71C50"/>
    <w:rsid w:val="00E723A0"/>
    <w:rsid w:val="00E73BD4"/>
    <w:rsid w:val="00E755CE"/>
    <w:rsid w:val="00E75906"/>
    <w:rsid w:val="00E76DF6"/>
    <w:rsid w:val="00E77087"/>
    <w:rsid w:val="00E82824"/>
    <w:rsid w:val="00E8289B"/>
    <w:rsid w:val="00E82CE7"/>
    <w:rsid w:val="00E83F6D"/>
    <w:rsid w:val="00E87B80"/>
    <w:rsid w:val="00E902B0"/>
    <w:rsid w:val="00E903B7"/>
    <w:rsid w:val="00E914CA"/>
    <w:rsid w:val="00E91A79"/>
    <w:rsid w:val="00E92F32"/>
    <w:rsid w:val="00E92F8F"/>
    <w:rsid w:val="00E9375C"/>
    <w:rsid w:val="00E93D4F"/>
    <w:rsid w:val="00E95716"/>
    <w:rsid w:val="00E9613A"/>
    <w:rsid w:val="00EA1A84"/>
    <w:rsid w:val="00EA3A06"/>
    <w:rsid w:val="00EB025E"/>
    <w:rsid w:val="00EB0D4C"/>
    <w:rsid w:val="00EB2F4A"/>
    <w:rsid w:val="00EB3606"/>
    <w:rsid w:val="00EB4AC2"/>
    <w:rsid w:val="00EB5C67"/>
    <w:rsid w:val="00EB6011"/>
    <w:rsid w:val="00EB763D"/>
    <w:rsid w:val="00EC2B05"/>
    <w:rsid w:val="00EC527D"/>
    <w:rsid w:val="00EC52C4"/>
    <w:rsid w:val="00EC62DB"/>
    <w:rsid w:val="00EC7087"/>
    <w:rsid w:val="00EC7254"/>
    <w:rsid w:val="00ED22E6"/>
    <w:rsid w:val="00ED2F41"/>
    <w:rsid w:val="00ED3303"/>
    <w:rsid w:val="00ED39CA"/>
    <w:rsid w:val="00ED469A"/>
    <w:rsid w:val="00ED5803"/>
    <w:rsid w:val="00ED78FA"/>
    <w:rsid w:val="00ED7E0D"/>
    <w:rsid w:val="00EE109B"/>
    <w:rsid w:val="00EE174C"/>
    <w:rsid w:val="00EE4972"/>
    <w:rsid w:val="00EE4AA7"/>
    <w:rsid w:val="00EE5405"/>
    <w:rsid w:val="00EE655A"/>
    <w:rsid w:val="00EE7B06"/>
    <w:rsid w:val="00EF0F31"/>
    <w:rsid w:val="00EF122C"/>
    <w:rsid w:val="00EF1D45"/>
    <w:rsid w:val="00EF2BC0"/>
    <w:rsid w:val="00F01F2A"/>
    <w:rsid w:val="00F029C1"/>
    <w:rsid w:val="00F02A07"/>
    <w:rsid w:val="00F047F4"/>
    <w:rsid w:val="00F1003B"/>
    <w:rsid w:val="00F109CE"/>
    <w:rsid w:val="00F125B5"/>
    <w:rsid w:val="00F157A4"/>
    <w:rsid w:val="00F15AD8"/>
    <w:rsid w:val="00F15F7E"/>
    <w:rsid w:val="00F17C9E"/>
    <w:rsid w:val="00F200E5"/>
    <w:rsid w:val="00F22D54"/>
    <w:rsid w:val="00F23C5B"/>
    <w:rsid w:val="00F27597"/>
    <w:rsid w:val="00F27962"/>
    <w:rsid w:val="00F27D5C"/>
    <w:rsid w:val="00F309AC"/>
    <w:rsid w:val="00F3209A"/>
    <w:rsid w:val="00F326F3"/>
    <w:rsid w:val="00F3322E"/>
    <w:rsid w:val="00F34802"/>
    <w:rsid w:val="00F35BFF"/>
    <w:rsid w:val="00F36244"/>
    <w:rsid w:val="00F407BE"/>
    <w:rsid w:val="00F43DCF"/>
    <w:rsid w:val="00F4500B"/>
    <w:rsid w:val="00F459A1"/>
    <w:rsid w:val="00F467CA"/>
    <w:rsid w:val="00F47149"/>
    <w:rsid w:val="00F53447"/>
    <w:rsid w:val="00F54625"/>
    <w:rsid w:val="00F54B15"/>
    <w:rsid w:val="00F5784E"/>
    <w:rsid w:val="00F605E0"/>
    <w:rsid w:val="00F618C2"/>
    <w:rsid w:val="00F64A06"/>
    <w:rsid w:val="00F65C7D"/>
    <w:rsid w:val="00F664C0"/>
    <w:rsid w:val="00F71438"/>
    <w:rsid w:val="00F73106"/>
    <w:rsid w:val="00F738EF"/>
    <w:rsid w:val="00F73DCE"/>
    <w:rsid w:val="00F74DB5"/>
    <w:rsid w:val="00F7637A"/>
    <w:rsid w:val="00F81400"/>
    <w:rsid w:val="00F816C8"/>
    <w:rsid w:val="00F82831"/>
    <w:rsid w:val="00F831BF"/>
    <w:rsid w:val="00F84450"/>
    <w:rsid w:val="00F84C9F"/>
    <w:rsid w:val="00F86D4B"/>
    <w:rsid w:val="00F9212C"/>
    <w:rsid w:val="00F921E4"/>
    <w:rsid w:val="00F92A7A"/>
    <w:rsid w:val="00F93D22"/>
    <w:rsid w:val="00F93E2F"/>
    <w:rsid w:val="00F94BBA"/>
    <w:rsid w:val="00F9550C"/>
    <w:rsid w:val="00FA05BF"/>
    <w:rsid w:val="00FA190E"/>
    <w:rsid w:val="00FA1A79"/>
    <w:rsid w:val="00FA3283"/>
    <w:rsid w:val="00FA34A9"/>
    <w:rsid w:val="00FA5DE1"/>
    <w:rsid w:val="00FA62B3"/>
    <w:rsid w:val="00FA6407"/>
    <w:rsid w:val="00FA6D2B"/>
    <w:rsid w:val="00FA778B"/>
    <w:rsid w:val="00FA7E60"/>
    <w:rsid w:val="00FB1B6F"/>
    <w:rsid w:val="00FB2303"/>
    <w:rsid w:val="00FB27B3"/>
    <w:rsid w:val="00FB2882"/>
    <w:rsid w:val="00FB2918"/>
    <w:rsid w:val="00FB48CC"/>
    <w:rsid w:val="00FB4E1F"/>
    <w:rsid w:val="00FB78D3"/>
    <w:rsid w:val="00FB798A"/>
    <w:rsid w:val="00FB7C6C"/>
    <w:rsid w:val="00FC00AA"/>
    <w:rsid w:val="00FC183C"/>
    <w:rsid w:val="00FC28D6"/>
    <w:rsid w:val="00FC2AC9"/>
    <w:rsid w:val="00FC3069"/>
    <w:rsid w:val="00FC3237"/>
    <w:rsid w:val="00FC3D06"/>
    <w:rsid w:val="00FC606D"/>
    <w:rsid w:val="00FC617C"/>
    <w:rsid w:val="00FD0191"/>
    <w:rsid w:val="00FD2750"/>
    <w:rsid w:val="00FD2FAD"/>
    <w:rsid w:val="00FD40E5"/>
    <w:rsid w:val="00FD5428"/>
    <w:rsid w:val="00FD5E80"/>
    <w:rsid w:val="00FD5EB4"/>
    <w:rsid w:val="00FD615C"/>
    <w:rsid w:val="00FD7A5C"/>
    <w:rsid w:val="00FE05C7"/>
    <w:rsid w:val="00FE0A5A"/>
    <w:rsid w:val="00FE0FAE"/>
    <w:rsid w:val="00FE1905"/>
    <w:rsid w:val="00FE267D"/>
    <w:rsid w:val="00FE3929"/>
    <w:rsid w:val="00FE54FB"/>
    <w:rsid w:val="00FE5F10"/>
    <w:rsid w:val="00FE5FA4"/>
    <w:rsid w:val="00FE64E2"/>
    <w:rsid w:val="00FE781E"/>
    <w:rsid w:val="00FF2065"/>
    <w:rsid w:val="00FF5386"/>
    <w:rsid w:val="00FF7552"/>
    <w:rsid w:val="00FF75D8"/>
    <w:rsid w:val="00FF7845"/>
    <w:rsid w:val="00FF7A08"/>
    <w:rsid w:val="00FF7DD2"/>
  </w:rsids>
  <m:mathPr>
    <m:mathFont m:val="Cambria Math"/>
    <m:brkBin m:val="before"/>
    <m:brkBinSub m:val="--"/>
    <m:smallFrac m:val="0"/>
    <m:dispDef/>
    <m:lMargin m:val="0"/>
    <m:rMargin m:val="0"/>
    <m:defJc m:val="centerGroup"/>
    <m:wrapIndent m:val="1440"/>
    <m:intLim m:val="subSup"/>
    <m:naryLim m:val="undOvr"/>
  </m:mathPr>
  <w:themeFontLang w:val="en-AU"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29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31"/>
    <w:pPr>
      <w:spacing w:before="40" w:after="160" w:line="288" w:lineRule="auto"/>
    </w:pPr>
    <w:rPr>
      <w:rFonts w:ascii="Franklin Gothic Book" w:hAnsi="Franklin Gothic Book"/>
      <w:sz w:val="21"/>
    </w:rPr>
  </w:style>
  <w:style w:type="paragraph" w:styleId="Heading1">
    <w:name w:val="heading 1"/>
    <w:basedOn w:val="Normal"/>
    <w:next w:val="Normal"/>
    <w:qFormat/>
    <w:rsid w:val="00F664C0"/>
    <w:pPr>
      <w:keepNext/>
      <w:pageBreakBefore/>
      <w:numPr>
        <w:numId w:val="14"/>
      </w:numPr>
      <w:spacing w:before="480" w:after="1560" w:line="540" w:lineRule="atLeast"/>
      <w:outlineLvl w:val="0"/>
    </w:pPr>
    <w:rPr>
      <w:rFonts w:ascii="Arial" w:hAnsi="Arial" w:cs="Arial"/>
      <w:bCs/>
      <w:color w:val="FFFFFF" w:themeColor="background1"/>
      <w:sz w:val="44"/>
      <w:szCs w:val="32"/>
    </w:rPr>
  </w:style>
  <w:style w:type="paragraph" w:styleId="Heading2">
    <w:name w:val="heading 2"/>
    <w:aliases w:val="2"/>
    <w:basedOn w:val="Normal"/>
    <w:next w:val="Normal"/>
    <w:qFormat/>
    <w:rsid w:val="00595A68"/>
    <w:pPr>
      <w:keepNext/>
      <w:numPr>
        <w:ilvl w:val="1"/>
        <w:numId w:val="14"/>
      </w:numPr>
      <w:spacing w:before="480" w:after="120" w:line="240" w:lineRule="auto"/>
      <w:outlineLvl w:val="1"/>
    </w:pPr>
    <w:rPr>
      <w:rFonts w:ascii="Arial" w:hAnsi="Arial" w:cs="Arial"/>
      <w:b/>
      <w:bCs/>
      <w:iCs/>
      <w:color w:val="124486"/>
      <w:sz w:val="28"/>
      <w:szCs w:val="28"/>
    </w:rPr>
  </w:style>
  <w:style w:type="paragraph" w:styleId="Heading3">
    <w:name w:val="heading 3"/>
    <w:basedOn w:val="Normal"/>
    <w:next w:val="Normal"/>
    <w:qFormat/>
    <w:rsid w:val="00595A68"/>
    <w:pPr>
      <w:keepNext/>
      <w:numPr>
        <w:ilvl w:val="2"/>
        <w:numId w:val="14"/>
      </w:numPr>
      <w:spacing w:before="360" w:after="120" w:line="240" w:lineRule="auto"/>
      <w:outlineLvl w:val="2"/>
    </w:pPr>
    <w:rPr>
      <w:rFonts w:ascii="Arial" w:hAnsi="Arial" w:cs="Arial"/>
      <w:bCs/>
      <w:color w:val="007FAD"/>
      <w:sz w:val="24"/>
      <w:szCs w:val="26"/>
    </w:rPr>
  </w:style>
  <w:style w:type="paragraph" w:styleId="Heading4">
    <w:name w:val="heading 4"/>
    <w:basedOn w:val="Normal"/>
    <w:next w:val="Normal"/>
    <w:qFormat/>
    <w:rsid w:val="00595A68"/>
    <w:pPr>
      <w:keepNext/>
      <w:numPr>
        <w:ilvl w:val="3"/>
        <w:numId w:val="14"/>
      </w:numPr>
      <w:spacing w:before="240" w:after="120"/>
      <w:outlineLvl w:val="3"/>
    </w:pPr>
    <w:rPr>
      <w:rFonts w:ascii="Arial" w:hAnsi="Arial"/>
      <w:b/>
      <w:bCs/>
      <w:sz w:val="22"/>
      <w:szCs w:val="28"/>
    </w:rPr>
  </w:style>
  <w:style w:type="paragraph" w:styleId="Heading5">
    <w:name w:val="heading 5"/>
    <w:basedOn w:val="Normal"/>
    <w:next w:val="Normal"/>
    <w:qFormat/>
    <w:rsid w:val="00595A68"/>
    <w:pPr>
      <w:keepNext/>
      <w:numPr>
        <w:ilvl w:val="4"/>
        <w:numId w:val="14"/>
      </w:numPr>
      <w:spacing w:before="60" w:after="60"/>
      <w:outlineLvl w:val="4"/>
    </w:pPr>
    <w:rPr>
      <w:rFonts w:ascii="Arial" w:hAnsi="Arial"/>
      <w:bCs/>
      <w:i/>
      <w:iCs/>
      <w:sz w:val="22"/>
      <w:szCs w:val="26"/>
    </w:rPr>
  </w:style>
  <w:style w:type="paragraph" w:styleId="Heading6">
    <w:name w:val="heading 6"/>
    <w:basedOn w:val="Normal"/>
    <w:next w:val="Normal"/>
    <w:link w:val="Heading6Char"/>
    <w:uiPriority w:val="9"/>
    <w:semiHidden/>
    <w:unhideWhenUsed/>
    <w:qFormat/>
    <w:rsid w:val="00D1616E"/>
    <w:pPr>
      <w:keepNext/>
      <w:keepLines/>
      <w:numPr>
        <w:ilvl w:val="5"/>
        <w:numId w:val="14"/>
      </w:numPr>
      <w:spacing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616E"/>
    <w:pPr>
      <w:keepNext/>
      <w:keepLines/>
      <w:numPr>
        <w:ilvl w:val="6"/>
        <w:numId w:val="14"/>
      </w:numPr>
      <w:spacing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1616E"/>
    <w:pPr>
      <w:keepNext/>
      <w:keepLines/>
      <w:numPr>
        <w:ilvl w:val="7"/>
        <w:numId w:val="14"/>
      </w:numPr>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1616E"/>
    <w:pPr>
      <w:keepNext/>
      <w:keepLines/>
      <w:numPr>
        <w:ilvl w:val="8"/>
        <w:numId w:val="14"/>
      </w:numPr>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uiPriority w:val="99"/>
    <w:rsid w:val="00887FA3"/>
    <w:pPr>
      <w:spacing w:after="600"/>
    </w:pPr>
    <w:rPr>
      <w:i/>
      <w:iCs/>
    </w:rPr>
  </w:style>
  <w:style w:type="paragraph" w:customStyle="1" w:styleId="PullQuote">
    <w:name w:val="PullQuote"/>
    <w:basedOn w:val="Normal"/>
    <w:next w:val="Normal"/>
    <w:rsid w:val="00D020BE"/>
    <w:rPr>
      <w:rFonts w:ascii="Trebuchet MS" w:hAnsi="Trebuchet MS"/>
      <w:b/>
      <w:i/>
      <w:color w:val="007FAD"/>
    </w:rPr>
  </w:style>
  <w:style w:type="paragraph" w:customStyle="1" w:styleId="ReportDate">
    <w:name w:val="ReportDate"/>
    <w:basedOn w:val="Normal"/>
    <w:rsid w:val="00E07D7E"/>
    <w:pPr>
      <w:spacing w:before="960"/>
    </w:pPr>
    <w:rPr>
      <w:rFonts w:asciiTheme="minorHAnsi" w:hAnsiTheme="minorHAnsi"/>
      <w:sz w:val="28"/>
    </w:rPr>
  </w:style>
  <w:style w:type="paragraph" w:customStyle="1" w:styleId="Heading1a">
    <w:name w:val="Heading 1a"/>
    <w:basedOn w:val="Heading1"/>
    <w:next w:val="Normal"/>
    <w:rsid w:val="00E718A6"/>
    <w:pPr>
      <w:outlineLvl w:val="9"/>
    </w:pPr>
  </w:style>
  <w:style w:type="paragraph" w:customStyle="1" w:styleId="Heading2a">
    <w:name w:val="Heading 2a"/>
    <w:basedOn w:val="Heading2"/>
    <w:next w:val="Normal"/>
    <w:rsid w:val="00E718A6"/>
    <w:pPr>
      <w:outlineLvl w:val="9"/>
    </w:pPr>
  </w:style>
  <w:style w:type="paragraph" w:customStyle="1" w:styleId="Heading3a">
    <w:name w:val="Heading 3a"/>
    <w:basedOn w:val="Heading3"/>
    <w:next w:val="Normal"/>
    <w:rsid w:val="001B454D"/>
    <w:pPr>
      <w:outlineLvl w:val="9"/>
    </w:pPr>
  </w:style>
  <w:style w:type="paragraph" w:styleId="Header">
    <w:name w:val="header"/>
    <w:basedOn w:val="Normal"/>
    <w:link w:val="HeaderChar"/>
    <w:uiPriority w:val="99"/>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0F733D"/>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BE10F8"/>
    <w:pPr>
      <w:keepNext w:val="0"/>
      <w:keepLines/>
      <w:spacing w:after="360"/>
      <w:ind w:left="170" w:hanging="170"/>
    </w:pPr>
    <w:rPr>
      <w:sz w:val="16"/>
      <w:szCs w:val="18"/>
    </w:rPr>
  </w:style>
  <w:style w:type="paragraph" w:customStyle="1" w:styleId="TFListNotes">
    <w:name w:val="TFListNotes"/>
    <w:basedOn w:val="TFListNotesSpace"/>
    <w:rsid w:val="00BE10F8"/>
    <w:pPr>
      <w:keepNext/>
      <w:spacing w:after="0"/>
    </w:pPr>
  </w:style>
  <w:style w:type="paragraph" w:customStyle="1" w:styleId="TableName">
    <w:name w:val="TableName"/>
    <w:basedOn w:val="TableText"/>
    <w:rsid w:val="00E718A6"/>
    <w:pPr>
      <w:tabs>
        <w:tab w:val="left" w:pos="1080"/>
      </w:tabs>
      <w:spacing w:before="80" w:after="120"/>
      <w:ind w:left="1077" w:hanging="1077"/>
    </w:pPr>
    <w:rPr>
      <w:b/>
      <w:bCs/>
      <w:color w:val="auto"/>
      <w:sz w:val="22"/>
    </w:rPr>
  </w:style>
  <w:style w:type="paragraph" w:customStyle="1" w:styleId="TableHeading">
    <w:name w:val="TableHeading"/>
    <w:basedOn w:val="TableText"/>
    <w:rsid w:val="00595A68"/>
    <w:pPr>
      <w:spacing w:before="80" w:after="80"/>
    </w:pPr>
    <w:rPr>
      <w:rFonts w:ascii="Arial" w:hAnsi="Arial"/>
      <w:b/>
      <w:bCs/>
      <w:color w:val="FFFFFF" w:themeColor="background1"/>
      <w:sz w:val="20"/>
    </w:rPr>
  </w:style>
  <w:style w:type="paragraph" w:customStyle="1" w:styleId="BoxText">
    <w:name w:val="BoxText"/>
    <w:basedOn w:val="Normal"/>
    <w:link w:val="BoxTextChar"/>
    <w:qFormat/>
    <w:rsid w:val="00595A68"/>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66662D"/>
    <w:pPr>
      <w:spacing w:before="120" w:after="60"/>
    </w:pPr>
    <w:rPr>
      <w:sz w:val="18"/>
    </w:rPr>
  </w:style>
  <w:style w:type="paragraph" w:styleId="Quote">
    <w:name w:val="Quote"/>
    <w:basedOn w:val="Normal"/>
    <w:link w:val="QuoteChar"/>
    <w:rsid w:val="00EB0D4C"/>
    <w:pPr>
      <w:ind w:left="567" w:right="567"/>
    </w:pPr>
    <w:rPr>
      <w:i/>
    </w:rPr>
  </w:style>
  <w:style w:type="paragraph" w:customStyle="1" w:styleId="References">
    <w:name w:val="References"/>
    <w:basedOn w:val="Normal"/>
    <w:rsid w:val="001E259C"/>
    <w:pPr>
      <w:keepLines/>
      <w:ind w:left="284" w:hanging="284"/>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link w:val="FootnoteTextChar"/>
    <w:uiPriority w:val="99"/>
    <w:rsid w:val="00E56E22"/>
    <w:pPr>
      <w:spacing w:after="0"/>
      <w:ind w:left="360" w:hanging="360"/>
    </w:pPr>
    <w:rPr>
      <w:sz w:val="17"/>
    </w:rPr>
  </w:style>
  <w:style w:type="character" w:styleId="FootnoteReference">
    <w:name w:val="footnote reference"/>
    <w:aliases w:val="ftref"/>
    <w:basedOn w:val="DefaultParagraphFont"/>
    <w:uiPriority w:val="99"/>
    <w:rsid w:val="00D20FD9"/>
    <w:rPr>
      <w:vertAlign w:val="superscript"/>
    </w:rPr>
  </w:style>
  <w:style w:type="paragraph" w:customStyle="1" w:styleId="FigTabPara">
    <w:name w:val="FigTabPara"/>
    <w:basedOn w:val="Normal"/>
    <w:next w:val="Normal"/>
    <w:rsid w:val="00396F45"/>
    <w:pPr>
      <w:keepNext/>
      <w:ind w:left="1077"/>
    </w:pPr>
    <w:rPr>
      <w:sz w:val="20"/>
    </w:rPr>
  </w:style>
  <w:style w:type="paragraph" w:customStyle="1" w:styleId="TableBullet">
    <w:name w:val="TableBullet"/>
    <w:basedOn w:val="Normal"/>
    <w:rsid w:val="00BE10F8"/>
    <w:pPr>
      <w:numPr>
        <w:numId w:val="10"/>
      </w:numPr>
      <w:spacing w:after="40" w:line="240" w:lineRule="auto"/>
    </w:pPr>
    <w:rPr>
      <w:rFonts w:eastAsia="Calibri"/>
      <w:sz w:val="17"/>
      <w:szCs w:val="17"/>
      <w:lang w:eastAsia="en-US"/>
    </w:rPr>
  </w:style>
  <w:style w:type="paragraph" w:customStyle="1" w:styleId="TFAbbrevs">
    <w:name w:val="TFAbbrevs"/>
    <w:basedOn w:val="TFListNotes"/>
    <w:rsid w:val="00BE10F8"/>
    <w:pPr>
      <w:ind w:left="0" w:firstLine="0"/>
    </w:pPr>
  </w:style>
  <w:style w:type="paragraph" w:styleId="TOC1">
    <w:name w:val="toc 1"/>
    <w:basedOn w:val="Normal"/>
    <w:next w:val="Normal"/>
    <w:autoRedefine/>
    <w:uiPriority w:val="39"/>
    <w:rsid w:val="00001E83"/>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6068DE"/>
    <w:pPr>
      <w:tabs>
        <w:tab w:val="left" w:pos="1440"/>
        <w:tab w:val="right" w:leader="dot" w:pos="9016"/>
      </w:tabs>
      <w:spacing w:before="120" w:after="120" w:line="240" w:lineRule="auto"/>
      <w:ind w:left="1440" w:right="720" w:hanging="720"/>
    </w:pPr>
    <w:rPr>
      <w:rFonts w:ascii="Arial" w:hAnsi="Arial"/>
      <w:sz w:val="24"/>
    </w:rPr>
  </w:style>
  <w:style w:type="paragraph" w:styleId="TableofFigures">
    <w:name w:val="table of figures"/>
    <w:basedOn w:val="Normal"/>
    <w:next w:val="Normal"/>
    <w:uiPriority w:val="99"/>
    <w:rsid w:val="006068DE"/>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BE10F8"/>
    <w:pPr>
      <w:numPr>
        <w:numId w:val="11"/>
      </w:numPr>
    </w:pPr>
  </w:style>
  <w:style w:type="paragraph" w:customStyle="1" w:styleId="Bullet">
    <w:name w:val="Bullet"/>
    <w:aliases w:val="b"/>
    <w:basedOn w:val="Normal"/>
    <w:link w:val="BulletChar"/>
    <w:uiPriority w:val="99"/>
    <w:qFormat/>
    <w:rsid w:val="00020AE5"/>
    <w:pPr>
      <w:numPr>
        <w:numId w:val="9"/>
      </w:numPr>
      <w:spacing w:before="0" w:after="80" w:line="280" w:lineRule="exact"/>
    </w:pPr>
  </w:style>
  <w:style w:type="paragraph" w:customStyle="1" w:styleId="BulletLast">
    <w:name w:val="BulletLast"/>
    <w:basedOn w:val="Bullet"/>
    <w:uiPriority w:val="99"/>
    <w:qFormat/>
    <w:rsid w:val="00E17CD6"/>
    <w:pPr>
      <w:spacing w:after="160"/>
    </w:pPr>
  </w:style>
  <w:style w:type="paragraph" w:customStyle="1" w:styleId="Dash">
    <w:name w:val="Dash"/>
    <w:basedOn w:val="Normal"/>
    <w:rsid w:val="00020AE5"/>
    <w:pPr>
      <w:numPr>
        <w:numId w:val="8"/>
      </w:numPr>
      <w:spacing w:before="0" w:after="80" w:line="280" w:lineRule="exact"/>
    </w:pPr>
    <w:rPr>
      <w:szCs w:val="24"/>
    </w:r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020AE5"/>
    <w:pPr>
      <w:keepNext/>
      <w:spacing w:before="0" w:after="80"/>
    </w:pPr>
  </w:style>
  <w:style w:type="paragraph" w:customStyle="1" w:styleId="BoxName">
    <w:name w:val="BoxName"/>
    <w:basedOn w:val="BoxText"/>
    <w:rsid w:val="00125331"/>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
    <w:name w:val="BoxHeading"/>
    <w:basedOn w:val="BoxText"/>
    <w:link w:val="BoxHeadingChar"/>
    <w:rsid w:val="00AB0CE3"/>
    <w:pPr>
      <w:keepNext/>
      <w:spacing w:before="360" w:after="60"/>
    </w:pPr>
    <w:rPr>
      <w:b/>
      <w:bCs/>
      <w:sz w:val="22"/>
    </w:rPr>
  </w:style>
  <w:style w:type="paragraph" w:customStyle="1" w:styleId="BoxBullet">
    <w:name w:val="BoxBullet"/>
    <w:basedOn w:val="BoxText"/>
    <w:link w:val="BoxBulletChar"/>
    <w:rsid w:val="00636332"/>
    <w:pPr>
      <w:numPr>
        <w:numId w:val="4"/>
      </w:numPr>
    </w:pPr>
  </w:style>
  <w:style w:type="character" w:customStyle="1" w:styleId="BoxBulletChar">
    <w:name w:val="BoxBullet Char"/>
    <w:basedOn w:val="BoxTextChar"/>
    <w:link w:val="BoxBullet"/>
    <w:rsid w:val="00636332"/>
    <w:rPr>
      <w:rFonts w:ascii="Franklin Gothic Book" w:hAnsi="Franklin Gothic Book"/>
      <w:sz w:val="21"/>
      <w:shd w:val="clear" w:color="auto" w:fill="ECF1F7"/>
    </w:rPr>
  </w:style>
  <w:style w:type="paragraph" w:customStyle="1" w:styleId="BoxHeading2">
    <w:name w:val="BoxHeading2"/>
    <w:basedOn w:val="BoxHeading"/>
    <w:link w:val="BoxHeading2Char"/>
    <w:qFormat/>
    <w:rsid w:val="00AB0CE3"/>
    <w:pPr>
      <w:spacing w:before="240"/>
    </w:pPr>
    <w:rPr>
      <w:i/>
      <w:sz w:val="21"/>
    </w:rPr>
  </w:style>
  <w:style w:type="paragraph" w:customStyle="1" w:styleId="FigureName">
    <w:name w:val="FigureName"/>
    <w:basedOn w:val="Normal"/>
    <w:next w:val="Normal"/>
    <w:rsid w:val="00E718A6"/>
    <w:pPr>
      <w:keepNext/>
      <w:keepLines/>
      <w:tabs>
        <w:tab w:val="left" w:pos="1080"/>
      </w:tabs>
      <w:spacing w:before="80" w:after="80"/>
      <w:ind w:left="1077" w:hanging="1077"/>
    </w:pPr>
    <w:rPr>
      <w:b/>
      <w:bCs/>
      <w:sz w:val="22"/>
    </w:r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TableDashChar">
    <w:name w:val="TableDash Char"/>
    <w:link w:val="TableDash"/>
    <w:rsid w:val="00BE10F8"/>
    <w:rPr>
      <w:rFonts w:ascii="Franklin Gothic Book" w:eastAsia="Calibri" w:hAnsi="Franklin Gothic Book"/>
      <w:sz w:val="17"/>
      <w:szCs w:val="17"/>
      <w:lang w:eastAsia="en-US"/>
    </w:rPr>
  </w:style>
  <w:style w:type="table" w:styleId="TableGrid">
    <w:name w:val="Table Grid"/>
    <w:aliases w:val="Plain Table,Table Template"/>
    <w:basedOn w:val="TableNormal"/>
    <w:uiPriority w:val="59"/>
    <w:rsid w:val="00C26138"/>
    <w:tblPr>
      <w:tblBorders>
        <w:top w:val="single" w:sz="4" w:space="0" w:color="007FAD"/>
        <w:bottom w:val="single" w:sz="4" w:space="0" w:color="007FAD"/>
        <w:insideH w:val="single" w:sz="4" w:space="0" w:color="007FAD"/>
      </w:tblBorders>
      <w:tblCellMar>
        <w:top w:w="85" w:type="dxa"/>
        <w:bottom w:w="85" w:type="dxa"/>
      </w:tblCellMar>
    </w:tblPr>
    <w:tcPr>
      <w:shd w:val="clear" w:color="auto" w:fill="FFFFFF" w:themeFill="background1"/>
    </w:tcPr>
    <w:tblStylePr w:type="firstRow">
      <w:tblPr/>
      <w:tcPr>
        <w:shd w:val="clear" w:color="auto" w:fill="007FAD"/>
      </w:tcPr>
    </w:tblStylePr>
  </w:style>
  <w:style w:type="paragraph" w:customStyle="1" w:styleId="TableNumberList">
    <w:name w:val="TableNumberList"/>
    <w:basedOn w:val="Normal"/>
    <w:rsid w:val="00BE10F8"/>
    <w:pPr>
      <w:numPr>
        <w:numId w:val="12"/>
      </w:numPr>
      <w:spacing w:after="40" w:line="240" w:lineRule="auto"/>
    </w:pPr>
    <w:rPr>
      <w:rFonts w:eastAsia="Calibri"/>
      <w:sz w:val="17"/>
      <w:szCs w:val="17"/>
      <w:lang w:eastAsia="en-US"/>
    </w:rPr>
  </w:style>
  <w:style w:type="character" w:customStyle="1" w:styleId="BoxTextChar">
    <w:name w:val="BoxText Char"/>
    <w:basedOn w:val="DefaultParagraphFont"/>
    <w:link w:val="BoxText"/>
    <w:rsid w:val="00595A68"/>
    <w:rPr>
      <w:rFonts w:ascii="Franklin Gothic Book" w:hAnsi="Franklin Gothic Book"/>
      <w:sz w:val="21"/>
      <w:shd w:val="clear" w:color="auto" w:fill="ECF1F7"/>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BoxHeadingChar">
    <w:name w:val="BoxHeading Char"/>
    <w:basedOn w:val="BoxTextChar"/>
    <w:link w:val="BoxHeading"/>
    <w:rsid w:val="00AB0CE3"/>
    <w:rPr>
      <w:rFonts w:ascii="Franklin Gothic Book" w:hAnsi="Franklin Gothic Book"/>
      <w:b/>
      <w:bCs/>
      <w:sz w:val="22"/>
      <w:shd w:val="clear" w:color="auto" w:fill="ECF1F7"/>
    </w:rPr>
  </w:style>
  <w:style w:type="character" w:customStyle="1" w:styleId="BoxHeading2Char">
    <w:name w:val="BoxHeading2 Char"/>
    <w:basedOn w:val="BoxHeadingChar"/>
    <w:link w:val="BoxHeading2"/>
    <w:rsid w:val="00AB0CE3"/>
    <w:rPr>
      <w:rFonts w:ascii="Franklin Gothic Book" w:hAnsi="Franklin Gothic Book"/>
      <w:b/>
      <w:bCs/>
      <w:i/>
      <w:sz w:val="21"/>
      <w:shd w:val="clear" w:color="auto" w:fill="ECF1F7"/>
    </w:rPr>
  </w:style>
  <w:style w:type="character" w:customStyle="1" w:styleId="DateChar">
    <w:name w:val="Date Char"/>
    <w:link w:val="Date"/>
    <w:uiPriority w:val="99"/>
    <w:rsid w:val="00887FA3"/>
    <w:rPr>
      <w:rFonts w:ascii="Helvetica" w:hAnsi="Helvetica"/>
      <w:i/>
      <w:iCs/>
      <w:noProof/>
      <w:color w:val="FFFFFF"/>
      <w:kern w:val="28"/>
      <w:sz w:val="32"/>
      <w:szCs w:val="32"/>
      <w:lang w:val="en-US" w:eastAsia="en-US"/>
    </w:rPr>
  </w:style>
  <w:style w:type="paragraph" w:customStyle="1" w:styleId="TableNumberList2">
    <w:name w:val="TableNumberList2"/>
    <w:basedOn w:val="TableNumberList"/>
    <w:rsid w:val="00BE10F8"/>
    <w:pPr>
      <w:numPr>
        <w:numId w:val="13"/>
      </w:numPr>
    </w:pPr>
  </w:style>
  <w:style w:type="paragraph" w:customStyle="1" w:styleId="ImprintText">
    <w:name w:val="ImprintText"/>
    <w:basedOn w:val="Normal"/>
    <w:rsid w:val="00C16AE9"/>
    <w:pPr>
      <w:spacing w:line="240" w:lineRule="auto"/>
    </w:pPr>
  </w:style>
  <w:style w:type="paragraph" w:styleId="Subtitle">
    <w:name w:val="Subtitle"/>
    <w:basedOn w:val="Title"/>
    <w:next w:val="Date"/>
    <w:link w:val="SubtitleChar"/>
    <w:uiPriority w:val="11"/>
    <w:qFormat/>
    <w:rsid w:val="00887FA3"/>
    <w:pPr>
      <w:pageBreakBefore w:val="0"/>
      <w:spacing w:before="200" w:after="0" w:line="380" w:lineRule="atLeast"/>
    </w:pPr>
    <w:rPr>
      <w:sz w:val="32"/>
      <w:szCs w:val="32"/>
    </w:rPr>
  </w:style>
  <w:style w:type="paragraph" w:styleId="Caption">
    <w:name w:val="caption"/>
    <w:basedOn w:val="Normal"/>
    <w:next w:val="Credit"/>
    <w:unhideWhenUsed/>
    <w:qFormat/>
    <w:rsid w:val="003E5CD5"/>
    <w:pPr>
      <w:spacing w:after="0"/>
    </w:pPr>
    <w:rPr>
      <w:b/>
      <w:bCs/>
      <w:sz w:val="20"/>
      <w:szCs w:val="18"/>
    </w:rPr>
  </w:style>
  <w:style w:type="paragraph" w:customStyle="1" w:styleId="Credit">
    <w:name w:val="Credit"/>
    <w:basedOn w:val="Caption"/>
    <w:next w:val="Normal"/>
    <w:rsid w:val="003E5CD5"/>
    <w:pPr>
      <w:spacing w:after="240"/>
    </w:pPr>
    <w:rPr>
      <w:b w:val="0"/>
      <w:noProof/>
    </w:rPr>
  </w:style>
  <w:style w:type="character" w:customStyle="1" w:styleId="SubtitleChar">
    <w:name w:val="Subtitle Char"/>
    <w:link w:val="Subtitle"/>
    <w:uiPriority w:val="11"/>
    <w:rsid w:val="00887FA3"/>
    <w:rPr>
      <w:rFonts w:ascii="Helvetica" w:hAnsi="Helvetica"/>
      <w:noProof/>
      <w:color w:val="FFFFFF"/>
      <w:kern w:val="28"/>
      <w:sz w:val="32"/>
      <w:szCs w:val="32"/>
      <w:lang w:val="en-US" w:eastAsia="en-US"/>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0F733D"/>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customStyle="1" w:styleId="RecommendationText">
    <w:name w:val="RecommendationText"/>
    <w:basedOn w:val="BoxText"/>
    <w:link w:val="RecommendationTextChar"/>
    <w:qFormat/>
    <w:rsid w:val="00595A68"/>
    <w:pPr>
      <w:pBdr>
        <w:top w:val="single" w:sz="4" w:space="4" w:color="124486"/>
        <w:left w:val="none" w:sz="0" w:space="0" w:color="auto"/>
        <w:bottom w:val="single" w:sz="4" w:space="4" w:color="124486"/>
        <w:right w:val="none" w:sz="0" w:space="0" w:color="auto"/>
      </w:pBdr>
      <w:shd w:val="clear" w:color="auto" w:fill="auto"/>
    </w:pPr>
  </w:style>
  <w:style w:type="paragraph" w:styleId="Title">
    <w:name w:val="Title"/>
    <w:basedOn w:val="Normal"/>
    <w:next w:val="Subtitle"/>
    <w:link w:val="TitleChar"/>
    <w:uiPriority w:val="10"/>
    <w:qFormat/>
    <w:rsid w:val="004164C0"/>
    <w:pPr>
      <w:pageBreakBefore/>
      <w:spacing w:before="8700" w:after="108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link w:val="Title"/>
    <w:uiPriority w:val="10"/>
    <w:rsid w:val="004164C0"/>
    <w:rPr>
      <w:rFonts w:ascii="Helvetica" w:hAnsi="Helvetica"/>
      <w:noProof/>
      <w:color w:val="FFFFFF"/>
      <w:kern w:val="28"/>
      <w:sz w:val="50"/>
      <w:szCs w:val="50"/>
      <w:lang w:val="en-US" w:eastAsia="en-US"/>
    </w:rPr>
  </w:style>
  <w:style w:type="paragraph" w:customStyle="1" w:styleId="SectionTitle">
    <w:name w:val="SectionTitle"/>
    <w:basedOn w:val="Normal"/>
    <w:next w:val="Normal"/>
    <w:rsid w:val="00595A68"/>
    <w:pPr>
      <w:pageBreakBefore/>
    </w:pPr>
    <w:rPr>
      <w:rFonts w:ascii="Arial" w:hAnsi="Arial"/>
      <w:b/>
      <w:color w:val="124486"/>
      <w:sz w:val="50"/>
    </w:rPr>
  </w:style>
  <w:style w:type="paragraph" w:customStyle="1" w:styleId="SectionSubtitle">
    <w:name w:val="SectionSubtitle"/>
    <w:basedOn w:val="Normal"/>
    <w:rsid w:val="00E718A6"/>
    <w:pPr>
      <w:spacing w:after="0"/>
    </w:pPr>
    <w:rPr>
      <w:rFonts w:asciiTheme="minorHAnsi" w:hAnsiTheme="minorHAnsi"/>
      <w:color w:val="007FAD"/>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EB0D4C"/>
    <w:pPr>
      <w:numPr>
        <w:numId w:val="3"/>
      </w:numPr>
      <w:tabs>
        <w:tab w:val="left" w:pos="851"/>
      </w:tabs>
      <w:ind w:left="851" w:hanging="284"/>
    </w:pPr>
    <w:rPr>
      <w:noProof/>
    </w:rPr>
  </w:style>
  <w:style w:type="character" w:customStyle="1" w:styleId="HeaderChar">
    <w:name w:val="Header Char"/>
    <w:basedOn w:val="DefaultParagraphFont"/>
    <w:link w:val="Header"/>
    <w:uiPriority w:val="99"/>
    <w:rsid w:val="004164C0"/>
    <w:rPr>
      <w:rFonts w:ascii="Franklin Gothic Book" w:hAnsi="Franklin Gothic Book"/>
      <w:color w:val="000000"/>
      <w:sz w:val="18"/>
    </w:rPr>
  </w:style>
  <w:style w:type="paragraph" w:customStyle="1" w:styleId="TableNumberedList">
    <w:name w:val="TableNumberedList"/>
    <w:basedOn w:val="TableText"/>
    <w:autoRedefine/>
    <w:qFormat/>
    <w:rsid w:val="00312F7A"/>
    <w:pPr>
      <w:numPr>
        <w:numId w:val="5"/>
      </w:numPr>
      <w:ind w:left="357" w:hanging="357"/>
    </w:pPr>
  </w:style>
  <w:style w:type="paragraph" w:customStyle="1" w:styleId="TableListNumber">
    <w:name w:val="TableListNumber"/>
    <w:basedOn w:val="Normal"/>
    <w:qFormat/>
    <w:rsid w:val="000F733D"/>
    <w:pPr>
      <w:keepNext/>
      <w:numPr>
        <w:numId w:val="6"/>
      </w:numPr>
      <w:tabs>
        <w:tab w:val="left" w:pos="216"/>
      </w:tabs>
      <w:spacing w:after="40" w:line="200" w:lineRule="atLeast"/>
      <w:ind w:left="284" w:hanging="284"/>
    </w:pPr>
    <w:rPr>
      <w:color w:val="000000" w:themeColor="text1"/>
      <w:sz w:val="17"/>
      <w:szCs w:val="21"/>
    </w:rPr>
  </w:style>
  <w:style w:type="paragraph" w:customStyle="1" w:styleId="TableListNumber2">
    <w:name w:val="TableListNumber 2"/>
    <w:basedOn w:val="TableListNumber"/>
    <w:qFormat/>
    <w:rsid w:val="003A32F0"/>
    <w:pPr>
      <w:numPr>
        <w:numId w:val="7"/>
      </w:numPr>
      <w:tabs>
        <w:tab w:val="clear" w:pos="216"/>
        <w:tab w:val="left" w:pos="284"/>
      </w:tabs>
      <w:ind w:left="430" w:hanging="215"/>
    </w:pPr>
  </w:style>
  <w:style w:type="paragraph" w:customStyle="1" w:styleId="TableHeading2">
    <w:name w:val="TableHeading2"/>
    <w:basedOn w:val="TableHeading"/>
    <w:qFormat/>
    <w:rsid w:val="00BE10F8"/>
    <w:rPr>
      <w:i/>
    </w:rPr>
  </w:style>
  <w:style w:type="paragraph" w:customStyle="1" w:styleId="Draftingnote">
    <w:name w:val="Drafting note"/>
    <w:basedOn w:val="Normal"/>
    <w:link w:val="DraftingnoteChar"/>
    <w:qFormat/>
    <w:rsid w:val="00BA5205"/>
    <w:rPr>
      <w:b/>
      <w:color w:val="FF0000"/>
      <w:sz w:val="20"/>
      <w:u w:val="dotted"/>
    </w:rPr>
  </w:style>
  <w:style w:type="character" w:customStyle="1" w:styleId="DraftingnoteChar">
    <w:name w:val="Drafting note Char"/>
    <w:basedOn w:val="DefaultParagraphFont"/>
    <w:link w:val="Draftingnote"/>
    <w:rsid w:val="00BA5205"/>
    <w:rPr>
      <w:rFonts w:asciiTheme="majorHAnsi" w:hAnsiTheme="majorHAnsi"/>
      <w:b/>
      <w:color w:val="FF0000"/>
      <w:u w:val="dotted"/>
    </w:rPr>
  </w:style>
  <w:style w:type="character" w:styleId="Hyperlink">
    <w:name w:val="Hyperlink"/>
    <w:basedOn w:val="DefaultParagraphFont"/>
    <w:uiPriority w:val="99"/>
    <w:unhideWhenUsed/>
    <w:rsid w:val="001B454D"/>
    <w:rPr>
      <w:color w:val="007FAD"/>
      <w:u w:val="single"/>
    </w:rPr>
  </w:style>
  <w:style w:type="character" w:styleId="CommentReference">
    <w:name w:val="annotation reference"/>
    <w:basedOn w:val="DefaultParagraphFont"/>
    <w:uiPriority w:val="99"/>
    <w:unhideWhenUsed/>
    <w:rsid w:val="00DF1B3A"/>
    <w:rPr>
      <w:sz w:val="16"/>
      <w:szCs w:val="16"/>
    </w:rPr>
  </w:style>
  <w:style w:type="paragraph" w:styleId="CommentText">
    <w:name w:val="annotation text"/>
    <w:basedOn w:val="Normal"/>
    <w:link w:val="CommentTextChar"/>
    <w:uiPriority w:val="99"/>
    <w:unhideWhenUsed/>
    <w:rsid w:val="00DF1B3A"/>
    <w:pPr>
      <w:spacing w:line="240" w:lineRule="auto"/>
    </w:pPr>
    <w:rPr>
      <w:sz w:val="20"/>
    </w:rPr>
  </w:style>
  <w:style w:type="character" w:customStyle="1" w:styleId="CommentTextChar">
    <w:name w:val="Comment Text Char"/>
    <w:basedOn w:val="DefaultParagraphFont"/>
    <w:link w:val="CommentText"/>
    <w:uiPriority w:val="99"/>
    <w:rsid w:val="00DF1B3A"/>
    <w:rPr>
      <w:rFonts w:asciiTheme="majorHAnsi" w:hAnsiTheme="majorHAnsi"/>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basedOn w:val="CommentTextChar"/>
    <w:link w:val="CommentSubject"/>
    <w:uiPriority w:val="99"/>
    <w:semiHidden/>
    <w:rsid w:val="00DF1B3A"/>
    <w:rPr>
      <w:rFonts w:asciiTheme="majorHAnsi" w:hAnsiTheme="majorHAnsi"/>
      <w:b/>
      <w:bCs/>
      <w:color w:val="000000"/>
    </w:rPr>
  </w:style>
  <w:style w:type="table" w:styleId="LightShading">
    <w:name w:val="Light Shading"/>
    <w:basedOn w:val="TableNormal"/>
    <w:uiPriority w:val="60"/>
    <w:rsid w:val="00FB4E1F"/>
    <w:rPr>
      <w:color w:val="000000" w:themeColor="text1"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B4E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basedOn w:val="DefaultParagraphFont"/>
    <w:link w:val="FootnoteText"/>
    <w:uiPriority w:val="99"/>
    <w:rsid w:val="00E56E22"/>
    <w:rPr>
      <w:sz w:val="17"/>
    </w:rPr>
  </w:style>
  <w:style w:type="paragraph" w:customStyle="1" w:styleId="Numberlist2">
    <w:name w:val="Numberlist2"/>
    <w:basedOn w:val="Normal"/>
    <w:rsid w:val="00D020BE"/>
    <w:pPr>
      <w:numPr>
        <w:numId w:val="2"/>
      </w:numPr>
      <w:tabs>
        <w:tab w:val="num" w:pos="567"/>
      </w:tabs>
      <w:spacing w:before="0" w:line="280" w:lineRule="exact"/>
      <w:ind w:left="568" w:hanging="284"/>
    </w:pPr>
    <w:rPr>
      <w:szCs w:val="24"/>
    </w:rPr>
  </w:style>
  <w:style w:type="paragraph" w:customStyle="1" w:styleId="NumberList3">
    <w:name w:val="NumberList3"/>
    <w:basedOn w:val="Normal"/>
    <w:rsid w:val="00D020BE"/>
    <w:pPr>
      <w:numPr>
        <w:numId w:val="1"/>
      </w:numPr>
      <w:spacing w:before="0" w:line="280" w:lineRule="exact"/>
      <w:ind w:left="851" w:hanging="284"/>
      <w:contextualSpacing/>
    </w:pPr>
    <w:rPr>
      <w:szCs w:val="24"/>
    </w:rPr>
  </w:style>
  <w:style w:type="paragraph" w:customStyle="1" w:styleId="BoxDash">
    <w:name w:val="BoxDash"/>
    <w:basedOn w:val="BoxText"/>
    <w:rsid w:val="00BE3345"/>
    <w:pPr>
      <w:tabs>
        <w:tab w:val="left" w:pos="360"/>
        <w:tab w:val="left" w:pos="720"/>
      </w:tabs>
      <w:ind w:left="720" w:hanging="720"/>
    </w:pPr>
  </w:style>
  <w:style w:type="paragraph" w:styleId="EndnoteText">
    <w:name w:val="endnote text"/>
    <w:basedOn w:val="Normal"/>
    <w:link w:val="EndnoteTextChar"/>
    <w:uiPriority w:val="99"/>
    <w:unhideWhenUsed/>
    <w:rsid w:val="003E5CD5"/>
    <w:pPr>
      <w:spacing w:before="0" w:after="0" w:line="240" w:lineRule="auto"/>
    </w:pPr>
    <w:rPr>
      <w:sz w:val="20"/>
    </w:rPr>
  </w:style>
  <w:style w:type="character" w:customStyle="1" w:styleId="EndnoteTextChar">
    <w:name w:val="Endnote Text Char"/>
    <w:basedOn w:val="DefaultParagraphFont"/>
    <w:link w:val="EndnoteText"/>
    <w:uiPriority w:val="99"/>
    <w:rsid w:val="003E5CD5"/>
    <w:rPr>
      <w:rFonts w:ascii="Franklin Gothic Book" w:hAnsi="Franklin Gothic Book"/>
      <w:color w:val="000000"/>
    </w:rPr>
  </w:style>
  <w:style w:type="character" w:styleId="EndnoteReference">
    <w:name w:val="endnote reference"/>
    <w:basedOn w:val="DefaultParagraphFont"/>
    <w:uiPriority w:val="99"/>
    <w:unhideWhenUsed/>
    <w:rsid w:val="003E5CD5"/>
    <w:rPr>
      <w:vertAlign w:val="superscript"/>
    </w:rPr>
  </w:style>
  <w:style w:type="paragraph" w:customStyle="1" w:styleId="BoxQuote">
    <w:name w:val="BoxQuote"/>
    <w:basedOn w:val="BoxText"/>
    <w:next w:val="BoxQuoteSource"/>
    <w:link w:val="BoxQuoteChar"/>
    <w:qFormat/>
    <w:rsid w:val="00A25238"/>
    <w:pPr>
      <w:spacing w:after="0"/>
      <w:ind w:left="357" w:hanging="357"/>
    </w:pPr>
    <w:rPr>
      <w:i/>
      <w:sz w:val="20"/>
    </w:rPr>
  </w:style>
  <w:style w:type="paragraph" w:customStyle="1" w:styleId="BoxQuoteSource">
    <w:name w:val="BoxQuoteSource"/>
    <w:basedOn w:val="BoxText"/>
    <w:link w:val="BoxQuoteSourceChar"/>
    <w:qFormat/>
    <w:rsid w:val="008777B4"/>
    <w:pPr>
      <w:jc w:val="right"/>
    </w:pPr>
    <w:rPr>
      <w:noProof/>
      <w:sz w:val="20"/>
    </w:rPr>
  </w:style>
  <w:style w:type="paragraph" w:customStyle="1" w:styleId="QuoteSource">
    <w:name w:val="QuoteSource"/>
    <w:basedOn w:val="Quote"/>
    <w:link w:val="QuoteSourceChar"/>
    <w:qFormat/>
    <w:rsid w:val="00AF6247"/>
    <w:pPr>
      <w:spacing w:after="240"/>
      <w:jc w:val="right"/>
    </w:pPr>
    <w:rPr>
      <w:i w:val="0"/>
    </w:rPr>
  </w:style>
  <w:style w:type="character" w:customStyle="1" w:styleId="BoxQuoteChar">
    <w:name w:val="BoxQuote Char"/>
    <w:basedOn w:val="BoxTextChar"/>
    <w:link w:val="BoxQuote"/>
    <w:rsid w:val="00A25238"/>
    <w:rPr>
      <w:rFonts w:ascii="Franklin Gothic Book" w:hAnsi="Franklin Gothic Book"/>
      <w:i/>
      <w:sz w:val="21"/>
      <w:shd w:val="clear" w:color="auto" w:fill="ECF1F7"/>
    </w:rPr>
  </w:style>
  <w:style w:type="character" w:customStyle="1" w:styleId="BoxQuoteSourceChar">
    <w:name w:val="BoxQuoteSource Char"/>
    <w:basedOn w:val="BoxTextChar"/>
    <w:link w:val="BoxQuoteSource"/>
    <w:rsid w:val="008777B4"/>
    <w:rPr>
      <w:rFonts w:ascii="Franklin Gothic Book" w:hAnsi="Franklin Gothic Book"/>
      <w:noProof/>
      <w:sz w:val="21"/>
      <w:shd w:val="clear" w:color="auto" w:fill="ECF1F7"/>
    </w:rPr>
  </w:style>
  <w:style w:type="character" w:customStyle="1" w:styleId="QuoteChar">
    <w:name w:val="Quote Char"/>
    <w:basedOn w:val="DefaultParagraphFont"/>
    <w:link w:val="Quote"/>
    <w:rsid w:val="00AF6247"/>
    <w:rPr>
      <w:rFonts w:ascii="Franklin Gothic Book" w:hAnsi="Franklin Gothic Book"/>
      <w:i/>
      <w:color w:val="000000"/>
      <w:sz w:val="21"/>
    </w:rPr>
  </w:style>
  <w:style w:type="character" w:customStyle="1" w:styleId="QuoteSourceChar">
    <w:name w:val="QuoteSource Char"/>
    <w:basedOn w:val="QuoteChar"/>
    <w:link w:val="QuoteSource"/>
    <w:rsid w:val="00AF6247"/>
    <w:rPr>
      <w:rFonts w:ascii="Franklin Gothic Book" w:hAnsi="Franklin Gothic Book"/>
      <w:i w:val="0"/>
      <w:color w:val="000000"/>
      <w:sz w:val="21"/>
    </w:rPr>
  </w:style>
  <w:style w:type="paragraph" w:customStyle="1" w:styleId="RecommendationSub">
    <w:name w:val="RecommendationSub"/>
    <w:basedOn w:val="RecommendationText"/>
    <w:link w:val="RecommendationSubChar"/>
    <w:qFormat/>
    <w:rsid w:val="006D567A"/>
    <w:pPr>
      <w:ind w:left="357" w:hanging="357"/>
    </w:pPr>
  </w:style>
  <w:style w:type="character" w:customStyle="1" w:styleId="RecommendationTextChar">
    <w:name w:val="RecommendationText Char"/>
    <w:basedOn w:val="BoxTextChar"/>
    <w:link w:val="RecommendationText"/>
    <w:rsid w:val="00595A68"/>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6068DE"/>
    <w:pPr>
      <w:spacing w:before="120"/>
    </w:pPr>
    <w:rPr>
      <w:rFonts w:ascii="Arial Bold" w:hAnsi="Arial Bold"/>
      <w:b/>
      <w:color w:val="EB0029"/>
      <w:sz w:val="24"/>
    </w:rPr>
  </w:style>
  <w:style w:type="character" w:customStyle="1" w:styleId="RecommendationSubChar">
    <w:name w:val="RecommendationSub Char"/>
    <w:basedOn w:val="RecommendationTextChar"/>
    <w:link w:val="RecommendationSub"/>
    <w:rsid w:val="006D567A"/>
    <w:rPr>
      <w:rFonts w:ascii="Franklin Gothic Book" w:hAnsi="Franklin Gothic Book"/>
      <w:sz w:val="21"/>
      <w:shd w:val="clear" w:color="auto" w:fill="ECF1F7"/>
    </w:rPr>
  </w:style>
  <w:style w:type="character" w:customStyle="1" w:styleId="RecommendationNameChar">
    <w:name w:val="RecommendationName Char"/>
    <w:basedOn w:val="RecommendationTextChar"/>
    <w:link w:val="RecommendationName"/>
    <w:rsid w:val="006068DE"/>
    <w:rPr>
      <w:rFonts w:ascii="Arial Bold" w:hAnsi="Arial Bold"/>
      <w:b/>
      <w:color w:val="EB0029"/>
      <w:sz w:val="24"/>
      <w:shd w:val="clear" w:color="auto" w:fill="ECF1F7"/>
    </w:rPr>
  </w:style>
  <w:style w:type="paragraph" w:styleId="NormalWeb">
    <w:name w:val="Normal (Web)"/>
    <w:basedOn w:val="Normal"/>
    <w:uiPriority w:val="99"/>
    <w:semiHidden/>
    <w:unhideWhenUsed/>
    <w:rsid w:val="00B63525"/>
    <w:pPr>
      <w:spacing w:before="100" w:beforeAutospacing="1" w:after="100" w:afterAutospacing="1" w:line="240" w:lineRule="auto"/>
    </w:pPr>
    <w:rPr>
      <w:rFonts w:ascii="Times New Roman" w:hAnsi="Times New Roman"/>
      <w:sz w:val="24"/>
      <w:szCs w:val="24"/>
      <w:lang w:val="en-NZ" w:eastAsia="en-NZ"/>
    </w:rPr>
  </w:style>
  <w:style w:type="character" w:customStyle="1" w:styleId="Heading6Char">
    <w:name w:val="Heading 6 Char"/>
    <w:basedOn w:val="DefaultParagraphFont"/>
    <w:link w:val="Heading6"/>
    <w:uiPriority w:val="9"/>
    <w:semiHidden/>
    <w:rsid w:val="00D1616E"/>
    <w:rPr>
      <w:rFonts w:asciiTheme="majorHAnsi" w:eastAsiaTheme="majorEastAsia" w:hAnsiTheme="majorHAnsi" w:cstheme="majorBidi"/>
      <w:color w:val="243F60" w:themeColor="accent1" w:themeShade="7F"/>
      <w:sz w:val="21"/>
    </w:rPr>
  </w:style>
  <w:style w:type="character" w:customStyle="1" w:styleId="Heading7Char">
    <w:name w:val="Heading 7 Char"/>
    <w:basedOn w:val="DefaultParagraphFont"/>
    <w:link w:val="Heading7"/>
    <w:uiPriority w:val="9"/>
    <w:semiHidden/>
    <w:rsid w:val="00D1616E"/>
    <w:rPr>
      <w:rFonts w:asciiTheme="majorHAnsi" w:eastAsiaTheme="majorEastAsia" w:hAnsiTheme="majorHAnsi" w:cstheme="majorBidi"/>
      <w:i/>
      <w:iCs/>
      <w:color w:val="243F60" w:themeColor="accent1" w:themeShade="7F"/>
      <w:sz w:val="21"/>
    </w:rPr>
  </w:style>
  <w:style w:type="character" w:customStyle="1" w:styleId="Heading8Char">
    <w:name w:val="Heading 8 Char"/>
    <w:basedOn w:val="DefaultParagraphFont"/>
    <w:link w:val="Heading8"/>
    <w:uiPriority w:val="9"/>
    <w:semiHidden/>
    <w:rsid w:val="00D161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1616E"/>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Bullet paras,List Paragraph1,Recommendation,List Paragraph11,L,CV text,Table text,F5 List Paragraph,Dot pt,List Paragraph111,Medium Grid 1 - Accent 21,Numbered Paragraph,Bullet List,FooterText,List Paragraph2,ADB List Paragraph"/>
    <w:basedOn w:val="Normal"/>
    <w:link w:val="ListParagraphChar"/>
    <w:uiPriority w:val="34"/>
    <w:qFormat/>
    <w:rsid w:val="00B848EE"/>
    <w:pPr>
      <w:ind w:left="720"/>
      <w:contextualSpacing/>
    </w:pPr>
    <w:rPr>
      <w:lang w:val="x-none" w:eastAsia="x-none"/>
    </w:rPr>
  </w:style>
  <w:style w:type="character" w:customStyle="1" w:styleId="ListParagraphChar">
    <w:name w:val="List Paragraph Char"/>
    <w:aliases w:val="Bullets Char,Bullet paras Char,List Paragraph1 Char,Recommendation Char,List Paragraph11 Char,L Char,CV text Char,Table text Char,F5 List Paragraph Char,Dot pt Char,List Paragraph111 Char,Medium Grid 1 - Accent 21 Char"/>
    <w:link w:val="ListParagraph"/>
    <w:uiPriority w:val="34"/>
    <w:locked/>
    <w:rsid w:val="00B848EE"/>
    <w:rPr>
      <w:rFonts w:ascii="Franklin Gothic Book" w:hAnsi="Franklin Gothic Book"/>
      <w:sz w:val="21"/>
      <w:lang w:val="x-none" w:eastAsia="x-none"/>
    </w:rPr>
  </w:style>
  <w:style w:type="paragraph" w:customStyle="1" w:styleId="Pa2">
    <w:name w:val="Pa2"/>
    <w:basedOn w:val="Normal"/>
    <w:next w:val="Normal"/>
    <w:uiPriority w:val="99"/>
    <w:rsid w:val="00E334F5"/>
    <w:pPr>
      <w:autoSpaceDE w:val="0"/>
      <w:autoSpaceDN w:val="0"/>
      <w:adjustRightInd w:val="0"/>
      <w:spacing w:before="0" w:after="0" w:line="201" w:lineRule="atLeast"/>
    </w:pPr>
    <w:rPr>
      <w:rFonts w:ascii="Meta Normal" w:hAnsi="Meta Normal"/>
      <w:sz w:val="24"/>
      <w:szCs w:val="24"/>
      <w:lang w:val="en-NZ"/>
    </w:rPr>
  </w:style>
  <w:style w:type="paragraph" w:customStyle="1" w:styleId="Pa13">
    <w:name w:val="Pa13"/>
    <w:basedOn w:val="Normal"/>
    <w:next w:val="Normal"/>
    <w:uiPriority w:val="99"/>
    <w:rsid w:val="00E334F5"/>
    <w:pPr>
      <w:autoSpaceDE w:val="0"/>
      <w:autoSpaceDN w:val="0"/>
      <w:adjustRightInd w:val="0"/>
      <w:spacing w:before="0" w:after="0" w:line="221" w:lineRule="atLeast"/>
    </w:pPr>
    <w:rPr>
      <w:rFonts w:ascii="Meta Bold" w:hAnsi="Meta Bold"/>
      <w:sz w:val="24"/>
      <w:szCs w:val="24"/>
      <w:lang w:val="en-NZ"/>
    </w:rPr>
  </w:style>
  <w:style w:type="paragraph" w:customStyle="1" w:styleId="Pa16">
    <w:name w:val="Pa16"/>
    <w:basedOn w:val="Normal"/>
    <w:next w:val="Normal"/>
    <w:uiPriority w:val="99"/>
    <w:rsid w:val="00E334F5"/>
    <w:pPr>
      <w:autoSpaceDE w:val="0"/>
      <w:autoSpaceDN w:val="0"/>
      <w:adjustRightInd w:val="0"/>
      <w:spacing w:before="0" w:after="0" w:line="141" w:lineRule="atLeast"/>
    </w:pPr>
    <w:rPr>
      <w:rFonts w:ascii="Meta Bold" w:hAnsi="Meta Bold"/>
      <w:sz w:val="24"/>
      <w:szCs w:val="24"/>
      <w:lang w:val="en-NZ"/>
    </w:rPr>
  </w:style>
  <w:style w:type="paragraph" w:customStyle="1" w:styleId="Pa17">
    <w:name w:val="Pa17"/>
    <w:basedOn w:val="Normal"/>
    <w:next w:val="Normal"/>
    <w:uiPriority w:val="99"/>
    <w:rsid w:val="00E334F5"/>
    <w:pPr>
      <w:autoSpaceDE w:val="0"/>
      <w:autoSpaceDN w:val="0"/>
      <w:adjustRightInd w:val="0"/>
      <w:spacing w:before="0" w:after="0" w:line="141" w:lineRule="atLeast"/>
    </w:pPr>
    <w:rPr>
      <w:rFonts w:ascii="Meta Bold" w:hAnsi="Meta Bold"/>
      <w:sz w:val="24"/>
      <w:szCs w:val="24"/>
      <w:lang w:val="en-NZ"/>
    </w:rPr>
  </w:style>
  <w:style w:type="paragraph" w:customStyle="1" w:styleId="m4511107542721871098tabletext">
    <w:name w:val="m_4511107542721871098tabletext"/>
    <w:basedOn w:val="Normal"/>
    <w:rsid w:val="00897D68"/>
    <w:pPr>
      <w:spacing w:before="100" w:beforeAutospacing="1" w:after="100" w:afterAutospacing="1" w:line="240" w:lineRule="auto"/>
    </w:pPr>
    <w:rPr>
      <w:rFonts w:ascii="Times New Roman" w:hAnsi="Times New Roman"/>
      <w:sz w:val="24"/>
      <w:szCs w:val="24"/>
      <w:lang w:val="en-US" w:eastAsia="en-US"/>
    </w:rPr>
  </w:style>
  <w:style w:type="paragraph" w:customStyle="1" w:styleId="BodyCopy">
    <w:name w:val="Body Copy"/>
    <w:basedOn w:val="BodyText"/>
    <w:link w:val="BodyCopyChar"/>
    <w:qFormat/>
    <w:rsid w:val="00E634D2"/>
    <w:pPr>
      <w:spacing w:before="120" w:line="250" w:lineRule="atLeast"/>
    </w:pPr>
    <w:rPr>
      <w:rFonts w:ascii="Arial" w:eastAsia="Arial" w:hAnsi="Arial" w:cs="Arial"/>
      <w:color w:val="5D6770"/>
      <w:spacing w:val="2"/>
      <w:sz w:val="20"/>
      <w:szCs w:val="22"/>
      <w:lang w:val="en-GB" w:eastAsia="en-US"/>
    </w:rPr>
  </w:style>
  <w:style w:type="character" w:customStyle="1" w:styleId="BodyCopyChar">
    <w:name w:val="Body Copy Char"/>
    <w:basedOn w:val="DefaultParagraphFont"/>
    <w:link w:val="BodyCopy"/>
    <w:uiPriority w:val="99"/>
    <w:rsid w:val="00E634D2"/>
    <w:rPr>
      <w:rFonts w:ascii="Arial" w:eastAsia="Arial" w:hAnsi="Arial" w:cs="Arial"/>
      <w:color w:val="5D6770"/>
      <w:spacing w:val="2"/>
      <w:szCs w:val="22"/>
      <w:lang w:val="en-GB" w:eastAsia="en-US"/>
    </w:rPr>
  </w:style>
  <w:style w:type="paragraph" w:styleId="BodyText">
    <w:name w:val="Body Text"/>
    <w:basedOn w:val="Normal"/>
    <w:link w:val="BodyTextChar"/>
    <w:semiHidden/>
    <w:unhideWhenUsed/>
    <w:qFormat/>
    <w:rsid w:val="00E634D2"/>
    <w:pPr>
      <w:spacing w:after="120"/>
    </w:pPr>
  </w:style>
  <w:style w:type="character" w:customStyle="1" w:styleId="BodyTextChar">
    <w:name w:val="Body Text Char"/>
    <w:basedOn w:val="DefaultParagraphFont"/>
    <w:link w:val="BodyText"/>
    <w:semiHidden/>
    <w:rsid w:val="00E634D2"/>
    <w:rPr>
      <w:rFonts w:ascii="Franklin Gothic Book" w:hAnsi="Franklin Gothic Book"/>
      <w:sz w:val="21"/>
    </w:rPr>
  </w:style>
  <w:style w:type="character" w:customStyle="1" w:styleId="UnresolvedMention1">
    <w:name w:val="Unresolved Mention1"/>
    <w:basedOn w:val="DefaultParagraphFont"/>
    <w:uiPriority w:val="99"/>
    <w:semiHidden/>
    <w:unhideWhenUsed/>
    <w:rsid w:val="00AB200C"/>
    <w:rPr>
      <w:color w:val="808080"/>
      <w:shd w:val="clear" w:color="auto" w:fill="E6E6E6"/>
    </w:rPr>
  </w:style>
  <w:style w:type="paragraph" w:customStyle="1" w:styleId="Default">
    <w:name w:val="Default"/>
    <w:rsid w:val="00AB200C"/>
    <w:pPr>
      <w:autoSpaceDE w:val="0"/>
      <w:autoSpaceDN w:val="0"/>
      <w:adjustRightInd w:val="0"/>
    </w:pPr>
    <w:rPr>
      <w:rFonts w:ascii="Arial" w:hAnsi="Arial" w:cs="Arial"/>
      <w:color w:val="000000"/>
      <w:sz w:val="24"/>
      <w:szCs w:val="24"/>
      <w:lang w:val="en-NZ"/>
    </w:rPr>
  </w:style>
  <w:style w:type="paragraph" w:customStyle="1" w:styleId="Normal0">
    <w:name w:val="[Normal]"/>
    <w:rsid w:val="00735A9E"/>
    <w:pPr>
      <w:widowControl w:val="0"/>
      <w:autoSpaceDE w:val="0"/>
      <w:autoSpaceDN w:val="0"/>
      <w:adjustRightInd w:val="0"/>
    </w:pPr>
    <w:rPr>
      <w:rFonts w:ascii="Arial" w:hAnsi="Arial" w:cs="Arial"/>
      <w:sz w:val="24"/>
      <w:szCs w:val="24"/>
      <w:lang w:val="en-NZ"/>
    </w:rPr>
  </w:style>
  <w:style w:type="character" w:customStyle="1" w:styleId="Style7">
    <w:name w:val="Style7"/>
    <w:basedOn w:val="DefaultParagraphFont"/>
    <w:uiPriority w:val="1"/>
    <w:rsid w:val="006965A8"/>
    <w:rPr>
      <w:color w:val="000000" w:themeColor="text1"/>
    </w:rPr>
  </w:style>
  <w:style w:type="character" w:customStyle="1" w:styleId="BodyChar">
    <w:name w:val="Body Char"/>
    <w:link w:val="Body"/>
    <w:locked/>
    <w:rsid w:val="007E6A87"/>
    <w:rPr>
      <w:rFonts w:ascii="Arial" w:eastAsia="Arial" w:hAnsi="Arial" w:cs="Arial"/>
      <w:color w:val="000000"/>
      <w:szCs w:val="22"/>
      <w:lang w:val="en-GB"/>
    </w:rPr>
  </w:style>
  <w:style w:type="paragraph" w:customStyle="1" w:styleId="Body">
    <w:name w:val="Body"/>
    <w:link w:val="BodyChar"/>
    <w:qFormat/>
    <w:rsid w:val="007E6A87"/>
    <w:pPr>
      <w:suppressAutoHyphens/>
      <w:spacing w:before="200" w:after="200" w:line="264" w:lineRule="auto"/>
    </w:pPr>
    <w:rPr>
      <w:rFonts w:ascii="Arial" w:eastAsia="Arial" w:hAnsi="Arial" w:cs="Arial"/>
      <w:color w:val="000000"/>
      <w:szCs w:val="22"/>
      <w:lang w:val="en-GB"/>
    </w:rPr>
  </w:style>
  <w:style w:type="paragraph" w:customStyle="1" w:styleId="Head1">
    <w:name w:val="Head1"/>
    <w:basedOn w:val="Heading1"/>
    <w:qFormat/>
    <w:rsid w:val="00C07135"/>
    <w:pPr>
      <w:keepLines/>
      <w:pageBreakBefore w:val="0"/>
      <w:numPr>
        <w:numId w:val="18"/>
      </w:numPr>
      <w:suppressAutoHyphens/>
      <w:spacing w:before="320" w:after="240" w:line="264" w:lineRule="auto"/>
    </w:pPr>
    <w:rPr>
      <w:rFonts w:asciiTheme="majorHAnsi" w:eastAsiaTheme="majorEastAsia" w:hAnsiTheme="majorHAnsi" w:cstheme="majorBidi"/>
      <w:color w:val="000000" w:themeColor="text1"/>
      <w:sz w:val="32"/>
      <w:szCs w:val="28"/>
      <w:lang w:val="en-GB" w:eastAsia="en-US"/>
    </w:rPr>
  </w:style>
  <w:style w:type="paragraph" w:customStyle="1" w:styleId="Head2">
    <w:name w:val="Head2"/>
    <w:basedOn w:val="Heading2"/>
    <w:qFormat/>
    <w:rsid w:val="00C07135"/>
    <w:pPr>
      <w:keepLines/>
      <w:numPr>
        <w:numId w:val="18"/>
      </w:numPr>
      <w:tabs>
        <w:tab w:val="clear" w:pos="0"/>
        <w:tab w:val="num" w:pos="360"/>
      </w:tabs>
      <w:suppressAutoHyphens/>
      <w:spacing w:before="280" w:after="240" w:line="264" w:lineRule="auto"/>
    </w:pPr>
    <w:rPr>
      <w:rFonts w:asciiTheme="majorHAnsi" w:eastAsiaTheme="majorEastAsia" w:hAnsiTheme="majorHAnsi" w:cstheme="majorBidi"/>
      <w:b w:val="0"/>
      <w:bCs w:val="0"/>
      <w:iCs w:val="0"/>
      <w:color w:val="4F81BD" w:themeColor="accent1"/>
      <w:szCs w:val="26"/>
      <w:lang w:val="en-GB" w:eastAsia="en-US"/>
    </w:rPr>
  </w:style>
  <w:style w:type="paragraph" w:customStyle="1" w:styleId="Head3">
    <w:name w:val="Head3"/>
    <w:basedOn w:val="Head2"/>
    <w:qFormat/>
    <w:rsid w:val="00C07135"/>
    <w:pPr>
      <w:numPr>
        <w:ilvl w:val="2"/>
      </w:numPr>
      <w:tabs>
        <w:tab w:val="clear" w:pos="0"/>
        <w:tab w:val="num" w:pos="360"/>
      </w:tabs>
      <w:spacing w:before="240"/>
      <w:outlineLvl w:val="2"/>
    </w:pPr>
    <w:rPr>
      <w:color w:val="1F497D" w:themeColor="text2"/>
      <w:sz w:val="24"/>
      <w:szCs w:val="48"/>
    </w:rPr>
  </w:style>
  <w:style w:type="paragraph" w:customStyle="1" w:styleId="Head4">
    <w:name w:val="Head4"/>
    <w:basedOn w:val="Normal"/>
    <w:qFormat/>
    <w:rsid w:val="00C07135"/>
    <w:pPr>
      <w:keepNext/>
      <w:keepLines/>
      <w:numPr>
        <w:ilvl w:val="3"/>
        <w:numId w:val="18"/>
      </w:numPr>
      <w:suppressAutoHyphens/>
      <w:spacing w:before="220" w:after="220" w:line="264" w:lineRule="auto"/>
      <w:outlineLvl w:val="3"/>
    </w:pPr>
    <w:rPr>
      <w:rFonts w:ascii="Arial" w:eastAsia="Arial" w:hAnsi="Arial" w:cs="Arial"/>
      <w:bCs/>
      <w:color w:val="000000"/>
      <w:sz w:val="22"/>
      <w:szCs w:val="30"/>
      <w:lang w:val="en-GB" w:eastAsia="en-US"/>
    </w:rPr>
  </w:style>
  <w:style w:type="paragraph" w:styleId="Revision">
    <w:name w:val="Revision"/>
    <w:hidden/>
    <w:uiPriority w:val="99"/>
    <w:semiHidden/>
    <w:rsid w:val="00C07135"/>
    <w:rPr>
      <w:rFonts w:ascii="Franklin Gothic Book" w:hAnsi="Franklin Gothic Book"/>
      <w:sz w:val="21"/>
    </w:rPr>
  </w:style>
  <w:style w:type="character" w:customStyle="1" w:styleId="BulletChar">
    <w:name w:val="Bullet Char"/>
    <w:aliases w:val="b Char"/>
    <w:basedOn w:val="DefaultParagraphFont"/>
    <w:link w:val="Bullet"/>
    <w:uiPriority w:val="99"/>
    <w:rsid w:val="00393D24"/>
    <w:rPr>
      <w:rFonts w:ascii="Franklin Gothic Book" w:hAnsi="Franklin Gothic Boo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8015">
      <w:bodyDiv w:val="1"/>
      <w:marLeft w:val="0"/>
      <w:marRight w:val="0"/>
      <w:marTop w:val="0"/>
      <w:marBottom w:val="0"/>
      <w:divBdr>
        <w:top w:val="none" w:sz="0" w:space="0" w:color="auto"/>
        <w:left w:val="none" w:sz="0" w:space="0" w:color="auto"/>
        <w:bottom w:val="none" w:sz="0" w:space="0" w:color="auto"/>
        <w:right w:val="none" w:sz="0" w:space="0" w:color="auto"/>
      </w:divBdr>
      <w:divsChild>
        <w:div w:id="308679544">
          <w:marLeft w:val="0"/>
          <w:marRight w:val="0"/>
          <w:marTop w:val="0"/>
          <w:marBottom w:val="0"/>
          <w:divBdr>
            <w:top w:val="none" w:sz="0" w:space="0" w:color="auto"/>
            <w:left w:val="none" w:sz="0" w:space="0" w:color="auto"/>
            <w:bottom w:val="none" w:sz="0" w:space="0" w:color="auto"/>
            <w:right w:val="none" w:sz="0" w:space="0" w:color="auto"/>
          </w:divBdr>
        </w:div>
      </w:divsChild>
    </w:div>
    <w:div w:id="107895196">
      <w:bodyDiv w:val="1"/>
      <w:marLeft w:val="0"/>
      <w:marRight w:val="0"/>
      <w:marTop w:val="0"/>
      <w:marBottom w:val="0"/>
      <w:divBdr>
        <w:top w:val="none" w:sz="0" w:space="0" w:color="auto"/>
        <w:left w:val="none" w:sz="0" w:space="0" w:color="auto"/>
        <w:bottom w:val="none" w:sz="0" w:space="0" w:color="auto"/>
        <w:right w:val="none" w:sz="0" w:space="0" w:color="auto"/>
      </w:divBdr>
    </w:div>
    <w:div w:id="235482335">
      <w:bodyDiv w:val="1"/>
      <w:marLeft w:val="0"/>
      <w:marRight w:val="0"/>
      <w:marTop w:val="0"/>
      <w:marBottom w:val="0"/>
      <w:divBdr>
        <w:top w:val="none" w:sz="0" w:space="0" w:color="auto"/>
        <w:left w:val="none" w:sz="0" w:space="0" w:color="auto"/>
        <w:bottom w:val="none" w:sz="0" w:space="0" w:color="auto"/>
        <w:right w:val="none" w:sz="0" w:space="0" w:color="auto"/>
      </w:divBdr>
    </w:div>
    <w:div w:id="277106041">
      <w:bodyDiv w:val="1"/>
      <w:marLeft w:val="0"/>
      <w:marRight w:val="0"/>
      <w:marTop w:val="0"/>
      <w:marBottom w:val="0"/>
      <w:divBdr>
        <w:top w:val="none" w:sz="0" w:space="0" w:color="auto"/>
        <w:left w:val="none" w:sz="0" w:space="0" w:color="auto"/>
        <w:bottom w:val="none" w:sz="0" w:space="0" w:color="auto"/>
        <w:right w:val="none" w:sz="0" w:space="0" w:color="auto"/>
      </w:divBdr>
    </w:div>
    <w:div w:id="318000363">
      <w:bodyDiv w:val="1"/>
      <w:marLeft w:val="0"/>
      <w:marRight w:val="0"/>
      <w:marTop w:val="0"/>
      <w:marBottom w:val="0"/>
      <w:divBdr>
        <w:top w:val="none" w:sz="0" w:space="0" w:color="auto"/>
        <w:left w:val="none" w:sz="0" w:space="0" w:color="auto"/>
        <w:bottom w:val="none" w:sz="0" w:space="0" w:color="auto"/>
        <w:right w:val="none" w:sz="0" w:space="0" w:color="auto"/>
      </w:divBdr>
    </w:div>
    <w:div w:id="334770407">
      <w:bodyDiv w:val="1"/>
      <w:marLeft w:val="0"/>
      <w:marRight w:val="0"/>
      <w:marTop w:val="0"/>
      <w:marBottom w:val="0"/>
      <w:divBdr>
        <w:top w:val="none" w:sz="0" w:space="0" w:color="auto"/>
        <w:left w:val="none" w:sz="0" w:space="0" w:color="auto"/>
        <w:bottom w:val="none" w:sz="0" w:space="0" w:color="auto"/>
        <w:right w:val="none" w:sz="0" w:space="0" w:color="auto"/>
      </w:divBdr>
    </w:div>
    <w:div w:id="422801987">
      <w:bodyDiv w:val="1"/>
      <w:marLeft w:val="0"/>
      <w:marRight w:val="0"/>
      <w:marTop w:val="0"/>
      <w:marBottom w:val="0"/>
      <w:divBdr>
        <w:top w:val="none" w:sz="0" w:space="0" w:color="auto"/>
        <w:left w:val="none" w:sz="0" w:space="0" w:color="auto"/>
        <w:bottom w:val="none" w:sz="0" w:space="0" w:color="auto"/>
        <w:right w:val="none" w:sz="0" w:space="0" w:color="auto"/>
      </w:divBdr>
      <w:divsChild>
        <w:div w:id="1488596289">
          <w:marLeft w:val="0"/>
          <w:marRight w:val="0"/>
          <w:marTop w:val="0"/>
          <w:marBottom w:val="0"/>
          <w:divBdr>
            <w:top w:val="none" w:sz="0" w:space="0" w:color="auto"/>
            <w:left w:val="none" w:sz="0" w:space="0" w:color="auto"/>
            <w:bottom w:val="none" w:sz="0" w:space="0" w:color="auto"/>
            <w:right w:val="none" w:sz="0" w:space="0" w:color="auto"/>
          </w:divBdr>
          <w:divsChild>
            <w:div w:id="1299535497">
              <w:marLeft w:val="0"/>
              <w:marRight w:val="0"/>
              <w:marTop w:val="0"/>
              <w:marBottom w:val="0"/>
              <w:divBdr>
                <w:top w:val="none" w:sz="0" w:space="0" w:color="auto"/>
                <w:left w:val="none" w:sz="0" w:space="0" w:color="auto"/>
                <w:bottom w:val="none" w:sz="0" w:space="0" w:color="auto"/>
                <w:right w:val="none" w:sz="0" w:space="0" w:color="auto"/>
              </w:divBdr>
              <w:divsChild>
                <w:div w:id="965701822">
                  <w:marLeft w:val="0"/>
                  <w:marRight w:val="0"/>
                  <w:marTop w:val="0"/>
                  <w:marBottom w:val="0"/>
                  <w:divBdr>
                    <w:top w:val="none" w:sz="0" w:space="0" w:color="auto"/>
                    <w:left w:val="none" w:sz="0" w:space="0" w:color="auto"/>
                    <w:bottom w:val="none" w:sz="0" w:space="0" w:color="auto"/>
                    <w:right w:val="none" w:sz="0" w:space="0" w:color="auto"/>
                  </w:divBdr>
                  <w:divsChild>
                    <w:div w:id="690767672">
                      <w:marLeft w:val="0"/>
                      <w:marRight w:val="0"/>
                      <w:marTop w:val="0"/>
                      <w:marBottom w:val="0"/>
                      <w:divBdr>
                        <w:top w:val="none" w:sz="0" w:space="0" w:color="auto"/>
                        <w:left w:val="none" w:sz="0" w:space="0" w:color="auto"/>
                        <w:bottom w:val="none" w:sz="0" w:space="0" w:color="auto"/>
                        <w:right w:val="none" w:sz="0" w:space="0" w:color="auto"/>
                      </w:divBdr>
                      <w:divsChild>
                        <w:div w:id="349911085">
                          <w:marLeft w:val="0"/>
                          <w:marRight w:val="0"/>
                          <w:marTop w:val="0"/>
                          <w:marBottom w:val="0"/>
                          <w:divBdr>
                            <w:top w:val="none" w:sz="0" w:space="0" w:color="auto"/>
                            <w:left w:val="none" w:sz="0" w:space="0" w:color="auto"/>
                            <w:bottom w:val="none" w:sz="0" w:space="0" w:color="auto"/>
                            <w:right w:val="none" w:sz="0" w:space="0" w:color="auto"/>
                          </w:divBdr>
                          <w:divsChild>
                            <w:div w:id="526256996">
                              <w:marLeft w:val="0"/>
                              <w:marRight w:val="0"/>
                              <w:marTop w:val="0"/>
                              <w:marBottom w:val="0"/>
                              <w:divBdr>
                                <w:top w:val="none" w:sz="0" w:space="0" w:color="auto"/>
                                <w:left w:val="none" w:sz="0" w:space="0" w:color="auto"/>
                                <w:bottom w:val="none" w:sz="0" w:space="0" w:color="auto"/>
                                <w:right w:val="none" w:sz="0" w:space="0" w:color="auto"/>
                              </w:divBdr>
                              <w:divsChild>
                                <w:div w:id="872377462">
                                  <w:marLeft w:val="0"/>
                                  <w:marRight w:val="0"/>
                                  <w:marTop w:val="0"/>
                                  <w:marBottom w:val="0"/>
                                  <w:divBdr>
                                    <w:top w:val="none" w:sz="0" w:space="0" w:color="auto"/>
                                    <w:left w:val="none" w:sz="0" w:space="0" w:color="auto"/>
                                    <w:bottom w:val="none" w:sz="0" w:space="0" w:color="auto"/>
                                    <w:right w:val="none" w:sz="0" w:space="0" w:color="auto"/>
                                  </w:divBdr>
                                  <w:divsChild>
                                    <w:div w:id="405955986">
                                      <w:marLeft w:val="0"/>
                                      <w:marRight w:val="0"/>
                                      <w:marTop w:val="0"/>
                                      <w:marBottom w:val="0"/>
                                      <w:divBdr>
                                        <w:top w:val="none" w:sz="0" w:space="0" w:color="auto"/>
                                        <w:left w:val="none" w:sz="0" w:space="0" w:color="auto"/>
                                        <w:bottom w:val="none" w:sz="0" w:space="0" w:color="auto"/>
                                        <w:right w:val="none" w:sz="0" w:space="0" w:color="auto"/>
                                      </w:divBdr>
                                      <w:divsChild>
                                        <w:div w:id="1913005990">
                                          <w:marLeft w:val="0"/>
                                          <w:marRight w:val="0"/>
                                          <w:marTop w:val="0"/>
                                          <w:marBottom w:val="0"/>
                                          <w:divBdr>
                                            <w:top w:val="none" w:sz="0" w:space="0" w:color="auto"/>
                                            <w:left w:val="none" w:sz="0" w:space="0" w:color="auto"/>
                                            <w:bottom w:val="none" w:sz="0" w:space="0" w:color="auto"/>
                                            <w:right w:val="none" w:sz="0" w:space="0" w:color="auto"/>
                                          </w:divBdr>
                                          <w:divsChild>
                                            <w:div w:id="1832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463997">
      <w:bodyDiv w:val="1"/>
      <w:marLeft w:val="0"/>
      <w:marRight w:val="0"/>
      <w:marTop w:val="0"/>
      <w:marBottom w:val="0"/>
      <w:divBdr>
        <w:top w:val="none" w:sz="0" w:space="0" w:color="auto"/>
        <w:left w:val="none" w:sz="0" w:space="0" w:color="auto"/>
        <w:bottom w:val="none" w:sz="0" w:space="0" w:color="auto"/>
        <w:right w:val="none" w:sz="0" w:space="0" w:color="auto"/>
      </w:divBdr>
    </w:div>
    <w:div w:id="589582363">
      <w:bodyDiv w:val="1"/>
      <w:marLeft w:val="0"/>
      <w:marRight w:val="0"/>
      <w:marTop w:val="0"/>
      <w:marBottom w:val="0"/>
      <w:divBdr>
        <w:top w:val="none" w:sz="0" w:space="0" w:color="auto"/>
        <w:left w:val="none" w:sz="0" w:space="0" w:color="auto"/>
        <w:bottom w:val="none" w:sz="0" w:space="0" w:color="auto"/>
        <w:right w:val="none" w:sz="0" w:space="0" w:color="auto"/>
      </w:divBdr>
    </w:div>
    <w:div w:id="624653516">
      <w:bodyDiv w:val="1"/>
      <w:marLeft w:val="0"/>
      <w:marRight w:val="0"/>
      <w:marTop w:val="0"/>
      <w:marBottom w:val="0"/>
      <w:divBdr>
        <w:top w:val="none" w:sz="0" w:space="0" w:color="auto"/>
        <w:left w:val="none" w:sz="0" w:space="0" w:color="auto"/>
        <w:bottom w:val="none" w:sz="0" w:space="0" w:color="auto"/>
        <w:right w:val="none" w:sz="0" w:space="0" w:color="auto"/>
      </w:divBdr>
    </w:div>
    <w:div w:id="672074546">
      <w:bodyDiv w:val="1"/>
      <w:marLeft w:val="0"/>
      <w:marRight w:val="0"/>
      <w:marTop w:val="0"/>
      <w:marBottom w:val="0"/>
      <w:divBdr>
        <w:top w:val="none" w:sz="0" w:space="0" w:color="auto"/>
        <w:left w:val="none" w:sz="0" w:space="0" w:color="auto"/>
        <w:bottom w:val="none" w:sz="0" w:space="0" w:color="auto"/>
        <w:right w:val="none" w:sz="0" w:space="0" w:color="auto"/>
      </w:divBdr>
      <w:divsChild>
        <w:div w:id="982272553">
          <w:marLeft w:val="0"/>
          <w:marRight w:val="0"/>
          <w:marTop w:val="0"/>
          <w:marBottom w:val="600"/>
          <w:divBdr>
            <w:top w:val="none" w:sz="0" w:space="0" w:color="auto"/>
            <w:left w:val="none" w:sz="0" w:space="0" w:color="auto"/>
            <w:bottom w:val="none" w:sz="0" w:space="0" w:color="auto"/>
            <w:right w:val="none" w:sz="0" w:space="0" w:color="auto"/>
          </w:divBdr>
          <w:divsChild>
            <w:div w:id="1420567009">
              <w:marLeft w:val="0"/>
              <w:marRight w:val="0"/>
              <w:marTop w:val="675"/>
              <w:marBottom w:val="0"/>
              <w:divBdr>
                <w:top w:val="none" w:sz="0" w:space="0" w:color="auto"/>
                <w:left w:val="none" w:sz="0" w:space="0" w:color="auto"/>
                <w:bottom w:val="none" w:sz="0" w:space="0" w:color="auto"/>
                <w:right w:val="none" w:sz="0" w:space="0" w:color="auto"/>
              </w:divBdr>
              <w:divsChild>
                <w:div w:id="839394022">
                  <w:marLeft w:val="0"/>
                  <w:marRight w:val="0"/>
                  <w:marTop w:val="0"/>
                  <w:marBottom w:val="0"/>
                  <w:divBdr>
                    <w:top w:val="none" w:sz="0" w:space="0" w:color="auto"/>
                    <w:left w:val="none" w:sz="0" w:space="0" w:color="auto"/>
                    <w:bottom w:val="none" w:sz="0" w:space="0" w:color="auto"/>
                    <w:right w:val="none" w:sz="0" w:space="0" w:color="auto"/>
                  </w:divBdr>
                  <w:divsChild>
                    <w:div w:id="1776560666">
                      <w:marLeft w:val="0"/>
                      <w:marRight w:val="0"/>
                      <w:marTop w:val="0"/>
                      <w:marBottom w:val="0"/>
                      <w:divBdr>
                        <w:top w:val="none" w:sz="0" w:space="0" w:color="auto"/>
                        <w:left w:val="none" w:sz="0" w:space="0" w:color="auto"/>
                        <w:bottom w:val="none" w:sz="0" w:space="0" w:color="auto"/>
                        <w:right w:val="none" w:sz="0" w:space="0" w:color="auto"/>
                      </w:divBdr>
                      <w:divsChild>
                        <w:div w:id="627391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6027">
      <w:bodyDiv w:val="1"/>
      <w:marLeft w:val="0"/>
      <w:marRight w:val="0"/>
      <w:marTop w:val="0"/>
      <w:marBottom w:val="0"/>
      <w:divBdr>
        <w:top w:val="none" w:sz="0" w:space="0" w:color="auto"/>
        <w:left w:val="none" w:sz="0" w:space="0" w:color="auto"/>
        <w:bottom w:val="none" w:sz="0" w:space="0" w:color="auto"/>
        <w:right w:val="none" w:sz="0" w:space="0" w:color="auto"/>
      </w:divBdr>
    </w:div>
    <w:div w:id="776292920">
      <w:bodyDiv w:val="1"/>
      <w:marLeft w:val="0"/>
      <w:marRight w:val="0"/>
      <w:marTop w:val="0"/>
      <w:marBottom w:val="0"/>
      <w:divBdr>
        <w:top w:val="none" w:sz="0" w:space="0" w:color="auto"/>
        <w:left w:val="none" w:sz="0" w:space="0" w:color="auto"/>
        <w:bottom w:val="none" w:sz="0" w:space="0" w:color="auto"/>
        <w:right w:val="none" w:sz="0" w:space="0" w:color="auto"/>
      </w:divBdr>
    </w:div>
    <w:div w:id="804664350">
      <w:bodyDiv w:val="1"/>
      <w:marLeft w:val="0"/>
      <w:marRight w:val="0"/>
      <w:marTop w:val="0"/>
      <w:marBottom w:val="0"/>
      <w:divBdr>
        <w:top w:val="none" w:sz="0" w:space="0" w:color="auto"/>
        <w:left w:val="none" w:sz="0" w:space="0" w:color="auto"/>
        <w:bottom w:val="none" w:sz="0" w:space="0" w:color="auto"/>
        <w:right w:val="none" w:sz="0" w:space="0" w:color="auto"/>
      </w:divBdr>
    </w:div>
    <w:div w:id="979264935">
      <w:bodyDiv w:val="1"/>
      <w:marLeft w:val="0"/>
      <w:marRight w:val="0"/>
      <w:marTop w:val="0"/>
      <w:marBottom w:val="0"/>
      <w:divBdr>
        <w:top w:val="none" w:sz="0" w:space="0" w:color="auto"/>
        <w:left w:val="none" w:sz="0" w:space="0" w:color="auto"/>
        <w:bottom w:val="none" w:sz="0" w:space="0" w:color="auto"/>
        <w:right w:val="none" w:sz="0" w:space="0" w:color="auto"/>
      </w:divBdr>
    </w:div>
    <w:div w:id="979726973">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103572255">
      <w:bodyDiv w:val="1"/>
      <w:marLeft w:val="0"/>
      <w:marRight w:val="0"/>
      <w:marTop w:val="0"/>
      <w:marBottom w:val="0"/>
      <w:divBdr>
        <w:top w:val="none" w:sz="0" w:space="0" w:color="auto"/>
        <w:left w:val="none" w:sz="0" w:space="0" w:color="auto"/>
        <w:bottom w:val="none" w:sz="0" w:space="0" w:color="auto"/>
        <w:right w:val="none" w:sz="0" w:space="0" w:color="auto"/>
      </w:divBdr>
    </w:div>
    <w:div w:id="1178814844">
      <w:bodyDiv w:val="1"/>
      <w:marLeft w:val="0"/>
      <w:marRight w:val="0"/>
      <w:marTop w:val="0"/>
      <w:marBottom w:val="0"/>
      <w:divBdr>
        <w:top w:val="none" w:sz="0" w:space="0" w:color="auto"/>
        <w:left w:val="none" w:sz="0" w:space="0" w:color="auto"/>
        <w:bottom w:val="none" w:sz="0" w:space="0" w:color="auto"/>
        <w:right w:val="none" w:sz="0" w:space="0" w:color="auto"/>
      </w:divBdr>
    </w:div>
    <w:div w:id="1329096882">
      <w:bodyDiv w:val="1"/>
      <w:marLeft w:val="0"/>
      <w:marRight w:val="0"/>
      <w:marTop w:val="0"/>
      <w:marBottom w:val="0"/>
      <w:divBdr>
        <w:top w:val="none" w:sz="0" w:space="0" w:color="auto"/>
        <w:left w:val="none" w:sz="0" w:space="0" w:color="auto"/>
        <w:bottom w:val="none" w:sz="0" w:space="0" w:color="auto"/>
        <w:right w:val="none" w:sz="0" w:space="0" w:color="auto"/>
      </w:divBdr>
    </w:div>
    <w:div w:id="1401321715">
      <w:bodyDiv w:val="1"/>
      <w:marLeft w:val="0"/>
      <w:marRight w:val="0"/>
      <w:marTop w:val="0"/>
      <w:marBottom w:val="0"/>
      <w:divBdr>
        <w:top w:val="none" w:sz="0" w:space="0" w:color="auto"/>
        <w:left w:val="none" w:sz="0" w:space="0" w:color="auto"/>
        <w:bottom w:val="none" w:sz="0" w:space="0" w:color="auto"/>
        <w:right w:val="none" w:sz="0" w:space="0" w:color="auto"/>
      </w:divBdr>
    </w:div>
    <w:div w:id="1412115658">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453136645">
      <w:bodyDiv w:val="1"/>
      <w:marLeft w:val="0"/>
      <w:marRight w:val="0"/>
      <w:marTop w:val="0"/>
      <w:marBottom w:val="0"/>
      <w:divBdr>
        <w:top w:val="none" w:sz="0" w:space="0" w:color="auto"/>
        <w:left w:val="none" w:sz="0" w:space="0" w:color="auto"/>
        <w:bottom w:val="none" w:sz="0" w:space="0" w:color="auto"/>
        <w:right w:val="none" w:sz="0" w:space="0" w:color="auto"/>
      </w:divBdr>
    </w:div>
    <w:div w:id="1591549378">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2036999484">
      <w:bodyDiv w:val="1"/>
      <w:marLeft w:val="0"/>
      <w:marRight w:val="0"/>
      <w:marTop w:val="0"/>
      <w:marBottom w:val="0"/>
      <w:divBdr>
        <w:top w:val="none" w:sz="0" w:space="0" w:color="auto"/>
        <w:left w:val="none" w:sz="0" w:space="0" w:color="auto"/>
        <w:bottom w:val="none" w:sz="0" w:space="0" w:color="auto"/>
        <w:right w:val="none" w:sz="0" w:space="0" w:color="auto"/>
      </w:divBdr>
    </w:div>
    <w:div w:id="2052073509">
      <w:bodyDiv w:val="1"/>
      <w:marLeft w:val="0"/>
      <w:marRight w:val="0"/>
      <w:marTop w:val="0"/>
      <w:marBottom w:val="0"/>
      <w:divBdr>
        <w:top w:val="none" w:sz="0" w:space="0" w:color="auto"/>
        <w:left w:val="none" w:sz="0" w:space="0" w:color="auto"/>
        <w:bottom w:val="none" w:sz="0" w:space="0" w:color="auto"/>
        <w:right w:val="none" w:sz="0" w:space="0" w:color="auto"/>
      </w:divBdr>
    </w:div>
    <w:div w:id="2061971931">
      <w:bodyDiv w:val="1"/>
      <w:marLeft w:val="0"/>
      <w:marRight w:val="0"/>
      <w:marTop w:val="0"/>
      <w:marBottom w:val="0"/>
      <w:divBdr>
        <w:top w:val="none" w:sz="0" w:space="0" w:color="auto"/>
        <w:left w:val="none" w:sz="0" w:space="0" w:color="auto"/>
        <w:bottom w:val="none" w:sz="0" w:space="0" w:color="auto"/>
        <w:right w:val="none" w:sz="0" w:space="0" w:color="auto"/>
      </w:divBdr>
      <w:divsChild>
        <w:div w:id="1406996024">
          <w:marLeft w:val="0"/>
          <w:marRight w:val="0"/>
          <w:marTop w:val="0"/>
          <w:marBottom w:val="0"/>
          <w:divBdr>
            <w:top w:val="none" w:sz="0" w:space="0" w:color="auto"/>
            <w:left w:val="none" w:sz="0" w:space="0" w:color="auto"/>
            <w:bottom w:val="none" w:sz="0" w:space="0" w:color="auto"/>
            <w:right w:val="none" w:sz="0" w:space="0" w:color="auto"/>
          </w:divBdr>
          <w:divsChild>
            <w:div w:id="1293247163">
              <w:marLeft w:val="0"/>
              <w:marRight w:val="0"/>
              <w:marTop w:val="0"/>
              <w:marBottom w:val="0"/>
              <w:divBdr>
                <w:top w:val="none" w:sz="0" w:space="0" w:color="auto"/>
                <w:left w:val="none" w:sz="0" w:space="0" w:color="auto"/>
                <w:bottom w:val="none" w:sz="0" w:space="0" w:color="auto"/>
                <w:right w:val="none" w:sz="0" w:space="0" w:color="auto"/>
              </w:divBdr>
              <w:divsChild>
                <w:div w:id="15084372">
                  <w:marLeft w:val="0"/>
                  <w:marRight w:val="0"/>
                  <w:marTop w:val="0"/>
                  <w:marBottom w:val="0"/>
                  <w:divBdr>
                    <w:top w:val="none" w:sz="0" w:space="0" w:color="auto"/>
                    <w:left w:val="none" w:sz="0" w:space="0" w:color="auto"/>
                    <w:bottom w:val="none" w:sz="0" w:space="0" w:color="auto"/>
                    <w:right w:val="none" w:sz="0" w:space="0" w:color="auto"/>
                  </w:divBdr>
                  <w:divsChild>
                    <w:div w:id="1841194862">
                      <w:marLeft w:val="0"/>
                      <w:marRight w:val="0"/>
                      <w:marTop w:val="0"/>
                      <w:marBottom w:val="0"/>
                      <w:divBdr>
                        <w:top w:val="none" w:sz="0" w:space="0" w:color="auto"/>
                        <w:left w:val="none" w:sz="0" w:space="0" w:color="auto"/>
                        <w:bottom w:val="none" w:sz="0" w:space="0" w:color="auto"/>
                        <w:right w:val="none" w:sz="0" w:space="0" w:color="auto"/>
                      </w:divBdr>
                      <w:divsChild>
                        <w:div w:id="1338000585">
                          <w:marLeft w:val="0"/>
                          <w:marRight w:val="0"/>
                          <w:marTop w:val="0"/>
                          <w:marBottom w:val="0"/>
                          <w:divBdr>
                            <w:top w:val="none" w:sz="0" w:space="0" w:color="auto"/>
                            <w:left w:val="none" w:sz="0" w:space="0" w:color="auto"/>
                            <w:bottom w:val="none" w:sz="0" w:space="0" w:color="auto"/>
                            <w:right w:val="none" w:sz="0" w:space="0" w:color="auto"/>
                          </w:divBdr>
                          <w:divsChild>
                            <w:div w:id="2006980271">
                              <w:marLeft w:val="0"/>
                              <w:marRight w:val="0"/>
                              <w:marTop w:val="0"/>
                              <w:marBottom w:val="0"/>
                              <w:divBdr>
                                <w:top w:val="none" w:sz="0" w:space="0" w:color="auto"/>
                                <w:left w:val="none" w:sz="0" w:space="0" w:color="auto"/>
                                <w:bottom w:val="none" w:sz="0" w:space="0" w:color="auto"/>
                                <w:right w:val="none" w:sz="0" w:space="0" w:color="auto"/>
                              </w:divBdr>
                              <w:divsChild>
                                <w:div w:id="1347364686">
                                  <w:marLeft w:val="0"/>
                                  <w:marRight w:val="0"/>
                                  <w:marTop w:val="0"/>
                                  <w:marBottom w:val="0"/>
                                  <w:divBdr>
                                    <w:top w:val="none" w:sz="0" w:space="0" w:color="auto"/>
                                    <w:left w:val="none" w:sz="0" w:space="0" w:color="auto"/>
                                    <w:bottom w:val="none" w:sz="0" w:space="0" w:color="auto"/>
                                    <w:right w:val="none" w:sz="0" w:space="0" w:color="auto"/>
                                  </w:divBdr>
                                  <w:divsChild>
                                    <w:div w:id="1696030812">
                                      <w:marLeft w:val="0"/>
                                      <w:marRight w:val="0"/>
                                      <w:marTop w:val="0"/>
                                      <w:marBottom w:val="0"/>
                                      <w:divBdr>
                                        <w:top w:val="none" w:sz="0" w:space="0" w:color="auto"/>
                                        <w:left w:val="none" w:sz="0" w:space="0" w:color="auto"/>
                                        <w:bottom w:val="none" w:sz="0" w:space="0" w:color="auto"/>
                                        <w:right w:val="none" w:sz="0" w:space="0" w:color="auto"/>
                                      </w:divBdr>
                                      <w:divsChild>
                                        <w:div w:id="1779175004">
                                          <w:marLeft w:val="0"/>
                                          <w:marRight w:val="0"/>
                                          <w:marTop w:val="0"/>
                                          <w:marBottom w:val="0"/>
                                          <w:divBdr>
                                            <w:top w:val="none" w:sz="0" w:space="0" w:color="auto"/>
                                            <w:left w:val="none" w:sz="0" w:space="0" w:color="auto"/>
                                            <w:bottom w:val="none" w:sz="0" w:space="0" w:color="auto"/>
                                            <w:right w:val="none" w:sz="0" w:space="0" w:color="auto"/>
                                          </w:divBdr>
                                          <w:divsChild>
                                            <w:div w:id="17603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9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eader" Target="header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chart" Target="charts/chart10.xml"/></Relationships>
</file>

<file path=word/_rels/footnotes.xml.rels><?xml version="1.0" encoding="UTF-8" standalone="yes"?>
<Relationships xmlns="http://schemas.openxmlformats.org/package/2006/relationships"><Relationship Id="rId2" Type="http://schemas.openxmlformats.org/officeDocument/2006/relationships/hyperlink" Target="https://mauritius.embassy.gov.au/files/plut/Alumni%20in%20Mauritius%20Publication.pdf" TargetMode="External"/><Relationship Id="rId1" Type="http://schemas.openxmlformats.org/officeDocument/2006/relationships/hyperlink" Target="https://www.worldbank.org/en/news/press-release/2018/10/30/world-bank-approves-293-million-to-boost-regional-integration-and-technical-training-in-east-afric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acey\Documents\Work\Contracts\DFAT\AAS\Australia%20Awards%20-%20Africa\Evaluation%20Outputs\Evaluation%20Report\Copy%20of%2021-11-2018%20Awards%202011%20-%202019.xlsm"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tacey\Documents\Work\Contracts\DFAT\AAS\Australia%20Awards%20-%20Africa\Evaluation%20Outputs\Evaluation%20Report\Expenditure%20summary(AutoRecovered).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acey\Documents\Work\Contracts\DFAT\AAS\Australia%20Awards%20-%20Africa\Evaluation%20Outputs\Evaluation%20Report\Copy%20of%2021-11-2018%20Awards%202011%20-%202019.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acey\Documents\Work\Contracts\DFAT\AAS\Australia%20Awards%20-%20Africa\Evaluation%20Outputs\Literature%20and%20Data%20Review\Australia%20Awards%20Alumni_Data%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acey\Documents\Work\Contracts\DFAT\AAS\Australia%20Awards%20-%20Africa\Evaluation%20Outputs\Evaluation%20Report\Copy%20of%2021-11-2018%20Awards%202011%20-%202019.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acey\Documents\Work\Contracts\DFAT\AAS\Australia%20Awards%20-%20Africa\Evaluation%20Outputs\Evaluation%20Report\Copy%20of%2021-11-2018%20Awards%202011%20-%202019.xls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tacey\Documents\Work\Contracts\DFAT\AAS\Australia%20Awards%20-%20Africa\Evaluation%20Outputs\Evaluation%20Report\Copy%20of%2021-11-2018%20Awards%202011%20-%202019.xlsm"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tacey\Documents\Work\Contracts\DFAT\AAS\Australia%20Awards%20-%20Africa\Evaluation%20Outputs\Evaluation%20Report\Copy%20of%2021-11-2018%20Awards%202011%20-%202019.xlsm"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goni.ADSAFRICA\AppData\Local\Microsoft\Windows\Temporary%20Internet%20Files\Content.Outlook\WVBAD4BP\2016%20SCA%20-%20Private%20sector%20engagemen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Gender!$E$13</c:f>
              <c:strCache>
                <c:ptCount val="1"/>
                <c:pt idx="0">
                  <c:v>Female</c:v>
                </c:pt>
              </c:strCache>
            </c:strRef>
          </c:tx>
          <c:spPr>
            <a:solidFill>
              <a:schemeClr val="accent1"/>
            </a:solidFill>
            <a:ln>
              <a:noFill/>
            </a:ln>
            <a:effectLst/>
          </c:spPr>
          <c:invertIfNegative val="0"/>
          <c:cat>
            <c:multiLvlStrRef>
              <c:f>Gender!$C$14:$D$20</c:f>
              <c:multiLvlStrCache>
                <c:ptCount val="7"/>
                <c:lvl>
                  <c:pt idx="0">
                    <c:v>AAS</c:v>
                  </c:pt>
                  <c:pt idx="1">
                    <c:v>SCA</c:v>
                  </c:pt>
                  <c:pt idx="2">
                    <c:v>AAS</c:v>
                  </c:pt>
                  <c:pt idx="3">
                    <c:v>SCA</c:v>
                  </c:pt>
                  <c:pt idx="4">
                    <c:v>AAS</c:v>
                  </c:pt>
                  <c:pt idx="5">
                    <c:v>SCA</c:v>
                  </c:pt>
                  <c:pt idx="6">
                    <c:v>AAS</c:v>
                  </c:pt>
                </c:lvl>
                <c:lvl>
                  <c:pt idx="0">
                    <c:v>2016</c:v>
                  </c:pt>
                  <c:pt idx="2">
                    <c:v>2017</c:v>
                  </c:pt>
                  <c:pt idx="4">
                    <c:v>2018</c:v>
                  </c:pt>
                  <c:pt idx="6">
                    <c:v>2019</c:v>
                  </c:pt>
                </c:lvl>
              </c:multiLvlStrCache>
            </c:multiLvlStrRef>
          </c:cat>
          <c:val>
            <c:numRef>
              <c:f>Gender!$E$14:$E$20</c:f>
              <c:numCache>
                <c:formatCode>General</c:formatCode>
                <c:ptCount val="7"/>
                <c:pt idx="0">
                  <c:v>20</c:v>
                </c:pt>
                <c:pt idx="1">
                  <c:v>106</c:v>
                </c:pt>
                <c:pt idx="2">
                  <c:v>58</c:v>
                </c:pt>
                <c:pt idx="3">
                  <c:v>100</c:v>
                </c:pt>
                <c:pt idx="4">
                  <c:v>77</c:v>
                </c:pt>
                <c:pt idx="5">
                  <c:v>102</c:v>
                </c:pt>
                <c:pt idx="6">
                  <c:v>78</c:v>
                </c:pt>
              </c:numCache>
            </c:numRef>
          </c:val>
          <c:extLst>
            <c:ext xmlns:c16="http://schemas.microsoft.com/office/drawing/2014/chart" uri="{C3380CC4-5D6E-409C-BE32-E72D297353CC}">
              <c16:uniqueId val="{00000000-8302-44D0-86B1-0C6748E03FFB}"/>
            </c:ext>
          </c:extLst>
        </c:ser>
        <c:ser>
          <c:idx val="1"/>
          <c:order val="1"/>
          <c:tx>
            <c:strRef>
              <c:f>Gender!$F$13</c:f>
              <c:strCache>
                <c:ptCount val="1"/>
                <c:pt idx="0">
                  <c:v>Male</c:v>
                </c:pt>
              </c:strCache>
            </c:strRef>
          </c:tx>
          <c:spPr>
            <a:solidFill>
              <a:schemeClr val="accent2"/>
            </a:solidFill>
            <a:ln>
              <a:noFill/>
            </a:ln>
            <a:effectLst/>
          </c:spPr>
          <c:invertIfNegative val="0"/>
          <c:cat>
            <c:multiLvlStrRef>
              <c:f>Gender!$C$14:$D$20</c:f>
              <c:multiLvlStrCache>
                <c:ptCount val="7"/>
                <c:lvl>
                  <c:pt idx="0">
                    <c:v>AAS</c:v>
                  </c:pt>
                  <c:pt idx="1">
                    <c:v>SCA</c:v>
                  </c:pt>
                  <c:pt idx="2">
                    <c:v>AAS</c:v>
                  </c:pt>
                  <c:pt idx="3">
                    <c:v>SCA</c:v>
                  </c:pt>
                  <c:pt idx="4">
                    <c:v>AAS</c:v>
                  </c:pt>
                  <c:pt idx="5">
                    <c:v>SCA</c:v>
                  </c:pt>
                  <c:pt idx="6">
                    <c:v>AAS</c:v>
                  </c:pt>
                </c:lvl>
                <c:lvl>
                  <c:pt idx="0">
                    <c:v>2016</c:v>
                  </c:pt>
                  <c:pt idx="2">
                    <c:v>2017</c:v>
                  </c:pt>
                  <c:pt idx="4">
                    <c:v>2018</c:v>
                  </c:pt>
                  <c:pt idx="6">
                    <c:v>2019</c:v>
                  </c:pt>
                </c:lvl>
              </c:multiLvlStrCache>
            </c:multiLvlStrRef>
          </c:cat>
          <c:val>
            <c:numRef>
              <c:f>Gender!$F$14:$F$20</c:f>
              <c:numCache>
                <c:formatCode>General</c:formatCode>
                <c:ptCount val="7"/>
                <c:pt idx="0">
                  <c:v>26</c:v>
                </c:pt>
                <c:pt idx="1">
                  <c:v>142</c:v>
                </c:pt>
                <c:pt idx="2">
                  <c:v>76</c:v>
                </c:pt>
                <c:pt idx="3">
                  <c:v>123</c:v>
                </c:pt>
                <c:pt idx="4">
                  <c:v>75</c:v>
                </c:pt>
                <c:pt idx="5">
                  <c:v>131</c:v>
                </c:pt>
                <c:pt idx="6">
                  <c:v>87</c:v>
                </c:pt>
              </c:numCache>
            </c:numRef>
          </c:val>
          <c:extLst>
            <c:ext xmlns:c16="http://schemas.microsoft.com/office/drawing/2014/chart" uri="{C3380CC4-5D6E-409C-BE32-E72D297353CC}">
              <c16:uniqueId val="{00000001-8302-44D0-86B1-0C6748E03FFB}"/>
            </c:ext>
          </c:extLst>
        </c:ser>
        <c:dLbls>
          <c:showLegendKey val="0"/>
          <c:showVal val="0"/>
          <c:showCatName val="0"/>
          <c:showSerName val="0"/>
          <c:showPercent val="0"/>
          <c:showBubbleSize val="0"/>
        </c:dLbls>
        <c:gapWidth val="219"/>
        <c:overlap val="-27"/>
        <c:axId val="1039585311"/>
        <c:axId val="1200159967"/>
      </c:barChart>
      <c:lineChart>
        <c:grouping val="standard"/>
        <c:varyColors val="0"/>
        <c:ser>
          <c:idx val="2"/>
          <c:order val="2"/>
          <c:tx>
            <c:strRef>
              <c:f>Gender!$G$13</c:f>
              <c:strCache>
                <c:ptCount val="1"/>
                <c:pt idx="0">
                  <c:v>Equal participation target</c:v>
                </c:pt>
              </c:strCache>
            </c:strRef>
          </c:tx>
          <c:spPr>
            <a:ln w="28575" cap="rnd">
              <a:noFill/>
              <a:round/>
            </a:ln>
            <a:effectLst/>
          </c:spPr>
          <c:marker>
            <c:symbol val="dash"/>
            <c:size val="15"/>
            <c:spPr>
              <a:solidFill>
                <a:srgbClr val="C00000"/>
              </a:solidFill>
              <a:ln w="9525">
                <a:noFill/>
              </a:ln>
              <a:effectLst/>
            </c:spPr>
          </c:marker>
          <c:cat>
            <c:multiLvlStrRef>
              <c:f>Gender!$C$14:$D$20</c:f>
              <c:multiLvlStrCache>
                <c:ptCount val="7"/>
                <c:lvl>
                  <c:pt idx="0">
                    <c:v>AAS</c:v>
                  </c:pt>
                  <c:pt idx="1">
                    <c:v>SCA</c:v>
                  </c:pt>
                  <c:pt idx="2">
                    <c:v>AAS</c:v>
                  </c:pt>
                  <c:pt idx="3">
                    <c:v>SCA</c:v>
                  </c:pt>
                  <c:pt idx="4">
                    <c:v>AAS</c:v>
                  </c:pt>
                  <c:pt idx="5">
                    <c:v>SCA</c:v>
                  </c:pt>
                  <c:pt idx="6">
                    <c:v>AAS</c:v>
                  </c:pt>
                </c:lvl>
                <c:lvl>
                  <c:pt idx="0">
                    <c:v>2016</c:v>
                  </c:pt>
                  <c:pt idx="2">
                    <c:v>2017</c:v>
                  </c:pt>
                  <c:pt idx="4">
                    <c:v>2018</c:v>
                  </c:pt>
                  <c:pt idx="6">
                    <c:v>2019</c:v>
                  </c:pt>
                </c:lvl>
              </c:multiLvlStrCache>
            </c:multiLvlStrRef>
          </c:cat>
          <c:val>
            <c:numRef>
              <c:f>Gender!$G$14:$G$20</c:f>
              <c:numCache>
                <c:formatCode>General</c:formatCode>
                <c:ptCount val="7"/>
                <c:pt idx="0">
                  <c:v>23</c:v>
                </c:pt>
                <c:pt idx="1">
                  <c:v>124</c:v>
                </c:pt>
                <c:pt idx="2">
                  <c:v>67</c:v>
                </c:pt>
                <c:pt idx="3">
                  <c:v>111.5</c:v>
                </c:pt>
                <c:pt idx="4">
                  <c:v>76</c:v>
                </c:pt>
                <c:pt idx="5">
                  <c:v>116.5</c:v>
                </c:pt>
                <c:pt idx="6">
                  <c:v>82.5</c:v>
                </c:pt>
              </c:numCache>
            </c:numRef>
          </c:val>
          <c:smooth val="0"/>
          <c:extLst>
            <c:ext xmlns:c16="http://schemas.microsoft.com/office/drawing/2014/chart" uri="{C3380CC4-5D6E-409C-BE32-E72D297353CC}">
              <c16:uniqueId val="{00000002-8302-44D0-86B1-0C6748E03FFB}"/>
            </c:ext>
          </c:extLst>
        </c:ser>
        <c:dLbls>
          <c:showLegendKey val="0"/>
          <c:showVal val="0"/>
          <c:showCatName val="0"/>
          <c:showSerName val="0"/>
          <c:showPercent val="0"/>
          <c:showBubbleSize val="0"/>
        </c:dLbls>
        <c:marker val="1"/>
        <c:smooth val="0"/>
        <c:axId val="1041323263"/>
        <c:axId val="1200167311"/>
      </c:lineChart>
      <c:catAx>
        <c:axId val="103958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159967"/>
        <c:crosses val="autoZero"/>
        <c:auto val="1"/>
        <c:lblAlgn val="ctr"/>
        <c:lblOffset val="100"/>
        <c:noMultiLvlLbl val="0"/>
      </c:catAx>
      <c:valAx>
        <c:axId val="1200159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585311"/>
        <c:crosses val="autoZero"/>
        <c:crossBetween val="between"/>
      </c:valAx>
      <c:valAx>
        <c:axId val="1200167311"/>
        <c:scaling>
          <c:orientation val="minMax"/>
        </c:scaling>
        <c:delete val="1"/>
        <c:axPos val="r"/>
        <c:numFmt formatCode="General" sourceLinked="1"/>
        <c:majorTickMark val="out"/>
        <c:minorTickMark val="none"/>
        <c:tickLblPos val="nextTo"/>
        <c:crossAx val="1041323263"/>
        <c:crosses val="max"/>
        <c:crossBetween val="between"/>
      </c:valAx>
      <c:catAx>
        <c:axId val="1041323263"/>
        <c:scaling>
          <c:orientation val="minMax"/>
        </c:scaling>
        <c:delete val="1"/>
        <c:axPos val="b"/>
        <c:numFmt formatCode="General" sourceLinked="1"/>
        <c:majorTickMark val="out"/>
        <c:minorTickMark val="none"/>
        <c:tickLblPos val="nextTo"/>
        <c:crossAx val="12001673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2349405970897E-2"/>
          <c:y val="4.0178767134836195E-2"/>
          <c:w val="0.7140066590616102"/>
          <c:h val="0.88747571016132087"/>
        </c:manualLayout>
      </c:layout>
      <c:lineChart>
        <c:grouping val="standard"/>
        <c:varyColors val="0"/>
        <c:ser>
          <c:idx val="3"/>
          <c:order val="0"/>
          <c:tx>
            <c:strRef>
              <c:f>Projections!$A$5</c:f>
              <c:strCache>
                <c:ptCount val="1"/>
                <c:pt idx="0">
                  <c:v>Total Program Costs</c:v>
                </c:pt>
              </c:strCache>
            </c:strRef>
          </c:tx>
          <c:spPr>
            <a:ln w="19050" cap="rnd" cmpd="sng" algn="ctr">
              <a:solidFill>
                <a:schemeClr val="accent4"/>
              </a:solidFill>
              <a:prstDash val="solid"/>
              <a:round/>
            </a:ln>
            <a:effectLst/>
          </c:spPr>
          <c:marker>
            <c:symbol val="none"/>
          </c:marker>
          <c:cat>
            <c:strRef>
              <c:f>Projections!$B$1:$E$1</c:f>
              <c:strCache>
                <c:ptCount val="4"/>
                <c:pt idx="0">
                  <c:v> Apr 2016 - Jun 2017</c:v>
                </c:pt>
                <c:pt idx="1">
                  <c:v>Jul 2017 - Jun 2018</c:v>
                </c:pt>
                <c:pt idx="2">
                  <c:v>Jul 2018 - Jun 2019</c:v>
                </c:pt>
                <c:pt idx="3">
                  <c:v>Jul 2019 - Mar 2020</c:v>
                </c:pt>
              </c:strCache>
            </c:strRef>
          </c:cat>
          <c:val>
            <c:numRef>
              <c:f>Projections!$B$5:$E$5</c:f>
              <c:numCache>
                <c:formatCode>#,##0</c:formatCode>
                <c:ptCount val="4"/>
                <c:pt idx="0">
                  <c:v>11157399</c:v>
                </c:pt>
                <c:pt idx="1">
                  <c:v>10064005</c:v>
                </c:pt>
                <c:pt idx="2">
                  <c:v>11763739</c:v>
                </c:pt>
                <c:pt idx="3">
                  <c:v>10092573</c:v>
                </c:pt>
              </c:numCache>
            </c:numRef>
          </c:val>
          <c:smooth val="0"/>
          <c:extLst>
            <c:ext xmlns:c16="http://schemas.microsoft.com/office/drawing/2014/chart" uri="{C3380CC4-5D6E-409C-BE32-E72D297353CC}">
              <c16:uniqueId val="{00000000-300E-4A6B-BE02-65D75A39D46C}"/>
            </c:ext>
          </c:extLst>
        </c:ser>
        <c:ser>
          <c:idx val="1"/>
          <c:order val="1"/>
          <c:tx>
            <c:strRef>
              <c:f>Projections!$A$3</c:f>
              <c:strCache>
                <c:ptCount val="1"/>
                <c:pt idx="0">
                  <c:v>Total Personnel Costs</c:v>
                </c:pt>
              </c:strCache>
            </c:strRef>
          </c:tx>
          <c:spPr>
            <a:ln w="19050" cap="rnd" cmpd="sng" algn="ctr">
              <a:solidFill>
                <a:schemeClr val="accent2"/>
              </a:solidFill>
              <a:prstDash val="solid"/>
              <a:round/>
            </a:ln>
            <a:effectLst/>
          </c:spPr>
          <c:marker>
            <c:symbol val="none"/>
          </c:marker>
          <c:cat>
            <c:strRef>
              <c:f>Projections!$B$1:$E$1</c:f>
              <c:strCache>
                <c:ptCount val="4"/>
                <c:pt idx="0">
                  <c:v> Apr 2016 - Jun 2017</c:v>
                </c:pt>
                <c:pt idx="1">
                  <c:v>Jul 2017 - Jun 2018</c:v>
                </c:pt>
                <c:pt idx="2">
                  <c:v>Jul 2018 - Jun 2019</c:v>
                </c:pt>
                <c:pt idx="3">
                  <c:v>Jul 2019 - Mar 2020</c:v>
                </c:pt>
              </c:strCache>
            </c:strRef>
          </c:cat>
          <c:val>
            <c:numRef>
              <c:f>Projections!$B$3:$E$3</c:f>
              <c:numCache>
                <c:formatCode>#,##0</c:formatCode>
                <c:ptCount val="4"/>
                <c:pt idx="0">
                  <c:v>2356501</c:v>
                </c:pt>
                <c:pt idx="1">
                  <c:v>2428739</c:v>
                </c:pt>
                <c:pt idx="2">
                  <c:v>2715425</c:v>
                </c:pt>
                <c:pt idx="3">
                  <c:v>2454925</c:v>
                </c:pt>
              </c:numCache>
            </c:numRef>
          </c:val>
          <c:smooth val="0"/>
          <c:extLst>
            <c:ext xmlns:c16="http://schemas.microsoft.com/office/drawing/2014/chart" uri="{C3380CC4-5D6E-409C-BE32-E72D297353CC}">
              <c16:uniqueId val="{00000001-300E-4A6B-BE02-65D75A39D46C}"/>
            </c:ext>
          </c:extLst>
        </c:ser>
        <c:ser>
          <c:idx val="2"/>
          <c:order val="3"/>
          <c:tx>
            <c:strRef>
              <c:f>Projections!$A$4</c:f>
              <c:strCache>
                <c:ptCount val="1"/>
                <c:pt idx="0">
                  <c:v>Total Operational Costs</c:v>
                </c:pt>
              </c:strCache>
            </c:strRef>
          </c:tx>
          <c:spPr>
            <a:ln w="19050" cap="rnd" cmpd="sng" algn="ctr">
              <a:solidFill>
                <a:schemeClr val="accent3"/>
              </a:solidFill>
              <a:prstDash val="solid"/>
              <a:round/>
            </a:ln>
            <a:effectLst/>
          </c:spPr>
          <c:marker>
            <c:symbol val="none"/>
          </c:marker>
          <c:cat>
            <c:strRef>
              <c:f>Projections!$B$1:$E$1</c:f>
              <c:strCache>
                <c:ptCount val="4"/>
                <c:pt idx="0">
                  <c:v> Apr 2016 - Jun 2017</c:v>
                </c:pt>
                <c:pt idx="1">
                  <c:v>Jul 2017 - Jun 2018</c:v>
                </c:pt>
                <c:pt idx="2">
                  <c:v>Jul 2018 - Jun 2019</c:v>
                </c:pt>
                <c:pt idx="3">
                  <c:v>Jul 2019 - Mar 2020</c:v>
                </c:pt>
              </c:strCache>
            </c:strRef>
          </c:cat>
          <c:val>
            <c:numRef>
              <c:f>Projections!$B$4:$E$4</c:f>
              <c:numCache>
                <c:formatCode>#,##0</c:formatCode>
                <c:ptCount val="4"/>
                <c:pt idx="0">
                  <c:v>899463</c:v>
                </c:pt>
                <c:pt idx="1">
                  <c:v>701447</c:v>
                </c:pt>
                <c:pt idx="2">
                  <c:v>669653</c:v>
                </c:pt>
                <c:pt idx="3">
                  <c:v>667365</c:v>
                </c:pt>
              </c:numCache>
            </c:numRef>
          </c:val>
          <c:smooth val="0"/>
          <c:extLst>
            <c:ext xmlns:c16="http://schemas.microsoft.com/office/drawing/2014/chart" uri="{C3380CC4-5D6E-409C-BE32-E72D297353CC}">
              <c16:uniqueId val="{00000002-300E-4A6B-BE02-65D75A39D46C}"/>
            </c:ext>
          </c:extLst>
        </c:ser>
        <c:ser>
          <c:idx val="4"/>
          <c:order val="4"/>
          <c:tx>
            <c:strRef>
              <c:f>Projections!$A$6</c:f>
              <c:strCache>
                <c:ptCount val="1"/>
                <c:pt idx="0">
                  <c:v>Niger Special Program</c:v>
                </c:pt>
              </c:strCache>
            </c:strRef>
          </c:tx>
          <c:spPr>
            <a:ln w="19050" cap="rnd" cmpd="sng" algn="ctr">
              <a:solidFill>
                <a:schemeClr val="accent5"/>
              </a:solidFill>
              <a:prstDash val="solid"/>
              <a:round/>
            </a:ln>
            <a:effectLst/>
          </c:spPr>
          <c:marker>
            <c:symbol val="none"/>
          </c:marker>
          <c:cat>
            <c:strRef>
              <c:f>Projections!$B$1:$E$1</c:f>
              <c:strCache>
                <c:ptCount val="4"/>
                <c:pt idx="0">
                  <c:v> Apr 2016 - Jun 2017</c:v>
                </c:pt>
                <c:pt idx="1">
                  <c:v>Jul 2017 - Jun 2018</c:v>
                </c:pt>
                <c:pt idx="2">
                  <c:v>Jul 2018 - Jun 2019</c:v>
                </c:pt>
                <c:pt idx="3">
                  <c:v>Jul 2019 - Mar 2020</c:v>
                </c:pt>
              </c:strCache>
            </c:strRef>
          </c:cat>
          <c:val>
            <c:numRef>
              <c:f>Projections!$B$6:$E$6</c:f>
              <c:numCache>
                <c:formatCode>#,##0</c:formatCode>
                <c:ptCount val="4"/>
                <c:pt idx="0" formatCode="General">
                  <c:v>0</c:v>
                </c:pt>
                <c:pt idx="1">
                  <c:v>57170</c:v>
                </c:pt>
                <c:pt idx="2">
                  <c:v>93903</c:v>
                </c:pt>
                <c:pt idx="3">
                  <c:v>36133</c:v>
                </c:pt>
              </c:numCache>
            </c:numRef>
          </c:val>
          <c:smooth val="0"/>
          <c:extLst>
            <c:ext xmlns:c16="http://schemas.microsoft.com/office/drawing/2014/chart" uri="{C3380CC4-5D6E-409C-BE32-E72D297353CC}">
              <c16:uniqueId val="{00000003-300E-4A6B-BE02-65D75A39D46C}"/>
            </c:ext>
          </c:extLst>
        </c:ser>
        <c:dLbls>
          <c:showLegendKey val="0"/>
          <c:showVal val="0"/>
          <c:showCatName val="0"/>
          <c:showSerName val="0"/>
          <c:showPercent val="0"/>
          <c:showBubbleSize val="0"/>
        </c:dLbls>
        <c:smooth val="0"/>
        <c:axId val="581595768"/>
        <c:axId val="581596096"/>
        <c:extLst>
          <c:ext xmlns:c15="http://schemas.microsoft.com/office/drawing/2012/chart" uri="{02D57815-91ED-43cb-92C2-25804820EDAC}">
            <c15:filteredLineSeries>
              <c15:ser>
                <c:idx val="0"/>
                <c:order val="2"/>
                <c:tx>
                  <c:strRef>
                    <c:extLst>
                      <c:ext uri="{02D57815-91ED-43cb-92C2-25804820EDAC}">
                        <c15:formulaRef>
                          <c15:sqref>Projections!$A$2</c15:sqref>
                        </c15:formulaRef>
                      </c:ext>
                    </c:extLst>
                    <c:strCache>
                      <c:ptCount val="1"/>
                      <c:pt idx="0">
                        <c:v>Management Fees</c:v>
                      </c:pt>
                    </c:strCache>
                  </c:strRef>
                </c:tx>
                <c:spPr>
                  <a:ln w="19050" cap="rnd" cmpd="sng" algn="ctr">
                    <a:solidFill>
                      <a:schemeClr val="accent1"/>
                    </a:solidFill>
                    <a:prstDash val="solid"/>
                    <a:round/>
                  </a:ln>
                  <a:effectLst/>
                </c:spPr>
                <c:marker>
                  <c:symbol val="none"/>
                </c:marker>
                <c:cat>
                  <c:strRef>
                    <c:extLst>
                      <c:ext uri="{02D57815-91ED-43cb-92C2-25804820EDAC}">
                        <c15:formulaRef>
                          <c15:sqref>Projections!$B$1:$E$1</c15:sqref>
                        </c15:formulaRef>
                      </c:ext>
                    </c:extLst>
                    <c:strCache>
                      <c:ptCount val="4"/>
                      <c:pt idx="0">
                        <c:v> Apr 2016 - Jun 2017</c:v>
                      </c:pt>
                      <c:pt idx="1">
                        <c:v>Jul 2017 - Jun 2018</c:v>
                      </c:pt>
                      <c:pt idx="2">
                        <c:v>Jul 2018 - Jun 2019</c:v>
                      </c:pt>
                      <c:pt idx="3">
                        <c:v>Jul 2019 - Mar 2020</c:v>
                      </c:pt>
                    </c:strCache>
                  </c:strRef>
                </c:cat>
                <c:val>
                  <c:numRef>
                    <c:extLst>
                      <c:ext uri="{02D57815-91ED-43cb-92C2-25804820EDAC}">
                        <c15:formulaRef>
                          <c15:sqref>Projections!$B$2:$E$2</c15:sqref>
                        </c15:formulaRef>
                      </c:ext>
                    </c:extLst>
                    <c:numCache>
                      <c:formatCode>#,##0</c:formatCode>
                      <c:ptCount val="4"/>
                      <c:pt idx="0">
                        <c:v>1737861</c:v>
                      </c:pt>
                      <c:pt idx="1">
                        <c:v>1619667</c:v>
                      </c:pt>
                      <c:pt idx="2">
                        <c:v>1660287</c:v>
                      </c:pt>
                      <c:pt idx="3">
                        <c:v>1528046</c:v>
                      </c:pt>
                    </c:numCache>
                  </c:numRef>
                </c:val>
                <c:smooth val="0"/>
                <c:extLst>
                  <c:ext xmlns:c16="http://schemas.microsoft.com/office/drawing/2014/chart" uri="{C3380CC4-5D6E-409C-BE32-E72D297353CC}">
                    <c16:uniqueId val="{00000004-300E-4A6B-BE02-65D75A39D46C}"/>
                  </c:ext>
                </c:extLst>
              </c15:ser>
            </c15:filteredLineSeries>
          </c:ext>
        </c:extLst>
      </c:lineChart>
      <c:catAx>
        <c:axId val="58159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Franklin Gothic Demi Cond" panose="020B0706030402020204" pitchFamily="34" charset="0"/>
                <a:ea typeface="+mn-ea"/>
                <a:cs typeface="+mn-cs"/>
              </a:defRPr>
            </a:pPr>
            <a:endParaRPr lang="en-US"/>
          </a:p>
        </c:txPr>
        <c:crossAx val="581596096"/>
        <c:crosses val="autoZero"/>
        <c:auto val="1"/>
        <c:lblAlgn val="ctr"/>
        <c:lblOffset val="100"/>
        <c:noMultiLvlLbl val="0"/>
      </c:catAx>
      <c:valAx>
        <c:axId val="581596096"/>
        <c:scaling>
          <c:orientation val="minMax"/>
          <c:min val="0.4"/>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Franklin Gothic Demi Cond" panose="020B0706030402020204" pitchFamily="34" charset="0"/>
                <a:ea typeface="+mn-ea"/>
                <a:cs typeface="+mn-cs"/>
              </a:defRPr>
            </a:pPr>
            <a:endParaRPr lang="en-US"/>
          </a:p>
        </c:txPr>
        <c:crossAx val="5815957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Franklin Gothic Demi Cond" panose="020B0706030402020204" pitchFamily="34" charset="0"/>
              <a:ea typeface="+mn-ea"/>
              <a:cs typeface="+mn-cs"/>
            </a:defRPr>
          </a:pPr>
          <a:endParaRPr lang="en-US"/>
        </a:p>
      </c:txPr>
    </c:legend>
    <c:plotVisOnly val="1"/>
    <c:dispBlanksAs val="span"/>
    <c:showDLblsOverMax val="0"/>
  </c:chart>
  <c:spPr>
    <a:solidFill>
      <a:schemeClr val="bg1"/>
    </a:solidFill>
    <a:ln w="9525" cap="flat" cmpd="sng" algn="ctr">
      <a:noFill/>
      <a:prstDash val="solid"/>
      <a:round/>
    </a:ln>
    <a:effectLst/>
  </c:spPr>
  <c:txPr>
    <a:bodyPr/>
    <a:lstStyle/>
    <a:p>
      <a:pPr>
        <a:defRPr>
          <a:latin typeface="Franklin Gothic Demi Cond" panose="020B07060304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451161017324198E-2"/>
          <c:y val="0.11316552250190694"/>
          <c:w val="0.61513328783449284"/>
          <c:h val="0.74155540340066195"/>
        </c:manualLayout>
      </c:layout>
      <c:barChart>
        <c:barDir val="col"/>
        <c:grouping val="stacked"/>
        <c:varyColors val="0"/>
        <c:ser>
          <c:idx val="0"/>
          <c:order val="0"/>
          <c:tx>
            <c:strRef>
              <c:f>Disability!$B$18</c:f>
              <c:strCache>
                <c:ptCount val="1"/>
                <c:pt idx="0">
                  <c:v>Awardees with disability 
(AAS and SCA)</c:v>
                </c:pt>
              </c:strCache>
            </c:strRef>
          </c:tx>
          <c:spPr>
            <a:solidFill>
              <a:schemeClr val="accent1"/>
            </a:solidFill>
            <a:ln>
              <a:noFill/>
            </a:ln>
            <a:effectLst/>
          </c:spPr>
          <c:invertIfNegative val="0"/>
          <c:cat>
            <c:numRef>
              <c:f>Disability!$A$24:$A$26</c:f>
              <c:numCache>
                <c:formatCode>General</c:formatCode>
                <c:ptCount val="3"/>
                <c:pt idx="0">
                  <c:v>2016</c:v>
                </c:pt>
                <c:pt idx="1">
                  <c:v>2017</c:v>
                </c:pt>
                <c:pt idx="2">
                  <c:v>2018</c:v>
                </c:pt>
              </c:numCache>
            </c:numRef>
          </c:cat>
          <c:val>
            <c:numRef>
              <c:f>Disability!$B$24:$B$26</c:f>
              <c:numCache>
                <c:formatCode>General</c:formatCode>
                <c:ptCount val="3"/>
                <c:pt idx="0">
                  <c:v>6</c:v>
                </c:pt>
                <c:pt idx="1">
                  <c:v>14</c:v>
                </c:pt>
                <c:pt idx="2">
                  <c:v>6</c:v>
                </c:pt>
              </c:numCache>
            </c:numRef>
          </c:val>
          <c:extLst>
            <c:ext xmlns:c16="http://schemas.microsoft.com/office/drawing/2014/chart" uri="{C3380CC4-5D6E-409C-BE32-E72D297353CC}">
              <c16:uniqueId val="{00000000-B12B-4089-9168-BC08CCCA3E5E}"/>
            </c:ext>
          </c:extLst>
        </c:ser>
        <c:dLbls>
          <c:showLegendKey val="0"/>
          <c:showVal val="0"/>
          <c:showCatName val="0"/>
          <c:showSerName val="0"/>
          <c:showPercent val="0"/>
          <c:showBubbleSize val="0"/>
        </c:dLbls>
        <c:gapWidth val="150"/>
        <c:overlap val="100"/>
        <c:axId val="1345690495"/>
        <c:axId val="1200154351"/>
      </c:barChart>
      <c:lineChart>
        <c:grouping val="standard"/>
        <c:varyColors val="0"/>
        <c:ser>
          <c:idx val="3"/>
          <c:order val="1"/>
          <c:tx>
            <c:strRef>
              <c:f>Disability!$E$18</c:f>
              <c:strCache>
                <c:ptCount val="1"/>
                <c:pt idx="0">
                  <c:v>3% target</c:v>
                </c:pt>
              </c:strCache>
            </c:strRef>
          </c:tx>
          <c:spPr>
            <a:ln w="28575" cap="rnd">
              <a:noFill/>
              <a:round/>
            </a:ln>
            <a:effectLst/>
          </c:spPr>
          <c:marker>
            <c:symbol val="dash"/>
            <c:size val="15"/>
            <c:spPr>
              <a:solidFill>
                <a:srgbClr val="FF0000"/>
              </a:solidFill>
              <a:ln w="9525">
                <a:noFill/>
              </a:ln>
              <a:effectLst/>
            </c:spPr>
          </c:marker>
          <c:cat>
            <c:numRef>
              <c:f>Disability!$A$24:$A$26</c:f>
              <c:numCache>
                <c:formatCode>General</c:formatCode>
                <c:ptCount val="3"/>
                <c:pt idx="0">
                  <c:v>2016</c:v>
                </c:pt>
                <c:pt idx="1">
                  <c:v>2017</c:v>
                </c:pt>
                <c:pt idx="2">
                  <c:v>2018</c:v>
                </c:pt>
              </c:numCache>
            </c:numRef>
          </c:cat>
          <c:val>
            <c:numRef>
              <c:f>Disability!$E$24:$E$26</c:f>
              <c:numCache>
                <c:formatCode>General</c:formatCode>
                <c:ptCount val="3"/>
                <c:pt idx="0">
                  <c:v>11.61</c:v>
                </c:pt>
                <c:pt idx="1">
                  <c:v>13.559999999999999</c:v>
                </c:pt>
                <c:pt idx="2">
                  <c:v>12.12</c:v>
                </c:pt>
              </c:numCache>
            </c:numRef>
          </c:val>
          <c:smooth val="0"/>
          <c:extLst>
            <c:ext xmlns:c16="http://schemas.microsoft.com/office/drawing/2014/chart" uri="{C3380CC4-5D6E-409C-BE32-E72D297353CC}">
              <c16:uniqueId val="{00000001-B12B-4089-9168-BC08CCCA3E5E}"/>
            </c:ext>
          </c:extLst>
        </c:ser>
        <c:ser>
          <c:idx val="4"/>
          <c:order val="2"/>
          <c:tx>
            <c:strRef>
              <c:f>Disability!$F$18</c:f>
              <c:strCache>
                <c:ptCount val="1"/>
                <c:pt idx="0">
                  <c:v>5% target</c:v>
                </c:pt>
              </c:strCache>
            </c:strRef>
          </c:tx>
          <c:spPr>
            <a:ln w="28575" cap="rnd">
              <a:noFill/>
              <a:round/>
            </a:ln>
            <a:effectLst/>
          </c:spPr>
          <c:marker>
            <c:symbol val="dash"/>
            <c:size val="15"/>
            <c:spPr>
              <a:solidFill>
                <a:srgbClr val="C00000"/>
              </a:solidFill>
              <a:ln w="9525">
                <a:noFill/>
              </a:ln>
              <a:effectLst/>
            </c:spPr>
          </c:marker>
          <c:cat>
            <c:numRef>
              <c:f>Disability!$A$24:$A$26</c:f>
              <c:numCache>
                <c:formatCode>General</c:formatCode>
                <c:ptCount val="3"/>
                <c:pt idx="0">
                  <c:v>2016</c:v>
                </c:pt>
                <c:pt idx="1">
                  <c:v>2017</c:v>
                </c:pt>
                <c:pt idx="2">
                  <c:v>2018</c:v>
                </c:pt>
              </c:numCache>
            </c:numRef>
          </c:cat>
          <c:val>
            <c:numRef>
              <c:f>Disability!$F$24:$F$26</c:f>
              <c:numCache>
                <c:formatCode>General</c:formatCode>
                <c:ptCount val="3"/>
                <c:pt idx="0">
                  <c:v>19.350000000000001</c:v>
                </c:pt>
                <c:pt idx="1">
                  <c:v>22.6</c:v>
                </c:pt>
                <c:pt idx="2">
                  <c:v>20.200000000000003</c:v>
                </c:pt>
              </c:numCache>
            </c:numRef>
          </c:val>
          <c:smooth val="0"/>
          <c:extLst>
            <c:ext xmlns:c16="http://schemas.microsoft.com/office/drawing/2014/chart" uri="{C3380CC4-5D6E-409C-BE32-E72D297353CC}">
              <c16:uniqueId val="{00000002-B12B-4089-9168-BC08CCCA3E5E}"/>
            </c:ext>
          </c:extLst>
        </c:ser>
        <c:dLbls>
          <c:showLegendKey val="0"/>
          <c:showVal val="0"/>
          <c:showCatName val="0"/>
          <c:showSerName val="0"/>
          <c:showPercent val="0"/>
          <c:showBubbleSize val="0"/>
        </c:dLbls>
        <c:marker val="1"/>
        <c:smooth val="0"/>
        <c:axId val="1339137471"/>
        <c:axId val="1039823647"/>
      </c:lineChart>
      <c:catAx>
        <c:axId val="1345690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154351"/>
        <c:crosses val="autoZero"/>
        <c:auto val="1"/>
        <c:lblAlgn val="ctr"/>
        <c:lblOffset val="100"/>
        <c:noMultiLvlLbl val="0"/>
      </c:catAx>
      <c:valAx>
        <c:axId val="1200154351"/>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5690495"/>
        <c:crosses val="autoZero"/>
        <c:crossBetween val="between"/>
      </c:valAx>
      <c:valAx>
        <c:axId val="1039823647"/>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9137471"/>
        <c:crosses val="max"/>
        <c:crossBetween val="between"/>
      </c:valAx>
      <c:catAx>
        <c:axId val="1339137471"/>
        <c:scaling>
          <c:orientation val="minMax"/>
        </c:scaling>
        <c:delete val="1"/>
        <c:axPos val="b"/>
        <c:numFmt formatCode="General" sourceLinked="1"/>
        <c:majorTickMark val="out"/>
        <c:minorTickMark val="none"/>
        <c:tickLblPos val="nextTo"/>
        <c:crossAx val="1039823647"/>
        <c:crosses val="autoZero"/>
        <c:auto val="1"/>
        <c:lblAlgn val="ctr"/>
        <c:lblOffset val="100"/>
        <c:noMultiLvlLbl val="0"/>
      </c:cat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legendEntry>
      <c:layout>
        <c:manualLayout>
          <c:xMode val="edge"/>
          <c:yMode val="edge"/>
          <c:x val="0.72544301949319723"/>
          <c:y val="2.3671725576889656E-3"/>
          <c:w val="0.2724934043658514"/>
          <c:h val="0.9976328274423110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451161017324198E-2"/>
          <c:y val="0.11316552250190694"/>
          <c:w val="0.70784562435532139"/>
          <c:h val="0.73928656337312681"/>
        </c:manualLayout>
      </c:layout>
      <c:barChart>
        <c:barDir val="col"/>
        <c:grouping val="stacked"/>
        <c:varyColors val="0"/>
        <c:ser>
          <c:idx val="0"/>
          <c:order val="0"/>
          <c:tx>
            <c:strRef>
              <c:f>Disability!$L$25</c:f>
              <c:strCache>
                <c:ptCount val="1"/>
                <c:pt idx="0">
                  <c:v>Awardess with disability 
(AAS and SCA)</c:v>
                </c:pt>
              </c:strCache>
            </c:strRef>
          </c:tx>
          <c:spPr>
            <a:solidFill>
              <a:schemeClr val="accent1"/>
            </a:solidFill>
            <a:ln>
              <a:noFill/>
            </a:ln>
            <a:effectLst/>
          </c:spPr>
          <c:invertIfNegative val="0"/>
          <c:cat>
            <c:numRef>
              <c:f>Disability!$K$26:$K$33</c:f>
              <c:numCache>
                <c:formatCode>General</c:formatCode>
                <c:ptCount val="8"/>
                <c:pt idx="0">
                  <c:v>2011</c:v>
                </c:pt>
                <c:pt idx="1">
                  <c:v>2012</c:v>
                </c:pt>
                <c:pt idx="2">
                  <c:v>2013</c:v>
                </c:pt>
                <c:pt idx="3">
                  <c:v>2014</c:v>
                </c:pt>
                <c:pt idx="4">
                  <c:v>2015</c:v>
                </c:pt>
                <c:pt idx="5">
                  <c:v>2016</c:v>
                </c:pt>
                <c:pt idx="6">
                  <c:v>2017</c:v>
                </c:pt>
                <c:pt idx="7">
                  <c:v>2018</c:v>
                </c:pt>
              </c:numCache>
            </c:numRef>
          </c:cat>
          <c:val>
            <c:numRef>
              <c:f>Disability!$L$26:$L$33</c:f>
              <c:numCache>
                <c:formatCode>General</c:formatCode>
                <c:ptCount val="8"/>
                <c:pt idx="0">
                  <c:v>5</c:v>
                </c:pt>
                <c:pt idx="1">
                  <c:v>14</c:v>
                </c:pt>
                <c:pt idx="2">
                  <c:v>22</c:v>
                </c:pt>
                <c:pt idx="3">
                  <c:v>22</c:v>
                </c:pt>
                <c:pt idx="4">
                  <c:v>16</c:v>
                </c:pt>
                <c:pt idx="5">
                  <c:v>6</c:v>
                </c:pt>
                <c:pt idx="6">
                  <c:v>14</c:v>
                </c:pt>
                <c:pt idx="7">
                  <c:v>6</c:v>
                </c:pt>
              </c:numCache>
            </c:numRef>
          </c:val>
          <c:extLst>
            <c:ext xmlns:c16="http://schemas.microsoft.com/office/drawing/2014/chart" uri="{C3380CC4-5D6E-409C-BE32-E72D297353CC}">
              <c16:uniqueId val="{00000000-0C6D-4586-AD10-3259075E895C}"/>
            </c:ext>
          </c:extLst>
        </c:ser>
        <c:ser>
          <c:idx val="1"/>
          <c:order val="1"/>
          <c:tx>
            <c:strRef>
              <c:f>Disability!$M$25</c:f>
              <c:strCache>
                <c:ptCount val="1"/>
                <c:pt idx="0">
                  <c:v>Disability-related courses 
(Masters)</c:v>
                </c:pt>
              </c:strCache>
            </c:strRef>
          </c:tx>
          <c:spPr>
            <a:solidFill>
              <a:schemeClr val="bg1">
                <a:lumMod val="85000"/>
              </a:schemeClr>
            </a:solidFill>
            <a:ln>
              <a:noFill/>
            </a:ln>
            <a:effectLst/>
          </c:spPr>
          <c:invertIfNegative val="0"/>
          <c:cat>
            <c:numRef>
              <c:f>Disability!$K$26:$K$33</c:f>
              <c:numCache>
                <c:formatCode>General</c:formatCode>
                <c:ptCount val="8"/>
                <c:pt idx="0">
                  <c:v>2011</c:v>
                </c:pt>
                <c:pt idx="1">
                  <c:v>2012</c:v>
                </c:pt>
                <c:pt idx="2">
                  <c:v>2013</c:v>
                </c:pt>
                <c:pt idx="3">
                  <c:v>2014</c:v>
                </c:pt>
                <c:pt idx="4">
                  <c:v>2015</c:v>
                </c:pt>
                <c:pt idx="5">
                  <c:v>2016</c:v>
                </c:pt>
                <c:pt idx="6">
                  <c:v>2017</c:v>
                </c:pt>
                <c:pt idx="7">
                  <c:v>2018</c:v>
                </c:pt>
              </c:numCache>
            </c:numRef>
          </c:cat>
          <c:val>
            <c:numRef>
              <c:f>Disability!$M$26:$M$33</c:f>
              <c:numCache>
                <c:formatCode>General</c:formatCode>
                <c:ptCount val="8"/>
                <c:pt idx="0">
                  <c:v>3</c:v>
                </c:pt>
                <c:pt idx="1">
                  <c:v>5</c:v>
                </c:pt>
                <c:pt idx="2">
                  <c:v>4</c:v>
                </c:pt>
                <c:pt idx="3">
                  <c:v>1</c:v>
                </c:pt>
                <c:pt idx="4">
                  <c:v>5</c:v>
                </c:pt>
                <c:pt idx="5">
                  <c:v>0</c:v>
                </c:pt>
                <c:pt idx="6">
                  <c:v>2</c:v>
                </c:pt>
                <c:pt idx="7">
                  <c:v>7</c:v>
                </c:pt>
              </c:numCache>
            </c:numRef>
          </c:val>
          <c:extLst>
            <c:ext xmlns:c16="http://schemas.microsoft.com/office/drawing/2014/chart" uri="{C3380CC4-5D6E-409C-BE32-E72D297353CC}">
              <c16:uniqueId val="{00000001-0C6D-4586-AD10-3259075E895C}"/>
            </c:ext>
          </c:extLst>
        </c:ser>
        <c:ser>
          <c:idx val="2"/>
          <c:order val="2"/>
          <c:tx>
            <c:strRef>
              <c:f>Disability!$N$25</c:f>
              <c:strCache>
                <c:ptCount val="1"/>
                <c:pt idx="0">
                  <c:v>Disability-related courses 
(Australian Fellowships) </c:v>
                </c:pt>
              </c:strCache>
            </c:strRef>
          </c:tx>
          <c:spPr>
            <a:solidFill>
              <a:schemeClr val="accent3"/>
            </a:solidFill>
            <a:ln>
              <a:noFill/>
            </a:ln>
            <a:effectLst/>
          </c:spPr>
          <c:invertIfNegative val="0"/>
          <c:cat>
            <c:numRef>
              <c:f>Disability!$K$26:$K$33</c:f>
              <c:numCache>
                <c:formatCode>General</c:formatCode>
                <c:ptCount val="8"/>
                <c:pt idx="0">
                  <c:v>2011</c:v>
                </c:pt>
                <c:pt idx="1">
                  <c:v>2012</c:v>
                </c:pt>
                <c:pt idx="2">
                  <c:v>2013</c:v>
                </c:pt>
                <c:pt idx="3">
                  <c:v>2014</c:v>
                </c:pt>
                <c:pt idx="4">
                  <c:v>2015</c:v>
                </c:pt>
                <c:pt idx="5">
                  <c:v>2016</c:v>
                </c:pt>
                <c:pt idx="6">
                  <c:v>2017</c:v>
                </c:pt>
                <c:pt idx="7">
                  <c:v>2018</c:v>
                </c:pt>
              </c:numCache>
            </c:numRef>
          </c:cat>
          <c:val>
            <c:numRef>
              <c:f>Disability!$N$26:$N$33</c:f>
              <c:numCache>
                <c:formatCode>General</c:formatCode>
                <c:ptCount val="8"/>
                <c:pt idx="0">
                  <c:v>0</c:v>
                </c:pt>
                <c:pt idx="1">
                  <c:v>27</c:v>
                </c:pt>
                <c:pt idx="2">
                  <c:v>0</c:v>
                </c:pt>
                <c:pt idx="3">
                  <c:v>12</c:v>
                </c:pt>
                <c:pt idx="4">
                  <c:v>0</c:v>
                </c:pt>
                <c:pt idx="5">
                  <c:v>6</c:v>
                </c:pt>
                <c:pt idx="6">
                  <c:v>0</c:v>
                </c:pt>
                <c:pt idx="7">
                  <c:v>0</c:v>
                </c:pt>
              </c:numCache>
            </c:numRef>
          </c:val>
          <c:extLst>
            <c:ext xmlns:c16="http://schemas.microsoft.com/office/drawing/2014/chart" uri="{C3380CC4-5D6E-409C-BE32-E72D297353CC}">
              <c16:uniqueId val="{00000002-0C6D-4586-AD10-3259075E895C}"/>
            </c:ext>
          </c:extLst>
        </c:ser>
        <c:dLbls>
          <c:showLegendKey val="0"/>
          <c:showVal val="0"/>
          <c:showCatName val="0"/>
          <c:showSerName val="0"/>
          <c:showPercent val="0"/>
          <c:showBubbleSize val="0"/>
        </c:dLbls>
        <c:gapWidth val="150"/>
        <c:overlap val="100"/>
        <c:axId val="1345690495"/>
        <c:axId val="1200154351"/>
      </c:barChart>
      <c:lineChart>
        <c:grouping val="standard"/>
        <c:varyColors val="0"/>
        <c:ser>
          <c:idx val="3"/>
          <c:order val="3"/>
          <c:tx>
            <c:strRef>
              <c:f>Disability!$O$25</c:f>
              <c:strCache>
                <c:ptCount val="1"/>
                <c:pt idx="0">
                  <c:v>3% target</c:v>
                </c:pt>
              </c:strCache>
            </c:strRef>
          </c:tx>
          <c:spPr>
            <a:ln w="28575" cap="rnd">
              <a:noFill/>
              <a:round/>
            </a:ln>
            <a:effectLst/>
          </c:spPr>
          <c:marker>
            <c:symbol val="dash"/>
            <c:size val="15"/>
            <c:spPr>
              <a:solidFill>
                <a:srgbClr val="FF0000"/>
              </a:solidFill>
              <a:ln w="9525">
                <a:noFill/>
              </a:ln>
              <a:effectLst/>
            </c:spPr>
          </c:marker>
          <c:cat>
            <c:numRef>
              <c:f>Disability!$K$26:$K$33</c:f>
              <c:numCache>
                <c:formatCode>General</c:formatCode>
                <c:ptCount val="8"/>
                <c:pt idx="0">
                  <c:v>2011</c:v>
                </c:pt>
                <c:pt idx="1">
                  <c:v>2012</c:v>
                </c:pt>
                <c:pt idx="2">
                  <c:v>2013</c:v>
                </c:pt>
                <c:pt idx="3">
                  <c:v>2014</c:v>
                </c:pt>
                <c:pt idx="4">
                  <c:v>2015</c:v>
                </c:pt>
                <c:pt idx="5">
                  <c:v>2016</c:v>
                </c:pt>
                <c:pt idx="6">
                  <c:v>2017</c:v>
                </c:pt>
                <c:pt idx="7">
                  <c:v>2018</c:v>
                </c:pt>
              </c:numCache>
            </c:numRef>
          </c:cat>
          <c:val>
            <c:numRef>
              <c:f>Disability!$O$26:$O$33</c:f>
              <c:numCache>
                <c:formatCode>General</c:formatCode>
                <c:ptCount val="8"/>
                <c:pt idx="0">
                  <c:v>13.889999999999999</c:v>
                </c:pt>
                <c:pt idx="1">
                  <c:v>30.45</c:v>
                </c:pt>
                <c:pt idx="2">
                  <c:v>30.24</c:v>
                </c:pt>
                <c:pt idx="3">
                  <c:v>20.759999999999998</c:v>
                </c:pt>
                <c:pt idx="4">
                  <c:v>11.52</c:v>
                </c:pt>
                <c:pt idx="5">
                  <c:v>11.61</c:v>
                </c:pt>
                <c:pt idx="6">
                  <c:v>13.559999999999999</c:v>
                </c:pt>
                <c:pt idx="7">
                  <c:v>12.12</c:v>
                </c:pt>
              </c:numCache>
            </c:numRef>
          </c:val>
          <c:smooth val="0"/>
          <c:extLst>
            <c:ext xmlns:c16="http://schemas.microsoft.com/office/drawing/2014/chart" uri="{C3380CC4-5D6E-409C-BE32-E72D297353CC}">
              <c16:uniqueId val="{00000003-0C6D-4586-AD10-3259075E895C}"/>
            </c:ext>
          </c:extLst>
        </c:ser>
        <c:ser>
          <c:idx val="4"/>
          <c:order val="4"/>
          <c:tx>
            <c:strRef>
              <c:f>Disability!$P$25</c:f>
              <c:strCache>
                <c:ptCount val="1"/>
                <c:pt idx="0">
                  <c:v>5% target</c:v>
                </c:pt>
              </c:strCache>
            </c:strRef>
          </c:tx>
          <c:spPr>
            <a:ln w="28575" cap="rnd">
              <a:noFill/>
              <a:round/>
            </a:ln>
            <a:effectLst/>
          </c:spPr>
          <c:marker>
            <c:symbol val="dash"/>
            <c:size val="15"/>
            <c:spPr>
              <a:solidFill>
                <a:srgbClr val="C00000"/>
              </a:solidFill>
              <a:ln w="9525">
                <a:noFill/>
              </a:ln>
              <a:effectLst/>
            </c:spPr>
          </c:marker>
          <c:cat>
            <c:numRef>
              <c:f>Disability!$K$26:$K$33</c:f>
              <c:numCache>
                <c:formatCode>General</c:formatCode>
                <c:ptCount val="8"/>
                <c:pt idx="0">
                  <c:v>2011</c:v>
                </c:pt>
                <c:pt idx="1">
                  <c:v>2012</c:v>
                </c:pt>
                <c:pt idx="2">
                  <c:v>2013</c:v>
                </c:pt>
                <c:pt idx="3">
                  <c:v>2014</c:v>
                </c:pt>
                <c:pt idx="4">
                  <c:v>2015</c:v>
                </c:pt>
                <c:pt idx="5">
                  <c:v>2016</c:v>
                </c:pt>
                <c:pt idx="6">
                  <c:v>2017</c:v>
                </c:pt>
                <c:pt idx="7">
                  <c:v>2018</c:v>
                </c:pt>
              </c:numCache>
            </c:numRef>
          </c:cat>
          <c:val>
            <c:numRef>
              <c:f>Disability!$P$26:$P$33</c:f>
              <c:numCache>
                <c:formatCode>General</c:formatCode>
                <c:ptCount val="8"/>
                <c:pt idx="0">
                  <c:v>23.150000000000002</c:v>
                </c:pt>
                <c:pt idx="1">
                  <c:v>50.75</c:v>
                </c:pt>
                <c:pt idx="2">
                  <c:v>50.400000000000006</c:v>
                </c:pt>
                <c:pt idx="3">
                  <c:v>34.6</c:v>
                </c:pt>
                <c:pt idx="4">
                  <c:v>19.200000000000003</c:v>
                </c:pt>
                <c:pt idx="5">
                  <c:v>19.350000000000001</c:v>
                </c:pt>
                <c:pt idx="6">
                  <c:v>22.6</c:v>
                </c:pt>
                <c:pt idx="7">
                  <c:v>20.200000000000003</c:v>
                </c:pt>
              </c:numCache>
            </c:numRef>
          </c:val>
          <c:smooth val="0"/>
          <c:extLst>
            <c:ext xmlns:c16="http://schemas.microsoft.com/office/drawing/2014/chart" uri="{C3380CC4-5D6E-409C-BE32-E72D297353CC}">
              <c16:uniqueId val="{00000004-0C6D-4586-AD10-3259075E895C}"/>
            </c:ext>
          </c:extLst>
        </c:ser>
        <c:dLbls>
          <c:showLegendKey val="0"/>
          <c:showVal val="0"/>
          <c:showCatName val="0"/>
          <c:showSerName val="0"/>
          <c:showPercent val="0"/>
          <c:showBubbleSize val="0"/>
        </c:dLbls>
        <c:marker val="1"/>
        <c:smooth val="0"/>
        <c:axId val="1339137471"/>
        <c:axId val="1039823647"/>
      </c:lineChart>
      <c:catAx>
        <c:axId val="1345690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154351"/>
        <c:crosses val="autoZero"/>
        <c:auto val="1"/>
        <c:lblAlgn val="ctr"/>
        <c:lblOffset val="100"/>
        <c:noMultiLvlLbl val="0"/>
      </c:catAx>
      <c:valAx>
        <c:axId val="1200154351"/>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5690495"/>
        <c:crosses val="autoZero"/>
        <c:crossBetween val="between"/>
      </c:valAx>
      <c:valAx>
        <c:axId val="1039823647"/>
        <c:scaling>
          <c:orientation val="minMax"/>
        </c:scaling>
        <c:delete val="1"/>
        <c:axPos val="r"/>
        <c:numFmt formatCode="General" sourceLinked="1"/>
        <c:majorTickMark val="out"/>
        <c:minorTickMark val="none"/>
        <c:tickLblPos val="nextTo"/>
        <c:crossAx val="1339137471"/>
        <c:crosses val="max"/>
        <c:crossBetween val="between"/>
      </c:valAx>
      <c:catAx>
        <c:axId val="1339137471"/>
        <c:scaling>
          <c:orientation val="minMax"/>
        </c:scaling>
        <c:delete val="1"/>
        <c:axPos val="b"/>
        <c:numFmt formatCode="General" sourceLinked="1"/>
        <c:majorTickMark val="out"/>
        <c:minorTickMark val="none"/>
        <c:tickLblPos val="nextTo"/>
        <c:crossAx val="1039823647"/>
        <c:crosses val="autoZero"/>
        <c:auto val="1"/>
        <c:lblAlgn val="ctr"/>
        <c:lblOffset val="100"/>
        <c:noMultiLvlLbl val="0"/>
      </c:catAx>
      <c:spPr>
        <a:noFill/>
        <a:ln>
          <a:noFill/>
        </a:ln>
        <a:effectLst/>
      </c:spPr>
    </c:plotArea>
    <c:legend>
      <c:legendPos val="r"/>
      <c:layout>
        <c:manualLayout>
          <c:xMode val="edge"/>
          <c:yMode val="edge"/>
          <c:x val="0.80553066153513853"/>
          <c:y val="8.7092019676030197E-2"/>
          <c:w val="0.18409317912567663"/>
          <c:h val="0.798569932723435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Country!$N$4</c:f>
              <c:strCache>
                <c:ptCount val="1"/>
                <c:pt idx="0">
                  <c:v>Female</c:v>
                </c:pt>
              </c:strCache>
            </c:strRef>
          </c:tx>
          <c:spPr>
            <a:solidFill>
              <a:schemeClr val="accent1"/>
            </a:solidFill>
            <a:ln>
              <a:noFill/>
            </a:ln>
            <a:effectLst/>
          </c:spPr>
          <c:invertIfNegative val="0"/>
          <c:cat>
            <c:strRef>
              <c:f>Country!$M$5:$M$23</c:f>
              <c:strCache>
                <c:ptCount val="19"/>
                <c:pt idx="0">
                  <c:v>Kenya</c:v>
                </c:pt>
                <c:pt idx="1">
                  <c:v>Ghana</c:v>
                </c:pt>
                <c:pt idx="2">
                  <c:v>Zambia</c:v>
                </c:pt>
                <c:pt idx="3">
                  <c:v>Nigeria</c:v>
                </c:pt>
                <c:pt idx="4">
                  <c:v>Tanzania</c:v>
                </c:pt>
                <c:pt idx="5">
                  <c:v>Malawi</c:v>
                </c:pt>
                <c:pt idx="6">
                  <c:v>Botswana</c:v>
                </c:pt>
                <c:pt idx="7">
                  <c:v>Mozambique</c:v>
                </c:pt>
                <c:pt idx="8">
                  <c:v>South Africa</c:v>
                </c:pt>
                <c:pt idx="9">
                  <c:v>Madagascar</c:v>
                </c:pt>
                <c:pt idx="10">
                  <c:v>Mauritius</c:v>
                </c:pt>
                <c:pt idx="11">
                  <c:v>Swaziland</c:v>
                </c:pt>
                <c:pt idx="12">
                  <c:v>Niger</c:v>
                </c:pt>
                <c:pt idx="13">
                  <c:v>Lesotho</c:v>
                </c:pt>
                <c:pt idx="14">
                  <c:v>Seychelles</c:v>
                </c:pt>
                <c:pt idx="15">
                  <c:v>Zimbabwe</c:v>
                </c:pt>
                <c:pt idx="16">
                  <c:v>Côte d'Ivoire</c:v>
                </c:pt>
                <c:pt idx="17">
                  <c:v>Sierra Leone</c:v>
                </c:pt>
                <c:pt idx="18">
                  <c:v>Uganda</c:v>
                </c:pt>
              </c:strCache>
            </c:strRef>
          </c:cat>
          <c:val>
            <c:numRef>
              <c:f>Country!$N$5:$N$23</c:f>
              <c:numCache>
                <c:formatCode>General</c:formatCode>
                <c:ptCount val="19"/>
                <c:pt idx="0">
                  <c:v>37</c:v>
                </c:pt>
                <c:pt idx="1">
                  <c:v>25</c:v>
                </c:pt>
                <c:pt idx="2">
                  <c:v>23</c:v>
                </c:pt>
                <c:pt idx="3">
                  <c:v>26</c:v>
                </c:pt>
                <c:pt idx="4">
                  <c:v>20</c:v>
                </c:pt>
                <c:pt idx="5">
                  <c:v>22</c:v>
                </c:pt>
                <c:pt idx="6">
                  <c:v>27</c:v>
                </c:pt>
                <c:pt idx="7">
                  <c:v>14</c:v>
                </c:pt>
                <c:pt idx="8">
                  <c:v>11</c:v>
                </c:pt>
                <c:pt idx="9">
                  <c:v>11</c:v>
                </c:pt>
                <c:pt idx="10">
                  <c:v>6</c:v>
                </c:pt>
                <c:pt idx="11">
                  <c:v>6</c:v>
                </c:pt>
                <c:pt idx="13">
                  <c:v>2</c:v>
                </c:pt>
                <c:pt idx="14">
                  <c:v>1</c:v>
                </c:pt>
                <c:pt idx="15">
                  <c:v>1</c:v>
                </c:pt>
                <c:pt idx="17">
                  <c:v>1</c:v>
                </c:pt>
              </c:numCache>
            </c:numRef>
          </c:val>
          <c:extLst>
            <c:ext xmlns:c16="http://schemas.microsoft.com/office/drawing/2014/chart" uri="{C3380CC4-5D6E-409C-BE32-E72D297353CC}">
              <c16:uniqueId val="{00000000-3068-4670-A2F9-997A37710CE2}"/>
            </c:ext>
          </c:extLst>
        </c:ser>
        <c:ser>
          <c:idx val="1"/>
          <c:order val="1"/>
          <c:tx>
            <c:strRef>
              <c:f>Country!$O$4</c:f>
              <c:strCache>
                <c:ptCount val="1"/>
                <c:pt idx="0">
                  <c:v>Male</c:v>
                </c:pt>
              </c:strCache>
            </c:strRef>
          </c:tx>
          <c:spPr>
            <a:solidFill>
              <a:schemeClr val="accent2"/>
            </a:solidFill>
            <a:ln>
              <a:noFill/>
            </a:ln>
            <a:effectLst/>
          </c:spPr>
          <c:invertIfNegative val="0"/>
          <c:cat>
            <c:strRef>
              <c:f>Country!$M$5:$M$23</c:f>
              <c:strCache>
                <c:ptCount val="19"/>
                <c:pt idx="0">
                  <c:v>Kenya</c:v>
                </c:pt>
                <c:pt idx="1">
                  <c:v>Ghana</c:v>
                </c:pt>
                <c:pt idx="2">
                  <c:v>Zambia</c:v>
                </c:pt>
                <c:pt idx="3">
                  <c:v>Nigeria</c:v>
                </c:pt>
                <c:pt idx="4">
                  <c:v>Tanzania</c:v>
                </c:pt>
                <c:pt idx="5">
                  <c:v>Malawi</c:v>
                </c:pt>
                <c:pt idx="6">
                  <c:v>Botswana</c:v>
                </c:pt>
                <c:pt idx="7">
                  <c:v>Mozambique</c:v>
                </c:pt>
                <c:pt idx="8">
                  <c:v>South Africa</c:v>
                </c:pt>
                <c:pt idx="9">
                  <c:v>Madagascar</c:v>
                </c:pt>
                <c:pt idx="10">
                  <c:v>Mauritius</c:v>
                </c:pt>
                <c:pt idx="11">
                  <c:v>Swaziland</c:v>
                </c:pt>
                <c:pt idx="12">
                  <c:v>Niger</c:v>
                </c:pt>
                <c:pt idx="13">
                  <c:v>Lesotho</c:v>
                </c:pt>
                <c:pt idx="14">
                  <c:v>Seychelles</c:v>
                </c:pt>
                <c:pt idx="15">
                  <c:v>Zimbabwe</c:v>
                </c:pt>
                <c:pt idx="16">
                  <c:v>Côte d'Ivoire</c:v>
                </c:pt>
                <c:pt idx="17">
                  <c:v>Sierra Leone</c:v>
                </c:pt>
                <c:pt idx="18">
                  <c:v>Uganda</c:v>
                </c:pt>
              </c:strCache>
            </c:strRef>
          </c:cat>
          <c:val>
            <c:numRef>
              <c:f>Country!$O$5:$O$23</c:f>
              <c:numCache>
                <c:formatCode>General</c:formatCode>
                <c:ptCount val="19"/>
                <c:pt idx="0">
                  <c:v>34</c:v>
                </c:pt>
                <c:pt idx="1">
                  <c:v>33</c:v>
                </c:pt>
                <c:pt idx="2">
                  <c:v>34</c:v>
                </c:pt>
                <c:pt idx="3">
                  <c:v>27</c:v>
                </c:pt>
                <c:pt idx="4">
                  <c:v>32</c:v>
                </c:pt>
                <c:pt idx="5">
                  <c:v>23</c:v>
                </c:pt>
                <c:pt idx="6">
                  <c:v>15</c:v>
                </c:pt>
                <c:pt idx="7">
                  <c:v>27</c:v>
                </c:pt>
                <c:pt idx="8">
                  <c:v>14</c:v>
                </c:pt>
                <c:pt idx="9">
                  <c:v>8</c:v>
                </c:pt>
                <c:pt idx="10">
                  <c:v>9</c:v>
                </c:pt>
                <c:pt idx="12">
                  <c:v>4</c:v>
                </c:pt>
                <c:pt idx="14">
                  <c:v>1</c:v>
                </c:pt>
                <c:pt idx="15">
                  <c:v>1</c:v>
                </c:pt>
                <c:pt idx="16">
                  <c:v>1</c:v>
                </c:pt>
                <c:pt idx="18">
                  <c:v>1</c:v>
                </c:pt>
              </c:numCache>
            </c:numRef>
          </c:val>
          <c:extLst>
            <c:ext xmlns:c16="http://schemas.microsoft.com/office/drawing/2014/chart" uri="{C3380CC4-5D6E-409C-BE32-E72D297353CC}">
              <c16:uniqueId val="{00000001-3068-4670-A2F9-997A37710CE2}"/>
            </c:ext>
          </c:extLst>
        </c:ser>
        <c:dLbls>
          <c:showLegendKey val="0"/>
          <c:showVal val="0"/>
          <c:showCatName val="0"/>
          <c:showSerName val="0"/>
          <c:showPercent val="0"/>
          <c:showBubbleSize val="0"/>
        </c:dLbls>
        <c:gapWidth val="150"/>
        <c:axId val="1637250416"/>
        <c:axId val="1639507392"/>
      </c:barChart>
      <c:catAx>
        <c:axId val="163725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507392"/>
        <c:crosses val="autoZero"/>
        <c:auto val="1"/>
        <c:lblAlgn val="ctr"/>
        <c:lblOffset val="100"/>
        <c:noMultiLvlLbl val="0"/>
      </c:catAx>
      <c:valAx>
        <c:axId val="163950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25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Country!$S$4</c:f>
              <c:strCache>
                <c:ptCount val="1"/>
                <c:pt idx="0">
                  <c:v>Female</c:v>
                </c:pt>
              </c:strCache>
            </c:strRef>
          </c:tx>
          <c:spPr>
            <a:solidFill>
              <a:schemeClr val="accent1"/>
            </a:solidFill>
            <a:ln>
              <a:noFill/>
            </a:ln>
            <a:effectLst/>
          </c:spPr>
          <c:invertIfNegative val="0"/>
          <c:cat>
            <c:strRef>
              <c:f>Country!$R$5:$R$34</c:f>
              <c:strCache>
                <c:ptCount val="30"/>
                <c:pt idx="0">
                  <c:v>Kenya</c:v>
                </c:pt>
                <c:pt idx="1">
                  <c:v>Nigeria</c:v>
                </c:pt>
                <c:pt idx="2">
                  <c:v>Ghana</c:v>
                </c:pt>
                <c:pt idx="3">
                  <c:v>Zimbabwe</c:v>
                </c:pt>
                <c:pt idx="4">
                  <c:v>Uganda</c:v>
                </c:pt>
                <c:pt idx="5">
                  <c:v>Tanzania</c:v>
                </c:pt>
                <c:pt idx="6">
                  <c:v>Cameroon</c:v>
                </c:pt>
                <c:pt idx="7">
                  <c:v>Madagascar</c:v>
                </c:pt>
                <c:pt idx="8">
                  <c:v>Malawi</c:v>
                </c:pt>
                <c:pt idx="9">
                  <c:v>Zambia</c:v>
                </c:pt>
                <c:pt idx="10">
                  <c:v>Mauritius</c:v>
                </c:pt>
                <c:pt idx="11">
                  <c:v>Ethiopia</c:v>
                </c:pt>
                <c:pt idx="12">
                  <c:v>Côte d'Ivoire</c:v>
                </c:pt>
                <c:pt idx="13">
                  <c:v>Botswana</c:v>
                </c:pt>
                <c:pt idx="14">
                  <c:v>Mozambique</c:v>
                </c:pt>
                <c:pt idx="15">
                  <c:v>South Africa</c:v>
                </c:pt>
                <c:pt idx="16">
                  <c:v>Namibia</c:v>
                </c:pt>
                <c:pt idx="17">
                  <c:v>Senegal</c:v>
                </c:pt>
                <c:pt idx="18">
                  <c:v>Sierra Leone</c:v>
                </c:pt>
                <c:pt idx="19">
                  <c:v>Liberia</c:v>
                </c:pt>
                <c:pt idx="20">
                  <c:v>Seychelles</c:v>
                </c:pt>
                <c:pt idx="21">
                  <c:v>Lesotho</c:v>
                </c:pt>
                <c:pt idx="22">
                  <c:v>Somalia</c:v>
                </c:pt>
                <c:pt idx="23">
                  <c:v>Swaziland</c:v>
                </c:pt>
                <c:pt idx="24">
                  <c:v>Comoros</c:v>
                </c:pt>
                <c:pt idx="25">
                  <c:v>Guinea</c:v>
                </c:pt>
                <c:pt idx="26">
                  <c:v>Niger</c:v>
                </c:pt>
                <c:pt idx="27">
                  <c:v>Rwanda</c:v>
                </c:pt>
                <c:pt idx="28">
                  <c:v>Burkina Faso</c:v>
                </c:pt>
                <c:pt idx="29">
                  <c:v>South Sudan</c:v>
                </c:pt>
              </c:strCache>
            </c:strRef>
          </c:cat>
          <c:val>
            <c:numRef>
              <c:f>Country!$S$5:$S$34</c:f>
              <c:numCache>
                <c:formatCode>General</c:formatCode>
                <c:ptCount val="30"/>
                <c:pt idx="0">
                  <c:v>55</c:v>
                </c:pt>
                <c:pt idx="1">
                  <c:v>44</c:v>
                </c:pt>
                <c:pt idx="2">
                  <c:v>23</c:v>
                </c:pt>
                <c:pt idx="3">
                  <c:v>21</c:v>
                </c:pt>
                <c:pt idx="4">
                  <c:v>23</c:v>
                </c:pt>
                <c:pt idx="5">
                  <c:v>16</c:v>
                </c:pt>
                <c:pt idx="6">
                  <c:v>18</c:v>
                </c:pt>
                <c:pt idx="7">
                  <c:v>22</c:v>
                </c:pt>
                <c:pt idx="8">
                  <c:v>7</c:v>
                </c:pt>
                <c:pt idx="9">
                  <c:v>6</c:v>
                </c:pt>
                <c:pt idx="10">
                  <c:v>12</c:v>
                </c:pt>
                <c:pt idx="11">
                  <c:v>8</c:v>
                </c:pt>
                <c:pt idx="12">
                  <c:v>5</c:v>
                </c:pt>
                <c:pt idx="13">
                  <c:v>10</c:v>
                </c:pt>
                <c:pt idx="14">
                  <c:v>3</c:v>
                </c:pt>
                <c:pt idx="15">
                  <c:v>9</c:v>
                </c:pt>
                <c:pt idx="16">
                  <c:v>11</c:v>
                </c:pt>
                <c:pt idx="17">
                  <c:v>3</c:v>
                </c:pt>
                <c:pt idx="19">
                  <c:v>3</c:v>
                </c:pt>
                <c:pt idx="20">
                  <c:v>3</c:v>
                </c:pt>
                <c:pt idx="21">
                  <c:v>2</c:v>
                </c:pt>
                <c:pt idx="22">
                  <c:v>1</c:v>
                </c:pt>
                <c:pt idx="23">
                  <c:v>2</c:v>
                </c:pt>
                <c:pt idx="28">
                  <c:v>1</c:v>
                </c:pt>
              </c:numCache>
            </c:numRef>
          </c:val>
          <c:extLst>
            <c:ext xmlns:c16="http://schemas.microsoft.com/office/drawing/2014/chart" uri="{C3380CC4-5D6E-409C-BE32-E72D297353CC}">
              <c16:uniqueId val="{00000000-C0B6-47A3-80BE-09B16CE1A610}"/>
            </c:ext>
          </c:extLst>
        </c:ser>
        <c:ser>
          <c:idx val="1"/>
          <c:order val="1"/>
          <c:tx>
            <c:strRef>
              <c:f>Country!$T$4</c:f>
              <c:strCache>
                <c:ptCount val="1"/>
                <c:pt idx="0">
                  <c:v>Male</c:v>
                </c:pt>
              </c:strCache>
            </c:strRef>
          </c:tx>
          <c:spPr>
            <a:solidFill>
              <a:schemeClr val="accent2"/>
            </a:solidFill>
            <a:ln>
              <a:noFill/>
            </a:ln>
            <a:effectLst/>
          </c:spPr>
          <c:invertIfNegative val="0"/>
          <c:cat>
            <c:strRef>
              <c:f>Country!$R$5:$R$34</c:f>
              <c:strCache>
                <c:ptCount val="30"/>
                <c:pt idx="0">
                  <c:v>Kenya</c:v>
                </c:pt>
                <c:pt idx="1">
                  <c:v>Nigeria</c:v>
                </c:pt>
                <c:pt idx="2">
                  <c:v>Ghana</c:v>
                </c:pt>
                <c:pt idx="3">
                  <c:v>Zimbabwe</c:v>
                </c:pt>
                <c:pt idx="4">
                  <c:v>Uganda</c:v>
                </c:pt>
                <c:pt idx="5">
                  <c:v>Tanzania</c:v>
                </c:pt>
                <c:pt idx="6">
                  <c:v>Cameroon</c:v>
                </c:pt>
                <c:pt idx="7">
                  <c:v>Madagascar</c:v>
                </c:pt>
                <c:pt idx="8">
                  <c:v>Malawi</c:v>
                </c:pt>
                <c:pt idx="9">
                  <c:v>Zambia</c:v>
                </c:pt>
                <c:pt idx="10">
                  <c:v>Mauritius</c:v>
                </c:pt>
                <c:pt idx="11">
                  <c:v>Ethiopia</c:v>
                </c:pt>
                <c:pt idx="12">
                  <c:v>Côte d'Ivoire</c:v>
                </c:pt>
                <c:pt idx="13">
                  <c:v>Botswana</c:v>
                </c:pt>
                <c:pt idx="14">
                  <c:v>Mozambique</c:v>
                </c:pt>
                <c:pt idx="15">
                  <c:v>South Africa</c:v>
                </c:pt>
                <c:pt idx="16">
                  <c:v>Namibia</c:v>
                </c:pt>
                <c:pt idx="17">
                  <c:v>Senegal</c:v>
                </c:pt>
                <c:pt idx="18">
                  <c:v>Sierra Leone</c:v>
                </c:pt>
                <c:pt idx="19">
                  <c:v>Liberia</c:v>
                </c:pt>
                <c:pt idx="20">
                  <c:v>Seychelles</c:v>
                </c:pt>
                <c:pt idx="21">
                  <c:v>Lesotho</c:v>
                </c:pt>
                <c:pt idx="22">
                  <c:v>Somalia</c:v>
                </c:pt>
                <c:pt idx="23">
                  <c:v>Swaziland</c:v>
                </c:pt>
                <c:pt idx="24">
                  <c:v>Comoros</c:v>
                </c:pt>
                <c:pt idx="25">
                  <c:v>Guinea</c:v>
                </c:pt>
                <c:pt idx="26">
                  <c:v>Niger</c:v>
                </c:pt>
                <c:pt idx="27">
                  <c:v>Rwanda</c:v>
                </c:pt>
                <c:pt idx="28">
                  <c:v>Burkina Faso</c:v>
                </c:pt>
                <c:pt idx="29">
                  <c:v>South Sudan</c:v>
                </c:pt>
              </c:strCache>
            </c:strRef>
          </c:cat>
          <c:val>
            <c:numRef>
              <c:f>Country!$T$5:$T$34</c:f>
              <c:numCache>
                <c:formatCode>General</c:formatCode>
                <c:ptCount val="30"/>
                <c:pt idx="0">
                  <c:v>36</c:v>
                </c:pt>
                <c:pt idx="1">
                  <c:v>43</c:v>
                </c:pt>
                <c:pt idx="2">
                  <c:v>45</c:v>
                </c:pt>
                <c:pt idx="3">
                  <c:v>39</c:v>
                </c:pt>
                <c:pt idx="4">
                  <c:v>32</c:v>
                </c:pt>
                <c:pt idx="5">
                  <c:v>34</c:v>
                </c:pt>
                <c:pt idx="6">
                  <c:v>30</c:v>
                </c:pt>
                <c:pt idx="7">
                  <c:v>15</c:v>
                </c:pt>
                <c:pt idx="8">
                  <c:v>23</c:v>
                </c:pt>
                <c:pt idx="9">
                  <c:v>19</c:v>
                </c:pt>
                <c:pt idx="10">
                  <c:v>10</c:v>
                </c:pt>
                <c:pt idx="11">
                  <c:v>12</c:v>
                </c:pt>
                <c:pt idx="12">
                  <c:v>14</c:v>
                </c:pt>
                <c:pt idx="13">
                  <c:v>5</c:v>
                </c:pt>
                <c:pt idx="14">
                  <c:v>11</c:v>
                </c:pt>
                <c:pt idx="15">
                  <c:v>5</c:v>
                </c:pt>
                <c:pt idx="16">
                  <c:v>1</c:v>
                </c:pt>
                <c:pt idx="17">
                  <c:v>2</c:v>
                </c:pt>
                <c:pt idx="18">
                  <c:v>5</c:v>
                </c:pt>
                <c:pt idx="19">
                  <c:v>1</c:v>
                </c:pt>
                <c:pt idx="20">
                  <c:v>1</c:v>
                </c:pt>
                <c:pt idx="21">
                  <c:v>1</c:v>
                </c:pt>
                <c:pt idx="22">
                  <c:v>2</c:v>
                </c:pt>
                <c:pt idx="23">
                  <c:v>1</c:v>
                </c:pt>
                <c:pt idx="24">
                  <c:v>2</c:v>
                </c:pt>
                <c:pt idx="25">
                  <c:v>2</c:v>
                </c:pt>
                <c:pt idx="26">
                  <c:v>2</c:v>
                </c:pt>
                <c:pt idx="27">
                  <c:v>2</c:v>
                </c:pt>
                <c:pt idx="29">
                  <c:v>1</c:v>
                </c:pt>
              </c:numCache>
            </c:numRef>
          </c:val>
          <c:extLst>
            <c:ext xmlns:c16="http://schemas.microsoft.com/office/drawing/2014/chart" uri="{C3380CC4-5D6E-409C-BE32-E72D297353CC}">
              <c16:uniqueId val="{00000001-C0B6-47A3-80BE-09B16CE1A610}"/>
            </c:ext>
          </c:extLst>
        </c:ser>
        <c:dLbls>
          <c:showLegendKey val="0"/>
          <c:showVal val="0"/>
          <c:showCatName val="0"/>
          <c:showSerName val="0"/>
          <c:showPercent val="0"/>
          <c:showBubbleSize val="0"/>
        </c:dLbls>
        <c:gapWidth val="219"/>
        <c:overlap val="-27"/>
        <c:axId val="1803636640"/>
        <c:axId val="1830384032"/>
      </c:barChart>
      <c:catAx>
        <c:axId val="180363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0384032"/>
        <c:crosses val="autoZero"/>
        <c:auto val="1"/>
        <c:lblAlgn val="ctr"/>
        <c:lblOffset val="100"/>
        <c:noMultiLvlLbl val="0"/>
      </c:catAx>
      <c:valAx>
        <c:axId val="183038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363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21-11-2018 Awards 2011 - 2019.xlsm]Private Sector!PivotTable1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s>
    <c:plotArea>
      <c:layout>
        <c:manualLayout>
          <c:layoutTarget val="inner"/>
          <c:xMode val="edge"/>
          <c:yMode val="edge"/>
          <c:x val="9.3867678098661006E-2"/>
          <c:y val="2.9042904290429043E-2"/>
          <c:w val="0.90613232190133897"/>
          <c:h val="0.86561970842753566"/>
        </c:manualLayout>
      </c:layout>
      <c:barChart>
        <c:barDir val="col"/>
        <c:grouping val="stacked"/>
        <c:varyColors val="0"/>
        <c:ser>
          <c:idx val="0"/>
          <c:order val="0"/>
          <c:tx>
            <c:strRef>
              <c:f>'Private Sector'!$B$5:$B$6</c:f>
              <c:strCache>
                <c:ptCount val="1"/>
                <c:pt idx="0">
                  <c:v>Masters</c:v>
                </c:pt>
              </c:strCache>
            </c:strRef>
          </c:tx>
          <c:spPr>
            <a:solidFill>
              <a:schemeClr val="accent1"/>
            </a:solidFill>
            <a:ln>
              <a:noFill/>
            </a:ln>
            <a:effectLst/>
          </c:spPr>
          <c:invertIfNegative val="0"/>
          <c:cat>
            <c:multiLvlStrRef>
              <c:f>'Private Sector'!$A$7:$A$41</c:f>
              <c:multiLvlStrCache>
                <c:ptCount val="22"/>
                <c:lvl>
                  <c:pt idx="0">
                    <c:v>F</c:v>
                  </c:pt>
                  <c:pt idx="1">
                    <c:v>M</c:v>
                  </c:pt>
                  <c:pt idx="2">
                    <c:v>M</c:v>
                  </c:pt>
                  <c:pt idx="3">
                    <c:v>F</c:v>
                  </c:pt>
                  <c:pt idx="4">
                    <c:v>M</c:v>
                  </c:pt>
                  <c:pt idx="5">
                    <c:v>F</c:v>
                  </c:pt>
                  <c:pt idx="6">
                    <c:v>M</c:v>
                  </c:pt>
                  <c:pt idx="7">
                    <c:v>F</c:v>
                  </c:pt>
                  <c:pt idx="8">
                    <c:v>M</c:v>
                  </c:pt>
                  <c:pt idx="9">
                    <c:v>F</c:v>
                  </c:pt>
                  <c:pt idx="10">
                    <c:v>M</c:v>
                  </c:pt>
                  <c:pt idx="11">
                    <c:v>F</c:v>
                  </c:pt>
                  <c:pt idx="12">
                    <c:v>M</c:v>
                  </c:pt>
                  <c:pt idx="13">
                    <c:v>F</c:v>
                  </c:pt>
                  <c:pt idx="14">
                    <c:v>M</c:v>
                  </c:pt>
                  <c:pt idx="15">
                    <c:v>F</c:v>
                  </c:pt>
                  <c:pt idx="16">
                    <c:v>M</c:v>
                  </c:pt>
                  <c:pt idx="17">
                    <c:v>F</c:v>
                  </c:pt>
                  <c:pt idx="18">
                    <c:v>M</c:v>
                  </c:pt>
                  <c:pt idx="19">
                    <c:v>F</c:v>
                  </c:pt>
                  <c:pt idx="20">
                    <c:v>M</c:v>
                  </c:pt>
                  <c:pt idx="21">
                    <c:v>M</c:v>
                  </c:pt>
                </c:lvl>
                <c:lvl>
                  <c:pt idx="0">
                    <c:v>Botswana</c:v>
                  </c:pt>
                  <c:pt idx="2">
                    <c:v>Côte d'Ivoire</c:v>
                  </c:pt>
                  <c:pt idx="3">
                    <c:v>Ghana</c:v>
                  </c:pt>
                  <c:pt idx="5">
                    <c:v>Kenya</c:v>
                  </c:pt>
                  <c:pt idx="7">
                    <c:v>Madagascar</c:v>
                  </c:pt>
                  <c:pt idx="9">
                    <c:v>Malawi</c:v>
                  </c:pt>
                  <c:pt idx="11">
                    <c:v>Mozambique</c:v>
                  </c:pt>
                  <c:pt idx="13">
                    <c:v>Nigeria</c:v>
                  </c:pt>
                  <c:pt idx="15">
                    <c:v>South Africa</c:v>
                  </c:pt>
                  <c:pt idx="17">
                    <c:v>Tanzania</c:v>
                  </c:pt>
                  <c:pt idx="19">
                    <c:v>Uganda</c:v>
                  </c:pt>
                  <c:pt idx="20">
                    <c:v>Zambia</c:v>
                  </c:pt>
                  <c:pt idx="21">
                    <c:v>Zimbabwe</c:v>
                  </c:pt>
                </c:lvl>
              </c:multiLvlStrCache>
            </c:multiLvlStrRef>
          </c:cat>
          <c:val>
            <c:numRef>
              <c:f>'Private Sector'!$B$7:$B$41</c:f>
              <c:numCache>
                <c:formatCode>General</c:formatCode>
                <c:ptCount val="22"/>
                <c:pt idx="1">
                  <c:v>1</c:v>
                </c:pt>
                <c:pt idx="3">
                  <c:v>1</c:v>
                </c:pt>
                <c:pt idx="4">
                  <c:v>7</c:v>
                </c:pt>
                <c:pt idx="5">
                  <c:v>3</c:v>
                </c:pt>
                <c:pt idx="6">
                  <c:v>3</c:v>
                </c:pt>
                <c:pt idx="7">
                  <c:v>4</c:v>
                </c:pt>
                <c:pt idx="8">
                  <c:v>1</c:v>
                </c:pt>
                <c:pt idx="9">
                  <c:v>1</c:v>
                </c:pt>
                <c:pt idx="11">
                  <c:v>4</c:v>
                </c:pt>
                <c:pt idx="12">
                  <c:v>4</c:v>
                </c:pt>
                <c:pt idx="13">
                  <c:v>4</c:v>
                </c:pt>
                <c:pt idx="14">
                  <c:v>5</c:v>
                </c:pt>
                <c:pt idx="15">
                  <c:v>1</c:v>
                </c:pt>
                <c:pt idx="16">
                  <c:v>1</c:v>
                </c:pt>
                <c:pt idx="17">
                  <c:v>2</c:v>
                </c:pt>
                <c:pt idx="18">
                  <c:v>1</c:v>
                </c:pt>
                <c:pt idx="20">
                  <c:v>2</c:v>
                </c:pt>
              </c:numCache>
            </c:numRef>
          </c:val>
          <c:extLst>
            <c:ext xmlns:c16="http://schemas.microsoft.com/office/drawing/2014/chart" uri="{C3380CC4-5D6E-409C-BE32-E72D297353CC}">
              <c16:uniqueId val="{00000000-62DA-4054-A087-55458596AEDA}"/>
            </c:ext>
          </c:extLst>
        </c:ser>
        <c:ser>
          <c:idx val="1"/>
          <c:order val="1"/>
          <c:tx>
            <c:strRef>
              <c:f>'Private Sector'!$C$5:$C$6</c:f>
              <c:strCache>
                <c:ptCount val="1"/>
                <c:pt idx="0">
                  <c:v>Short Course</c:v>
                </c:pt>
              </c:strCache>
            </c:strRef>
          </c:tx>
          <c:spPr>
            <a:solidFill>
              <a:schemeClr val="accent2"/>
            </a:solidFill>
            <a:ln>
              <a:noFill/>
            </a:ln>
            <a:effectLst/>
          </c:spPr>
          <c:invertIfNegative val="0"/>
          <c:cat>
            <c:multiLvlStrRef>
              <c:f>'Private Sector'!$A$7:$A$41</c:f>
              <c:multiLvlStrCache>
                <c:ptCount val="22"/>
                <c:lvl>
                  <c:pt idx="0">
                    <c:v>F</c:v>
                  </c:pt>
                  <c:pt idx="1">
                    <c:v>M</c:v>
                  </c:pt>
                  <c:pt idx="2">
                    <c:v>M</c:v>
                  </c:pt>
                  <c:pt idx="3">
                    <c:v>F</c:v>
                  </c:pt>
                  <c:pt idx="4">
                    <c:v>M</c:v>
                  </c:pt>
                  <c:pt idx="5">
                    <c:v>F</c:v>
                  </c:pt>
                  <c:pt idx="6">
                    <c:v>M</c:v>
                  </c:pt>
                  <c:pt idx="7">
                    <c:v>F</c:v>
                  </c:pt>
                  <c:pt idx="8">
                    <c:v>M</c:v>
                  </c:pt>
                  <c:pt idx="9">
                    <c:v>F</c:v>
                  </c:pt>
                  <c:pt idx="10">
                    <c:v>M</c:v>
                  </c:pt>
                  <c:pt idx="11">
                    <c:v>F</c:v>
                  </c:pt>
                  <c:pt idx="12">
                    <c:v>M</c:v>
                  </c:pt>
                  <c:pt idx="13">
                    <c:v>F</c:v>
                  </c:pt>
                  <c:pt idx="14">
                    <c:v>M</c:v>
                  </c:pt>
                  <c:pt idx="15">
                    <c:v>F</c:v>
                  </c:pt>
                  <c:pt idx="16">
                    <c:v>M</c:v>
                  </c:pt>
                  <c:pt idx="17">
                    <c:v>F</c:v>
                  </c:pt>
                  <c:pt idx="18">
                    <c:v>M</c:v>
                  </c:pt>
                  <c:pt idx="19">
                    <c:v>F</c:v>
                  </c:pt>
                  <c:pt idx="20">
                    <c:v>M</c:v>
                  </c:pt>
                  <c:pt idx="21">
                    <c:v>M</c:v>
                  </c:pt>
                </c:lvl>
                <c:lvl>
                  <c:pt idx="0">
                    <c:v>Botswana</c:v>
                  </c:pt>
                  <c:pt idx="2">
                    <c:v>Côte d'Ivoire</c:v>
                  </c:pt>
                  <c:pt idx="3">
                    <c:v>Ghana</c:v>
                  </c:pt>
                  <c:pt idx="5">
                    <c:v>Kenya</c:v>
                  </c:pt>
                  <c:pt idx="7">
                    <c:v>Madagascar</c:v>
                  </c:pt>
                  <c:pt idx="9">
                    <c:v>Malawi</c:v>
                  </c:pt>
                  <c:pt idx="11">
                    <c:v>Mozambique</c:v>
                  </c:pt>
                  <c:pt idx="13">
                    <c:v>Nigeria</c:v>
                  </c:pt>
                  <c:pt idx="15">
                    <c:v>South Africa</c:v>
                  </c:pt>
                  <c:pt idx="17">
                    <c:v>Tanzania</c:v>
                  </c:pt>
                  <c:pt idx="19">
                    <c:v>Uganda</c:v>
                  </c:pt>
                  <c:pt idx="20">
                    <c:v>Zambia</c:v>
                  </c:pt>
                  <c:pt idx="21">
                    <c:v>Zimbabwe</c:v>
                  </c:pt>
                </c:lvl>
              </c:multiLvlStrCache>
            </c:multiLvlStrRef>
          </c:cat>
          <c:val>
            <c:numRef>
              <c:f>'Private Sector'!$C$7:$C$41</c:f>
              <c:numCache>
                <c:formatCode>General</c:formatCode>
                <c:ptCount val="22"/>
                <c:pt idx="0">
                  <c:v>1</c:v>
                </c:pt>
                <c:pt idx="2">
                  <c:v>2</c:v>
                </c:pt>
                <c:pt idx="4">
                  <c:v>1</c:v>
                </c:pt>
                <c:pt idx="5">
                  <c:v>7</c:v>
                </c:pt>
                <c:pt idx="6">
                  <c:v>1</c:v>
                </c:pt>
                <c:pt idx="7">
                  <c:v>1</c:v>
                </c:pt>
                <c:pt idx="8">
                  <c:v>2</c:v>
                </c:pt>
                <c:pt idx="9">
                  <c:v>1</c:v>
                </c:pt>
                <c:pt idx="10">
                  <c:v>2</c:v>
                </c:pt>
                <c:pt idx="13">
                  <c:v>2</c:v>
                </c:pt>
                <c:pt idx="14">
                  <c:v>6</c:v>
                </c:pt>
                <c:pt idx="15">
                  <c:v>2</c:v>
                </c:pt>
                <c:pt idx="18">
                  <c:v>1</c:v>
                </c:pt>
                <c:pt idx="19">
                  <c:v>3</c:v>
                </c:pt>
                <c:pt idx="21">
                  <c:v>2</c:v>
                </c:pt>
              </c:numCache>
            </c:numRef>
          </c:val>
          <c:extLst>
            <c:ext xmlns:c16="http://schemas.microsoft.com/office/drawing/2014/chart" uri="{C3380CC4-5D6E-409C-BE32-E72D297353CC}">
              <c16:uniqueId val="{00000001-62DA-4054-A087-55458596AEDA}"/>
            </c:ext>
          </c:extLst>
        </c:ser>
        <c:dLbls>
          <c:showLegendKey val="0"/>
          <c:showVal val="0"/>
          <c:showCatName val="0"/>
          <c:showSerName val="0"/>
          <c:showPercent val="0"/>
          <c:showBubbleSize val="0"/>
        </c:dLbls>
        <c:gapWidth val="150"/>
        <c:overlap val="100"/>
        <c:axId val="734465247"/>
        <c:axId val="940299407"/>
      </c:barChart>
      <c:catAx>
        <c:axId val="734465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crossAx val="940299407"/>
        <c:crosses val="autoZero"/>
        <c:auto val="1"/>
        <c:lblAlgn val="ctr"/>
        <c:lblOffset val="100"/>
        <c:noMultiLvlLbl val="0"/>
      </c:catAx>
      <c:valAx>
        <c:axId val="940299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crossAx val="7344652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dTable>
      <c:spPr>
        <a:noFill/>
        <a:ln>
          <a:noFill/>
        </a:ln>
        <a:effectLst/>
      </c:spPr>
    </c:plotArea>
    <c:legend>
      <c:legendPos val="r"/>
      <c:layout>
        <c:manualLayout>
          <c:xMode val="edge"/>
          <c:yMode val="edge"/>
          <c:x val="0.80123931435944806"/>
          <c:y val="9.9009485200488564E-2"/>
          <c:w val="7.8338587564822551E-2"/>
          <c:h val="8.910953457550480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Franklin Gothic Book" panose="020B0503020102020204" pitchFamily="34" charset="0"/>
        </a:defRPr>
      </a:pPr>
      <a:endParaRPr lang="en-US"/>
    </a:p>
  </c:txPr>
  <c:externalData r:id="rId3">
    <c:autoUpdate val="0"/>
  </c:externalData>
  <c:extLst>
    <c:ext xmlns:c14="http://schemas.microsoft.com/office/drawing/2007/8/2/chart" uri="{781A3756-C4B2-4CAC-9D66-4F8BD8637D16}">
      <c14:pivotOptions>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21-11-2018 Awards 2011 - 2019.xlsm]Private Sector!PivotTable2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s>
    <c:plotArea>
      <c:layout/>
      <c:barChart>
        <c:barDir val="col"/>
        <c:grouping val="stacked"/>
        <c:varyColors val="0"/>
        <c:ser>
          <c:idx val="0"/>
          <c:order val="0"/>
          <c:tx>
            <c:strRef>
              <c:f>'Private Sector'!$B$53:$B$54</c:f>
              <c:strCache>
                <c:ptCount val="1"/>
                <c:pt idx="0">
                  <c:v>Masters</c:v>
                </c:pt>
              </c:strCache>
            </c:strRef>
          </c:tx>
          <c:spPr>
            <a:solidFill>
              <a:schemeClr val="accent1"/>
            </a:solidFill>
            <a:ln>
              <a:noFill/>
            </a:ln>
            <a:effectLst/>
          </c:spPr>
          <c:invertIfNegative val="0"/>
          <c:cat>
            <c:multiLvlStrRef>
              <c:f>'Private Sector'!$A$55:$A$79</c:f>
              <c:multiLvlStrCache>
                <c:ptCount val="15"/>
                <c:lvl>
                  <c:pt idx="0">
                    <c:v>F</c:v>
                  </c:pt>
                  <c:pt idx="1">
                    <c:v>M</c:v>
                  </c:pt>
                  <c:pt idx="2">
                    <c:v>M</c:v>
                  </c:pt>
                  <c:pt idx="3">
                    <c:v>F</c:v>
                  </c:pt>
                  <c:pt idx="4">
                    <c:v>F</c:v>
                  </c:pt>
                  <c:pt idx="5">
                    <c:v>M</c:v>
                  </c:pt>
                  <c:pt idx="6">
                    <c:v>F</c:v>
                  </c:pt>
                  <c:pt idx="7">
                    <c:v>M</c:v>
                  </c:pt>
                  <c:pt idx="8">
                    <c:v>F</c:v>
                  </c:pt>
                  <c:pt idx="9">
                    <c:v>M</c:v>
                  </c:pt>
                  <c:pt idx="10">
                    <c:v>F</c:v>
                  </c:pt>
                  <c:pt idx="11">
                    <c:v>M</c:v>
                  </c:pt>
                  <c:pt idx="12">
                    <c:v>F</c:v>
                  </c:pt>
                  <c:pt idx="13">
                    <c:v>M</c:v>
                  </c:pt>
                  <c:pt idx="14">
                    <c:v>M</c:v>
                  </c:pt>
                </c:lvl>
                <c:lvl>
                  <c:pt idx="0">
                    <c:v>Agriculture</c:v>
                  </c:pt>
                  <c:pt idx="2">
                    <c:v>Disability</c:v>
                  </c:pt>
                  <c:pt idx="3">
                    <c:v>Education</c:v>
                  </c:pt>
                  <c:pt idx="4">
                    <c:v>Environment</c:v>
                  </c:pt>
                  <c:pt idx="6">
                    <c:v>Extractives</c:v>
                  </c:pt>
                  <c:pt idx="8">
                    <c:v>Governance</c:v>
                  </c:pt>
                  <c:pt idx="10">
                    <c:v>Health</c:v>
                  </c:pt>
                  <c:pt idx="12">
                    <c:v>Other</c:v>
                  </c:pt>
                  <c:pt idx="14">
                    <c:v>Water and Sanitation</c:v>
                  </c:pt>
                </c:lvl>
              </c:multiLvlStrCache>
            </c:multiLvlStrRef>
          </c:cat>
          <c:val>
            <c:numRef>
              <c:f>'Private Sector'!$B$55:$B$79</c:f>
              <c:numCache>
                <c:formatCode>General</c:formatCode>
                <c:ptCount val="15"/>
                <c:pt idx="0">
                  <c:v>1</c:v>
                </c:pt>
                <c:pt idx="1">
                  <c:v>5</c:v>
                </c:pt>
                <c:pt idx="2">
                  <c:v>1</c:v>
                </c:pt>
                <c:pt idx="3">
                  <c:v>2</c:v>
                </c:pt>
                <c:pt idx="4">
                  <c:v>4</c:v>
                </c:pt>
                <c:pt idx="5">
                  <c:v>1</c:v>
                </c:pt>
                <c:pt idx="6">
                  <c:v>4</c:v>
                </c:pt>
                <c:pt idx="7">
                  <c:v>9</c:v>
                </c:pt>
                <c:pt idx="8">
                  <c:v>2</c:v>
                </c:pt>
                <c:pt idx="9">
                  <c:v>2</c:v>
                </c:pt>
                <c:pt idx="10">
                  <c:v>5</c:v>
                </c:pt>
                <c:pt idx="11">
                  <c:v>4</c:v>
                </c:pt>
                <c:pt idx="12">
                  <c:v>2</c:v>
                </c:pt>
                <c:pt idx="13">
                  <c:v>2</c:v>
                </c:pt>
                <c:pt idx="14">
                  <c:v>1</c:v>
                </c:pt>
              </c:numCache>
            </c:numRef>
          </c:val>
          <c:extLst>
            <c:ext xmlns:c16="http://schemas.microsoft.com/office/drawing/2014/chart" uri="{C3380CC4-5D6E-409C-BE32-E72D297353CC}">
              <c16:uniqueId val="{00000000-B511-4C42-AFB6-E4DA5C7B4FB9}"/>
            </c:ext>
          </c:extLst>
        </c:ser>
        <c:ser>
          <c:idx val="1"/>
          <c:order val="1"/>
          <c:tx>
            <c:strRef>
              <c:f>'Private Sector'!$C$53:$C$54</c:f>
              <c:strCache>
                <c:ptCount val="1"/>
                <c:pt idx="0">
                  <c:v>Short Course</c:v>
                </c:pt>
              </c:strCache>
            </c:strRef>
          </c:tx>
          <c:spPr>
            <a:solidFill>
              <a:schemeClr val="accent2"/>
            </a:solidFill>
            <a:ln>
              <a:noFill/>
            </a:ln>
            <a:effectLst/>
          </c:spPr>
          <c:invertIfNegative val="0"/>
          <c:cat>
            <c:multiLvlStrRef>
              <c:f>'Private Sector'!$A$55:$A$79</c:f>
              <c:multiLvlStrCache>
                <c:ptCount val="15"/>
                <c:lvl>
                  <c:pt idx="0">
                    <c:v>F</c:v>
                  </c:pt>
                  <c:pt idx="1">
                    <c:v>M</c:v>
                  </c:pt>
                  <c:pt idx="2">
                    <c:v>M</c:v>
                  </c:pt>
                  <c:pt idx="3">
                    <c:v>F</c:v>
                  </c:pt>
                  <c:pt idx="4">
                    <c:v>F</c:v>
                  </c:pt>
                  <c:pt idx="5">
                    <c:v>M</c:v>
                  </c:pt>
                  <c:pt idx="6">
                    <c:v>F</c:v>
                  </c:pt>
                  <c:pt idx="7">
                    <c:v>M</c:v>
                  </c:pt>
                  <c:pt idx="8">
                    <c:v>F</c:v>
                  </c:pt>
                  <c:pt idx="9">
                    <c:v>M</c:v>
                  </c:pt>
                  <c:pt idx="10">
                    <c:v>F</c:v>
                  </c:pt>
                  <c:pt idx="11">
                    <c:v>M</c:v>
                  </c:pt>
                  <c:pt idx="12">
                    <c:v>F</c:v>
                  </c:pt>
                  <c:pt idx="13">
                    <c:v>M</c:v>
                  </c:pt>
                  <c:pt idx="14">
                    <c:v>M</c:v>
                  </c:pt>
                </c:lvl>
                <c:lvl>
                  <c:pt idx="0">
                    <c:v>Agriculture</c:v>
                  </c:pt>
                  <c:pt idx="2">
                    <c:v>Disability</c:v>
                  </c:pt>
                  <c:pt idx="3">
                    <c:v>Education</c:v>
                  </c:pt>
                  <c:pt idx="4">
                    <c:v>Environment</c:v>
                  </c:pt>
                  <c:pt idx="6">
                    <c:v>Extractives</c:v>
                  </c:pt>
                  <c:pt idx="8">
                    <c:v>Governance</c:v>
                  </c:pt>
                  <c:pt idx="10">
                    <c:v>Health</c:v>
                  </c:pt>
                  <c:pt idx="12">
                    <c:v>Other</c:v>
                  </c:pt>
                  <c:pt idx="14">
                    <c:v>Water and Sanitation</c:v>
                  </c:pt>
                </c:lvl>
              </c:multiLvlStrCache>
            </c:multiLvlStrRef>
          </c:cat>
          <c:val>
            <c:numRef>
              <c:f>'Private Sector'!$C$55:$C$79</c:f>
              <c:numCache>
                <c:formatCode>General</c:formatCode>
                <c:ptCount val="15"/>
                <c:pt idx="0">
                  <c:v>2</c:v>
                </c:pt>
                <c:pt idx="1">
                  <c:v>7</c:v>
                </c:pt>
                <c:pt idx="6">
                  <c:v>6</c:v>
                </c:pt>
                <c:pt idx="7">
                  <c:v>4</c:v>
                </c:pt>
                <c:pt idx="8">
                  <c:v>9</c:v>
                </c:pt>
                <c:pt idx="9">
                  <c:v>6</c:v>
                </c:pt>
              </c:numCache>
            </c:numRef>
          </c:val>
          <c:extLst>
            <c:ext xmlns:c16="http://schemas.microsoft.com/office/drawing/2014/chart" uri="{C3380CC4-5D6E-409C-BE32-E72D297353CC}">
              <c16:uniqueId val="{00000001-B511-4C42-AFB6-E4DA5C7B4FB9}"/>
            </c:ext>
          </c:extLst>
        </c:ser>
        <c:dLbls>
          <c:showLegendKey val="0"/>
          <c:showVal val="0"/>
          <c:showCatName val="0"/>
          <c:showSerName val="0"/>
          <c:showPercent val="0"/>
          <c:showBubbleSize val="0"/>
        </c:dLbls>
        <c:gapWidth val="150"/>
        <c:overlap val="100"/>
        <c:axId val="955652991"/>
        <c:axId val="848685871"/>
      </c:barChart>
      <c:catAx>
        <c:axId val="955652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crossAx val="848685871"/>
        <c:crosses val="autoZero"/>
        <c:auto val="1"/>
        <c:lblAlgn val="ctr"/>
        <c:lblOffset val="100"/>
        <c:noMultiLvlLbl val="0"/>
      </c:catAx>
      <c:valAx>
        <c:axId val="848685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crossAx val="9556529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Franklin Gothic Book" panose="020B05030201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 Table of Field Trips'!$B$1</c:f>
              <c:strCache>
                <c:ptCount val="1"/>
                <c:pt idx="0">
                  <c:v># of field visits to the private sector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Franklin Gothic Book" panose="020B0503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Table of Field Trips'!$A$2:$A$10</c:f>
              <c:strCache>
                <c:ptCount val="9"/>
                <c:pt idx="0">
                  <c:v>Trade</c:v>
                </c:pt>
                <c:pt idx="1">
                  <c:v>PPIP</c:v>
                </c:pt>
                <c:pt idx="2">
                  <c:v>MMC</c:v>
                </c:pt>
                <c:pt idx="3">
                  <c:v>MEE I</c:v>
                </c:pt>
                <c:pt idx="4">
                  <c:v>MEE II</c:v>
                </c:pt>
                <c:pt idx="5">
                  <c:v>OGSF</c:v>
                </c:pt>
                <c:pt idx="6">
                  <c:v>IDIAR I</c:v>
                </c:pt>
                <c:pt idx="7">
                  <c:v>IDIAR II</c:v>
                </c:pt>
                <c:pt idx="8">
                  <c:v>Agribusiness</c:v>
                </c:pt>
              </c:strCache>
            </c:strRef>
          </c:cat>
          <c:val>
            <c:numRef>
              <c:f>'Summary Table of Field Trips'!$B$2:$B$10</c:f>
              <c:numCache>
                <c:formatCode>General</c:formatCode>
                <c:ptCount val="9"/>
                <c:pt idx="0">
                  <c:v>6</c:v>
                </c:pt>
                <c:pt idx="1">
                  <c:v>7</c:v>
                </c:pt>
                <c:pt idx="2">
                  <c:v>14</c:v>
                </c:pt>
                <c:pt idx="3">
                  <c:v>4</c:v>
                </c:pt>
                <c:pt idx="4">
                  <c:v>4</c:v>
                </c:pt>
                <c:pt idx="5">
                  <c:v>2</c:v>
                </c:pt>
                <c:pt idx="6">
                  <c:v>0</c:v>
                </c:pt>
                <c:pt idx="7">
                  <c:v>0</c:v>
                </c:pt>
                <c:pt idx="8">
                  <c:v>25</c:v>
                </c:pt>
              </c:numCache>
            </c:numRef>
          </c:val>
          <c:extLst>
            <c:ext xmlns:c16="http://schemas.microsoft.com/office/drawing/2014/chart" uri="{C3380CC4-5D6E-409C-BE32-E72D297353CC}">
              <c16:uniqueId val="{00000000-B8FE-47A8-B541-8CAA5FBC8881}"/>
            </c:ext>
          </c:extLst>
        </c:ser>
        <c:ser>
          <c:idx val="1"/>
          <c:order val="1"/>
          <c:tx>
            <c:strRef>
              <c:f>'Summary Table of Field Trips'!$C$1</c:f>
              <c:strCache>
                <c:ptCount val="1"/>
                <c:pt idx="0">
                  <c:v>Total # of field visits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Franklin Gothic Book" panose="020B0503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Table of Field Trips'!$A$2:$A$10</c:f>
              <c:strCache>
                <c:ptCount val="9"/>
                <c:pt idx="0">
                  <c:v>Trade</c:v>
                </c:pt>
                <c:pt idx="1">
                  <c:v>PPIP</c:v>
                </c:pt>
                <c:pt idx="2">
                  <c:v>MMC</c:v>
                </c:pt>
                <c:pt idx="3">
                  <c:v>MEE I</c:v>
                </c:pt>
                <c:pt idx="4">
                  <c:v>MEE II</c:v>
                </c:pt>
                <c:pt idx="5">
                  <c:v>OGSF</c:v>
                </c:pt>
                <c:pt idx="6">
                  <c:v>IDIAR I</c:v>
                </c:pt>
                <c:pt idx="7">
                  <c:v>IDIAR II</c:v>
                </c:pt>
                <c:pt idx="8">
                  <c:v>Agribusiness</c:v>
                </c:pt>
              </c:strCache>
            </c:strRef>
          </c:cat>
          <c:val>
            <c:numRef>
              <c:f>'Summary Table of Field Trips'!$C$2:$C$10</c:f>
              <c:numCache>
                <c:formatCode>General</c:formatCode>
                <c:ptCount val="9"/>
                <c:pt idx="0">
                  <c:v>7</c:v>
                </c:pt>
                <c:pt idx="1">
                  <c:v>13</c:v>
                </c:pt>
                <c:pt idx="2">
                  <c:v>16</c:v>
                </c:pt>
                <c:pt idx="3">
                  <c:v>5</c:v>
                </c:pt>
                <c:pt idx="4">
                  <c:v>5</c:v>
                </c:pt>
                <c:pt idx="5">
                  <c:v>6</c:v>
                </c:pt>
                <c:pt idx="6">
                  <c:v>2</c:v>
                </c:pt>
                <c:pt idx="7">
                  <c:v>3</c:v>
                </c:pt>
                <c:pt idx="8">
                  <c:v>29</c:v>
                </c:pt>
              </c:numCache>
            </c:numRef>
          </c:val>
          <c:extLst>
            <c:ext xmlns:c16="http://schemas.microsoft.com/office/drawing/2014/chart" uri="{C3380CC4-5D6E-409C-BE32-E72D297353CC}">
              <c16:uniqueId val="{00000001-B8FE-47A8-B541-8CAA5FBC8881}"/>
            </c:ext>
          </c:extLst>
        </c:ser>
        <c:dLbls>
          <c:showLegendKey val="0"/>
          <c:showVal val="1"/>
          <c:showCatName val="0"/>
          <c:showSerName val="0"/>
          <c:showPercent val="0"/>
          <c:showBubbleSize val="0"/>
        </c:dLbls>
        <c:gapWidth val="150"/>
        <c:overlap val="-25"/>
        <c:axId val="297006768"/>
        <c:axId val="297007096"/>
      </c:barChart>
      <c:catAx>
        <c:axId val="29700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crossAx val="297007096"/>
        <c:crosses val="autoZero"/>
        <c:auto val="1"/>
        <c:lblAlgn val="ctr"/>
        <c:lblOffset val="100"/>
        <c:noMultiLvlLbl val="0"/>
      </c:catAx>
      <c:valAx>
        <c:axId val="297007096"/>
        <c:scaling>
          <c:orientation val="minMax"/>
        </c:scaling>
        <c:delete val="1"/>
        <c:axPos val="l"/>
        <c:numFmt formatCode="General" sourceLinked="1"/>
        <c:majorTickMark val="none"/>
        <c:minorTickMark val="none"/>
        <c:tickLblPos val="nextTo"/>
        <c:crossAx val="297006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Franklin Gothic Book" panose="020B05030201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Sheet1!$E$6</c:f>
              <c:strCache>
                <c:ptCount val="1"/>
                <c:pt idx="0">
                  <c:v>Private Sector (Guest Lecturers)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Sheet1!$F$5:$M$5</c:f>
              <c:strCache>
                <c:ptCount val="8"/>
                <c:pt idx="0">
                  <c:v>Trade</c:v>
                </c:pt>
                <c:pt idx="1">
                  <c:v>PPIP</c:v>
                </c:pt>
                <c:pt idx="2">
                  <c:v>MEE 1</c:v>
                </c:pt>
                <c:pt idx="3">
                  <c:v>MEE 2</c:v>
                </c:pt>
                <c:pt idx="4">
                  <c:v>Ocean Governance</c:v>
                </c:pt>
                <c:pt idx="5">
                  <c:v>IDIAR 1</c:v>
                </c:pt>
                <c:pt idx="6">
                  <c:v>IDIAR 2</c:v>
                </c:pt>
                <c:pt idx="7">
                  <c:v>Agribusiness</c:v>
                </c:pt>
              </c:strCache>
            </c:strRef>
          </c:cat>
          <c:val>
            <c:numRef>
              <c:f>Sheet1!$F$6:$M$6</c:f>
              <c:numCache>
                <c:formatCode>General</c:formatCode>
                <c:ptCount val="8"/>
                <c:pt idx="0">
                  <c:v>1</c:v>
                </c:pt>
                <c:pt idx="1">
                  <c:v>10</c:v>
                </c:pt>
                <c:pt idx="2">
                  <c:v>0</c:v>
                </c:pt>
                <c:pt idx="3">
                  <c:v>0</c:v>
                </c:pt>
                <c:pt idx="4">
                  <c:v>1</c:v>
                </c:pt>
                <c:pt idx="5">
                  <c:v>1</c:v>
                </c:pt>
                <c:pt idx="6">
                  <c:v>1</c:v>
                </c:pt>
                <c:pt idx="7">
                  <c:v>1</c:v>
                </c:pt>
              </c:numCache>
            </c:numRef>
          </c:val>
          <c:extLst>
            <c:ext xmlns:c16="http://schemas.microsoft.com/office/drawing/2014/chart" uri="{C3380CC4-5D6E-409C-BE32-E72D297353CC}">
              <c16:uniqueId val="{00000000-7A86-43A4-A79C-BCD54C6E4B38}"/>
            </c:ext>
          </c:extLst>
        </c:ser>
        <c:ser>
          <c:idx val="1"/>
          <c:order val="1"/>
          <c:tx>
            <c:strRef>
              <c:f>Sheet1!$E$7</c:f>
              <c:strCache>
                <c:ptCount val="1"/>
                <c:pt idx="0">
                  <c:v>Total Guest Lecturers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Sheet1!$F$5:$M$5</c:f>
              <c:strCache>
                <c:ptCount val="8"/>
                <c:pt idx="0">
                  <c:v>Trade</c:v>
                </c:pt>
                <c:pt idx="1">
                  <c:v>PPIP</c:v>
                </c:pt>
                <c:pt idx="2">
                  <c:v>MEE 1</c:v>
                </c:pt>
                <c:pt idx="3">
                  <c:v>MEE 2</c:v>
                </c:pt>
                <c:pt idx="4">
                  <c:v>Ocean Governance</c:v>
                </c:pt>
                <c:pt idx="5">
                  <c:v>IDIAR 1</c:v>
                </c:pt>
                <c:pt idx="6">
                  <c:v>IDIAR 2</c:v>
                </c:pt>
                <c:pt idx="7">
                  <c:v>Agribusiness</c:v>
                </c:pt>
              </c:strCache>
            </c:strRef>
          </c:cat>
          <c:val>
            <c:numRef>
              <c:f>Sheet1!$F$7:$M$7</c:f>
              <c:numCache>
                <c:formatCode>General</c:formatCode>
                <c:ptCount val="8"/>
                <c:pt idx="0">
                  <c:v>2</c:v>
                </c:pt>
                <c:pt idx="1">
                  <c:v>17</c:v>
                </c:pt>
                <c:pt idx="2">
                  <c:v>7</c:v>
                </c:pt>
                <c:pt idx="3">
                  <c:v>8</c:v>
                </c:pt>
                <c:pt idx="4">
                  <c:v>3</c:v>
                </c:pt>
                <c:pt idx="5">
                  <c:v>31</c:v>
                </c:pt>
                <c:pt idx="6">
                  <c:v>14</c:v>
                </c:pt>
                <c:pt idx="7">
                  <c:v>11</c:v>
                </c:pt>
              </c:numCache>
            </c:numRef>
          </c:val>
          <c:extLst>
            <c:ext xmlns:c16="http://schemas.microsoft.com/office/drawing/2014/chart" uri="{C3380CC4-5D6E-409C-BE32-E72D297353CC}">
              <c16:uniqueId val="{00000001-7A86-43A4-A79C-BCD54C6E4B38}"/>
            </c:ext>
          </c:extLst>
        </c:ser>
        <c:dLbls>
          <c:showLegendKey val="0"/>
          <c:showVal val="1"/>
          <c:showCatName val="0"/>
          <c:showSerName val="0"/>
          <c:showPercent val="0"/>
          <c:showBubbleSize val="0"/>
        </c:dLbls>
        <c:gapWidth val="75"/>
        <c:axId val="413525128"/>
        <c:axId val="411759168"/>
      </c:barChart>
      <c:catAx>
        <c:axId val="413525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1759168"/>
        <c:crosses val="autoZero"/>
        <c:auto val="1"/>
        <c:lblAlgn val="ctr"/>
        <c:lblOffset val="100"/>
        <c:noMultiLvlLbl val="0"/>
      </c:catAx>
      <c:valAx>
        <c:axId val="4117591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525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81A6-8F35-4F8C-BAAB-DEB27636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23351</Words>
  <Characters>136971</Characters>
  <Application>Microsoft Office Word</Application>
  <DocSecurity>0</DocSecurity>
  <Lines>3497</Lines>
  <Paragraphs>1843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2023-01-20T05:30:00Z</dcterms:created>
  <dcterms:modified xsi:type="dcterms:W3CDTF">2023-01-20T05:30:00Z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D4EE994F38914E0383B7894D22200A08</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2023-01-20T05:30:20Z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913E162ABCCA23876AFEA7D81785E566</vt:lpwstr>
  </property>
  <property fmtid="{D5CDD505-2E9C-101B-9397-08002B2CF9AE}" pid="23" name="PM_Hash_Salt">
    <vt:lpwstr>24437533A0B4BAF7C08A91EA05238102</vt:lpwstr>
  </property>
  <property fmtid="{D5CDD505-2E9C-101B-9397-08002B2CF9AE}" pid="24" name="PM_Hash_SHA1">
    <vt:lpwstr>2CFD0B4A6E8B0758C7D0A015D632D0530AFD3366</vt:lpwstr>
  </property>
  <property fmtid="{D5CDD505-2E9C-101B-9397-08002B2CF9AE}" pid="25" name="PM_OriginatorUserAccountName_SHA256">
    <vt:lpwstr>290C9CFCFE70E139C4500567FB5830ACF9049F26A1998DDACA65669D45D5D2AD</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