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C5C4D4" w14:textId="77777777" w:rsidR="00315F40" w:rsidRDefault="00315F40" w:rsidP="00315F40">
      <w:pPr>
        <w:pStyle w:val="Heading1"/>
        <w:spacing w:after="300"/>
      </w:pPr>
      <w:bookmarkStart w:id="0" w:name="_Toc475348267"/>
      <w:r>
        <w:rPr>
          <w:rFonts w:ascii="Calibri Light" w:hAnsi="Calibri Light"/>
          <w:caps w:val="0"/>
          <w:color w:val="auto"/>
          <w:sz w:val="28"/>
        </w:rPr>
        <w:t>Management Response Independent Mid-term Evaluation of the Australia Awards in Africa Investmen</w:t>
      </w:r>
      <w:bookmarkEnd w:id="0"/>
      <w:r>
        <w:rPr>
          <w:rFonts w:ascii="Calibri Light" w:hAnsi="Calibri Light"/>
          <w:caps w:val="0"/>
          <w:color w:val="auto"/>
          <w:sz w:val="28"/>
        </w:rPr>
        <w:t>t</w:t>
      </w:r>
    </w:p>
    <w:p w14:paraId="24C5C4D5" w14:textId="77777777" w:rsidR="00315F40" w:rsidRDefault="00315F40" w:rsidP="00315F40">
      <w:pPr>
        <w:pStyle w:val="Heading3"/>
        <w:spacing w:before="120" w:line="240" w:lineRule="auto"/>
        <w:rPr>
          <w:rFonts w:cstheme="majorHAnsi"/>
          <w:color w:val="auto"/>
          <w:sz w:val="24"/>
          <w:szCs w:val="24"/>
        </w:rPr>
      </w:pPr>
      <w:r>
        <w:rPr>
          <w:rFonts w:cstheme="majorHAnsi"/>
          <w:color w:val="auto"/>
          <w:sz w:val="24"/>
          <w:szCs w:val="24"/>
        </w:rPr>
        <w:t xml:space="preserve">Summary of management response </w:t>
      </w:r>
    </w:p>
    <w:p w14:paraId="24C5C4D6" w14:textId="77777777" w:rsidR="00315F40" w:rsidRDefault="00315F40" w:rsidP="00315F40">
      <w:pPr>
        <w:spacing w:after="120" w:line="240" w:lineRule="auto"/>
        <w:contextualSpacing/>
        <w:rPr>
          <w:rFonts w:asciiTheme="majorHAnsi" w:hAnsiTheme="majorHAnsi" w:cstheme="majorHAnsi"/>
          <w:color w:val="auto"/>
          <w:sz w:val="24"/>
          <w:szCs w:val="24"/>
        </w:rPr>
      </w:pPr>
      <w:r>
        <w:rPr>
          <w:rFonts w:asciiTheme="majorHAnsi" w:hAnsiTheme="majorHAnsi" w:cstheme="majorHAnsi"/>
          <w:color w:val="auto"/>
          <w:sz w:val="24"/>
          <w:szCs w:val="24"/>
        </w:rPr>
        <w:t xml:space="preserve">Australia Awards in Africa (AAA) is a </w:t>
      </w:r>
      <w:proofErr w:type="gramStart"/>
      <w:r>
        <w:rPr>
          <w:rFonts w:asciiTheme="majorHAnsi" w:hAnsiTheme="majorHAnsi" w:cstheme="majorHAnsi"/>
          <w:color w:val="auto"/>
          <w:sz w:val="24"/>
          <w:szCs w:val="24"/>
        </w:rPr>
        <w:t>four year</w:t>
      </w:r>
      <w:proofErr w:type="gramEnd"/>
      <w:r>
        <w:rPr>
          <w:rFonts w:asciiTheme="majorHAnsi" w:hAnsiTheme="majorHAnsi" w:cstheme="majorHAnsi"/>
          <w:color w:val="auto"/>
          <w:sz w:val="24"/>
          <w:szCs w:val="24"/>
        </w:rPr>
        <w:t xml:space="preserve"> (2016-2020) investment of approximately $100 million. Australia Awards in Africa’s end of program outcomes </w:t>
      </w:r>
      <w:proofErr w:type="gramStart"/>
      <w:r>
        <w:rPr>
          <w:rFonts w:asciiTheme="majorHAnsi" w:hAnsiTheme="majorHAnsi" w:cstheme="majorHAnsi"/>
          <w:color w:val="auto"/>
          <w:sz w:val="24"/>
          <w:szCs w:val="24"/>
        </w:rPr>
        <w:t>are;</w:t>
      </w:r>
      <w:proofErr w:type="gramEnd"/>
      <w:r>
        <w:rPr>
          <w:rFonts w:asciiTheme="majorHAnsi" w:hAnsiTheme="majorHAnsi" w:cstheme="majorHAnsi"/>
          <w:color w:val="auto"/>
          <w:sz w:val="24"/>
          <w:szCs w:val="24"/>
        </w:rPr>
        <w:t xml:space="preserve"> </w:t>
      </w:r>
    </w:p>
    <w:p w14:paraId="24C5C4D7" w14:textId="77777777" w:rsidR="00315F40" w:rsidRDefault="00315F40" w:rsidP="00315F40">
      <w:pPr>
        <w:pStyle w:val="ListParagraph"/>
        <w:numPr>
          <w:ilvl w:val="0"/>
          <w:numId w:val="14"/>
        </w:numPr>
        <w:spacing w:before="120" w:after="120"/>
        <w:rPr>
          <w:rFonts w:asciiTheme="majorHAnsi" w:hAnsiTheme="majorHAnsi" w:cstheme="majorHAnsi"/>
        </w:rPr>
      </w:pPr>
      <w:r>
        <w:rPr>
          <w:rFonts w:asciiTheme="majorHAnsi" w:hAnsiTheme="majorHAnsi" w:cstheme="majorHAnsi"/>
        </w:rPr>
        <w:t xml:space="preserve">alumni are using their skills, </w:t>
      </w:r>
      <w:proofErr w:type="gramStart"/>
      <w:r>
        <w:rPr>
          <w:rFonts w:asciiTheme="majorHAnsi" w:hAnsiTheme="majorHAnsi" w:cstheme="majorHAnsi"/>
        </w:rPr>
        <w:t>knowledge</w:t>
      </w:r>
      <w:proofErr w:type="gramEnd"/>
      <w:r>
        <w:rPr>
          <w:rFonts w:asciiTheme="majorHAnsi" w:hAnsiTheme="majorHAnsi" w:cstheme="majorHAnsi"/>
        </w:rPr>
        <w:t xml:space="preserve"> and networks to contribute to sustainable development</w:t>
      </w:r>
    </w:p>
    <w:p w14:paraId="24C5C4D8" w14:textId="77777777" w:rsidR="00315F40" w:rsidRDefault="00315F40" w:rsidP="00315F40">
      <w:pPr>
        <w:pStyle w:val="ListParagraph"/>
        <w:numPr>
          <w:ilvl w:val="0"/>
          <w:numId w:val="14"/>
        </w:numPr>
        <w:spacing w:before="120" w:after="120"/>
        <w:rPr>
          <w:rFonts w:asciiTheme="majorHAnsi" w:hAnsiTheme="majorHAnsi" w:cstheme="majorHAnsi"/>
        </w:rPr>
      </w:pPr>
      <w:r>
        <w:rPr>
          <w:rFonts w:asciiTheme="majorHAnsi" w:hAnsiTheme="majorHAnsi" w:cstheme="majorHAnsi"/>
        </w:rPr>
        <w:t xml:space="preserve">targeted countries in Africa view Australia as a valued partner, and </w:t>
      </w:r>
    </w:p>
    <w:p w14:paraId="24C5C4D9" w14:textId="77777777" w:rsidR="00315F40" w:rsidRDefault="00315F40" w:rsidP="00315F40">
      <w:pPr>
        <w:pStyle w:val="ListParagraph"/>
        <w:numPr>
          <w:ilvl w:val="0"/>
          <w:numId w:val="14"/>
        </w:numPr>
        <w:spacing w:before="120" w:after="120"/>
        <w:rPr>
          <w:rFonts w:asciiTheme="majorHAnsi" w:hAnsiTheme="majorHAnsi" w:cstheme="majorHAnsi"/>
        </w:rPr>
      </w:pPr>
      <w:r>
        <w:rPr>
          <w:rFonts w:asciiTheme="majorHAnsi" w:hAnsiTheme="majorHAnsi" w:cstheme="majorHAnsi"/>
        </w:rPr>
        <w:t>alumni have positive ongoing links with Australia.</w:t>
      </w:r>
    </w:p>
    <w:p w14:paraId="24C5C4DA" w14:textId="77777777" w:rsidR="00315F40" w:rsidRDefault="00315F40" w:rsidP="00315F40">
      <w:pPr>
        <w:spacing w:after="120" w:line="240" w:lineRule="auto"/>
        <w:contextualSpacing/>
        <w:rPr>
          <w:rFonts w:asciiTheme="majorHAnsi" w:hAnsiTheme="majorHAnsi" w:cstheme="majorHAnsi"/>
          <w:color w:val="auto"/>
          <w:sz w:val="24"/>
          <w:szCs w:val="24"/>
        </w:rPr>
      </w:pPr>
      <w:r>
        <w:rPr>
          <w:rFonts w:asciiTheme="majorHAnsi" w:hAnsiTheme="majorHAnsi" w:cstheme="majorHAnsi"/>
          <w:color w:val="auto"/>
          <w:sz w:val="24"/>
          <w:szCs w:val="24"/>
        </w:rPr>
        <w:t xml:space="preserve">An independent mid-term evaluation was undertaken in 2018 to determine if AAA is achieving its planned outcomes, to assess the performance of the managing contractor and to ensure alignment with the Foreign Policy White Paper and the Australia Awards Global Awards policy. </w:t>
      </w:r>
    </w:p>
    <w:p w14:paraId="24C5C4DB" w14:textId="77777777" w:rsidR="00315F40" w:rsidRDefault="00315F40" w:rsidP="00315F40">
      <w:pPr>
        <w:rPr>
          <w:rFonts w:asciiTheme="majorHAnsi" w:hAnsiTheme="majorHAnsi" w:cstheme="majorHAnsi"/>
          <w:color w:val="auto"/>
          <w:sz w:val="24"/>
          <w:szCs w:val="24"/>
        </w:rPr>
      </w:pPr>
      <w:r>
        <w:rPr>
          <w:rFonts w:asciiTheme="majorHAnsi" w:hAnsiTheme="majorHAnsi" w:cstheme="majorHAnsi"/>
          <w:color w:val="auto"/>
          <w:sz w:val="24"/>
          <w:szCs w:val="24"/>
        </w:rPr>
        <w:t xml:space="preserve">DFAT accepts the 12 recommendations of the independent mid-term evaluation of the Australia Awards in Africa program. The Director and the Program Manager Australia Awards in Africa, Middle </w:t>
      </w:r>
      <w:proofErr w:type="gramStart"/>
      <w:r>
        <w:rPr>
          <w:rFonts w:asciiTheme="majorHAnsi" w:hAnsiTheme="majorHAnsi" w:cstheme="majorHAnsi"/>
          <w:color w:val="auto"/>
          <w:sz w:val="24"/>
          <w:szCs w:val="24"/>
        </w:rPr>
        <w:t>East</w:t>
      </w:r>
      <w:proofErr w:type="gramEnd"/>
      <w:r>
        <w:rPr>
          <w:rFonts w:asciiTheme="majorHAnsi" w:hAnsiTheme="majorHAnsi" w:cstheme="majorHAnsi"/>
          <w:color w:val="auto"/>
          <w:sz w:val="24"/>
          <w:szCs w:val="24"/>
        </w:rPr>
        <w:t xml:space="preserve"> and Africa Partnerships Section (MAP), Africa Branch (AFB) will lead the implementation of the mid-term evaluation recommendations</w:t>
      </w:r>
      <w:r w:rsidR="003222D1">
        <w:rPr>
          <w:rFonts w:asciiTheme="majorHAnsi" w:hAnsiTheme="majorHAnsi" w:cstheme="majorHAnsi"/>
          <w:color w:val="auto"/>
          <w:sz w:val="24"/>
          <w:szCs w:val="24"/>
        </w:rPr>
        <w:t xml:space="preserve"> and associated consultations</w:t>
      </w:r>
      <w:r>
        <w:rPr>
          <w:rFonts w:asciiTheme="majorHAnsi" w:hAnsiTheme="majorHAnsi" w:cstheme="majorHAnsi"/>
          <w:color w:val="auto"/>
          <w:sz w:val="24"/>
          <w:szCs w:val="24"/>
        </w:rPr>
        <w:t xml:space="preserve">. Africa Posts, Scholarships and Alumni Branch and the current managing contractor, Palladium, will be consulted at each stage of implementation for the Evaluation recommendations including, drafting the Annual Plan, amending the Scope of Services for the </w:t>
      </w:r>
      <w:proofErr w:type="gramStart"/>
      <w:r>
        <w:rPr>
          <w:rFonts w:asciiTheme="majorHAnsi" w:hAnsiTheme="majorHAnsi" w:cstheme="majorHAnsi"/>
          <w:color w:val="auto"/>
          <w:sz w:val="24"/>
          <w:szCs w:val="24"/>
        </w:rPr>
        <w:t>two year</w:t>
      </w:r>
      <w:proofErr w:type="gramEnd"/>
      <w:r>
        <w:rPr>
          <w:rFonts w:asciiTheme="majorHAnsi" w:hAnsiTheme="majorHAnsi" w:cstheme="majorHAnsi"/>
          <w:color w:val="auto"/>
          <w:sz w:val="24"/>
          <w:szCs w:val="24"/>
        </w:rPr>
        <w:t xml:space="preserve"> contract extension (2020-2022) and in the design process for the next phase (2022-2026). Depending on the complexity of the issues the recommendations will be implemented over three phases as outline</w:t>
      </w:r>
      <w:r w:rsidR="003222D1">
        <w:rPr>
          <w:rFonts w:asciiTheme="majorHAnsi" w:hAnsiTheme="majorHAnsi" w:cstheme="majorHAnsi"/>
          <w:color w:val="auto"/>
          <w:sz w:val="24"/>
          <w:szCs w:val="24"/>
        </w:rPr>
        <w:t>d</w:t>
      </w:r>
      <w:r>
        <w:rPr>
          <w:rFonts w:asciiTheme="majorHAnsi" w:hAnsiTheme="majorHAnsi" w:cstheme="majorHAnsi"/>
          <w:color w:val="auto"/>
          <w:sz w:val="24"/>
          <w:szCs w:val="24"/>
        </w:rPr>
        <w:t xml:space="preserve"> below. </w:t>
      </w:r>
    </w:p>
    <w:p w14:paraId="24C5C4DC" w14:textId="77777777" w:rsidR="00315F40" w:rsidRDefault="00315F40" w:rsidP="00315F40">
      <w:pPr>
        <w:pStyle w:val="BodyText"/>
        <w:numPr>
          <w:ilvl w:val="0"/>
          <w:numId w:val="15"/>
        </w:numPr>
        <w:spacing w:after="120" w:line="240" w:lineRule="auto"/>
        <w:contextualSpacing/>
        <w:rPr>
          <w:rFonts w:asciiTheme="majorHAnsi" w:hAnsiTheme="majorHAnsi" w:cstheme="majorHAnsi"/>
          <w:color w:val="auto"/>
          <w:sz w:val="24"/>
          <w:szCs w:val="24"/>
        </w:rPr>
      </w:pPr>
      <w:r>
        <w:rPr>
          <w:rFonts w:asciiTheme="majorHAnsi" w:hAnsiTheme="majorHAnsi" w:cstheme="majorHAnsi"/>
          <w:b/>
          <w:i/>
          <w:color w:val="auto"/>
          <w:sz w:val="24"/>
          <w:szCs w:val="24"/>
        </w:rPr>
        <w:t>Phase 1 - 2019-2020:</w:t>
      </w:r>
      <w:r>
        <w:rPr>
          <w:rFonts w:asciiTheme="majorHAnsi" w:hAnsiTheme="majorHAnsi" w:cstheme="majorHAnsi"/>
          <w:color w:val="auto"/>
          <w:sz w:val="24"/>
          <w:szCs w:val="24"/>
        </w:rPr>
        <w:t xml:space="preserve">  A significant number of the recommendations can be implemented under the current Scope of Services with the managing contractor through the 2019-20 Annual Plan. The negotiations to extend the end date of the contract with Palladium, from 31 March 2020 to 31 March 2022, and any other changes to the Scope of Services necessary to implement recommendations can also be completed in this period, s</w:t>
      </w:r>
      <w:r>
        <w:rPr>
          <w:rStyle w:val="Strong"/>
          <w:rFonts w:asciiTheme="majorHAnsi" w:hAnsiTheme="majorHAnsi" w:cstheme="majorHAnsi"/>
          <w:color w:val="auto"/>
          <w:sz w:val="24"/>
          <w:szCs w:val="24"/>
        </w:rPr>
        <w:t xml:space="preserve">ubject to financial approval. </w:t>
      </w:r>
    </w:p>
    <w:p w14:paraId="24C5C4DD" w14:textId="77777777" w:rsidR="00315F40" w:rsidRDefault="00315F40" w:rsidP="00315F40">
      <w:pPr>
        <w:pStyle w:val="BodyText"/>
        <w:numPr>
          <w:ilvl w:val="0"/>
          <w:numId w:val="15"/>
        </w:numPr>
        <w:spacing w:after="120" w:line="240" w:lineRule="auto"/>
        <w:contextualSpacing/>
        <w:rPr>
          <w:rFonts w:asciiTheme="majorHAnsi" w:hAnsiTheme="majorHAnsi" w:cstheme="majorHAnsi"/>
          <w:color w:val="auto"/>
          <w:sz w:val="24"/>
          <w:szCs w:val="24"/>
        </w:rPr>
      </w:pPr>
      <w:r>
        <w:rPr>
          <w:rFonts w:asciiTheme="majorHAnsi" w:hAnsiTheme="majorHAnsi" w:cstheme="majorHAnsi"/>
          <w:b/>
          <w:i/>
          <w:color w:val="auto"/>
          <w:sz w:val="24"/>
          <w:szCs w:val="24"/>
        </w:rPr>
        <w:t>Phase 2 - 2020-2022:</w:t>
      </w:r>
      <w:r>
        <w:rPr>
          <w:rFonts w:asciiTheme="majorHAnsi" w:hAnsiTheme="majorHAnsi" w:cstheme="majorHAnsi"/>
          <w:color w:val="auto"/>
          <w:sz w:val="24"/>
          <w:szCs w:val="24"/>
        </w:rPr>
        <w:t xml:space="preserve"> During the proposed </w:t>
      </w:r>
      <w:proofErr w:type="gramStart"/>
      <w:r>
        <w:rPr>
          <w:rFonts w:asciiTheme="majorHAnsi" w:hAnsiTheme="majorHAnsi" w:cstheme="majorHAnsi"/>
          <w:color w:val="auto"/>
          <w:sz w:val="24"/>
          <w:szCs w:val="24"/>
        </w:rPr>
        <w:t>two year</w:t>
      </w:r>
      <w:proofErr w:type="gramEnd"/>
      <w:r>
        <w:rPr>
          <w:rFonts w:asciiTheme="majorHAnsi" w:hAnsiTheme="majorHAnsi" w:cstheme="majorHAnsi"/>
          <w:color w:val="auto"/>
          <w:sz w:val="24"/>
          <w:szCs w:val="24"/>
        </w:rPr>
        <w:t xml:space="preserve"> contract extension period, </w:t>
      </w:r>
      <w:r>
        <w:rPr>
          <w:rStyle w:val="Strong"/>
          <w:rFonts w:asciiTheme="majorHAnsi" w:hAnsiTheme="majorHAnsi" w:cstheme="majorHAnsi"/>
          <w:color w:val="auto"/>
          <w:sz w:val="24"/>
          <w:szCs w:val="24"/>
        </w:rPr>
        <w:t xml:space="preserve">subject to financial approval, </w:t>
      </w:r>
      <w:r>
        <w:rPr>
          <w:rFonts w:asciiTheme="majorHAnsi" w:hAnsiTheme="majorHAnsi" w:cstheme="majorHAnsi"/>
          <w:color w:val="auto"/>
          <w:sz w:val="24"/>
          <w:szCs w:val="24"/>
        </w:rPr>
        <w:t xml:space="preserve">an investment design and tender process for delivery of a new phase of Australia Awards in Africa will be implemented. The investment design process is an opportunity to address the more complex program and policy recommendations.  </w:t>
      </w:r>
    </w:p>
    <w:p w14:paraId="24C5C4DE" w14:textId="77777777" w:rsidR="00315F40" w:rsidRDefault="00315F40" w:rsidP="003F3E1B">
      <w:pPr>
        <w:pStyle w:val="BodyText"/>
        <w:numPr>
          <w:ilvl w:val="0"/>
          <w:numId w:val="15"/>
        </w:numPr>
        <w:spacing w:after="120" w:line="240" w:lineRule="auto"/>
        <w:contextualSpacing/>
        <w:rPr>
          <w:rFonts w:asciiTheme="majorHAnsi" w:hAnsiTheme="majorHAnsi" w:cstheme="majorHAnsi"/>
          <w:color w:val="auto"/>
          <w:sz w:val="24"/>
          <w:szCs w:val="24"/>
        </w:rPr>
      </w:pPr>
      <w:r>
        <w:rPr>
          <w:rFonts w:asciiTheme="majorHAnsi" w:hAnsiTheme="majorHAnsi" w:cstheme="majorHAnsi"/>
          <w:b/>
          <w:i/>
          <w:color w:val="auto"/>
          <w:sz w:val="24"/>
          <w:szCs w:val="24"/>
        </w:rPr>
        <w:t>Phase 3 - 2022-2026:</w:t>
      </w:r>
      <w:r>
        <w:rPr>
          <w:rFonts w:asciiTheme="majorHAnsi" w:hAnsiTheme="majorHAnsi" w:cstheme="majorHAnsi"/>
          <w:color w:val="auto"/>
          <w:sz w:val="24"/>
          <w:szCs w:val="24"/>
        </w:rPr>
        <w:t xml:space="preserve"> </w:t>
      </w:r>
      <w:r w:rsidR="00682539">
        <w:rPr>
          <w:rFonts w:asciiTheme="majorHAnsi" w:hAnsiTheme="majorHAnsi" w:cstheme="majorHAnsi"/>
          <w:color w:val="auto"/>
          <w:sz w:val="24"/>
          <w:szCs w:val="24"/>
        </w:rPr>
        <w:t xml:space="preserve"> A number of the more complex recommendations may be implemented as part of a </w:t>
      </w:r>
      <w:r>
        <w:rPr>
          <w:rFonts w:asciiTheme="majorHAnsi" w:hAnsiTheme="majorHAnsi" w:cstheme="majorHAnsi"/>
          <w:color w:val="auto"/>
          <w:sz w:val="24"/>
          <w:szCs w:val="24"/>
        </w:rPr>
        <w:t xml:space="preserve">new </w:t>
      </w:r>
      <w:proofErr w:type="gramStart"/>
      <w:r>
        <w:rPr>
          <w:rFonts w:asciiTheme="majorHAnsi" w:hAnsiTheme="majorHAnsi" w:cstheme="majorHAnsi"/>
          <w:color w:val="auto"/>
          <w:sz w:val="24"/>
          <w:szCs w:val="24"/>
        </w:rPr>
        <w:t>four year</w:t>
      </w:r>
      <w:proofErr w:type="gramEnd"/>
      <w:r>
        <w:rPr>
          <w:rFonts w:asciiTheme="majorHAnsi" w:hAnsiTheme="majorHAnsi" w:cstheme="majorHAnsi"/>
          <w:color w:val="auto"/>
          <w:sz w:val="24"/>
          <w:szCs w:val="24"/>
        </w:rPr>
        <w:t xml:space="preserve"> investment for Australia Awards in Africa </w:t>
      </w:r>
      <w:r w:rsidR="00FC2ECA">
        <w:rPr>
          <w:rFonts w:asciiTheme="majorHAnsi" w:hAnsiTheme="majorHAnsi" w:cstheme="majorHAnsi"/>
          <w:color w:val="auto"/>
          <w:sz w:val="24"/>
          <w:szCs w:val="24"/>
        </w:rPr>
        <w:t xml:space="preserve">that would be due to </w:t>
      </w:r>
      <w:r>
        <w:rPr>
          <w:rFonts w:asciiTheme="majorHAnsi" w:hAnsiTheme="majorHAnsi" w:cstheme="majorHAnsi"/>
          <w:color w:val="auto"/>
          <w:sz w:val="24"/>
          <w:szCs w:val="24"/>
        </w:rPr>
        <w:t xml:space="preserve">start on 1 April 2022, subject to </w:t>
      </w:r>
      <w:r>
        <w:rPr>
          <w:rStyle w:val="Strong"/>
          <w:rFonts w:asciiTheme="majorHAnsi" w:hAnsiTheme="majorHAnsi" w:cstheme="majorHAnsi"/>
          <w:color w:val="auto"/>
          <w:sz w:val="24"/>
          <w:szCs w:val="24"/>
        </w:rPr>
        <w:t>financial approval</w:t>
      </w:r>
      <w:r>
        <w:rPr>
          <w:rFonts w:asciiTheme="majorHAnsi" w:hAnsiTheme="majorHAnsi" w:cstheme="majorHAnsi"/>
          <w:color w:val="auto"/>
          <w:sz w:val="24"/>
          <w:szCs w:val="24"/>
        </w:rPr>
        <w:t>.</w:t>
      </w:r>
    </w:p>
    <w:p w14:paraId="24C5C4DF" w14:textId="77777777" w:rsidR="00F654CC" w:rsidRDefault="00F654CC" w:rsidP="00F654CC">
      <w:pPr>
        <w:pStyle w:val="BodyText"/>
        <w:spacing w:after="120" w:line="240" w:lineRule="auto"/>
        <w:ind w:left="720"/>
        <w:contextualSpacing/>
        <w:rPr>
          <w:rFonts w:asciiTheme="majorHAnsi" w:hAnsiTheme="majorHAnsi" w:cstheme="majorHAnsi"/>
          <w:color w:val="auto"/>
          <w:sz w:val="24"/>
          <w:szCs w:val="24"/>
        </w:rPr>
      </w:pPr>
    </w:p>
    <w:p w14:paraId="24C5C4E0" w14:textId="77777777" w:rsidR="00F654CC" w:rsidRPr="003F3E1B" w:rsidRDefault="00F654CC" w:rsidP="00F654CC">
      <w:pPr>
        <w:pStyle w:val="BodyText"/>
        <w:spacing w:after="120" w:line="240" w:lineRule="auto"/>
        <w:ind w:left="720"/>
        <w:contextualSpacing/>
        <w:rPr>
          <w:rFonts w:asciiTheme="majorHAnsi" w:hAnsiTheme="majorHAnsi" w:cstheme="majorHAnsi"/>
          <w:color w:val="auto"/>
          <w:sz w:val="24"/>
          <w:szCs w:val="24"/>
        </w:rPr>
      </w:pPr>
    </w:p>
    <w:tbl>
      <w:tblPr>
        <w:tblStyle w:val="DFATTable1"/>
        <w:tblW w:w="13751" w:type="dxa"/>
        <w:tblInd w:w="-289" w:type="dxa"/>
        <w:tblLayout w:type="fixed"/>
        <w:tblLook w:val="04A0" w:firstRow="1" w:lastRow="0" w:firstColumn="1" w:lastColumn="0" w:noHBand="0" w:noVBand="1"/>
        <w:tblCaption w:val="Individual management response to the recommendations."/>
        <w:tblDescription w:val="Recommendation: Recommendation 1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
      </w:tblPr>
      <w:tblGrid>
        <w:gridCol w:w="3162"/>
        <w:gridCol w:w="964"/>
        <w:gridCol w:w="3209"/>
        <w:gridCol w:w="3000"/>
        <w:gridCol w:w="3416"/>
      </w:tblGrid>
      <w:tr w:rsidR="00315F40" w14:paraId="24C5C4E2" w14:textId="77777777" w:rsidTr="00621AF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751" w:type="dxa"/>
            <w:gridSpan w:val="5"/>
            <w:tcBorders>
              <w:top w:val="single" w:sz="4" w:space="0" w:color="auto"/>
              <w:left w:val="single" w:sz="4" w:space="0" w:color="auto"/>
              <w:bottom w:val="single" w:sz="4" w:space="0" w:color="auto"/>
              <w:right w:val="single" w:sz="4" w:space="0" w:color="auto"/>
            </w:tcBorders>
            <w:vAlign w:val="center"/>
            <w:hideMark/>
          </w:tcPr>
          <w:p w14:paraId="24C5C4E1" w14:textId="77777777" w:rsidR="00315F40" w:rsidRDefault="00315F40" w:rsidP="003D1DE8">
            <w:pPr>
              <w:pStyle w:val="TableHeaderRow"/>
              <w:spacing w:before="0" w:after="0" w:line="240" w:lineRule="auto"/>
              <w:rPr>
                <w:rFonts w:asciiTheme="majorHAnsi" w:hAnsiTheme="majorHAnsi" w:cstheme="majorHAnsi"/>
                <w:sz w:val="24"/>
                <w:szCs w:val="24"/>
              </w:rPr>
            </w:pPr>
            <w:r>
              <w:rPr>
                <w:rFonts w:asciiTheme="majorHAnsi" w:hAnsiTheme="majorHAnsi" w:cstheme="majorHAnsi"/>
                <w:sz w:val="24"/>
                <w:szCs w:val="24"/>
              </w:rPr>
              <w:lastRenderedPageBreak/>
              <w:t>Individual management response to the recommendations</w:t>
            </w:r>
          </w:p>
        </w:tc>
      </w:tr>
      <w:tr w:rsidR="00F654CC" w14:paraId="24C5C4E8" w14:textId="77777777" w:rsidTr="00621A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162" w:type="dxa"/>
            <w:tcBorders>
              <w:top w:val="single" w:sz="4" w:space="0" w:color="auto"/>
              <w:left w:val="single" w:sz="4" w:space="0" w:color="auto"/>
              <w:bottom w:val="single" w:sz="4" w:space="0" w:color="auto"/>
              <w:right w:val="single" w:sz="4" w:space="0" w:color="auto"/>
            </w:tcBorders>
            <w:shd w:val="clear" w:color="auto" w:fill="2F5496" w:themeFill="accent5" w:themeFillShade="BF"/>
            <w:vAlign w:val="center"/>
            <w:hideMark/>
          </w:tcPr>
          <w:p w14:paraId="24C5C4E3" w14:textId="77777777" w:rsidR="00315F40" w:rsidRDefault="00315F40" w:rsidP="003D1DE8">
            <w:pPr>
              <w:pStyle w:val="TableHeaderRow"/>
              <w:spacing w:before="0" w:after="0" w:line="240" w:lineRule="auto"/>
              <w:rPr>
                <w:rFonts w:asciiTheme="majorHAnsi" w:hAnsiTheme="majorHAnsi" w:cstheme="majorHAnsi"/>
                <w:szCs w:val="22"/>
              </w:rPr>
            </w:pPr>
            <w:r>
              <w:rPr>
                <w:rFonts w:asciiTheme="majorHAnsi" w:hAnsiTheme="majorHAnsi" w:cstheme="majorHAnsi"/>
                <w:szCs w:val="22"/>
              </w:rPr>
              <w:t>Recommendation</w:t>
            </w:r>
          </w:p>
        </w:tc>
        <w:tc>
          <w:tcPr>
            <w:tcW w:w="964" w:type="dxa"/>
            <w:tcBorders>
              <w:top w:val="single" w:sz="4" w:space="0" w:color="auto"/>
              <w:left w:val="single" w:sz="4" w:space="0" w:color="auto"/>
              <w:bottom w:val="single" w:sz="4" w:space="0" w:color="auto"/>
              <w:right w:val="single" w:sz="4" w:space="0" w:color="auto"/>
            </w:tcBorders>
            <w:shd w:val="clear" w:color="auto" w:fill="2F5496" w:themeFill="accent5" w:themeFillShade="BF"/>
            <w:vAlign w:val="center"/>
            <w:hideMark/>
          </w:tcPr>
          <w:p w14:paraId="24C5C4E4" w14:textId="77777777" w:rsidR="00315F40" w:rsidRDefault="00315F40" w:rsidP="003D1DE8">
            <w:pPr>
              <w:pStyle w:val="TableHeaderRow"/>
              <w:spacing w:before="0" w:after="0" w:line="240" w:lineRule="auto"/>
              <w:ind w:left="-10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Pr>
                <w:rFonts w:asciiTheme="majorHAnsi" w:hAnsiTheme="majorHAnsi" w:cstheme="majorHAnsi"/>
                <w:szCs w:val="22"/>
              </w:rPr>
              <w:t>Response</w:t>
            </w:r>
          </w:p>
        </w:tc>
        <w:tc>
          <w:tcPr>
            <w:tcW w:w="3209" w:type="dxa"/>
            <w:tcBorders>
              <w:top w:val="single" w:sz="4" w:space="0" w:color="auto"/>
              <w:left w:val="single" w:sz="4" w:space="0" w:color="auto"/>
              <w:bottom w:val="single" w:sz="4" w:space="0" w:color="auto"/>
              <w:right w:val="single" w:sz="4" w:space="0" w:color="auto"/>
            </w:tcBorders>
            <w:shd w:val="clear" w:color="auto" w:fill="2F5496" w:themeFill="accent5" w:themeFillShade="BF"/>
            <w:vAlign w:val="center"/>
            <w:hideMark/>
          </w:tcPr>
          <w:p w14:paraId="24C5C4E5" w14:textId="77777777" w:rsidR="00315F40" w:rsidRDefault="00315F40" w:rsidP="003D1DE8">
            <w:pPr>
              <w:pStyle w:val="TableHeaderRow"/>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Pr>
                <w:rFonts w:asciiTheme="majorHAnsi" w:hAnsiTheme="majorHAnsi" w:cstheme="majorHAnsi"/>
                <w:sz w:val="24"/>
                <w:szCs w:val="24"/>
              </w:rPr>
              <w:t>Explanation</w:t>
            </w:r>
          </w:p>
        </w:tc>
        <w:tc>
          <w:tcPr>
            <w:tcW w:w="3000" w:type="dxa"/>
            <w:tcBorders>
              <w:top w:val="single" w:sz="4" w:space="0" w:color="auto"/>
              <w:left w:val="single" w:sz="4" w:space="0" w:color="auto"/>
              <w:bottom w:val="single" w:sz="4" w:space="0" w:color="auto"/>
              <w:right w:val="single" w:sz="4" w:space="0" w:color="auto"/>
            </w:tcBorders>
            <w:shd w:val="clear" w:color="auto" w:fill="2F5496" w:themeFill="accent5" w:themeFillShade="BF"/>
            <w:vAlign w:val="center"/>
            <w:hideMark/>
          </w:tcPr>
          <w:p w14:paraId="24C5C4E6" w14:textId="77777777" w:rsidR="00315F40" w:rsidRDefault="00315F40" w:rsidP="003D1DE8">
            <w:pPr>
              <w:pStyle w:val="TableHeaderRow"/>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Pr>
                <w:rFonts w:asciiTheme="majorHAnsi" w:hAnsiTheme="majorHAnsi" w:cstheme="majorHAnsi"/>
                <w:sz w:val="24"/>
                <w:szCs w:val="24"/>
              </w:rPr>
              <w:t>Action plan</w:t>
            </w:r>
          </w:p>
        </w:tc>
        <w:tc>
          <w:tcPr>
            <w:tcW w:w="3416" w:type="dxa"/>
            <w:tcBorders>
              <w:left w:val="single" w:sz="4" w:space="0" w:color="auto"/>
              <w:right w:val="nil"/>
            </w:tcBorders>
            <w:shd w:val="clear" w:color="auto" w:fill="2F5496" w:themeFill="accent5" w:themeFillShade="BF"/>
            <w:vAlign w:val="center"/>
            <w:hideMark/>
          </w:tcPr>
          <w:p w14:paraId="24C5C4E7" w14:textId="77777777" w:rsidR="00315F40" w:rsidRDefault="00315F40" w:rsidP="003D1DE8">
            <w:pPr>
              <w:pStyle w:val="TableHeaderRow"/>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Pr>
                <w:rFonts w:asciiTheme="majorHAnsi" w:hAnsiTheme="majorHAnsi" w:cstheme="majorHAnsi"/>
                <w:sz w:val="24"/>
                <w:szCs w:val="24"/>
              </w:rPr>
              <w:t>Timeframe</w:t>
            </w:r>
          </w:p>
        </w:tc>
      </w:tr>
      <w:tr w:rsidR="00F654CC" w14:paraId="24C5C4EE" w14:textId="77777777" w:rsidTr="00420983">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162" w:type="dxa"/>
            <w:tcBorders>
              <w:top w:val="single" w:sz="4" w:space="0" w:color="auto"/>
              <w:left w:val="nil"/>
              <w:bottom w:val="single" w:sz="4" w:space="0" w:color="44546A" w:themeColor="text2"/>
              <w:right w:val="nil"/>
            </w:tcBorders>
            <w:hideMark/>
          </w:tcPr>
          <w:p w14:paraId="24C5C4E9" w14:textId="77777777" w:rsidR="00315F40" w:rsidRDefault="00315F40">
            <w:pPr>
              <w:pStyle w:val="Heading3"/>
              <w:spacing w:before="0" w:after="0" w:line="240" w:lineRule="auto"/>
              <w:outlineLvl w:val="2"/>
              <w:rPr>
                <w:rFonts w:cstheme="majorHAnsi"/>
                <w:color w:val="auto"/>
                <w:sz w:val="22"/>
                <w:szCs w:val="22"/>
              </w:rPr>
            </w:pPr>
            <w:r>
              <w:rPr>
                <w:rFonts w:cstheme="majorHAnsi"/>
                <w:color w:val="auto"/>
                <w:sz w:val="22"/>
                <w:szCs w:val="22"/>
              </w:rPr>
              <w:lastRenderedPageBreak/>
              <w:t xml:space="preserve">Recommendation 1 </w:t>
            </w:r>
            <w:r>
              <w:rPr>
                <w:rFonts w:cstheme="majorHAnsi"/>
                <w:i/>
                <w:color w:val="auto"/>
                <w:sz w:val="22"/>
                <w:szCs w:val="22"/>
                <w:lang w:eastAsia="en-NZ"/>
              </w:rPr>
              <w:t xml:space="preserve">DFAT to use the option in the Scope of Services Agreement with the Managing Contractor to extend the end date of the contract by two years, from 31 March 2020 to 31 March 2022. </w:t>
            </w:r>
          </w:p>
        </w:tc>
        <w:tc>
          <w:tcPr>
            <w:tcW w:w="964" w:type="dxa"/>
            <w:tcBorders>
              <w:top w:val="single" w:sz="4" w:space="0" w:color="auto"/>
              <w:left w:val="nil"/>
              <w:bottom w:val="single" w:sz="4" w:space="0" w:color="44546A" w:themeColor="text2"/>
              <w:right w:val="nil"/>
            </w:tcBorders>
            <w:shd w:val="clear" w:color="auto" w:fill="92D050"/>
            <w:hideMark/>
          </w:tcPr>
          <w:p w14:paraId="24C5C4EA" w14:textId="77777777" w:rsidR="00315F40" w:rsidRDefault="00315F40">
            <w:pPr>
              <w:pStyle w:val="Heading3"/>
              <w:outlineLvl w:val="2"/>
              <w:cnfStyle w:val="000000010000" w:firstRow="0" w:lastRow="0" w:firstColumn="0" w:lastColumn="0" w:oddVBand="0" w:evenVBand="0" w:oddHBand="0" w:evenHBand="1" w:firstRowFirstColumn="0" w:firstRowLastColumn="0" w:lastRowFirstColumn="0" w:lastRowLastColumn="0"/>
              <w:rPr>
                <w:rFonts w:cstheme="majorHAnsi"/>
                <w:color w:val="auto"/>
                <w:sz w:val="22"/>
                <w:szCs w:val="22"/>
              </w:rPr>
            </w:pPr>
            <w:r>
              <w:rPr>
                <w:rFonts w:cstheme="majorHAnsi"/>
                <w:color w:val="auto"/>
                <w:sz w:val="22"/>
                <w:szCs w:val="22"/>
              </w:rPr>
              <w:t xml:space="preserve">Agree </w:t>
            </w:r>
          </w:p>
        </w:tc>
        <w:tc>
          <w:tcPr>
            <w:tcW w:w="3209" w:type="dxa"/>
            <w:tcBorders>
              <w:top w:val="single" w:sz="4" w:space="0" w:color="auto"/>
              <w:left w:val="nil"/>
              <w:bottom w:val="single" w:sz="4" w:space="0" w:color="44546A" w:themeColor="text2"/>
              <w:right w:val="nil"/>
            </w:tcBorders>
            <w:hideMark/>
          </w:tcPr>
          <w:p w14:paraId="24C5C4EB" w14:textId="77777777" w:rsidR="00315F40" w:rsidRDefault="00315F40">
            <w:pPr>
              <w:spacing w:before="0" w:after="120" w:line="240"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Cs/>
                <w:color w:val="auto"/>
                <w:lang w:eastAsia="en-NZ"/>
              </w:rPr>
            </w:pPr>
            <w:r>
              <w:rPr>
                <w:rFonts w:asciiTheme="majorHAnsi" w:hAnsiTheme="majorHAnsi" w:cstheme="majorHAnsi"/>
                <w:bCs/>
                <w:color w:val="auto"/>
                <w:lang w:eastAsia="en-NZ"/>
              </w:rPr>
              <w:t xml:space="preserve">The Peer Review Meeting agreed that the evaluation report provided sufficient evidence that the program is on track to achieve its outcomes and the managing contractor Palladium is performing efficiently and effectively therefore justifying an extension of the contract end date to 31 March 2022, subject to financial approval.  </w:t>
            </w:r>
          </w:p>
        </w:tc>
        <w:tc>
          <w:tcPr>
            <w:tcW w:w="3000" w:type="dxa"/>
            <w:tcBorders>
              <w:top w:val="single" w:sz="4" w:space="0" w:color="auto"/>
              <w:left w:val="nil"/>
              <w:bottom w:val="single" w:sz="4" w:space="0" w:color="44546A" w:themeColor="text2"/>
              <w:right w:val="nil"/>
            </w:tcBorders>
            <w:hideMark/>
          </w:tcPr>
          <w:p w14:paraId="24C5C4EC" w14:textId="77777777" w:rsidR="00315F40" w:rsidRDefault="00315F40">
            <w:pPr>
              <w:pStyle w:val="BodyText"/>
              <w:spacing w:before="0" w:after="120" w:line="240"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auto"/>
              </w:rPr>
            </w:pPr>
            <w:r>
              <w:rPr>
                <w:rFonts w:asciiTheme="majorHAnsi" w:hAnsiTheme="majorHAnsi" w:cstheme="majorHAnsi"/>
                <w:bCs/>
                <w:color w:val="auto"/>
                <w:lang w:eastAsia="en-NZ"/>
              </w:rPr>
              <w:t>The program manager, Australia Awards in Africa, MAP will negotiate amendments to the Scope of Services with Palladium including extending the end date to 31 March 2022.</w:t>
            </w:r>
            <w:r>
              <w:rPr>
                <w:rFonts w:asciiTheme="majorHAnsi" w:hAnsiTheme="majorHAnsi" w:cstheme="majorHAnsi"/>
                <w:color w:val="auto"/>
              </w:rPr>
              <w:t xml:space="preserve"> The contract extension underpins phase 2 of implementation.</w:t>
            </w:r>
          </w:p>
        </w:tc>
        <w:tc>
          <w:tcPr>
            <w:tcW w:w="3416" w:type="dxa"/>
            <w:tcBorders>
              <w:top w:val="single" w:sz="4" w:space="0" w:color="44546A" w:themeColor="text2"/>
              <w:left w:val="nil"/>
              <w:bottom w:val="single" w:sz="4" w:space="0" w:color="44546A" w:themeColor="text2"/>
              <w:right w:val="nil"/>
            </w:tcBorders>
            <w:hideMark/>
          </w:tcPr>
          <w:p w14:paraId="24C5C4ED" w14:textId="77777777" w:rsidR="00315F40" w:rsidRDefault="00315F40">
            <w:pPr>
              <w:pStyle w:val="BodyText"/>
              <w:spacing w:before="0" w:after="120" w:line="240"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 xml:space="preserve">Subject to financial approval, a revised Scope of Services will be agreed by 1 December 2019 to allow time for the contract amendments to be agreed and signed by 1 March 2020. </w:t>
            </w:r>
          </w:p>
        </w:tc>
      </w:tr>
      <w:tr w:rsidR="00420983" w14:paraId="24C5C4F6" w14:textId="77777777" w:rsidTr="0042098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162" w:type="dxa"/>
            <w:tcBorders>
              <w:top w:val="single" w:sz="4" w:space="0" w:color="44546A" w:themeColor="text2"/>
              <w:left w:val="nil"/>
              <w:bottom w:val="single" w:sz="4" w:space="0" w:color="44546A" w:themeColor="text2"/>
              <w:right w:val="nil"/>
            </w:tcBorders>
          </w:tcPr>
          <w:p w14:paraId="24C5C4EF" w14:textId="77777777" w:rsidR="00315F40" w:rsidRDefault="00315F40">
            <w:pPr>
              <w:pStyle w:val="Heading3"/>
              <w:spacing w:before="0" w:after="0" w:line="240" w:lineRule="auto"/>
              <w:outlineLvl w:val="2"/>
              <w:rPr>
                <w:rFonts w:cstheme="majorHAnsi"/>
                <w:i/>
                <w:color w:val="auto"/>
                <w:sz w:val="22"/>
                <w:szCs w:val="22"/>
                <w:lang w:val="en-GB" w:eastAsia="en-NZ"/>
              </w:rPr>
            </w:pPr>
            <w:r>
              <w:rPr>
                <w:rFonts w:cstheme="majorHAnsi"/>
                <w:color w:val="auto"/>
                <w:sz w:val="22"/>
                <w:szCs w:val="22"/>
              </w:rPr>
              <w:t xml:space="preserve">Recommendation 2 </w:t>
            </w:r>
            <w:r>
              <w:rPr>
                <w:rFonts w:cstheme="majorHAnsi"/>
                <w:i/>
                <w:color w:val="auto"/>
                <w:sz w:val="22"/>
                <w:szCs w:val="22"/>
                <w:lang w:val="en-GB" w:eastAsia="en-NZ"/>
              </w:rPr>
              <w:t>Africa</w:t>
            </w:r>
            <w:r>
              <w:rPr>
                <w:rFonts w:cstheme="majorHAnsi"/>
                <w:i/>
                <w:color w:val="auto"/>
                <w:sz w:val="22"/>
                <w:szCs w:val="22"/>
                <w:lang w:eastAsia="en-NZ"/>
              </w:rPr>
              <w:t> Branch lead a</w:t>
            </w:r>
            <w:r>
              <w:rPr>
                <w:rFonts w:cstheme="majorHAnsi"/>
                <w:i/>
                <w:color w:val="auto"/>
                <w:sz w:val="22"/>
                <w:szCs w:val="22"/>
                <w:lang w:val="en-GB" w:eastAsia="en-NZ"/>
              </w:rPr>
              <w:t xml:space="preserve"> strategic discussion regarding the </w:t>
            </w:r>
            <w:r>
              <w:rPr>
                <w:rFonts w:cstheme="majorHAnsi"/>
                <w:i/>
                <w:color w:val="auto"/>
                <w:sz w:val="22"/>
                <w:szCs w:val="22"/>
                <w:lang w:eastAsia="en-NZ"/>
              </w:rPr>
              <w:t xml:space="preserve">outcomes of the </w:t>
            </w:r>
            <w:r>
              <w:rPr>
                <w:rFonts w:cstheme="majorHAnsi"/>
                <w:i/>
                <w:color w:val="auto"/>
                <w:sz w:val="22"/>
                <w:szCs w:val="22"/>
                <w:lang w:val="en-GB" w:eastAsia="en-NZ"/>
              </w:rPr>
              <w:t xml:space="preserve">postdoctoral Fellowship Pilot at the September 2019 Program Management Group meeting </w:t>
            </w:r>
            <w:r>
              <w:rPr>
                <w:rFonts w:cstheme="majorHAnsi"/>
                <w:i/>
                <w:color w:val="auto"/>
                <w:sz w:val="22"/>
                <w:szCs w:val="22"/>
                <w:lang w:eastAsia="en-NZ"/>
              </w:rPr>
              <w:t xml:space="preserve">to inform the </w:t>
            </w:r>
            <w:r>
              <w:rPr>
                <w:rFonts w:cstheme="majorHAnsi"/>
                <w:i/>
                <w:color w:val="auto"/>
                <w:sz w:val="22"/>
                <w:szCs w:val="22"/>
                <w:lang w:val="en-GB" w:eastAsia="en-NZ"/>
              </w:rPr>
              <w:t xml:space="preserve">design </w:t>
            </w:r>
            <w:r>
              <w:rPr>
                <w:rFonts w:cstheme="majorHAnsi"/>
                <w:i/>
                <w:color w:val="auto"/>
                <w:sz w:val="22"/>
                <w:szCs w:val="22"/>
                <w:lang w:eastAsia="en-NZ"/>
              </w:rPr>
              <w:t xml:space="preserve">of the next phase of </w:t>
            </w:r>
            <w:r>
              <w:rPr>
                <w:rFonts w:cstheme="majorHAnsi"/>
                <w:i/>
                <w:color w:val="auto"/>
                <w:sz w:val="22"/>
                <w:szCs w:val="22"/>
                <w:lang w:val="en-GB" w:eastAsia="en-NZ"/>
              </w:rPr>
              <w:t>Australia Awards in Africa.</w:t>
            </w:r>
          </w:p>
          <w:p w14:paraId="24C5C4F0" w14:textId="77777777" w:rsidR="00315F40" w:rsidRDefault="00315F40">
            <w:pPr>
              <w:pStyle w:val="Heading3"/>
              <w:spacing w:before="0" w:after="0" w:line="240" w:lineRule="auto"/>
              <w:outlineLvl w:val="2"/>
              <w:rPr>
                <w:rFonts w:cstheme="majorHAnsi"/>
                <w:color w:val="auto"/>
                <w:sz w:val="22"/>
                <w:szCs w:val="22"/>
              </w:rPr>
            </w:pPr>
          </w:p>
        </w:tc>
        <w:tc>
          <w:tcPr>
            <w:tcW w:w="964" w:type="dxa"/>
            <w:tcBorders>
              <w:top w:val="single" w:sz="4" w:space="0" w:color="44546A" w:themeColor="text2"/>
              <w:left w:val="nil"/>
              <w:bottom w:val="single" w:sz="4" w:space="0" w:color="44546A" w:themeColor="text2"/>
              <w:right w:val="nil"/>
            </w:tcBorders>
            <w:shd w:val="clear" w:color="auto" w:fill="92D050"/>
            <w:hideMark/>
          </w:tcPr>
          <w:p w14:paraId="24C5C4F1" w14:textId="77777777" w:rsidR="00315F40" w:rsidRDefault="00315F40">
            <w:pPr>
              <w:pStyle w:val="Heading3"/>
              <w:outlineLvl w:val="2"/>
              <w:cnfStyle w:val="000000100000" w:firstRow="0" w:lastRow="0" w:firstColumn="0" w:lastColumn="0" w:oddVBand="0" w:evenVBand="0" w:oddHBand="1" w:evenHBand="0" w:firstRowFirstColumn="0" w:firstRowLastColumn="0" w:lastRowFirstColumn="0" w:lastRowLastColumn="0"/>
              <w:rPr>
                <w:rFonts w:cstheme="majorHAnsi"/>
                <w:color w:val="auto"/>
                <w:sz w:val="22"/>
                <w:szCs w:val="22"/>
              </w:rPr>
            </w:pPr>
            <w:r>
              <w:rPr>
                <w:rFonts w:cstheme="majorHAnsi"/>
                <w:color w:val="auto"/>
                <w:sz w:val="22"/>
                <w:szCs w:val="22"/>
              </w:rPr>
              <w:t>Agree</w:t>
            </w:r>
          </w:p>
        </w:tc>
        <w:tc>
          <w:tcPr>
            <w:tcW w:w="3209" w:type="dxa"/>
            <w:tcBorders>
              <w:top w:val="single" w:sz="4" w:space="0" w:color="44546A" w:themeColor="text2"/>
              <w:left w:val="nil"/>
              <w:bottom w:val="single" w:sz="4" w:space="0" w:color="44546A" w:themeColor="text2"/>
              <w:right w:val="nil"/>
            </w:tcBorders>
            <w:shd w:val="clear" w:color="auto" w:fill="B4C6E7" w:themeFill="accent5" w:themeFillTint="66"/>
            <w:hideMark/>
          </w:tcPr>
          <w:p w14:paraId="24C5C4F2" w14:textId="77777777" w:rsidR="00315F40" w:rsidRPr="00F654CC" w:rsidRDefault="00315F40" w:rsidP="00F654CC">
            <w:pPr>
              <w:spacing w:before="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F654CC">
              <w:rPr>
                <w:rFonts w:asciiTheme="majorHAnsi" w:hAnsiTheme="majorHAnsi" w:cstheme="majorHAnsi"/>
                <w:color w:val="auto"/>
                <w:lang w:val="en-ZA" w:eastAsia="en-NZ"/>
              </w:rPr>
              <w:t xml:space="preserve">Australia Awards in Africa launched a pilot for postdoctoral fellowships in partnership with the Australia Africa Universities Network (AAUN), in 2017, and will be completed by the end of 2019. The evaluation found that the pilot is delivering benefits for fellows and African Universities. It suggested consideration of postdoctoral fellowships as a component of the next design of Australia Awards in Africa. </w:t>
            </w:r>
          </w:p>
        </w:tc>
        <w:tc>
          <w:tcPr>
            <w:tcW w:w="3000" w:type="dxa"/>
            <w:tcBorders>
              <w:top w:val="single" w:sz="4" w:space="0" w:color="44546A" w:themeColor="text2"/>
              <w:left w:val="nil"/>
              <w:bottom w:val="single" w:sz="4" w:space="0" w:color="44546A" w:themeColor="text2"/>
              <w:right w:val="nil"/>
            </w:tcBorders>
            <w:shd w:val="clear" w:color="auto" w:fill="B4C6E7" w:themeFill="accent5" w:themeFillTint="66"/>
            <w:hideMark/>
          </w:tcPr>
          <w:p w14:paraId="24C5C4F3" w14:textId="77777777" w:rsidR="00315F40" w:rsidRDefault="00315F40">
            <w:pPr>
              <w:spacing w:before="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lang w:val="en-ZA" w:eastAsia="en-NZ"/>
              </w:rPr>
            </w:pPr>
            <w:r>
              <w:rPr>
                <w:rFonts w:asciiTheme="majorHAnsi" w:hAnsiTheme="majorHAnsi" w:cstheme="majorHAnsi"/>
                <w:color w:val="auto"/>
                <w:lang w:val="en-ZA" w:eastAsia="en-NZ"/>
              </w:rPr>
              <w:t xml:space="preserve">AFB will work with the managing contractor to prepare a paper outlining the results and proposing future implementation options for discussion at the September 2019 Program Management Group meeting. Noting that it may not be possible to fund a Post doctorate Fellowship through Australia Awards Global Investment.   </w:t>
            </w:r>
          </w:p>
        </w:tc>
        <w:tc>
          <w:tcPr>
            <w:tcW w:w="3416" w:type="dxa"/>
            <w:tcBorders>
              <w:top w:val="single" w:sz="4" w:space="0" w:color="44546A" w:themeColor="text2"/>
              <w:left w:val="nil"/>
              <w:bottom w:val="single" w:sz="4" w:space="0" w:color="44546A" w:themeColor="text2"/>
              <w:right w:val="nil"/>
            </w:tcBorders>
            <w:shd w:val="clear" w:color="auto" w:fill="B4C6E7" w:themeFill="accent5" w:themeFillTint="66"/>
            <w:hideMark/>
          </w:tcPr>
          <w:p w14:paraId="24C5C4F4" w14:textId="77777777" w:rsidR="00315F40" w:rsidRDefault="00315F40">
            <w:pPr>
              <w:spacing w:before="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lang w:val="en-ZA" w:eastAsia="en-NZ"/>
              </w:rPr>
            </w:pPr>
            <w:r>
              <w:rPr>
                <w:rFonts w:asciiTheme="majorHAnsi" w:hAnsiTheme="majorHAnsi" w:cstheme="majorHAnsi"/>
                <w:color w:val="auto"/>
                <w:lang w:val="en-ZA" w:eastAsia="en-NZ"/>
              </w:rPr>
              <w:t xml:space="preserve">September 2019 Program Management Group to discuss the future of the postdoctoral fellowships.  </w:t>
            </w:r>
          </w:p>
          <w:p w14:paraId="24C5C4F5" w14:textId="77777777" w:rsidR="00315F40" w:rsidRDefault="00315F40">
            <w:pPr>
              <w:spacing w:before="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lang w:val="en-ZA" w:eastAsia="en-NZ"/>
              </w:rPr>
            </w:pPr>
            <w:r>
              <w:rPr>
                <w:rFonts w:asciiTheme="majorHAnsi" w:hAnsiTheme="majorHAnsi" w:cstheme="majorHAnsi"/>
                <w:color w:val="auto"/>
                <w:lang w:val="en-ZA" w:eastAsia="en-NZ"/>
              </w:rPr>
              <w:t xml:space="preserve">Subject to the advice of that meeting and financial approval a postdoctoral program will be considered as part of the investment design process for a new phase of the Australia Awards in Africa (2022 26). </w:t>
            </w:r>
          </w:p>
        </w:tc>
      </w:tr>
      <w:tr w:rsidR="00F654CC" w14:paraId="24C5C4FF" w14:textId="77777777" w:rsidTr="00420983">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162" w:type="dxa"/>
            <w:tcBorders>
              <w:top w:val="single" w:sz="4" w:space="0" w:color="auto"/>
              <w:left w:val="nil"/>
              <w:bottom w:val="single" w:sz="4" w:space="0" w:color="auto"/>
              <w:right w:val="nil"/>
            </w:tcBorders>
          </w:tcPr>
          <w:p w14:paraId="24C5C4F7" w14:textId="77777777" w:rsidR="00752936" w:rsidRPr="00752936" w:rsidRDefault="00315F40" w:rsidP="00752936">
            <w:pPr>
              <w:pStyle w:val="Heading3"/>
              <w:spacing w:before="0" w:after="0" w:line="240" w:lineRule="auto"/>
              <w:outlineLvl w:val="2"/>
              <w:rPr>
                <w:rFonts w:eastAsiaTheme="minorHAnsi" w:cstheme="majorHAnsi"/>
                <w:bCs w:val="0"/>
                <w:i/>
                <w:color w:val="auto"/>
                <w:sz w:val="24"/>
                <w:szCs w:val="24"/>
                <w:lang w:val="en-GB" w:eastAsia="en-NZ"/>
              </w:rPr>
            </w:pPr>
            <w:r w:rsidRPr="00752936">
              <w:rPr>
                <w:rFonts w:eastAsiaTheme="minorHAnsi" w:cstheme="majorHAnsi"/>
                <w:bCs w:val="0"/>
                <w:i/>
                <w:color w:val="auto"/>
                <w:sz w:val="24"/>
                <w:szCs w:val="24"/>
                <w:lang w:val="en-GB" w:eastAsia="en-NZ"/>
              </w:rPr>
              <w:t xml:space="preserve">Recommendation 3 </w:t>
            </w:r>
          </w:p>
          <w:p w14:paraId="24C5C4F8" w14:textId="77777777" w:rsidR="00315F40" w:rsidRPr="00F654CC" w:rsidRDefault="00315F40" w:rsidP="00F654CC">
            <w:pPr>
              <w:pStyle w:val="Heading3"/>
              <w:spacing w:before="0" w:after="0" w:line="240" w:lineRule="auto"/>
              <w:outlineLvl w:val="2"/>
              <w:rPr>
                <w:rFonts w:eastAsiaTheme="minorHAnsi" w:cstheme="majorHAnsi"/>
                <w:bCs w:val="0"/>
                <w:i/>
                <w:color w:val="auto"/>
                <w:sz w:val="24"/>
                <w:szCs w:val="24"/>
                <w:lang w:val="en-GB" w:eastAsia="en-NZ"/>
              </w:rPr>
            </w:pPr>
            <w:r>
              <w:rPr>
                <w:rFonts w:eastAsiaTheme="minorHAnsi" w:cstheme="majorHAnsi"/>
                <w:bCs w:val="0"/>
                <w:i/>
                <w:color w:val="auto"/>
                <w:sz w:val="24"/>
                <w:szCs w:val="24"/>
                <w:lang w:val="en-GB" w:eastAsia="en-NZ"/>
              </w:rPr>
              <w:t>Africa Branch to clarify the strategic and functional intent of private sector engagement and development to inform the design of the next phase of Australia Awards in Africa</w:t>
            </w:r>
            <w:r w:rsidRPr="00752936">
              <w:rPr>
                <w:rFonts w:eastAsiaTheme="minorHAnsi" w:cstheme="majorHAnsi"/>
                <w:bCs w:val="0"/>
                <w:i/>
                <w:color w:val="auto"/>
                <w:sz w:val="24"/>
                <w:szCs w:val="24"/>
                <w:lang w:val="en-GB" w:eastAsia="en-NZ"/>
              </w:rPr>
              <w:t>.</w:t>
            </w:r>
          </w:p>
        </w:tc>
        <w:tc>
          <w:tcPr>
            <w:tcW w:w="964" w:type="dxa"/>
            <w:tcBorders>
              <w:top w:val="single" w:sz="4" w:space="0" w:color="auto"/>
              <w:left w:val="nil"/>
              <w:bottom w:val="single" w:sz="4" w:space="0" w:color="auto"/>
              <w:right w:val="nil"/>
            </w:tcBorders>
            <w:shd w:val="clear" w:color="auto" w:fill="92D050"/>
            <w:hideMark/>
          </w:tcPr>
          <w:p w14:paraId="24C5C4F9" w14:textId="77777777" w:rsidR="00315F40" w:rsidRDefault="00315F40" w:rsidP="003F5F2F">
            <w:pPr>
              <w:pStyle w:val="Heading3"/>
              <w:ind w:right="-239"/>
              <w:outlineLvl w:val="2"/>
              <w:cnfStyle w:val="000000010000" w:firstRow="0" w:lastRow="0" w:firstColumn="0" w:lastColumn="0" w:oddVBand="0" w:evenVBand="0" w:oddHBand="0" w:evenHBand="1" w:firstRowFirstColumn="0" w:firstRowLastColumn="0" w:lastRowFirstColumn="0" w:lastRowLastColumn="0"/>
              <w:rPr>
                <w:rFonts w:cstheme="majorHAnsi"/>
                <w:color w:val="auto"/>
                <w:sz w:val="24"/>
                <w:szCs w:val="24"/>
              </w:rPr>
            </w:pPr>
            <w:r>
              <w:rPr>
                <w:rFonts w:cstheme="majorHAnsi"/>
                <w:color w:val="auto"/>
                <w:sz w:val="24"/>
                <w:szCs w:val="24"/>
              </w:rPr>
              <w:t>Agree</w:t>
            </w:r>
          </w:p>
        </w:tc>
        <w:tc>
          <w:tcPr>
            <w:tcW w:w="3209" w:type="dxa"/>
            <w:tcBorders>
              <w:top w:val="single" w:sz="4" w:space="0" w:color="auto"/>
              <w:left w:val="nil"/>
              <w:bottom w:val="single" w:sz="4" w:space="0" w:color="auto"/>
              <w:right w:val="nil"/>
            </w:tcBorders>
            <w:hideMark/>
          </w:tcPr>
          <w:p w14:paraId="24C5C4FA" w14:textId="77777777" w:rsidR="00315F40" w:rsidRPr="00021AD3" w:rsidRDefault="00315F40">
            <w:pPr>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Cs/>
                <w:color w:val="auto"/>
                <w:sz w:val="24"/>
                <w:szCs w:val="24"/>
              </w:rPr>
            </w:pPr>
            <w:r w:rsidRPr="00021AD3">
              <w:rPr>
                <w:rStyle w:val="Strong"/>
                <w:rFonts w:asciiTheme="majorHAnsi" w:hAnsiTheme="majorHAnsi" w:cstheme="majorHAnsi"/>
                <w:b w:val="0"/>
                <w:color w:val="auto"/>
                <w:sz w:val="24"/>
                <w:szCs w:val="24"/>
              </w:rPr>
              <w:t xml:space="preserve">The 2016-2020 Australia Awards in Africa design sets out expectations that there will be increased and new ways of working with the private sector. </w:t>
            </w:r>
            <w:proofErr w:type="gramStart"/>
            <w:r w:rsidRPr="00021AD3">
              <w:rPr>
                <w:rStyle w:val="Strong"/>
                <w:rFonts w:asciiTheme="majorHAnsi" w:hAnsiTheme="majorHAnsi" w:cstheme="majorHAnsi"/>
                <w:b w:val="0"/>
                <w:color w:val="auto"/>
                <w:sz w:val="24"/>
                <w:szCs w:val="24"/>
              </w:rPr>
              <w:t>A number of</w:t>
            </w:r>
            <w:proofErr w:type="gramEnd"/>
            <w:r w:rsidRPr="00021AD3">
              <w:rPr>
                <w:rStyle w:val="Strong"/>
                <w:rFonts w:asciiTheme="majorHAnsi" w:hAnsiTheme="majorHAnsi" w:cstheme="majorHAnsi"/>
                <w:b w:val="0"/>
                <w:color w:val="auto"/>
                <w:sz w:val="24"/>
                <w:szCs w:val="24"/>
              </w:rPr>
              <w:t xml:space="preserve"> activities have been tried without fully achieving intended outputs. </w:t>
            </w:r>
          </w:p>
        </w:tc>
        <w:tc>
          <w:tcPr>
            <w:tcW w:w="3000" w:type="dxa"/>
            <w:tcBorders>
              <w:top w:val="single" w:sz="4" w:space="0" w:color="auto"/>
              <w:left w:val="nil"/>
              <w:bottom w:val="single" w:sz="4" w:space="0" w:color="auto"/>
              <w:right w:val="nil"/>
            </w:tcBorders>
            <w:hideMark/>
          </w:tcPr>
          <w:p w14:paraId="24C5C4FB" w14:textId="77777777" w:rsidR="00315F40" w:rsidRPr="00021AD3" w:rsidRDefault="00315F40">
            <w:pPr>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Cs/>
                <w:color w:val="auto"/>
                <w:sz w:val="24"/>
                <w:szCs w:val="24"/>
              </w:rPr>
            </w:pPr>
            <w:r w:rsidRPr="00021AD3">
              <w:rPr>
                <w:rStyle w:val="Strong"/>
                <w:rFonts w:asciiTheme="majorHAnsi" w:hAnsiTheme="majorHAnsi" w:cstheme="majorHAnsi"/>
                <w:b w:val="0"/>
                <w:color w:val="auto"/>
                <w:sz w:val="24"/>
                <w:szCs w:val="24"/>
              </w:rPr>
              <w:t xml:space="preserve">AFB will consider this recommendation and the issues raised as part of the investment design process for the next phase of the Australia Awards in Africa (2022-26), subject to a financial approval for a new phase. </w:t>
            </w:r>
          </w:p>
        </w:tc>
        <w:tc>
          <w:tcPr>
            <w:tcW w:w="3416" w:type="dxa"/>
            <w:tcBorders>
              <w:top w:val="single" w:sz="4" w:space="0" w:color="auto"/>
              <w:left w:val="nil"/>
              <w:bottom w:val="single" w:sz="4" w:space="0" w:color="auto"/>
              <w:right w:val="nil"/>
            </w:tcBorders>
          </w:tcPr>
          <w:p w14:paraId="24C5C4FC" w14:textId="77777777" w:rsidR="00315F40" w:rsidRPr="00021AD3" w:rsidRDefault="00315F40">
            <w:pPr>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auto"/>
                <w:sz w:val="24"/>
                <w:szCs w:val="24"/>
              </w:rPr>
            </w:pPr>
            <w:r w:rsidRPr="00021AD3">
              <w:rPr>
                <w:rStyle w:val="Strong"/>
                <w:rFonts w:asciiTheme="majorHAnsi" w:hAnsiTheme="majorHAnsi" w:cstheme="majorHAnsi"/>
                <w:b w:val="0"/>
                <w:color w:val="auto"/>
                <w:sz w:val="24"/>
                <w:szCs w:val="24"/>
              </w:rPr>
              <w:t>Investment design process to start by June 2020</w:t>
            </w:r>
            <w:r w:rsidRPr="00021AD3">
              <w:rPr>
                <w:rFonts w:asciiTheme="majorHAnsi" w:hAnsiTheme="majorHAnsi" w:cstheme="majorHAnsi"/>
                <w:color w:val="auto"/>
                <w:sz w:val="24"/>
                <w:szCs w:val="24"/>
              </w:rPr>
              <w:t xml:space="preserve">. The Terms of Reference will address private sector engagement. </w:t>
            </w:r>
          </w:p>
          <w:p w14:paraId="24C5C4FD" w14:textId="77777777" w:rsidR="00315F40" w:rsidRPr="00021AD3" w:rsidRDefault="00315F40">
            <w:pPr>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auto"/>
                <w:sz w:val="24"/>
                <w:szCs w:val="24"/>
              </w:rPr>
            </w:pPr>
          </w:p>
          <w:p w14:paraId="24C5C4FE" w14:textId="77777777" w:rsidR="00315F40" w:rsidRPr="00021AD3" w:rsidRDefault="00315F40">
            <w:pPr>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auto"/>
                <w:sz w:val="24"/>
                <w:szCs w:val="24"/>
              </w:rPr>
            </w:pPr>
          </w:p>
        </w:tc>
      </w:tr>
      <w:tr w:rsidR="00420983" w14:paraId="24C5C506" w14:textId="77777777" w:rsidTr="0042098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162" w:type="dxa"/>
            <w:tcBorders>
              <w:top w:val="single" w:sz="4" w:space="0" w:color="auto"/>
              <w:left w:val="nil"/>
              <w:bottom w:val="single" w:sz="4" w:space="0" w:color="auto"/>
              <w:right w:val="nil"/>
            </w:tcBorders>
            <w:hideMark/>
          </w:tcPr>
          <w:p w14:paraId="24C5C500" w14:textId="77777777" w:rsidR="00315F40" w:rsidRDefault="00315F40">
            <w:pPr>
              <w:pStyle w:val="Heading3"/>
              <w:spacing w:before="0" w:after="0" w:line="240" w:lineRule="auto"/>
              <w:outlineLvl w:val="2"/>
              <w:rPr>
                <w:rFonts w:eastAsiaTheme="minorHAnsi" w:cstheme="majorHAnsi"/>
                <w:bCs w:val="0"/>
                <w:i/>
                <w:color w:val="auto"/>
                <w:sz w:val="24"/>
                <w:szCs w:val="24"/>
                <w:lang w:val="en-GB" w:eastAsia="en-NZ"/>
              </w:rPr>
            </w:pPr>
            <w:r>
              <w:rPr>
                <w:rFonts w:eastAsiaTheme="minorHAnsi" w:cstheme="majorHAnsi"/>
                <w:bCs w:val="0"/>
                <w:i/>
                <w:color w:val="auto"/>
                <w:sz w:val="24"/>
                <w:szCs w:val="24"/>
                <w:lang w:val="en-GB" w:eastAsia="en-NZ"/>
              </w:rPr>
              <w:lastRenderedPageBreak/>
              <w:t>Recommendation 4 Palladium and Posts use the annual work plan process to further strengthen alignment of alumni engagement activities delivered by Palladium with: (</w:t>
            </w:r>
            <w:proofErr w:type="spellStart"/>
            <w:r>
              <w:rPr>
                <w:rFonts w:eastAsiaTheme="minorHAnsi" w:cstheme="majorHAnsi"/>
                <w:bCs w:val="0"/>
                <w:i/>
                <w:color w:val="auto"/>
                <w:sz w:val="24"/>
                <w:szCs w:val="24"/>
                <w:lang w:val="en-GB" w:eastAsia="en-NZ"/>
              </w:rPr>
              <w:t>i</w:t>
            </w:r>
            <w:proofErr w:type="spellEnd"/>
            <w:r>
              <w:rPr>
                <w:rFonts w:eastAsiaTheme="minorHAnsi" w:cstheme="majorHAnsi"/>
                <w:bCs w:val="0"/>
                <w:i/>
                <w:color w:val="auto"/>
                <w:sz w:val="24"/>
                <w:szCs w:val="24"/>
                <w:lang w:val="en-GB" w:eastAsia="en-NZ"/>
              </w:rPr>
              <w:t xml:space="preserve">) the Australia Awards in Africa Alumni Engagement Strategy; </w:t>
            </w:r>
            <w:proofErr w:type="gramStart"/>
            <w:r>
              <w:rPr>
                <w:rFonts w:eastAsiaTheme="minorHAnsi" w:cstheme="majorHAnsi"/>
                <w:bCs w:val="0"/>
                <w:i/>
                <w:color w:val="auto"/>
                <w:sz w:val="24"/>
                <w:szCs w:val="24"/>
                <w:lang w:val="en-GB" w:eastAsia="en-NZ"/>
              </w:rPr>
              <w:t>and,</w:t>
            </w:r>
            <w:proofErr w:type="gramEnd"/>
            <w:r>
              <w:rPr>
                <w:rFonts w:eastAsiaTheme="minorHAnsi" w:cstheme="majorHAnsi"/>
                <w:bCs w:val="0"/>
                <w:i/>
                <w:color w:val="auto"/>
                <w:sz w:val="24"/>
                <w:szCs w:val="24"/>
                <w:lang w:val="en-GB" w:eastAsia="en-NZ"/>
              </w:rPr>
              <w:t xml:space="preserve"> (ii) Posts economic and public diplomacy strategies.</w:t>
            </w:r>
          </w:p>
        </w:tc>
        <w:tc>
          <w:tcPr>
            <w:tcW w:w="964" w:type="dxa"/>
            <w:tcBorders>
              <w:top w:val="single" w:sz="4" w:space="0" w:color="auto"/>
              <w:left w:val="nil"/>
              <w:bottom w:val="single" w:sz="4" w:space="0" w:color="auto"/>
              <w:right w:val="nil"/>
            </w:tcBorders>
            <w:shd w:val="clear" w:color="auto" w:fill="92D050"/>
            <w:hideMark/>
          </w:tcPr>
          <w:p w14:paraId="24C5C501" w14:textId="77777777" w:rsidR="00315F40" w:rsidRDefault="00315F40">
            <w:pPr>
              <w:pStyle w:val="Heading3"/>
              <w:spacing w:before="240" w:after="0" w:line="240" w:lineRule="auto"/>
              <w:outlineLvl w:val="2"/>
              <w:cnfStyle w:val="000000100000" w:firstRow="0" w:lastRow="0" w:firstColumn="0" w:lastColumn="0" w:oddVBand="0" w:evenVBand="0" w:oddHBand="1" w:evenHBand="0" w:firstRowFirstColumn="0" w:firstRowLastColumn="0" w:lastRowFirstColumn="0" w:lastRowLastColumn="0"/>
              <w:rPr>
                <w:rFonts w:cstheme="majorHAnsi"/>
                <w:color w:val="auto"/>
                <w:sz w:val="24"/>
                <w:szCs w:val="24"/>
              </w:rPr>
            </w:pPr>
            <w:r>
              <w:rPr>
                <w:rFonts w:cstheme="majorHAnsi"/>
                <w:color w:val="auto"/>
                <w:sz w:val="24"/>
                <w:szCs w:val="24"/>
              </w:rPr>
              <w:t>Agree</w:t>
            </w:r>
          </w:p>
        </w:tc>
        <w:tc>
          <w:tcPr>
            <w:tcW w:w="3209" w:type="dxa"/>
            <w:tcBorders>
              <w:top w:val="single" w:sz="4" w:space="0" w:color="auto"/>
              <w:left w:val="nil"/>
              <w:bottom w:val="single" w:sz="4" w:space="0" w:color="auto"/>
              <w:right w:val="nil"/>
            </w:tcBorders>
            <w:shd w:val="clear" w:color="auto" w:fill="B4C6E7" w:themeFill="accent5" w:themeFillTint="66"/>
            <w:hideMark/>
          </w:tcPr>
          <w:p w14:paraId="24C5C502" w14:textId="77777777" w:rsidR="00315F40" w:rsidRPr="00021AD3" w:rsidRDefault="00315F40">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24"/>
                <w:szCs w:val="24"/>
              </w:rPr>
            </w:pPr>
            <w:r w:rsidRPr="00021AD3">
              <w:rPr>
                <w:rStyle w:val="Strong"/>
                <w:rFonts w:asciiTheme="majorHAnsi" w:hAnsiTheme="majorHAnsi" w:cstheme="majorHAnsi"/>
                <w:b w:val="0"/>
                <w:color w:val="auto"/>
                <w:sz w:val="24"/>
                <w:szCs w:val="24"/>
              </w:rPr>
              <w:t>The managing contractor is assisting DFAT to meet its alumni engagement objectives. DFAT posts report tangible, consistent examples of the public diplomacy benefits for Australia from engaging with alumni, as well as sporadic economic diplomacy benefits.</w:t>
            </w:r>
          </w:p>
        </w:tc>
        <w:tc>
          <w:tcPr>
            <w:tcW w:w="3000" w:type="dxa"/>
            <w:tcBorders>
              <w:top w:val="single" w:sz="4" w:space="0" w:color="auto"/>
              <w:left w:val="nil"/>
              <w:bottom w:val="single" w:sz="4" w:space="0" w:color="auto"/>
              <w:right w:val="nil"/>
            </w:tcBorders>
            <w:shd w:val="clear" w:color="auto" w:fill="B4C6E7" w:themeFill="accent5" w:themeFillTint="66"/>
            <w:hideMark/>
          </w:tcPr>
          <w:p w14:paraId="24C5C503" w14:textId="77777777" w:rsidR="00315F40" w:rsidRPr="00021AD3" w:rsidRDefault="00315F40">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24"/>
                <w:szCs w:val="24"/>
              </w:rPr>
            </w:pPr>
            <w:r w:rsidRPr="00021AD3">
              <w:rPr>
                <w:rStyle w:val="Strong"/>
                <w:rFonts w:asciiTheme="majorHAnsi" w:hAnsiTheme="majorHAnsi" w:cstheme="majorHAnsi"/>
                <w:b w:val="0"/>
                <w:color w:val="auto"/>
                <w:sz w:val="24"/>
                <w:szCs w:val="24"/>
              </w:rPr>
              <w:t>AFB has consulted with Posts and Palladium at the Regional Planning Meeting in February 2019 and will document the revised approach in 2019-20 Annual Plan</w:t>
            </w:r>
          </w:p>
        </w:tc>
        <w:tc>
          <w:tcPr>
            <w:tcW w:w="3416" w:type="dxa"/>
            <w:tcBorders>
              <w:top w:val="single" w:sz="4" w:space="0" w:color="auto"/>
              <w:left w:val="nil"/>
              <w:bottom w:val="single" w:sz="4" w:space="0" w:color="auto"/>
              <w:right w:val="nil"/>
            </w:tcBorders>
            <w:shd w:val="clear" w:color="auto" w:fill="B4C6E7" w:themeFill="accent5" w:themeFillTint="66"/>
          </w:tcPr>
          <w:p w14:paraId="24C5C504" w14:textId="77777777" w:rsidR="00315F40" w:rsidRPr="00021AD3" w:rsidRDefault="00315F40">
            <w:pPr>
              <w:spacing w:before="0" w:after="0" w:line="240" w:lineRule="auto"/>
              <w:cnfStyle w:val="000000100000" w:firstRow="0" w:lastRow="0" w:firstColumn="0" w:lastColumn="0" w:oddVBand="0" w:evenVBand="0" w:oddHBand="1" w:evenHBand="0" w:firstRowFirstColumn="0" w:firstRowLastColumn="0" w:lastRowFirstColumn="0" w:lastRowLastColumn="0"/>
              <w:rPr>
                <w:rStyle w:val="Strong"/>
                <w:b w:val="0"/>
              </w:rPr>
            </w:pPr>
            <w:r w:rsidRPr="00021AD3">
              <w:rPr>
                <w:rStyle w:val="Strong"/>
                <w:rFonts w:asciiTheme="majorHAnsi" w:hAnsiTheme="majorHAnsi" w:cstheme="majorHAnsi"/>
                <w:b w:val="0"/>
                <w:color w:val="auto"/>
                <w:sz w:val="24"/>
                <w:szCs w:val="24"/>
              </w:rPr>
              <w:t>By 1 July 2019 agreed approach will be documented in the 2019</w:t>
            </w:r>
            <w:r w:rsidRPr="00021AD3">
              <w:rPr>
                <w:rStyle w:val="Strong"/>
                <w:rFonts w:asciiTheme="majorHAnsi" w:hAnsiTheme="majorHAnsi" w:cstheme="majorHAnsi"/>
                <w:b w:val="0"/>
                <w:color w:val="auto"/>
                <w:sz w:val="24"/>
                <w:szCs w:val="24"/>
              </w:rPr>
              <w:noBreakHyphen/>
              <w:t xml:space="preserve">20 Annual Plan. </w:t>
            </w:r>
          </w:p>
          <w:p w14:paraId="24C5C505" w14:textId="77777777" w:rsidR="00315F40" w:rsidRPr="00F654CC" w:rsidRDefault="00315F40">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color w:val="auto"/>
                <w:sz w:val="24"/>
                <w:szCs w:val="24"/>
              </w:rPr>
            </w:pPr>
            <w:r w:rsidRPr="00021AD3">
              <w:rPr>
                <w:rStyle w:val="Strong"/>
                <w:rFonts w:asciiTheme="majorHAnsi" w:hAnsiTheme="majorHAnsi" w:cstheme="majorHAnsi"/>
                <w:b w:val="0"/>
                <w:color w:val="auto"/>
                <w:sz w:val="24"/>
                <w:szCs w:val="24"/>
              </w:rPr>
              <w:t xml:space="preserve">Ongoing implementation over the next 12 months and the 2020-2022 extension (Phase 2). Progress will be reported in the managing contractor’s </w:t>
            </w:r>
            <w:proofErr w:type="gramStart"/>
            <w:r w:rsidRPr="00021AD3">
              <w:rPr>
                <w:rStyle w:val="Strong"/>
                <w:rFonts w:asciiTheme="majorHAnsi" w:hAnsiTheme="majorHAnsi" w:cstheme="majorHAnsi"/>
                <w:b w:val="0"/>
                <w:color w:val="auto"/>
                <w:sz w:val="24"/>
                <w:szCs w:val="24"/>
              </w:rPr>
              <w:t>six monthly</w:t>
            </w:r>
            <w:proofErr w:type="gramEnd"/>
            <w:r w:rsidRPr="00021AD3">
              <w:rPr>
                <w:rStyle w:val="Strong"/>
                <w:rFonts w:asciiTheme="majorHAnsi" w:hAnsiTheme="majorHAnsi" w:cstheme="majorHAnsi"/>
                <w:b w:val="0"/>
                <w:color w:val="auto"/>
                <w:sz w:val="24"/>
                <w:szCs w:val="24"/>
              </w:rPr>
              <w:t xml:space="preserve"> progress reports.</w:t>
            </w:r>
          </w:p>
        </w:tc>
      </w:tr>
      <w:tr w:rsidR="00F654CC" w14:paraId="24C5C50D" w14:textId="77777777" w:rsidTr="00420983">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162" w:type="dxa"/>
            <w:tcBorders>
              <w:top w:val="single" w:sz="4" w:space="0" w:color="auto"/>
              <w:left w:val="nil"/>
              <w:bottom w:val="single" w:sz="4" w:space="0" w:color="auto"/>
              <w:right w:val="nil"/>
            </w:tcBorders>
            <w:hideMark/>
          </w:tcPr>
          <w:p w14:paraId="24C5C507" w14:textId="77777777" w:rsidR="00315F40" w:rsidRDefault="00315F40">
            <w:pPr>
              <w:suppressAutoHyphens w:val="0"/>
              <w:spacing w:before="0" w:after="0" w:line="240" w:lineRule="auto"/>
              <w:rPr>
                <w:rFonts w:asciiTheme="majorHAnsi" w:eastAsia="Times New Roman" w:hAnsiTheme="majorHAnsi" w:cstheme="majorHAnsi"/>
                <w:i/>
                <w:color w:val="auto"/>
                <w:sz w:val="24"/>
                <w:szCs w:val="24"/>
                <w:lang w:val="en-AU" w:eastAsia="en-NZ"/>
              </w:rPr>
            </w:pPr>
            <w:r>
              <w:rPr>
                <w:rFonts w:asciiTheme="majorHAnsi" w:hAnsiTheme="majorHAnsi" w:cstheme="majorHAnsi"/>
                <w:color w:val="auto"/>
                <w:sz w:val="24"/>
                <w:szCs w:val="24"/>
              </w:rPr>
              <w:t>Recommendation 5</w:t>
            </w:r>
            <w:r>
              <w:rPr>
                <w:rFonts w:asciiTheme="majorHAnsi" w:eastAsia="Times New Roman" w:hAnsiTheme="majorHAnsi" w:cstheme="majorHAnsi"/>
                <w:i/>
                <w:color w:val="auto"/>
                <w:sz w:val="24"/>
                <w:szCs w:val="24"/>
                <w:lang w:val="en-AU" w:eastAsia="en-NZ"/>
              </w:rPr>
              <w:t xml:space="preserve"> Africa</w:t>
            </w:r>
            <w:r>
              <w:rPr>
                <w:rFonts w:asciiTheme="majorHAnsi" w:eastAsia="Times New Roman" w:hAnsiTheme="majorHAnsi" w:cstheme="majorHAnsi"/>
                <w:i/>
                <w:color w:val="auto"/>
                <w:sz w:val="24"/>
                <w:szCs w:val="24"/>
                <w:lang w:val="x-none" w:eastAsia="en-NZ"/>
              </w:rPr>
              <w:t xml:space="preserve"> Branch increase its coordination of information sharing between relevant sections in Canberra, Palladium and Posts to (</w:t>
            </w:r>
            <w:proofErr w:type="spellStart"/>
            <w:r>
              <w:rPr>
                <w:rFonts w:asciiTheme="majorHAnsi" w:eastAsia="Times New Roman" w:hAnsiTheme="majorHAnsi" w:cstheme="majorHAnsi"/>
                <w:i/>
                <w:color w:val="auto"/>
                <w:sz w:val="24"/>
                <w:szCs w:val="24"/>
                <w:lang w:val="x-none" w:eastAsia="en-NZ"/>
              </w:rPr>
              <w:t>i</w:t>
            </w:r>
            <w:proofErr w:type="spellEnd"/>
            <w:r>
              <w:rPr>
                <w:rFonts w:asciiTheme="majorHAnsi" w:eastAsia="Times New Roman" w:hAnsiTheme="majorHAnsi" w:cstheme="majorHAnsi"/>
                <w:i/>
                <w:color w:val="auto"/>
                <w:sz w:val="24"/>
                <w:szCs w:val="24"/>
                <w:lang w:val="x-none" w:eastAsia="en-NZ"/>
              </w:rPr>
              <w:t>) ensure policy and operational decisions are communicated to all stakeholders; and (ii) create regular opportunities for shared learning.</w:t>
            </w:r>
          </w:p>
        </w:tc>
        <w:tc>
          <w:tcPr>
            <w:tcW w:w="964" w:type="dxa"/>
            <w:tcBorders>
              <w:top w:val="single" w:sz="4" w:space="0" w:color="auto"/>
              <w:left w:val="nil"/>
              <w:bottom w:val="single" w:sz="4" w:space="0" w:color="auto"/>
              <w:right w:val="nil"/>
            </w:tcBorders>
            <w:shd w:val="clear" w:color="auto" w:fill="92D050"/>
            <w:hideMark/>
          </w:tcPr>
          <w:p w14:paraId="24C5C508" w14:textId="77777777" w:rsidR="00315F40" w:rsidRDefault="00315F40">
            <w:pPr>
              <w:pStyle w:val="Heading3"/>
              <w:spacing w:before="240" w:line="240" w:lineRule="auto"/>
              <w:outlineLvl w:val="2"/>
              <w:cnfStyle w:val="000000010000" w:firstRow="0" w:lastRow="0" w:firstColumn="0" w:lastColumn="0" w:oddVBand="0" w:evenVBand="0" w:oddHBand="0" w:evenHBand="1" w:firstRowFirstColumn="0" w:firstRowLastColumn="0" w:lastRowFirstColumn="0" w:lastRowLastColumn="0"/>
              <w:rPr>
                <w:rFonts w:cstheme="majorHAnsi"/>
                <w:color w:val="auto"/>
                <w:sz w:val="24"/>
                <w:szCs w:val="24"/>
              </w:rPr>
            </w:pPr>
            <w:r>
              <w:rPr>
                <w:rFonts w:cstheme="majorHAnsi"/>
                <w:color w:val="auto"/>
                <w:sz w:val="24"/>
                <w:szCs w:val="24"/>
              </w:rPr>
              <w:t>Agree</w:t>
            </w:r>
          </w:p>
        </w:tc>
        <w:tc>
          <w:tcPr>
            <w:tcW w:w="3209" w:type="dxa"/>
            <w:tcBorders>
              <w:top w:val="single" w:sz="4" w:space="0" w:color="auto"/>
              <w:left w:val="nil"/>
              <w:bottom w:val="single" w:sz="4" w:space="0" w:color="auto"/>
              <w:right w:val="nil"/>
            </w:tcBorders>
            <w:hideMark/>
          </w:tcPr>
          <w:p w14:paraId="24C5C509" w14:textId="77777777" w:rsidR="00315F40" w:rsidRPr="00021AD3" w:rsidRDefault="00315F40">
            <w:pPr>
              <w:pStyle w:val="BodyText"/>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Cs/>
                <w:color w:val="auto"/>
                <w:sz w:val="24"/>
                <w:szCs w:val="24"/>
              </w:rPr>
            </w:pPr>
            <w:r w:rsidRPr="00021AD3">
              <w:rPr>
                <w:rStyle w:val="Strong"/>
                <w:rFonts w:asciiTheme="majorHAnsi" w:hAnsiTheme="majorHAnsi" w:cstheme="majorHAnsi"/>
                <w:b w:val="0"/>
                <w:color w:val="auto"/>
                <w:sz w:val="24"/>
                <w:szCs w:val="24"/>
              </w:rPr>
              <w:t xml:space="preserve">The evaluation found that improved internal DFAT coordination and information-sharing, as well as improved coordination and information-sharing between DFAT and Palladium would further enhance the effectiveness of Australia Awards in Africa. </w:t>
            </w:r>
          </w:p>
        </w:tc>
        <w:tc>
          <w:tcPr>
            <w:tcW w:w="3000" w:type="dxa"/>
            <w:tcBorders>
              <w:top w:val="single" w:sz="4" w:space="0" w:color="auto"/>
              <w:left w:val="nil"/>
              <w:bottom w:val="single" w:sz="4" w:space="0" w:color="auto"/>
              <w:right w:val="nil"/>
            </w:tcBorders>
            <w:hideMark/>
          </w:tcPr>
          <w:p w14:paraId="24C5C50A" w14:textId="77777777" w:rsidR="00315F40" w:rsidRPr="00021AD3" w:rsidRDefault="00315F40">
            <w:pPr>
              <w:pStyle w:val="BodyText"/>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Cs/>
                <w:color w:val="auto"/>
                <w:sz w:val="24"/>
                <w:szCs w:val="24"/>
              </w:rPr>
            </w:pPr>
            <w:r w:rsidRPr="00021AD3">
              <w:rPr>
                <w:rStyle w:val="Strong"/>
                <w:rFonts w:asciiTheme="majorHAnsi" w:hAnsiTheme="majorHAnsi" w:cstheme="majorHAnsi"/>
                <w:b w:val="0"/>
                <w:color w:val="auto"/>
                <w:sz w:val="24"/>
                <w:szCs w:val="24"/>
              </w:rPr>
              <w:t xml:space="preserve">AFB has consulted with Africa Posts and Palladium at the annual planning meetings in February 2019 to identify actions to improve communication of policy and operational issues to all stakeholders and provide opportunities for regular shared learning. </w:t>
            </w:r>
          </w:p>
        </w:tc>
        <w:tc>
          <w:tcPr>
            <w:tcW w:w="3416" w:type="dxa"/>
            <w:tcBorders>
              <w:top w:val="single" w:sz="4" w:space="0" w:color="auto"/>
              <w:left w:val="nil"/>
              <w:bottom w:val="single" w:sz="4" w:space="0" w:color="auto"/>
              <w:right w:val="nil"/>
            </w:tcBorders>
          </w:tcPr>
          <w:p w14:paraId="24C5C50B" w14:textId="77777777" w:rsidR="00315F40" w:rsidRPr="00021AD3" w:rsidRDefault="00315F40">
            <w:pPr>
              <w:pStyle w:val="BodyText"/>
              <w:spacing w:before="0" w:after="0" w:line="240" w:lineRule="auto"/>
              <w:cnfStyle w:val="000000010000" w:firstRow="0" w:lastRow="0" w:firstColumn="0" w:lastColumn="0" w:oddVBand="0" w:evenVBand="0" w:oddHBand="0" w:evenHBand="1" w:firstRowFirstColumn="0" w:firstRowLastColumn="0" w:lastRowFirstColumn="0" w:lastRowLastColumn="0"/>
              <w:rPr>
                <w:rStyle w:val="Strong"/>
                <w:b w:val="0"/>
              </w:rPr>
            </w:pPr>
            <w:r w:rsidRPr="00021AD3">
              <w:rPr>
                <w:rStyle w:val="Strong"/>
                <w:rFonts w:asciiTheme="majorHAnsi" w:hAnsiTheme="majorHAnsi" w:cstheme="majorHAnsi"/>
                <w:b w:val="0"/>
                <w:color w:val="auto"/>
                <w:sz w:val="24"/>
                <w:szCs w:val="24"/>
              </w:rPr>
              <w:t>By 1 July 2019 agreed approach will be documented in the 2019</w:t>
            </w:r>
            <w:r w:rsidRPr="00021AD3">
              <w:rPr>
                <w:rStyle w:val="Strong"/>
                <w:rFonts w:asciiTheme="majorHAnsi" w:hAnsiTheme="majorHAnsi" w:cstheme="majorHAnsi"/>
                <w:b w:val="0"/>
                <w:color w:val="auto"/>
                <w:sz w:val="24"/>
                <w:szCs w:val="24"/>
              </w:rPr>
              <w:noBreakHyphen/>
              <w:t xml:space="preserve">20 Annual Plan. </w:t>
            </w:r>
          </w:p>
          <w:p w14:paraId="24C5C50C" w14:textId="77777777" w:rsidR="00315F40" w:rsidRPr="00F654CC" w:rsidRDefault="00315F40">
            <w:pPr>
              <w:pStyle w:val="BodyText"/>
              <w:spacing w:after="0" w:line="240"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Cs/>
                <w:color w:val="auto"/>
                <w:sz w:val="24"/>
                <w:szCs w:val="24"/>
              </w:rPr>
            </w:pPr>
            <w:r w:rsidRPr="00021AD3">
              <w:rPr>
                <w:rStyle w:val="Strong"/>
                <w:rFonts w:asciiTheme="majorHAnsi" w:hAnsiTheme="majorHAnsi" w:cstheme="majorHAnsi"/>
                <w:b w:val="0"/>
                <w:color w:val="auto"/>
                <w:sz w:val="24"/>
                <w:szCs w:val="24"/>
              </w:rPr>
              <w:t>There will be ongoing implementation over the next 12 months. Progress will be reviewed between AFB and the managing contractor at the biannual Program Management Group Meetings and between AFB and Africa Posts at the February 2020 Annual Planning Meeting</w:t>
            </w:r>
          </w:p>
        </w:tc>
      </w:tr>
      <w:tr w:rsidR="00420983" w14:paraId="24C5C513" w14:textId="77777777" w:rsidTr="0042098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162" w:type="dxa"/>
            <w:tcBorders>
              <w:top w:val="single" w:sz="4" w:space="0" w:color="auto"/>
              <w:left w:val="nil"/>
              <w:bottom w:val="single" w:sz="4" w:space="0" w:color="auto"/>
              <w:right w:val="nil"/>
            </w:tcBorders>
            <w:hideMark/>
          </w:tcPr>
          <w:p w14:paraId="24C5C50E" w14:textId="77777777" w:rsidR="00315F40" w:rsidRDefault="00315F40">
            <w:pPr>
              <w:suppressAutoHyphens w:val="0"/>
              <w:spacing w:before="0" w:after="0" w:line="240" w:lineRule="auto"/>
              <w:rPr>
                <w:rFonts w:asciiTheme="majorHAnsi" w:hAnsiTheme="majorHAnsi" w:cstheme="majorHAnsi"/>
                <w:color w:val="auto"/>
                <w:sz w:val="24"/>
                <w:szCs w:val="24"/>
              </w:rPr>
            </w:pPr>
            <w:r>
              <w:rPr>
                <w:rFonts w:asciiTheme="majorHAnsi" w:hAnsiTheme="majorHAnsi" w:cstheme="majorHAnsi"/>
                <w:color w:val="auto"/>
                <w:sz w:val="24"/>
                <w:szCs w:val="24"/>
              </w:rPr>
              <w:t>Recommendation 6</w:t>
            </w:r>
            <w:r>
              <w:rPr>
                <w:rFonts w:asciiTheme="majorHAnsi" w:eastAsia="Times New Roman" w:hAnsiTheme="majorHAnsi" w:cstheme="majorHAnsi"/>
                <w:i/>
                <w:color w:val="auto"/>
                <w:sz w:val="24"/>
                <w:szCs w:val="24"/>
                <w:lang w:val="en-AU" w:eastAsia="en-NZ"/>
              </w:rPr>
              <w:t xml:space="preserve"> Africa Branch, Posts and Palladium management team to review the current documented roles and responsibilities, discuss any changed expectations and revise the document accordingly.</w:t>
            </w:r>
            <w:r>
              <w:rPr>
                <w:rFonts w:asciiTheme="majorHAnsi" w:eastAsia="Times New Roman" w:hAnsiTheme="majorHAnsi" w:cstheme="majorHAnsi"/>
                <w:color w:val="auto"/>
                <w:sz w:val="24"/>
                <w:szCs w:val="24"/>
                <w:lang w:val="en-AU" w:eastAsia="en-NZ"/>
              </w:rPr>
              <w:t xml:space="preserve">  </w:t>
            </w:r>
          </w:p>
        </w:tc>
        <w:tc>
          <w:tcPr>
            <w:tcW w:w="964" w:type="dxa"/>
            <w:tcBorders>
              <w:top w:val="single" w:sz="4" w:space="0" w:color="auto"/>
              <w:left w:val="nil"/>
              <w:bottom w:val="single" w:sz="4" w:space="0" w:color="auto"/>
              <w:right w:val="nil"/>
            </w:tcBorders>
            <w:shd w:val="clear" w:color="auto" w:fill="92D050"/>
            <w:hideMark/>
          </w:tcPr>
          <w:p w14:paraId="24C5C50F" w14:textId="77777777" w:rsidR="00315F40" w:rsidRDefault="00315F40">
            <w:pPr>
              <w:pStyle w:val="Heading3"/>
              <w:spacing w:before="240" w:after="0" w:line="240" w:lineRule="auto"/>
              <w:outlineLvl w:val="2"/>
              <w:cnfStyle w:val="000000100000" w:firstRow="0" w:lastRow="0" w:firstColumn="0" w:lastColumn="0" w:oddVBand="0" w:evenVBand="0" w:oddHBand="1" w:evenHBand="0" w:firstRowFirstColumn="0" w:firstRowLastColumn="0" w:lastRowFirstColumn="0" w:lastRowLastColumn="0"/>
              <w:rPr>
                <w:rFonts w:cstheme="majorHAnsi"/>
                <w:color w:val="auto"/>
                <w:sz w:val="24"/>
                <w:szCs w:val="24"/>
              </w:rPr>
            </w:pPr>
            <w:r>
              <w:rPr>
                <w:rFonts w:cstheme="majorHAnsi"/>
                <w:color w:val="auto"/>
                <w:sz w:val="24"/>
                <w:szCs w:val="24"/>
              </w:rPr>
              <w:t>Agree</w:t>
            </w:r>
          </w:p>
        </w:tc>
        <w:tc>
          <w:tcPr>
            <w:tcW w:w="3209" w:type="dxa"/>
            <w:tcBorders>
              <w:top w:val="single" w:sz="4" w:space="0" w:color="auto"/>
              <w:left w:val="nil"/>
              <w:bottom w:val="single" w:sz="4" w:space="0" w:color="auto"/>
              <w:right w:val="nil"/>
            </w:tcBorders>
            <w:shd w:val="clear" w:color="auto" w:fill="B4C6E7" w:themeFill="accent5" w:themeFillTint="66"/>
            <w:hideMark/>
          </w:tcPr>
          <w:p w14:paraId="24C5C510" w14:textId="77777777" w:rsidR="00315F40" w:rsidRPr="00021AD3" w:rsidRDefault="00315F40">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24"/>
                <w:szCs w:val="24"/>
              </w:rPr>
            </w:pPr>
            <w:r w:rsidRPr="00021AD3">
              <w:rPr>
                <w:rFonts w:asciiTheme="majorHAnsi" w:hAnsiTheme="majorHAnsi" w:cstheme="majorHAnsi"/>
                <w:color w:val="auto"/>
                <w:sz w:val="24"/>
                <w:szCs w:val="24"/>
                <w:lang w:val="en-AU"/>
              </w:rPr>
              <w:t>The evaluation found differing experiences and expectations across Posts in relation to the division of tasks between DFAT Posts, the managing contractor and DFAT Canberra.</w:t>
            </w:r>
          </w:p>
        </w:tc>
        <w:tc>
          <w:tcPr>
            <w:tcW w:w="3000" w:type="dxa"/>
            <w:tcBorders>
              <w:top w:val="single" w:sz="4" w:space="0" w:color="auto"/>
              <w:left w:val="nil"/>
              <w:bottom w:val="single" w:sz="4" w:space="0" w:color="auto"/>
              <w:right w:val="nil"/>
            </w:tcBorders>
            <w:shd w:val="clear" w:color="auto" w:fill="B4C6E7" w:themeFill="accent5" w:themeFillTint="66"/>
            <w:hideMark/>
          </w:tcPr>
          <w:p w14:paraId="24C5C511" w14:textId="77777777" w:rsidR="00315F40" w:rsidRPr="00021AD3" w:rsidRDefault="00315F40">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24"/>
                <w:szCs w:val="24"/>
              </w:rPr>
            </w:pPr>
            <w:r w:rsidRPr="00021AD3">
              <w:rPr>
                <w:rFonts w:asciiTheme="majorHAnsi" w:hAnsiTheme="majorHAnsi" w:cstheme="majorHAnsi"/>
                <w:color w:val="auto"/>
                <w:sz w:val="24"/>
                <w:szCs w:val="24"/>
                <w:lang w:eastAsia="en-NZ"/>
              </w:rPr>
              <w:t>AFB will action in consultation with Africa Posts.</w:t>
            </w:r>
          </w:p>
        </w:tc>
        <w:tc>
          <w:tcPr>
            <w:tcW w:w="3416" w:type="dxa"/>
            <w:tcBorders>
              <w:top w:val="single" w:sz="4" w:space="0" w:color="auto"/>
              <w:left w:val="nil"/>
              <w:bottom w:val="single" w:sz="4" w:space="0" w:color="auto"/>
              <w:right w:val="nil"/>
            </w:tcBorders>
            <w:shd w:val="clear" w:color="auto" w:fill="B4C6E7" w:themeFill="accent5" w:themeFillTint="66"/>
          </w:tcPr>
          <w:p w14:paraId="24C5C512" w14:textId="77777777" w:rsidR="00315F40" w:rsidRPr="00F654CC" w:rsidRDefault="00315F40">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rPr>
                <w:bCs/>
              </w:rPr>
            </w:pPr>
            <w:r w:rsidRPr="00021AD3">
              <w:rPr>
                <w:rStyle w:val="Strong"/>
                <w:rFonts w:asciiTheme="majorHAnsi" w:hAnsiTheme="majorHAnsi" w:cstheme="majorHAnsi"/>
                <w:b w:val="0"/>
                <w:color w:val="auto"/>
                <w:sz w:val="24"/>
                <w:szCs w:val="24"/>
              </w:rPr>
              <w:t>By 1 April 2019 a revised document outlining the roles and responsibilities of AFB, Africa Posts and the managing contractor will be finalised. To be reviewed at the February 2020 Annual Planning Meeting.</w:t>
            </w:r>
          </w:p>
        </w:tc>
      </w:tr>
      <w:tr w:rsidR="00F654CC" w14:paraId="24C5C51A" w14:textId="77777777" w:rsidTr="00420983">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162" w:type="dxa"/>
            <w:tcBorders>
              <w:top w:val="single" w:sz="4" w:space="0" w:color="auto"/>
              <w:left w:val="nil"/>
              <w:bottom w:val="single" w:sz="4" w:space="0" w:color="auto"/>
              <w:right w:val="nil"/>
            </w:tcBorders>
            <w:hideMark/>
          </w:tcPr>
          <w:p w14:paraId="24C5C514" w14:textId="77777777" w:rsidR="00315F40" w:rsidRDefault="00315F40">
            <w:pPr>
              <w:suppressAutoHyphens w:val="0"/>
              <w:spacing w:before="0" w:after="0" w:line="240" w:lineRule="auto"/>
              <w:rPr>
                <w:rFonts w:asciiTheme="majorHAnsi" w:eastAsia="Times New Roman" w:hAnsiTheme="majorHAnsi" w:cstheme="majorHAnsi"/>
                <w:i/>
                <w:color w:val="auto"/>
                <w:sz w:val="24"/>
                <w:szCs w:val="24"/>
                <w:lang w:val="x-none" w:eastAsia="en-NZ"/>
              </w:rPr>
            </w:pPr>
            <w:r>
              <w:rPr>
                <w:rFonts w:asciiTheme="majorHAnsi" w:hAnsiTheme="majorHAnsi" w:cstheme="majorHAnsi"/>
                <w:color w:val="auto"/>
                <w:sz w:val="24"/>
                <w:szCs w:val="24"/>
              </w:rPr>
              <w:lastRenderedPageBreak/>
              <w:t xml:space="preserve">Recommendation 7 </w:t>
            </w:r>
            <w:r>
              <w:rPr>
                <w:rFonts w:asciiTheme="majorHAnsi" w:eastAsia="Times New Roman" w:hAnsiTheme="majorHAnsi" w:cstheme="majorHAnsi"/>
                <w:i/>
                <w:color w:val="auto"/>
                <w:sz w:val="24"/>
                <w:szCs w:val="24"/>
                <w:lang w:val="x-none" w:eastAsia="en-NZ"/>
              </w:rPr>
              <w:t>Africa Branch consider stakeholder suggestions for improvements as summarised in Appendix H and discuss with Palladium</w:t>
            </w:r>
            <w:r>
              <w:rPr>
                <w:rFonts w:asciiTheme="majorHAnsi" w:eastAsia="Times New Roman" w:hAnsiTheme="majorHAnsi" w:cstheme="majorHAnsi"/>
                <w:i/>
                <w:color w:val="auto"/>
                <w:sz w:val="24"/>
                <w:szCs w:val="24"/>
                <w:lang w:val="en-AU" w:eastAsia="en-NZ"/>
              </w:rPr>
              <w:t xml:space="preserve"> (see </w:t>
            </w:r>
            <w:r>
              <w:rPr>
                <w:rFonts w:asciiTheme="majorHAnsi" w:eastAsia="Times New Roman" w:hAnsiTheme="majorHAnsi" w:cstheme="majorHAnsi"/>
                <w:i/>
                <w:color w:val="auto"/>
                <w:sz w:val="24"/>
                <w:szCs w:val="24"/>
                <w:u w:val="single"/>
                <w:lang w:val="en-AU" w:eastAsia="en-NZ"/>
              </w:rPr>
              <w:t>Attachment 1</w:t>
            </w:r>
            <w:r>
              <w:rPr>
                <w:rFonts w:asciiTheme="majorHAnsi" w:eastAsia="Times New Roman" w:hAnsiTheme="majorHAnsi" w:cstheme="majorHAnsi"/>
                <w:i/>
                <w:color w:val="auto"/>
                <w:sz w:val="24"/>
                <w:szCs w:val="24"/>
                <w:lang w:val="en-AU" w:eastAsia="en-NZ"/>
              </w:rPr>
              <w:t>)</w:t>
            </w:r>
            <w:r>
              <w:rPr>
                <w:rFonts w:asciiTheme="majorHAnsi" w:eastAsia="Times New Roman" w:hAnsiTheme="majorHAnsi" w:cstheme="majorHAnsi"/>
                <w:i/>
                <w:color w:val="auto"/>
                <w:sz w:val="24"/>
                <w:szCs w:val="24"/>
                <w:lang w:val="x-none" w:eastAsia="en-NZ"/>
              </w:rPr>
              <w:t>.</w:t>
            </w:r>
          </w:p>
        </w:tc>
        <w:tc>
          <w:tcPr>
            <w:tcW w:w="964" w:type="dxa"/>
            <w:tcBorders>
              <w:top w:val="single" w:sz="4" w:space="0" w:color="auto"/>
              <w:left w:val="nil"/>
              <w:bottom w:val="single" w:sz="4" w:space="0" w:color="auto"/>
              <w:right w:val="nil"/>
            </w:tcBorders>
            <w:shd w:val="clear" w:color="auto" w:fill="92D050"/>
            <w:hideMark/>
          </w:tcPr>
          <w:p w14:paraId="24C5C515" w14:textId="77777777" w:rsidR="00315F40" w:rsidRDefault="00315F40">
            <w:pPr>
              <w:pStyle w:val="Heading3"/>
              <w:spacing w:before="240" w:after="0" w:line="240" w:lineRule="auto"/>
              <w:outlineLvl w:val="2"/>
              <w:cnfStyle w:val="000000010000" w:firstRow="0" w:lastRow="0" w:firstColumn="0" w:lastColumn="0" w:oddVBand="0" w:evenVBand="0" w:oddHBand="0" w:evenHBand="1" w:firstRowFirstColumn="0" w:firstRowLastColumn="0" w:lastRowFirstColumn="0" w:lastRowLastColumn="0"/>
              <w:rPr>
                <w:rFonts w:cstheme="majorHAnsi"/>
                <w:color w:val="auto"/>
                <w:sz w:val="24"/>
                <w:szCs w:val="24"/>
              </w:rPr>
            </w:pPr>
            <w:r>
              <w:rPr>
                <w:rFonts w:cstheme="majorHAnsi"/>
                <w:color w:val="auto"/>
                <w:sz w:val="24"/>
                <w:szCs w:val="24"/>
              </w:rPr>
              <w:t>Agree</w:t>
            </w:r>
          </w:p>
        </w:tc>
        <w:tc>
          <w:tcPr>
            <w:tcW w:w="3209" w:type="dxa"/>
            <w:tcBorders>
              <w:top w:val="single" w:sz="4" w:space="0" w:color="auto"/>
              <w:left w:val="nil"/>
              <w:bottom w:val="single" w:sz="4" w:space="0" w:color="auto"/>
              <w:right w:val="nil"/>
            </w:tcBorders>
            <w:hideMark/>
          </w:tcPr>
          <w:p w14:paraId="24C5C516" w14:textId="77777777" w:rsidR="00315F40" w:rsidRDefault="00315F40">
            <w:pPr>
              <w:pStyle w:val="BodyText"/>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auto"/>
                <w:sz w:val="24"/>
                <w:szCs w:val="24"/>
              </w:rPr>
            </w:pPr>
            <w:r>
              <w:rPr>
                <w:rFonts w:asciiTheme="majorHAnsi" w:hAnsiTheme="majorHAnsi" w:cstheme="majorHAnsi"/>
                <w:color w:val="auto"/>
                <w:sz w:val="24"/>
                <w:szCs w:val="24"/>
              </w:rPr>
              <w:t>The evaluation report Annex H documents 52 suggestions from stakeholder groups.</w:t>
            </w:r>
          </w:p>
        </w:tc>
        <w:tc>
          <w:tcPr>
            <w:tcW w:w="3000" w:type="dxa"/>
            <w:tcBorders>
              <w:top w:val="single" w:sz="4" w:space="0" w:color="auto"/>
              <w:left w:val="nil"/>
              <w:bottom w:val="single" w:sz="4" w:space="0" w:color="auto"/>
              <w:right w:val="nil"/>
            </w:tcBorders>
            <w:hideMark/>
          </w:tcPr>
          <w:p w14:paraId="24C5C517" w14:textId="77777777" w:rsidR="00315F40" w:rsidRPr="00021AD3" w:rsidRDefault="00315F40">
            <w:pPr>
              <w:pStyle w:val="BodyText"/>
              <w:spacing w:before="0"/>
              <w:cnfStyle w:val="000000010000" w:firstRow="0" w:lastRow="0" w:firstColumn="0" w:lastColumn="0" w:oddVBand="0" w:evenVBand="0" w:oddHBand="0" w:evenHBand="1" w:firstRowFirstColumn="0" w:firstRowLastColumn="0" w:lastRowFirstColumn="0" w:lastRowLastColumn="0"/>
              <w:rPr>
                <w:rStyle w:val="Strong"/>
                <w:b w:val="0"/>
              </w:rPr>
            </w:pPr>
            <w:r w:rsidRPr="00021AD3">
              <w:rPr>
                <w:rStyle w:val="Strong"/>
                <w:rFonts w:asciiTheme="majorHAnsi" w:hAnsiTheme="majorHAnsi" w:cstheme="majorHAnsi"/>
                <w:b w:val="0"/>
                <w:color w:val="auto"/>
                <w:sz w:val="24"/>
                <w:szCs w:val="24"/>
              </w:rPr>
              <w:t xml:space="preserve">AFB will develop a response to the 52 suggestions in Annex H following advice from the managing contractor, Africa Posts and Scholarships and Alumni Branch. Subject to budget and policy guidelines these suggestions will be implemented over the next two years. </w:t>
            </w:r>
          </w:p>
        </w:tc>
        <w:tc>
          <w:tcPr>
            <w:tcW w:w="3416" w:type="dxa"/>
            <w:tcBorders>
              <w:top w:val="single" w:sz="4" w:space="0" w:color="auto"/>
              <w:left w:val="nil"/>
              <w:bottom w:val="single" w:sz="4" w:space="0" w:color="auto"/>
              <w:right w:val="nil"/>
            </w:tcBorders>
          </w:tcPr>
          <w:p w14:paraId="24C5C518" w14:textId="77777777" w:rsidR="00315F40" w:rsidRPr="00021AD3" w:rsidRDefault="00315F40">
            <w:pPr>
              <w:pStyle w:val="BodyText"/>
              <w:spacing w:before="0" w:after="0" w:line="240" w:lineRule="auto"/>
              <w:cnfStyle w:val="000000010000" w:firstRow="0" w:lastRow="0" w:firstColumn="0" w:lastColumn="0" w:oddVBand="0" w:evenVBand="0" w:oddHBand="0" w:evenHBand="1" w:firstRowFirstColumn="0" w:firstRowLastColumn="0" w:lastRowFirstColumn="0" w:lastRowLastColumn="0"/>
              <w:rPr>
                <w:rStyle w:val="Strong"/>
                <w:rFonts w:asciiTheme="majorHAnsi" w:hAnsiTheme="majorHAnsi" w:cstheme="majorHAnsi"/>
                <w:b w:val="0"/>
                <w:color w:val="auto"/>
                <w:sz w:val="24"/>
                <w:szCs w:val="24"/>
              </w:rPr>
            </w:pPr>
            <w:r w:rsidRPr="00021AD3">
              <w:rPr>
                <w:rStyle w:val="Strong"/>
                <w:rFonts w:asciiTheme="majorHAnsi" w:hAnsiTheme="majorHAnsi" w:cstheme="majorHAnsi"/>
                <w:b w:val="0"/>
                <w:color w:val="auto"/>
                <w:sz w:val="24"/>
                <w:szCs w:val="24"/>
              </w:rPr>
              <w:t>By 1 July 2019 agreed approach will be documented in the 2019</w:t>
            </w:r>
            <w:r w:rsidRPr="00021AD3">
              <w:rPr>
                <w:rStyle w:val="Strong"/>
                <w:rFonts w:asciiTheme="majorHAnsi" w:hAnsiTheme="majorHAnsi" w:cstheme="majorHAnsi"/>
                <w:b w:val="0"/>
                <w:color w:val="auto"/>
                <w:sz w:val="24"/>
                <w:szCs w:val="24"/>
              </w:rPr>
              <w:noBreakHyphen/>
              <w:t xml:space="preserve">20 Annual Plan. </w:t>
            </w:r>
          </w:p>
          <w:p w14:paraId="24C5C519" w14:textId="77777777" w:rsidR="00315F40" w:rsidRPr="00F654CC" w:rsidRDefault="00315F40">
            <w:pPr>
              <w:suppressAutoHyphens w:val="0"/>
              <w:spacing w:after="0" w:line="240" w:lineRule="auto"/>
              <w:contextualSpacing/>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Cs/>
                <w:color w:val="auto"/>
                <w:sz w:val="24"/>
                <w:szCs w:val="24"/>
              </w:rPr>
            </w:pPr>
            <w:r w:rsidRPr="00021AD3">
              <w:rPr>
                <w:rStyle w:val="Strong"/>
                <w:rFonts w:asciiTheme="majorHAnsi" w:hAnsiTheme="majorHAnsi" w:cstheme="majorHAnsi"/>
                <w:b w:val="0"/>
                <w:color w:val="auto"/>
                <w:sz w:val="24"/>
                <w:szCs w:val="24"/>
              </w:rPr>
              <w:t>Ongoing implementation over the next 12 months. Progress will be reviewed between AFB and the managing contractor through the biannual Program Management Group Meetings and between AFB and Africa Posts at the February 2020 Annual Planning Meeting.</w:t>
            </w:r>
          </w:p>
        </w:tc>
      </w:tr>
      <w:tr w:rsidR="00420983" w14:paraId="24C5C52A" w14:textId="77777777" w:rsidTr="0042098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162" w:type="dxa"/>
            <w:tcBorders>
              <w:top w:val="single" w:sz="4" w:space="0" w:color="auto"/>
              <w:left w:val="nil"/>
              <w:bottom w:val="single" w:sz="4" w:space="0" w:color="auto"/>
              <w:right w:val="nil"/>
            </w:tcBorders>
          </w:tcPr>
          <w:p w14:paraId="24C5C51B" w14:textId="77777777" w:rsidR="00315F40" w:rsidRDefault="00315F40">
            <w:pPr>
              <w:suppressAutoHyphens w:val="0"/>
              <w:spacing w:before="0" w:after="0" w:line="240" w:lineRule="auto"/>
              <w:rPr>
                <w:rFonts w:asciiTheme="majorHAnsi" w:eastAsia="Times New Roman" w:hAnsiTheme="majorHAnsi" w:cstheme="majorHAnsi"/>
                <w:color w:val="auto"/>
                <w:sz w:val="24"/>
                <w:szCs w:val="24"/>
                <w:lang w:val="x-none" w:eastAsia="en-NZ"/>
              </w:rPr>
            </w:pPr>
            <w:r>
              <w:rPr>
                <w:rFonts w:asciiTheme="majorHAnsi" w:hAnsiTheme="majorHAnsi" w:cstheme="majorHAnsi"/>
                <w:color w:val="auto"/>
                <w:sz w:val="24"/>
                <w:szCs w:val="24"/>
              </w:rPr>
              <w:t xml:space="preserve">Recommendation 8 </w:t>
            </w:r>
            <w:r>
              <w:rPr>
                <w:rFonts w:asciiTheme="majorHAnsi" w:eastAsia="Times New Roman" w:hAnsiTheme="majorHAnsi" w:cstheme="majorHAnsi"/>
                <w:color w:val="auto"/>
                <w:sz w:val="24"/>
                <w:szCs w:val="24"/>
                <w:lang w:val="x-none" w:eastAsia="en-NZ"/>
              </w:rPr>
              <w:t xml:space="preserve">DFAT and Palladium consider the suggested modifications to the </w:t>
            </w:r>
            <w:r>
              <w:rPr>
                <w:rFonts w:asciiTheme="majorHAnsi" w:eastAsia="Times New Roman" w:hAnsiTheme="majorHAnsi" w:cstheme="majorHAnsi"/>
                <w:color w:val="auto"/>
                <w:sz w:val="24"/>
                <w:szCs w:val="24"/>
                <w:lang w:val="en-AU" w:eastAsia="en-NZ"/>
              </w:rPr>
              <w:t>Monitoring and Evaluation Framework (</w:t>
            </w:r>
            <w:r>
              <w:rPr>
                <w:rFonts w:asciiTheme="majorHAnsi" w:eastAsia="Times New Roman" w:hAnsiTheme="majorHAnsi" w:cstheme="majorHAnsi"/>
                <w:color w:val="auto"/>
                <w:sz w:val="24"/>
                <w:szCs w:val="24"/>
                <w:lang w:val="x-none" w:eastAsia="en-NZ"/>
              </w:rPr>
              <w:t>MEF</w:t>
            </w:r>
            <w:r>
              <w:rPr>
                <w:rFonts w:asciiTheme="majorHAnsi" w:eastAsia="Times New Roman" w:hAnsiTheme="majorHAnsi" w:cstheme="majorHAnsi"/>
                <w:color w:val="auto"/>
                <w:sz w:val="24"/>
                <w:szCs w:val="24"/>
                <w:lang w:val="en-AU" w:eastAsia="en-NZ"/>
              </w:rPr>
              <w:t>)</w:t>
            </w:r>
            <w:r>
              <w:rPr>
                <w:rFonts w:asciiTheme="majorHAnsi" w:eastAsia="Times New Roman" w:hAnsiTheme="majorHAnsi" w:cstheme="majorHAnsi"/>
                <w:color w:val="auto"/>
                <w:sz w:val="24"/>
                <w:szCs w:val="24"/>
                <w:lang w:val="x-none" w:eastAsia="en-NZ"/>
              </w:rPr>
              <w:t xml:space="preserve"> and progress reports included at Appendix I</w:t>
            </w:r>
            <w:r>
              <w:rPr>
                <w:rFonts w:asciiTheme="majorHAnsi" w:eastAsia="Times New Roman" w:hAnsiTheme="majorHAnsi" w:cstheme="majorHAnsi"/>
                <w:color w:val="auto"/>
                <w:sz w:val="24"/>
                <w:szCs w:val="24"/>
                <w:lang w:val="en-AU" w:eastAsia="en-NZ"/>
              </w:rPr>
              <w:t xml:space="preserve"> (see </w:t>
            </w:r>
            <w:r>
              <w:rPr>
                <w:rFonts w:asciiTheme="majorHAnsi" w:eastAsia="Times New Roman" w:hAnsiTheme="majorHAnsi" w:cstheme="majorHAnsi"/>
                <w:color w:val="auto"/>
                <w:sz w:val="24"/>
                <w:szCs w:val="24"/>
                <w:u w:val="single"/>
                <w:lang w:val="en-AU" w:eastAsia="en-NZ"/>
              </w:rPr>
              <w:t>Attachment 2</w:t>
            </w:r>
            <w:r>
              <w:rPr>
                <w:rFonts w:asciiTheme="majorHAnsi" w:eastAsia="Times New Roman" w:hAnsiTheme="majorHAnsi" w:cstheme="majorHAnsi"/>
                <w:color w:val="auto"/>
                <w:sz w:val="24"/>
                <w:szCs w:val="24"/>
                <w:lang w:val="en-AU" w:eastAsia="en-NZ"/>
              </w:rPr>
              <w:t>)</w:t>
            </w:r>
            <w:r>
              <w:rPr>
                <w:rFonts w:asciiTheme="majorHAnsi" w:eastAsia="Times New Roman" w:hAnsiTheme="majorHAnsi" w:cstheme="majorHAnsi"/>
                <w:color w:val="auto"/>
                <w:sz w:val="24"/>
                <w:szCs w:val="24"/>
                <w:lang w:val="x-none" w:eastAsia="en-NZ"/>
              </w:rPr>
              <w:t xml:space="preserve">. </w:t>
            </w:r>
          </w:p>
          <w:p w14:paraId="24C5C51C" w14:textId="77777777" w:rsidR="00315F40" w:rsidRDefault="00315F40">
            <w:pPr>
              <w:pStyle w:val="BodyText"/>
              <w:spacing w:before="0" w:after="0" w:line="240" w:lineRule="auto"/>
              <w:rPr>
                <w:rFonts w:asciiTheme="majorHAnsi" w:hAnsiTheme="majorHAnsi" w:cstheme="majorHAnsi"/>
                <w:color w:val="auto"/>
                <w:sz w:val="24"/>
                <w:szCs w:val="24"/>
              </w:rPr>
            </w:pPr>
          </w:p>
        </w:tc>
        <w:tc>
          <w:tcPr>
            <w:tcW w:w="964" w:type="dxa"/>
            <w:tcBorders>
              <w:top w:val="single" w:sz="4" w:space="0" w:color="auto"/>
              <w:left w:val="nil"/>
              <w:bottom w:val="single" w:sz="4" w:space="0" w:color="auto"/>
              <w:right w:val="nil"/>
            </w:tcBorders>
            <w:shd w:val="clear" w:color="auto" w:fill="92D050"/>
            <w:hideMark/>
          </w:tcPr>
          <w:p w14:paraId="24C5C51D" w14:textId="77777777" w:rsidR="00315F40" w:rsidRDefault="00315F40">
            <w:pPr>
              <w:pStyle w:val="Heading3"/>
              <w:spacing w:before="240" w:after="0" w:line="240" w:lineRule="auto"/>
              <w:outlineLvl w:val="2"/>
              <w:cnfStyle w:val="000000100000" w:firstRow="0" w:lastRow="0" w:firstColumn="0" w:lastColumn="0" w:oddVBand="0" w:evenVBand="0" w:oddHBand="1" w:evenHBand="0" w:firstRowFirstColumn="0" w:firstRowLastColumn="0" w:lastRowFirstColumn="0" w:lastRowLastColumn="0"/>
              <w:rPr>
                <w:rFonts w:cstheme="majorHAnsi"/>
                <w:color w:val="auto"/>
                <w:sz w:val="24"/>
                <w:szCs w:val="24"/>
              </w:rPr>
            </w:pPr>
            <w:r>
              <w:rPr>
                <w:rFonts w:cstheme="majorHAnsi"/>
                <w:color w:val="auto"/>
                <w:sz w:val="24"/>
                <w:szCs w:val="24"/>
              </w:rPr>
              <w:t>Agree</w:t>
            </w:r>
          </w:p>
        </w:tc>
        <w:tc>
          <w:tcPr>
            <w:tcW w:w="3209" w:type="dxa"/>
            <w:tcBorders>
              <w:top w:val="single" w:sz="4" w:space="0" w:color="auto"/>
              <w:left w:val="nil"/>
              <w:bottom w:val="single" w:sz="4" w:space="0" w:color="auto"/>
              <w:right w:val="nil"/>
            </w:tcBorders>
            <w:shd w:val="clear" w:color="auto" w:fill="B4C6E7" w:themeFill="accent5" w:themeFillTint="66"/>
            <w:hideMark/>
          </w:tcPr>
          <w:p w14:paraId="24C5C51E" w14:textId="77777777" w:rsidR="00315F40" w:rsidRDefault="00315F40">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24"/>
                <w:szCs w:val="24"/>
                <w:lang w:eastAsia="en-NZ"/>
              </w:rPr>
            </w:pPr>
            <w:r>
              <w:rPr>
                <w:rFonts w:asciiTheme="majorHAnsi" w:hAnsiTheme="majorHAnsi" w:cstheme="majorHAnsi"/>
                <w:color w:val="auto"/>
                <w:sz w:val="24"/>
                <w:szCs w:val="24"/>
                <w:lang w:eastAsia="en-NZ"/>
              </w:rPr>
              <w:t xml:space="preserve">The recommended changes to the MEF </w:t>
            </w:r>
            <w:proofErr w:type="gramStart"/>
            <w:r>
              <w:rPr>
                <w:rFonts w:asciiTheme="majorHAnsi" w:hAnsiTheme="majorHAnsi" w:cstheme="majorHAnsi"/>
                <w:color w:val="auto"/>
                <w:sz w:val="24"/>
                <w:szCs w:val="24"/>
                <w:lang w:eastAsia="en-NZ"/>
              </w:rPr>
              <w:t>include;</w:t>
            </w:r>
            <w:proofErr w:type="gramEnd"/>
            <w:r>
              <w:rPr>
                <w:rFonts w:asciiTheme="majorHAnsi" w:hAnsiTheme="majorHAnsi" w:cstheme="majorHAnsi"/>
                <w:color w:val="auto"/>
                <w:sz w:val="24"/>
                <w:szCs w:val="24"/>
                <w:lang w:eastAsia="en-NZ"/>
              </w:rPr>
              <w:t xml:space="preserve"> </w:t>
            </w:r>
          </w:p>
          <w:p w14:paraId="24C5C51F" w14:textId="77777777" w:rsidR="00315F40" w:rsidRDefault="00315F40">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24"/>
                <w:szCs w:val="24"/>
                <w:lang w:eastAsia="en-NZ"/>
              </w:rPr>
            </w:pPr>
            <w:r>
              <w:rPr>
                <w:rFonts w:asciiTheme="majorHAnsi" w:hAnsiTheme="majorHAnsi" w:cstheme="majorHAnsi"/>
                <w:color w:val="auto"/>
                <w:sz w:val="24"/>
                <w:szCs w:val="24"/>
                <w:lang w:eastAsia="en-NZ"/>
              </w:rPr>
              <w:t xml:space="preserve">1) Consistent disaggregation of data provided in the </w:t>
            </w:r>
            <w:proofErr w:type="gramStart"/>
            <w:r>
              <w:rPr>
                <w:rFonts w:asciiTheme="majorHAnsi" w:hAnsiTheme="majorHAnsi" w:cstheme="majorHAnsi"/>
                <w:color w:val="auto"/>
                <w:sz w:val="24"/>
                <w:szCs w:val="24"/>
                <w:lang w:eastAsia="en-NZ"/>
              </w:rPr>
              <w:t>six monthly</w:t>
            </w:r>
            <w:proofErr w:type="gramEnd"/>
            <w:r>
              <w:rPr>
                <w:rFonts w:asciiTheme="majorHAnsi" w:hAnsiTheme="majorHAnsi" w:cstheme="majorHAnsi"/>
                <w:color w:val="auto"/>
                <w:sz w:val="24"/>
                <w:szCs w:val="24"/>
                <w:lang w:eastAsia="en-NZ"/>
              </w:rPr>
              <w:t xml:space="preserve"> performance report MEF by sex, disability, organisation type, sector and country wherever possible. </w:t>
            </w:r>
          </w:p>
          <w:p w14:paraId="24C5C520" w14:textId="77777777" w:rsidR="00315F40" w:rsidRDefault="00315F40">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24"/>
                <w:szCs w:val="24"/>
                <w:lang w:eastAsia="en-NZ"/>
              </w:rPr>
            </w:pPr>
            <w:r>
              <w:rPr>
                <w:rFonts w:asciiTheme="majorHAnsi" w:hAnsiTheme="majorHAnsi" w:cstheme="majorHAnsi"/>
                <w:color w:val="auto"/>
                <w:sz w:val="24"/>
                <w:szCs w:val="24"/>
                <w:lang w:eastAsia="en-NZ"/>
              </w:rPr>
              <w:t>2) Data is reported in a consistent way to allow aggregation across years which is the primary purpose of a MEF.</w:t>
            </w:r>
          </w:p>
          <w:p w14:paraId="24C5C521" w14:textId="77777777" w:rsidR="00315F40" w:rsidRDefault="00315F40">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24"/>
                <w:szCs w:val="24"/>
                <w:lang w:eastAsia="en-NZ"/>
              </w:rPr>
            </w:pPr>
            <w:r>
              <w:rPr>
                <w:rFonts w:asciiTheme="majorHAnsi" w:hAnsiTheme="majorHAnsi" w:cstheme="majorHAnsi"/>
                <w:color w:val="auto"/>
                <w:sz w:val="24"/>
                <w:szCs w:val="24"/>
                <w:lang w:eastAsia="en-NZ"/>
              </w:rPr>
              <w:t xml:space="preserve">3) Six-monthly program performance report which includes the MEF tables provides data across years not just for the reporting period. </w:t>
            </w:r>
          </w:p>
          <w:p w14:paraId="24C5C522" w14:textId="77777777" w:rsidR="00315F40" w:rsidRDefault="00315F40">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24"/>
                <w:szCs w:val="24"/>
                <w:lang w:eastAsia="en-NZ"/>
              </w:rPr>
            </w:pPr>
            <w:r>
              <w:rPr>
                <w:rFonts w:asciiTheme="majorHAnsi" w:hAnsiTheme="majorHAnsi" w:cstheme="majorHAnsi"/>
                <w:color w:val="auto"/>
                <w:sz w:val="24"/>
                <w:szCs w:val="24"/>
                <w:lang w:eastAsia="en-NZ"/>
              </w:rPr>
              <w:t xml:space="preserve">4) Six-monthly report </w:t>
            </w:r>
            <w:proofErr w:type="gramStart"/>
            <w:r>
              <w:rPr>
                <w:rFonts w:asciiTheme="majorHAnsi" w:hAnsiTheme="majorHAnsi" w:cstheme="majorHAnsi"/>
                <w:color w:val="auto"/>
                <w:sz w:val="24"/>
                <w:szCs w:val="24"/>
                <w:lang w:eastAsia="en-NZ"/>
              </w:rPr>
              <w:t>include</w:t>
            </w:r>
            <w:proofErr w:type="gramEnd"/>
            <w:r>
              <w:rPr>
                <w:rFonts w:asciiTheme="majorHAnsi" w:hAnsiTheme="majorHAnsi" w:cstheme="majorHAnsi"/>
                <w:color w:val="auto"/>
                <w:sz w:val="24"/>
                <w:szCs w:val="24"/>
                <w:lang w:eastAsia="en-NZ"/>
              </w:rPr>
              <w:t xml:space="preserve"> an annex providing status </w:t>
            </w:r>
            <w:r>
              <w:rPr>
                <w:rFonts w:asciiTheme="majorHAnsi" w:hAnsiTheme="majorHAnsi" w:cstheme="majorHAnsi"/>
                <w:color w:val="auto"/>
                <w:sz w:val="24"/>
                <w:szCs w:val="24"/>
                <w:lang w:eastAsia="en-NZ"/>
              </w:rPr>
              <w:lastRenderedPageBreak/>
              <w:t>update on implementation of lessons learned recommendations from previous reporting period.</w:t>
            </w:r>
          </w:p>
          <w:p w14:paraId="24C5C523" w14:textId="77777777" w:rsidR="00315F40" w:rsidRDefault="00315F40">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24"/>
                <w:szCs w:val="24"/>
                <w:lang w:eastAsia="en-NZ"/>
              </w:rPr>
            </w:pPr>
            <w:r>
              <w:rPr>
                <w:rFonts w:asciiTheme="majorHAnsi" w:hAnsiTheme="majorHAnsi" w:cstheme="majorHAnsi"/>
                <w:color w:val="auto"/>
                <w:sz w:val="24"/>
                <w:szCs w:val="24"/>
                <w:lang w:eastAsia="en-NZ"/>
              </w:rPr>
              <w:t xml:space="preserve">5) Noted corrections to six-monthly report data. </w:t>
            </w:r>
          </w:p>
          <w:p w14:paraId="24C5C524" w14:textId="77777777" w:rsidR="00315F40" w:rsidRDefault="00315F40">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24"/>
                <w:szCs w:val="24"/>
                <w:lang w:eastAsia="en-NZ"/>
              </w:rPr>
            </w:pPr>
            <w:r>
              <w:rPr>
                <w:rFonts w:asciiTheme="majorHAnsi" w:hAnsiTheme="majorHAnsi" w:cstheme="majorHAnsi"/>
                <w:color w:val="auto"/>
                <w:sz w:val="24"/>
                <w:szCs w:val="24"/>
                <w:lang w:eastAsia="en-NZ"/>
              </w:rPr>
              <w:t>6) Combine Outcome Report data from 2017 &amp; 2018 to enhance statistical analysis of data.</w:t>
            </w:r>
          </w:p>
        </w:tc>
        <w:tc>
          <w:tcPr>
            <w:tcW w:w="3000" w:type="dxa"/>
            <w:tcBorders>
              <w:top w:val="single" w:sz="4" w:space="0" w:color="auto"/>
              <w:left w:val="nil"/>
              <w:bottom w:val="single" w:sz="4" w:space="0" w:color="auto"/>
              <w:right w:val="nil"/>
            </w:tcBorders>
            <w:shd w:val="clear" w:color="auto" w:fill="B4C6E7" w:themeFill="accent5" w:themeFillTint="66"/>
          </w:tcPr>
          <w:p w14:paraId="24C5C525" w14:textId="77777777" w:rsidR="00315F40" w:rsidRDefault="00315F40">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color w:val="auto"/>
                <w:sz w:val="24"/>
                <w:szCs w:val="24"/>
                <w:lang w:eastAsia="en-NZ"/>
              </w:rPr>
            </w:pPr>
            <w:r>
              <w:rPr>
                <w:rFonts w:asciiTheme="majorHAnsi" w:hAnsiTheme="majorHAnsi" w:cstheme="majorHAnsi"/>
                <w:bCs/>
                <w:color w:val="auto"/>
                <w:sz w:val="24"/>
                <w:szCs w:val="24"/>
                <w:lang w:eastAsia="en-NZ"/>
              </w:rPr>
              <w:lastRenderedPageBreak/>
              <w:t xml:space="preserve">AFB will consult the managing contractor to assess how best to implement these changes to the Australia Awards in Africa Monitoring and Evaluation Framework and document in the 2019-20 Annual Plan.   </w:t>
            </w:r>
          </w:p>
          <w:p w14:paraId="24C5C526" w14:textId="77777777" w:rsidR="00315F40" w:rsidRDefault="00315F40">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24"/>
                <w:szCs w:val="24"/>
              </w:rPr>
            </w:pPr>
          </w:p>
        </w:tc>
        <w:tc>
          <w:tcPr>
            <w:tcW w:w="3416" w:type="dxa"/>
            <w:tcBorders>
              <w:top w:val="single" w:sz="4" w:space="0" w:color="auto"/>
              <w:left w:val="nil"/>
              <w:bottom w:val="single" w:sz="4" w:space="0" w:color="auto"/>
              <w:right w:val="nil"/>
            </w:tcBorders>
            <w:shd w:val="clear" w:color="auto" w:fill="B4C6E7" w:themeFill="accent5" w:themeFillTint="66"/>
          </w:tcPr>
          <w:p w14:paraId="24C5C527" w14:textId="77777777" w:rsidR="00315F40" w:rsidRPr="00F654CC" w:rsidRDefault="00315F40">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rPr>
                <w:rStyle w:val="Strong"/>
                <w:b w:val="0"/>
              </w:rPr>
            </w:pPr>
            <w:r w:rsidRPr="00021AD3">
              <w:rPr>
                <w:rStyle w:val="Strong"/>
                <w:rFonts w:asciiTheme="majorHAnsi" w:hAnsiTheme="majorHAnsi" w:cstheme="majorHAnsi"/>
                <w:b w:val="0"/>
                <w:color w:val="auto"/>
                <w:sz w:val="24"/>
                <w:szCs w:val="24"/>
              </w:rPr>
              <w:t>By 1 July 2019 agreed approach will be documented in the 2019</w:t>
            </w:r>
            <w:r w:rsidRPr="00021AD3">
              <w:rPr>
                <w:rStyle w:val="Strong"/>
                <w:rFonts w:asciiTheme="majorHAnsi" w:hAnsiTheme="majorHAnsi" w:cstheme="majorHAnsi"/>
                <w:b w:val="0"/>
                <w:color w:val="auto"/>
                <w:sz w:val="24"/>
                <w:szCs w:val="24"/>
              </w:rPr>
              <w:noBreakHyphen/>
              <w:t xml:space="preserve">20 Annual Plan. </w:t>
            </w:r>
          </w:p>
          <w:p w14:paraId="24C5C528" w14:textId="77777777" w:rsidR="00315F40" w:rsidRPr="00021AD3" w:rsidRDefault="00315F40">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rPr>
                <w:rStyle w:val="Strong"/>
                <w:rFonts w:asciiTheme="majorHAnsi" w:hAnsiTheme="majorHAnsi" w:cstheme="majorHAnsi"/>
                <w:b w:val="0"/>
                <w:color w:val="auto"/>
                <w:sz w:val="24"/>
                <w:szCs w:val="24"/>
              </w:rPr>
            </w:pPr>
            <w:r w:rsidRPr="00021AD3">
              <w:rPr>
                <w:rStyle w:val="Strong"/>
                <w:rFonts w:asciiTheme="majorHAnsi" w:hAnsiTheme="majorHAnsi" w:cstheme="majorHAnsi"/>
                <w:b w:val="0"/>
                <w:color w:val="auto"/>
                <w:sz w:val="24"/>
                <w:szCs w:val="24"/>
              </w:rPr>
              <w:t>Ongoing implementation over the next 12 months. Progress will be reviewed between AFB and the managing contractor through the biannual Program Management Group Meetings and between AFB and Africa Posts at the February 2020 Annual Planning Meeting.</w:t>
            </w:r>
          </w:p>
          <w:p w14:paraId="24C5C529" w14:textId="77777777" w:rsidR="00315F40" w:rsidRPr="00021AD3" w:rsidRDefault="00315F40">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pPr>
          </w:p>
        </w:tc>
      </w:tr>
      <w:tr w:rsidR="00F654CC" w14:paraId="24C5C532" w14:textId="77777777" w:rsidTr="00420983">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162" w:type="dxa"/>
            <w:tcBorders>
              <w:top w:val="single" w:sz="4" w:space="0" w:color="auto"/>
              <w:left w:val="nil"/>
              <w:bottom w:val="single" w:sz="4" w:space="0" w:color="auto"/>
              <w:right w:val="nil"/>
            </w:tcBorders>
          </w:tcPr>
          <w:p w14:paraId="24C5C52B" w14:textId="77777777" w:rsidR="00315F40" w:rsidRDefault="00315F40">
            <w:pPr>
              <w:suppressAutoHyphens w:val="0"/>
              <w:spacing w:before="0" w:after="160" w:line="240" w:lineRule="auto"/>
              <w:contextualSpacing/>
              <w:rPr>
                <w:rFonts w:asciiTheme="majorHAnsi" w:eastAsia="Times New Roman" w:hAnsiTheme="majorHAnsi" w:cstheme="majorHAnsi"/>
                <w:color w:val="auto"/>
                <w:sz w:val="24"/>
                <w:szCs w:val="24"/>
                <w:lang w:val="en-AU" w:eastAsia="en-NZ"/>
              </w:rPr>
            </w:pPr>
            <w:r>
              <w:rPr>
                <w:rFonts w:asciiTheme="majorHAnsi" w:hAnsiTheme="majorHAnsi" w:cstheme="majorHAnsi"/>
                <w:color w:val="auto"/>
                <w:sz w:val="24"/>
                <w:szCs w:val="24"/>
              </w:rPr>
              <w:t xml:space="preserve">Recommendation 9 </w:t>
            </w:r>
            <w:r>
              <w:rPr>
                <w:rFonts w:asciiTheme="majorHAnsi" w:eastAsia="Times New Roman" w:hAnsiTheme="majorHAnsi" w:cstheme="majorHAnsi"/>
                <w:color w:val="auto"/>
                <w:sz w:val="24"/>
                <w:szCs w:val="24"/>
                <w:lang w:val="x-none" w:eastAsia="en-NZ"/>
              </w:rPr>
              <w:t>DFAT and Palladium agree on distribution plans for each of the key reporting and evaluation products</w:t>
            </w:r>
            <w:r>
              <w:rPr>
                <w:rFonts w:asciiTheme="majorHAnsi" w:eastAsia="Times New Roman" w:hAnsiTheme="majorHAnsi" w:cstheme="majorHAnsi"/>
                <w:color w:val="auto"/>
                <w:sz w:val="24"/>
                <w:szCs w:val="24"/>
                <w:lang w:val="en-AU" w:eastAsia="en-NZ"/>
              </w:rPr>
              <w:t xml:space="preserve"> (</w:t>
            </w:r>
            <w:r>
              <w:rPr>
                <w:rFonts w:asciiTheme="majorHAnsi" w:eastAsia="Times New Roman" w:hAnsiTheme="majorHAnsi" w:cstheme="majorHAnsi"/>
                <w:color w:val="auto"/>
                <w:sz w:val="24"/>
                <w:szCs w:val="24"/>
                <w:lang w:val="x-none" w:eastAsia="en-NZ"/>
              </w:rPr>
              <w:t>for example short course providers, alumni and coordinating authorities</w:t>
            </w:r>
            <w:r>
              <w:rPr>
                <w:rFonts w:asciiTheme="majorHAnsi" w:eastAsia="Times New Roman" w:hAnsiTheme="majorHAnsi" w:cstheme="majorHAnsi"/>
                <w:color w:val="auto"/>
                <w:sz w:val="24"/>
                <w:szCs w:val="24"/>
                <w:lang w:val="en-AU" w:eastAsia="en-NZ"/>
              </w:rPr>
              <w:t xml:space="preserve">). </w:t>
            </w:r>
          </w:p>
          <w:p w14:paraId="24C5C52C" w14:textId="77777777" w:rsidR="00315F40" w:rsidRDefault="00315F40">
            <w:pPr>
              <w:pStyle w:val="Heading3"/>
              <w:spacing w:before="120" w:line="240" w:lineRule="auto"/>
              <w:outlineLvl w:val="2"/>
              <w:rPr>
                <w:rFonts w:cstheme="majorHAnsi"/>
                <w:color w:val="auto"/>
                <w:sz w:val="24"/>
                <w:szCs w:val="24"/>
              </w:rPr>
            </w:pPr>
          </w:p>
        </w:tc>
        <w:tc>
          <w:tcPr>
            <w:tcW w:w="964" w:type="dxa"/>
            <w:tcBorders>
              <w:top w:val="single" w:sz="4" w:space="0" w:color="auto"/>
              <w:left w:val="nil"/>
              <w:bottom w:val="single" w:sz="4" w:space="0" w:color="auto"/>
              <w:right w:val="nil"/>
            </w:tcBorders>
            <w:shd w:val="clear" w:color="auto" w:fill="92D050"/>
            <w:hideMark/>
          </w:tcPr>
          <w:p w14:paraId="24C5C52D" w14:textId="77777777" w:rsidR="00315F40" w:rsidRDefault="00315F40">
            <w:pPr>
              <w:pStyle w:val="Heading3"/>
              <w:spacing w:before="240" w:after="0" w:line="240" w:lineRule="auto"/>
              <w:outlineLvl w:val="2"/>
              <w:cnfStyle w:val="000000010000" w:firstRow="0" w:lastRow="0" w:firstColumn="0" w:lastColumn="0" w:oddVBand="0" w:evenVBand="0" w:oddHBand="0" w:evenHBand="1" w:firstRowFirstColumn="0" w:firstRowLastColumn="0" w:lastRowFirstColumn="0" w:lastRowLastColumn="0"/>
              <w:rPr>
                <w:rFonts w:cstheme="majorHAnsi"/>
                <w:color w:val="auto"/>
                <w:sz w:val="24"/>
                <w:szCs w:val="24"/>
              </w:rPr>
            </w:pPr>
            <w:r>
              <w:rPr>
                <w:rFonts w:cstheme="majorHAnsi"/>
                <w:color w:val="auto"/>
                <w:sz w:val="24"/>
                <w:szCs w:val="24"/>
              </w:rPr>
              <w:t>Agree</w:t>
            </w:r>
          </w:p>
        </w:tc>
        <w:tc>
          <w:tcPr>
            <w:tcW w:w="3209" w:type="dxa"/>
            <w:tcBorders>
              <w:top w:val="single" w:sz="4" w:space="0" w:color="auto"/>
              <w:left w:val="nil"/>
              <w:bottom w:val="single" w:sz="4" w:space="0" w:color="auto"/>
              <w:right w:val="nil"/>
            </w:tcBorders>
            <w:hideMark/>
          </w:tcPr>
          <w:p w14:paraId="24C5C52E" w14:textId="77777777" w:rsidR="00315F40" w:rsidRDefault="00315F40">
            <w:pPr>
              <w:pStyle w:val="BodyText"/>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auto"/>
                <w:sz w:val="24"/>
                <w:szCs w:val="24"/>
              </w:rPr>
            </w:pPr>
            <w:r>
              <w:rPr>
                <w:rFonts w:asciiTheme="majorHAnsi" w:hAnsiTheme="majorHAnsi" w:cstheme="majorHAnsi"/>
                <w:color w:val="auto"/>
                <w:sz w:val="24"/>
                <w:szCs w:val="24"/>
              </w:rPr>
              <w:t>The evaluation found there would be benefit in packaging information and distributing reports to ensure that the information needs/interests of stakeholders (such as, short course providers, alumni and coordinating authorities) are being met. This would add to the accountability of Australia Awards in Africa.</w:t>
            </w:r>
          </w:p>
        </w:tc>
        <w:tc>
          <w:tcPr>
            <w:tcW w:w="3000" w:type="dxa"/>
            <w:tcBorders>
              <w:top w:val="single" w:sz="4" w:space="0" w:color="auto"/>
              <w:left w:val="nil"/>
              <w:bottom w:val="single" w:sz="4" w:space="0" w:color="auto"/>
              <w:right w:val="nil"/>
            </w:tcBorders>
            <w:hideMark/>
          </w:tcPr>
          <w:p w14:paraId="24C5C52F" w14:textId="77777777" w:rsidR="00315F40" w:rsidRDefault="00315F40">
            <w:pPr>
              <w:suppressAutoHyphens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color w:val="auto"/>
                <w:sz w:val="24"/>
                <w:szCs w:val="24"/>
                <w:lang w:val="en-AU" w:eastAsia="en-NZ"/>
              </w:rPr>
            </w:pPr>
            <w:r>
              <w:rPr>
                <w:rFonts w:asciiTheme="majorHAnsi" w:eastAsia="Times New Roman" w:hAnsiTheme="majorHAnsi" w:cstheme="majorHAnsi"/>
                <w:color w:val="auto"/>
                <w:sz w:val="24"/>
                <w:szCs w:val="24"/>
                <w:lang w:val="en-AU" w:eastAsia="en-NZ"/>
              </w:rPr>
              <w:t xml:space="preserve">AFB will consult Palladium to assess how best to implement these changes and incorporate into the 2019-2020 annual plan.  </w:t>
            </w:r>
          </w:p>
        </w:tc>
        <w:tc>
          <w:tcPr>
            <w:tcW w:w="3416" w:type="dxa"/>
            <w:tcBorders>
              <w:top w:val="single" w:sz="4" w:space="0" w:color="auto"/>
              <w:left w:val="nil"/>
              <w:bottom w:val="single" w:sz="4" w:space="0" w:color="auto"/>
              <w:right w:val="nil"/>
            </w:tcBorders>
            <w:hideMark/>
          </w:tcPr>
          <w:p w14:paraId="24C5C530" w14:textId="77777777" w:rsidR="00315F40" w:rsidRPr="00021AD3" w:rsidRDefault="00315F40">
            <w:pPr>
              <w:pStyle w:val="BodyText"/>
              <w:spacing w:before="0" w:after="0" w:line="240" w:lineRule="auto"/>
              <w:cnfStyle w:val="000000010000" w:firstRow="0" w:lastRow="0" w:firstColumn="0" w:lastColumn="0" w:oddVBand="0" w:evenVBand="0" w:oddHBand="0" w:evenHBand="1" w:firstRowFirstColumn="0" w:firstRowLastColumn="0" w:lastRowFirstColumn="0" w:lastRowLastColumn="0"/>
              <w:rPr>
                <w:rStyle w:val="Strong"/>
                <w:b w:val="0"/>
              </w:rPr>
            </w:pPr>
            <w:r w:rsidRPr="00021AD3">
              <w:rPr>
                <w:rStyle w:val="Strong"/>
                <w:rFonts w:asciiTheme="majorHAnsi" w:hAnsiTheme="majorHAnsi" w:cstheme="majorHAnsi"/>
                <w:b w:val="0"/>
                <w:color w:val="auto"/>
                <w:sz w:val="24"/>
                <w:szCs w:val="24"/>
              </w:rPr>
              <w:t>1 July 2019 agreed approach will be documented in the 2019</w:t>
            </w:r>
            <w:r w:rsidRPr="00021AD3">
              <w:rPr>
                <w:rStyle w:val="Strong"/>
                <w:rFonts w:asciiTheme="majorHAnsi" w:hAnsiTheme="majorHAnsi" w:cstheme="majorHAnsi"/>
                <w:b w:val="0"/>
                <w:color w:val="auto"/>
                <w:sz w:val="24"/>
                <w:szCs w:val="24"/>
              </w:rPr>
              <w:noBreakHyphen/>
              <w:t>20 Annual Plan.</w:t>
            </w:r>
          </w:p>
          <w:p w14:paraId="24C5C531" w14:textId="77777777" w:rsidR="00A73650" w:rsidRPr="00F654CC" w:rsidRDefault="00315F40">
            <w:pPr>
              <w:pStyle w:val="BodyText"/>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Cs/>
                <w:color w:val="auto"/>
                <w:sz w:val="24"/>
                <w:szCs w:val="24"/>
              </w:rPr>
            </w:pPr>
            <w:r w:rsidRPr="00021AD3">
              <w:rPr>
                <w:rStyle w:val="Strong"/>
                <w:rFonts w:asciiTheme="majorHAnsi" w:hAnsiTheme="majorHAnsi" w:cstheme="majorHAnsi"/>
                <w:b w:val="0"/>
                <w:color w:val="auto"/>
                <w:sz w:val="24"/>
                <w:szCs w:val="24"/>
              </w:rPr>
              <w:t xml:space="preserve">Ongoing implementation over the next 12 months. Progress will be reviewed between AFB and the managing contractor through the </w:t>
            </w:r>
            <w:proofErr w:type="gramStart"/>
            <w:r w:rsidRPr="00021AD3">
              <w:rPr>
                <w:rStyle w:val="Strong"/>
                <w:rFonts w:asciiTheme="majorHAnsi" w:hAnsiTheme="majorHAnsi" w:cstheme="majorHAnsi"/>
                <w:b w:val="0"/>
                <w:color w:val="auto"/>
                <w:sz w:val="24"/>
                <w:szCs w:val="24"/>
              </w:rPr>
              <w:t>six monthly</w:t>
            </w:r>
            <w:proofErr w:type="gramEnd"/>
            <w:r w:rsidRPr="00021AD3">
              <w:rPr>
                <w:rStyle w:val="Strong"/>
                <w:rFonts w:asciiTheme="majorHAnsi" w:hAnsiTheme="majorHAnsi" w:cstheme="majorHAnsi"/>
                <w:b w:val="0"/>
                <w:color w:val="auto"/>
                <w:sz w:val="24"/>
                <w:szCs w:val="24"/>
              </w:rPr>
              <w:t xml:space="preserve"> Program Management Group Meetings and between AFB and Africa Posts at the February 2020 Annual Planning Meeting.</w:t>
            </w:r>
          </w:p>
        </w:tc>
      </w:tr>
      <w:tr w:rsidR="00420983" w14:paraId="24C5C53A" w14:textId="77777777" w:rsidTr="0042098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162" w:type="dxa"/>
            <w:tcBorders>
              <w:top w:val="single" w:sz="4" w:space="0" w:color="auto"/>
              <w:left w:val="nil"/>
              <w:bottom w:val="single" w:sz="4" w:space="0" w:color="auto"/>
              <w:right w:val="nil"/>
            </w:tcBorders>
          </w:tcPr>
          <w:p w14:paraId="24C5C533" w14:textId="77777777" w:rsidR="00315F40" w:rsidRDefault="00315F40">
            <w:pPr>
              <w:suppressAutoHyphens w:val="0"/>
              <w:spacing w:before="0" w:after="160" w:line="240" w:lineRule="auto"/>
              <w:contextualSpacing/>
              <w:rPr>
                <w:rFonts w:asciiTheme="majorHAnsi" w:hAnsiTheme="majorHAnsi" w:cstheme="majorHAnsi"/>
                <w:color w:val="auto"/>
                <w:sz w:val="24"/>
                <w:szCs w:val="24"/>
              </w:rPr>
            </w:pPr>
            <w:r>
              <w:rPr>
                <w:rFonts w:asciiTheme="majorHAnsi" w:hAnsiTheme="majorHAnsi" w:cstheme="majorHAnsi"/>
                <w:color w:val="auto"/>
                <w:sz w:val="24"/>
                <w:szCs w:val="24"/>
              </w:rPr>
              <w:t xml:space="preserve">Recommendation 10 DFAT and Palladium use the annual planning process to clarify: timing and content of specific communications products to be developed for each Post (in conjunction with the promotions plans); level of assistance required for each Post to maintain their alumni </w:t>
            </w:r>
            <w:r>
              <w:rPr>
                <w:rFonts w:asciiTheme="majorHAnsi" w:hAnsiTheme="majorHAnsi" w:cstheme="majorHAnsi"/>
                <w:color w:val="auto"/>
                <w:sz w:val="24"/>
                <w:szCs w:val="24"/>
              </w:rPr>
              <w:lastRenderedPageBreak/>
              <w:t xml:space="preserve">contact register; </w:t>
            </w:r>
            <w:proofErr w:type="gramStart"/>
            <w:r>
              <w:rPr>
                <w:rFonts w:asciiTheme="majorHAnsi" w:hAnsiTheme="majorHAnsi" w:cstheme="majorHAnsi"/>
                <w:color w:val="auto"/>
                <w:sz w:val="24"/>
                <w:szCs w:val="24"/>
              </w:rPr>
              <w:t>and,</w:t>
            </w:r>
            <w:proofErr w:type="gramEnd"/>
            <w:r>
              <w:rPr>
                <w:rFonts w:asciiTheme="majorHAnsi" w:hAnsiTheme="majorHAnsi" w:cstheme="majorHAnsi"/>
                <w:color w:val="auto"/>
                <w:sz w:val="24"/>
                <w:szCs w:val="24"/>
              </w:rPr>
              <w:t xml:space="preserve"> other issues as raised by Post with the Africa Branch.  </w:t>
            </w:r>
          </w:p>
        </w:tc>
        <w:tc>
          <w:tcPr>
            <w:tcW w:w="964" w:type="dxa"/>
            <w:tcBorders>
              <w:top w:val="single" w:sz="4" w:space="0" w:color="auto"/>
              <w:left w:val="nil"/>
              <w:bottom w:val="single" w:sz="4" w:space="0" w:color="auto"/>
              <w:right w:val="nil"/>
            </w:tcBorders>
            <w:shd w:val="clear" w:color="auto" w:fill="92D050"/>
            <w:hideMark/>
          </w:tcPr>
          <w:p w14:paraId="24C5C534" w14:textId="77777777" w:rsidR="00315F40" w:rsidRDefault="00315F40">
            <w:pPr>
              <w:pStyle w:val="Heading3"/>
              <w:spacing w:before="240" w:after="0" w:line="240" w:lineRule="auto"/>
              <w:outlineLvl w:val="2"/>
              <w:cnfStyle w:val="000000100000" w:firstRow="0" w:lastRow="0" w:firstColumn="0" w:lastColumn="0" w:oddVBand="0" w:evenVBand="0" w:oddHBand="1" w:evenHBand="0" w:firstRowFirstColumn="0" w:firstRowLastColumn="0" w:lastRowFirstColumn="0" w:lastRowLastColumn="0"/>
              <w:rPr>
                <w:rFonts w:cstheme="majorHAnsi"/>
                <w:color w:val="auto"/>
                <w:sz w:val="24"/>
                <w:szCs w:val="24"/>
              </w:rPr>
            </w:pPr>
            <w:r>
              <w:rPr>
                <w:rFonts w:cstheme="majorHAnsi"/>
                <w:color w:val="auto"/>
                <w:sz w:val="24"/>
                <w:szCs w:val="24"/>
              </w:rPr>
              <w:lastRenderedPageBreak/>
              <w:t>Agree</w:t>
            </w:r>
          </w:p>
        </w:tc>
        <w:tc>
          <w:tcPr>
            <w:tcW w:w="3209" w:type="dxa"/>
            <w:tcBorders>
              <w:top w:val="single" w:sz="4" w:space="0" w:color="auto"/>
              <w:left w:val="nil"/>
              <w:bottom w:val="single" w:sz="4" w:space="0" w:color="auto"/>
              <w:right w:val="nil"/>
            </w:tcBorders>
            <w:shd w:val="clear" w:color="auto" w:fill="B4C6E7" w:themeFill="accent5" w:themeFillTint="66"/>
          </w:tcPr>
          <w:p w14:paraId="24C5C535" w14:textId="77777777" w:rsidR="00315F40" w:rsidRDefault="00315F40">
            <w:pPr>
              <w:pStyle w:val="Bullet"/>
              <w:numPr>
                <w:ilvl w:val="0"/>
                <w:numId w:val="0"/>
              </w:num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4546A" w:themeColor="text2"/>
                <w:sz w:val="24"/>
                <w:szCs w:val="24"/>
                <w:lang w:eastAsia="en-US"/>
              </w:rPr>
            </w:pPr>
            <w:r>
              <w:rPr>
                <w:rFonts w:asciiTheme="majorHAnsi" w:hAnsiTheme="majorHAnsi" w:cstheme="majorHAnsi"/>
                <w:color w:val="44546A" w:themeColor="text2"/>
                <w:sz w:val="24"/>
                <w:szCs w:val="24"/>
                <w:lang w:eastAsia="en-US"/>
              </w:rPr>
              <w:t xml:space="preserve">The evaluation documented that different Posts require different levels of engagement with, and support from, Palladium on various aspects of the program. The largest variances across Post’s expectations relate to communications and public diplomacy support required </w:t>
            </w:r>
            <w:r>
              <w:rPr>
                <w:rFonts w:asciiTheme="majorHAnsi" w:hAnsiTheme="majorHAnsi" w:cstheme="majorHAnsi"/>
                <w:color w:val="44546A" w:themeColor="text2"/>
                <w:sz w:val="24"/>
                <w:szCs w:val="24"/>
                <w:lang w:eastAsia="en-US"/>
              </w:rPr>
              <w:lastRenderedPageBreak/>
              <w:t xml:space="preserve">from Palladium, and the level of detail and notice required for activities scheduled in the annual work plan. </w:t>
            </w:r>
          </w:p>
          <w:p w14:paraId="24C5C536" w14:textId="77777777" w:rsidR="00315F40" w:rsidRDefault="00315F40">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24"/>
                <w:szCs w:val="24"/>
              </w:rPr>
            </w:pPr>
          </w:p>
        </w:tc>
        <w:tc>
          <w:tcPr>
            <w:tcW w:w="3000" w:type="dxa"/>
            <w:tcBorders>
              <w:top w:val="single" w:sz="4" w:space="0" w:color="auto"/>
              <w:left w:val="nil"/>
              <w:bottom w:val="single" w:sz="4" w:space="0" w:color="auto"/>
              <w:right w:val="nil"/>
            </w:tcBorders>
            <w:shd w:val="clear" w:color="auto" w:fill="B4C6E7" w:themeFill="accent5" w:themeFillTint="66"/>
            <w:hideMark/>
          </w:tcPr>
          <w:p w14:paraId="24C5C537" w14:textId="77777777" w:rsidR="00315F40" w:rsidRDefault="00315F40">
            <w:pPr>
              <w:suppressAutoHyphens w:val="0"/>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24"/>
                <w:szCs w:val="24"/>
              </w:rPr>
            </w:pPr>
            <w:r>
              <w:rPr>
                <w:rFonts w:asciiTheme="majorHAnsi" w:hAnsiTheme="majorHAnsi" w:cstheme="majorHAnsi"/>
                <w:color w:val="auto"/>
                <w:sz w:val="24"/>
                <w:szCs w:val="24"/>
                <w:lang w:eastAsia="en-NZ"/>
              </w:rPr>
              <w:lastRenderedPageBreak/>
              <w:t xml:space="preserve">AFB will consult Posts and Palladium to develop an approach to implementing this recommendation and include in the 2019-2020 Annual Plan.  </w:t>
            </w:r>
          </w:p>
        </w:tc>
        <w:tc>
          <w:tcPr>
            <w:tcW w:w="3416" w:type="dxa"/>
            <w:tcBorders>
              <w:top w:val="single" w:sz="4" w:space="0" w:color="auto"/>
              <w:left w:val="nil"/>
              <w:bottom w:val="single" w:sz="4" w:space="0" w:color="auto"/>
              <w:right w:val="nil"/>
            </w:tcBorders>
            <w:shd w:val="clear" w:color="auto" w:fill="B4C6E7" w:themeFill="accent5" w:themeFillTint="66"/>
            <w:hideMark/>
          </w:tcPr>
          <w:p w14:paraId="24C5C538" w14:textId="77777777" w:rsidR="00315F40" w:rsidRPr="00021AD3" w:rsidRDefault="00315F40">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rPr>
                <w:rStyle w:val="Strong"/>
                <w:b w:val="0"/>
              </w:rPr>
            </w:pPr>
            <w:r w:rsidRPr="00021AD3">
              <w:rPr>
                <w:rStyle w:val="Strong"/>
                <w:rFonts w:asciiTheme="majorHAnsi" w:hAnsiTheme="majorHAnsi" w:cstheme="majorHAnsi"/>
                <w:b w:val="0"/>
                <w:color w:val="auto"/>
                <w:sz w:val="24"/>
                <w:szCs w:val="24"/>
              </w:rPr>
              <w:t>1 July 2019 agreed approach will be documented in the 2019</w:t>
            </w:r>
            <w:r w:rsidRPr="00021AD3">
              <w:rPr>
                <w:rStyle w:val="Strong"/>
                <w:rFonts w:asciiTheme="majorHAnsi" w:hAnsiTheme="majorHAnsi" w:cstheme="majorHAnsi"/>
                <w:b w:val="0"/>
                <w:color w:val="auto"/>
                <w:sz w:val="24"/>
                <w:szCs w:val="24"/>
              </w:rPr>
              <w:noBreakHyphen/>
              <w:t>20 Annual Plan.</w:t>
            </w:r>
          </w:p>
          <w:p w14:paraId="24C5C539" w14:textId="77777777" w:rsidR="00315F40" w:rsidRPr="00021AD3" w:rsidRDefault="00315F40">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rPr>
                <w:b/>
              </w:rPr>
            </w:pPr>
            <w:r w:rsidRPr="00021AD3">
              <w:rPr>
                <w:rStyle w:val="Strong"/>
                <w:rFonts w:asciiTheme="majorHAnsi" w:hAnsiTheme="majorHAnsi" w:cstheme="majorHAnsi"/>
                <w:b w:val="0"/>
                <w:color w:val="auto"/>
                <w:sz w:val="24"/>
                <w:szCs w:val="24"/>
              </w:rPr>
              <w:t xml:space="preserve">Ongoing implementation over the next 12 months. Progress will be reviewed between AFB and the managing contractor through the biannual Program Management Group Meetings and between AFB and Africa </w:t>
            </w:r>
            <w:r w:rsidRPr="00021AD3">
              <w:rPr>
                <w:rStyle w:val="Strong"/>
                <w:rFonts w:asciiTheme="majorHAnsi" w:hAnsiTheme="majorHAnsi" w:cstheme="majorHAnsi"/>
                <w:b w:val="0"/>
                <w:color w:val="auto"/>
                <w:sz w:val="24"/>
                <w:szCs w:val="24"/>
              </w:rPr>
              <w:lastRenderedPageBreak/>
              <w:t>Posts at the February 2020 Annual Planning Meeting.</w:t>
            </w:r>
          </w:p>
        </w:tc>
      </w:tr>
      <w:tr w:rsidR="00F654CC" w14:paraId="24C5C542" w14:textId="77777777" w:rsidTr="00420983">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162" w:type="dxa"/>
            <w:tcBorders>
              <w:top w:val="single" w:sz="4" w:space="0" w:color="auto"/>
              <w:left w:val="nil"/>
              <w:bottom w:val="single" w:sz="4" w:space="0" w:color="auto"/>
              <w:right w:val="nil"/>
            </w:tcBorders>
            <w:hideMark/>
          </w:tcPr>
          <w:p w14:paraId="24C5C53B" w14:textId="77777777" w:rsidR="00315F40" w:rsidRDefault="00315F40">
            <w:pPr>
              <w:pStyle w:val="Heading3"/>
              <w:spacing w:before="0" w:after="0" w:line="240" w:lineRule="auto"/>
              <w:outlineLvl w:val="2"/>
              <w:rPr>
                <w:rFonts w:cstheme="majorHAnsi"/>
                <w:color w:val="auto"/>
                <w:sz w:val="24"/>
                <w:szCs w:val="24"/>
              </w:rPr>
            </w:pPr>
            <w:r>
              <w:rPr>
                <w:rFonts w:cstheme="majorHAnsi"/>
                <w:color w:val="auto"/>
                <w:sz w:val="24"/>
                <w:szCs w:val="24"/>
              </w:rPr>
              <w:lastRenderedPageBreak/>
              <w:t>Recommendation 11</w:t>
            </w:r>
            <w:r>
              <w:rPr>
                <w:rFonts w:eastAsia="Times New Roman" w:cstheme="majorHAnsi"/>
                <w:color w:val="auto"/>
                <w:sz w:val="24"/>
                <w:szCs w:val="24"/>
                <w:lang w:val="x-none" w:eastAsia="en-NZ"/>
              </w:rPr>
              <w:t xml:space="preserve"> Amend the Outcome 2 wording to read ‘Alumni view Australia, Australians and Australian expertise positively’</w:t>
            </w:r>
            <w:r>
              <w:rPr>
                <w:rFonts w:eastAsia="Times New Roman" w:cstheme="majorHAnsi"/>
                <w:color w:val="auto"/>
                <w:sz w:val="24"/>
                <w:szCs w:val="24"/>
                <w:lang w:eastAsia="en-NZ"/>
              </w:rPr>
              <w:t xml:space="preserve"> (see </w:t>
            </w:r>
            <w:r>
              <w:rPr>
                <w:rFonts w:eastAsia="Times New Roman" w:cstheme="majorHAnsi"/>
                <w:color w:val="auto"/>
                <w:sz w:val="24"/>
                <w:szCs w:val="24"/>
                <w:u w:val="single"/>
                <w:lang w:eastAsia="en-NZ"/>
              </w:rPr>
              <w:t>Attachment 3</w:t>
            </w:r>
            <w:r>
              <w:rPr>
                <w:rFonts w:eastAsia="Times New Roman" w:cstheme="majorHAnsi"/>
                <w:color w:val="auto"/>
                <w:sz w:val="24"/>
                <w:szCs w:val="24"/>
                <w:lang w:eastAsia="en-NZ"/>
              </w:rPr>
              <w:t>).</w:t>
            </w:r>
          </w:p>
        </w:tc>
        <w:tc>
          <w:tcPr>
            <w:tcW w:w="964" w:type="dxa"/>
            <w:tcBorders>
              <w:top w:val="single" w:sz="4" w:space="0" w:color="auto"/>
              <w:left w:val="nil"/>
              <w:bottom w:val="single" w:sz="4" w:space="0" w:color="auto"/>
              <w:right w:val="nil"/>
            </w:tcBorders>
            <w:shd w:val="clear" w:color="auto" w:fill="92D050"/>
            <w:hideMark/>
          </w:tcPr>
          <w:p w14:paraId="24C5C53C" w14:textId="77777777" w:rsidR="00315F40" w:rsidRDefault="00315F40">
            <w:pPr>
              <w:pStyle w:val="Heading3"/>
              <w:spacing w:before="240" w:after="0" w:line="240" w:lineRule="auto"/>
              <w:outlineLvl w:val="2"/>
              <w:cnfStyle w:val="000000010000" w:firstRow="0" w:lastRow="0" w:firstColumn="0" w:lastColumn="0" w:oddVBand="0" w:evenVBand="0" w:oddHBand="0" w:evenHBand="1" w:firstRowFirstColumn="0" w:firstRowLastColumn="0" w:lastRowFirstColumn="0" w:lastRowLastColumn="0"/>
              <w:rPr>
                <w:rFonts w:cstheme="majorHAnsi"/>
                <w:color w:val="auto"/>
                <w:sz w:val="24"/>
                <w:szCs w:val="24"/>
              </w:rPr>
            </w:pPr>
            <w:r>
              <w:rPr>
                <w:rFonts w:cstheme="majorHAnsi"/>
                <w:color w:val="auto"/>
                <w:sz w:val="24"/>
                <w:szCs w:val="24"/>
              </w:rPr>
              <w:t>Agree</w:t>
            </w:r>
          </w:p>
        </w:tc>
        <w:tc>
          <w:tcPr>
            <w:tcW w:w="3209" w:type="dxa"/>
            <w:tcBorders>
              <w:top w:val="single" w:sz="4" w:space="0" w:color="auto"/>
              <w:left w:val="nil"/>
              <w:bottom w:val="single" w:sz="4" w:space="0" w:color="auto"/>
              <w:right w:val="nil"/>
            </w:tcBorders>
            <w:hideMark/>
          </w:tcPr>
          <w:p w14:paraId="24C5C53D" w14:textId="77777777" w:rsidR="00315F40" w:rsidRDefault="00315F40">
            <w:pPr>
              <w:pStyle w:val="BodyText"/>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auto"/>
                <w:sz w:val="24"/>
                <w:szCs w:val="24"/>
              </w:rPr>
            </w:pPr>
            <w:r>
              <w:rPr>
                <w:rFonts w:asciiTheme="majorHAnsi" w:hAnsiTheme="majorHAnsi" w:cstheme="majorHAnsi"/>
                <w:color w:val="auto"/>
                <w:sz w:val="24"/>
                <w:szCs w:val="24"/>
                <w:lang w:eastAsia="en-NZ"/>
              </w:rPr>
              <w:t xml:space="preserve">This Australia Awards Global outcome has clear alignment with Australia Awards in Africa delivery and the existing MEF therefore the outcome can be made with minimal disruption to the program. </w:t>
            </w:r>
          </w:p>
        </w:tc>
        <w:tc>
          <w:tcPr>
            <w:tcW w:w="3000" w:type="dxa"/>
            <w:tcBorders>
              <w:top w:val="single" w:sz="4" w:space="0" w:color="auto"/>
              <w:left w:val="nil"/>
              <w:bottom w:val="single" w:sz="4" w:space="0" w:color="auto"/>
              <w:right w:val="nil"/>
            </w:tcBorders>
          </w:tcPr>
          <w:p w14:paraId="24C5C53E" w14:textId="77777777" w:rsidR="00315F40" w:rsidRDefault="00315F40">
            <w:pPr>
              <w:suppressAutoHyphens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color w:val="auto"/>
                <w:sz w:val="24"/>
                <w:szCs w:val="24"/>
                <w:lang w:val="en-AU" w:eastAsia="en-NZ"/>
              </w:rPr>
            </w:pPr>
            <w:r>
              <w:rPr>
                <w:rFonts w:asciiTheme="majorHAnsi" w:eastAsia="Times New Roman" w:hAnsiTheme="majorHAnsi" w:cstheme="majorHAnsi"/>
                <w:color w:val="auto"/>
                <w:sz w:val="24"/>
                <w:szCs w:val="24"/>
                <w:lang w:val="en-AU" w:eastAsia="en-NZ"/>
              </w:rPr>
              <w:t xml:space="preserve">AFB will consult Palladium to assess how best to implement this change.  </w:t>
            </w:r>
          </w:p>
          <w:p w14:paraId="24C5C53F" w14:textId="77777777" w:rsidR="00315F40" w:rsidRDefault="00315F40">
            <w:pPr>
              <w:pStyle w:val="BodyText"/>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auto"/>
                <w:sz w:val="24"/>
                <w:szCs w:val="24"/>
              </w:rPr>
            </w:pPr>
          </w:p>
        </w:tc>
        <w:tc>
          <w:tcPr>
            <w:tcW w:w="3416" w:type="dxa"/>
            <w:tcBorders>
              <w:top w:val="single" w:sz="4" w:space="0" w:color="auto"/>
              <w:left w:val="nil"/>
              <w:bottom w:val="single" w:sz="4" w:space="0" w:color="auto"/>
              <w:right w:val="nil"/>
            </w:tcBorders>
            <w:hideMark/>
          </w:tcPr>
          <w:p w14:paraId="24C5C540" w14:textId="77777777" w:rsidR="00315F40" w:rsidRPr="00021AD3" w:rsidRDefault="00315F40">
            <w:pPr>
              <w:pStyle w:val="BodyText"/>
              <w:spacing w:before="0" w:after="0" w:line="240" w:lineRule="auto"/>
              <w:cnfStyle w:val="000000010000" w:firstRow="0" w:lastRow="0" w:firstColumn="0" w:lastColumn="0" w:oddVBand="0" w:evenVBand="0" w:oddHBand="0" w:evenHBand="1" w:firstRowFirstColumn="0" w:firstRowLastColumn="0" w:lastRowFirstColumn="0" w:lastRowLastColumn="0"/>
              <w:rPr>
                <w:rStyle w:val="Strong"/>
                <w:b w:val="0"/>
              </w:rPr>
            </w:pPr>
            <w:r w:rsidRPr="00021AD3">
              <w:rPr>
                <w:rStyle w:val="Strong"/>
                <w:rFonts w:asciiTheme="majorHAnsi" w:hAnsiTheme="majorHAnsi" w:cstheme="majorHAnsi"/>
                <w:b w:val="0"/>
                <w:color w:val="auto"/>
                <w:sz w:val="24"/>
                <w:szCs w:val="24"/>
              </w:rPr>
              <w:t>By 1 July 2019 agreed approach will be documented in the 2019</w:t>
            </w:r>
            <w:r w:rsidRPr="00021AD3">
              <w:rPr>
                <w:rStyle w:val="Strong"/>
                <w:rFonts w:asciiTheme="majorHAnsi" w:hAnsiTheme="majorHAnsi" w:cstheme="majorHAnsi"/>
                <w:b w:val="0"/>
                <w:color w:val="auto"/>
                <w:sz w:val="24"/>
                <w:szCs w:val="24"/>
              </w:rPr>
              <w:noBreakHyphen/>
              <w:t>20 Annual Plan.</w:t>
            </w:r>
          </w:p>
          <w:p w14:paraId="24C5C541" w14:textId="77777777" w:rsidR="00315F40" w:rsidRPr="00021AD3" w:rsidRDefault="00315F40">
            <w:pPr>
              <w:pStyle w:val="BodyText"/>
              <w:spacing w:after="0" w:line="240" w:lineRule="auto"/>
              <w:cnfStyle w:val="000000010000" w:firstRow="0" w:lastRow="0" w:firstColumn="0" w:lastColumn="0" w:oddVBand="0" w:evenVBand="0" w:oddHBand="0" w:evenHBand="1" w:firstRowFirstColumn="0" w:firstRowLastColumn="0" w:lastRowFirstColumn="0" w:lastRowLastColumn="0"/>
              <w:rPr>
                <w:b/>
              </w:rPr>
            </w:pPr>
            <w:r w:rsidRPr="00021AD3">
              <w:rPr>
                <w:rStyle w:val="Strong"/>
                <w:rFonts w:asciiTheme="majorHAnsi" w:hAnsiTheme="majorHAnsi" w:cstheme="majorHAnsi"/>
                <w:b w:val="0"/>
                <w:color w:val="auto"/>
                <w:sz w:val="24"/>
                <w:szCs w:val="24"/>
              </w:rPr>
              <w:t>Ongoing implementation over the next 12 months. Progress will be reviewed between AFB and the managing contractor through the biannual Program Management Group Meetings and between AFB and Africa Posts at the February 2020 Annual Planning Meeting.</w:t>
            </w:r>
          </w:p>
        </w:tc>
      </w:tr>
      <w:tr w:rsidR="00420983" w14:paraId="24C5C54B" w14:textId="77777777" w:rsidTr="0042098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162" w:type="dxa"/>
            <w:tcBorders>
              <w:top w:val="single" w:sz="4" w:space="0" w:color="auto"/>
              <w:left w:val="nil"/>
              <w:bottom w:val="nil"/>
              <w:right w:val="nil"/>
            </w:tcBorders>
            <w:hideMark/>
          </w:tcPr>
          <w:p w14:paraId="24C5C543" w14:textId="77777777" w:rsidR="00315F40" w:rsidRDefault="00315F40">
            <w:pPr>
              <w:pStyle w:val="Heading3"/>
              <w:spacing w:before="0" w:after="0" w:line="240" w:lineRule="auto"/>
              <w:outlineLvl w:val="2"/>
              <w:rPr>
                <w:rFonts w:cstheme="majorHAnsi"/>
                <w:color w:val="auto"/>
                <w:sz w:val="24"/>
                <w:szCs w:val="24"/>
              </w:rPr>
            </w:pPr>
            <w:r>
              <w:rPr>
                <w:rFonts w:cstheme="majorHAnsi"/>
                <w:color w:val="auto"/>
                <w:sz w:val="24"/>
                <w:szCs w:val="24"/>
              </w:rPr>
              <w:t>Recommendation 12</w:t>
            </w:r>
          </w:p>
          <w:p w14:paraId="24C5C544" w14:textId="77777777" w:rsidR="00315F40" w:rsidRDefault="00315F40">
            <w:pPr>
              <w:pStyle w:val="Heading3"/>
              <w:spacing w:before="0" w:after="0" w:line="240" w:lineRule="auto"/>
              <w:outlineLvl w:val="2"/>
              <w:rPr>
                <w:rFonts w:cstheme="majorHAnsi"/>
                <w:color w:val="auto"/>
                <w:sz w:val="24"/>
                <w:szCs w:val="24"/>
              </w:rPr>
            </w:pPr>
            <w:proofErr w:type="gramStart"/>
            <w:r>
              <w:rPr>
                <w:rFonts w:cstheme="majorHAnsi"/>
                <w:i/>
                <w:color w:val="auto"/>
                <w:sz w:val="24"/>
                <w:szCs w:val="24"/>
              </w:rPr>
              <w:t>Palladium</w:t>
            </w:r>
            <w:proofErr w:type="gramEnd"/>
            <w:r>
              <w:rPr>
                <w:rFonts w:cstheme="majorHAnsi"/>
                <w:i/>
                <w:color w:val="auto"/>
                <w:sz w:val="24"/>
                <w:szCs w:val="24"/>
              </w:rPr>
              <w:t xml:space="preserve"> adjust how it reports on disability-inclusion to give a clearer indication of the participation of People with Disability (PWD) in Australia Awards in Africa.</w:t>
            </w:r>
          </w:p>
        </w:tc>
        <w:tc>
          <w:tcPr>
            <w:tcW w:w="964" w:type="dxa"/>
            <w:tcBorders>
              <w:top w:val="single" w:sz="4" w:space="0" w:color="auto"/>
              <w:left w:val="nil"/>
              <w:bottom w:val="nil"/>
              <w:right w:val="nil"/>
            </w:tcBorders>
            <w:shd w:val="clear" w:color="auto" w:fill="92D050"/>
            <w:hideMark/>
          </w:tcPr>
          <w:p w14:paraId="24C5C545" w14:textId="77777777" w:rsidR="00315F40" w:rsidRDefault="00315F40">
            <w:pPr>
              <w:pStyle w:val="Heading3"/>
              <w:spacing w:before="240" w:after="0" w:line="240" w:lineRule="auto"/>
              <w:outlineLvl w:val="2"/>
              <w:cnfStyle w:val="000000100000" w:firstRow="0" w:lastRow="0" w:firstColumn="0" w:lastColumn="0" w:oddVBand="0" w:evenVBand="0" w:oddHBand="1" w:evenHBand="0" w:firstRowFirstColumn="0" w:firstRowLastColumn="0" w:lastRowFirstColumn="0" w:lastRowLastColumn="0"/>
              <w:rPr>
                <w:rFonts w:cstheme="majorHAnsi"/>
                <w:color w:val="auto"/>
                <w:sz w:val="24"/>
                <w:szCs w:val="24"/>
              </w:rPr>
            </w:pPr>
            <w:r>
              <w:rPr>
                <w:rFonts w:cstheme="majorHAnsi"/>
                <w:color w:val="auto"/>
                <w:sz w:val="24"/>
                <w:szCs w:val="24"/>
              </w:rPr>
              <w:t>Agree</w:t>
            </w:r>
          </w:p>
        </w:tc>
        <w:tc>
          <w:tcPr>
            <w:tcW w:w="3209" w:type="dxa"/>
            <w:tcBorders>
              <w:top w:val="single" w:sz="4" w:space="0" w:color="auto"/>
              <w:left w:val="nil"/>
              <w:bottom w:val="nil"/>
              <w:right w:val="nil"/>
            </w:tcBorders>
            <w:shd w:val="clear" w:color="auto" w:fill="B4C6E7" w:themeFill="accent5" w:themeFillTint="66"/>
          </w:tcPr>
          <w:p w14:paraId="24C5C546" w14:textId="77777777" w:rsidR="00315F40" w:rsidRDefault="00315F40">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24"/>
                <w:szCs w:val="24"/>
                <w:lang w:eastAsia="en-NZ"/>
              </w:rPr>
            </w:pPr>
            <w:r>
              <w:rPr>
                <w:rFonts w:asciiTheme="majorHAnsi" w:hAnsiTheme="majorHAnsi" w:cstheme="majorHAnsi"/>
                <w:color w:val="auto"/>
                <w:sz w:val="24"/>
                <w:szCs w:val="24"/>
                <w:lang w:eastAsia="en-NZ"/>
              </w:rPr>
              <w:t>The evaluation noted that clarifying the data to ensure that the number of PWD receiving a scholarship are counted separately from those non</w:t>
            </w:r>
            <w:r>
              <w:rPr>
                <w:rFonts w:asciiTheme="majorHAnsi" w:hAnsiTheme="majorHAnsi" w:cstheme="majorHAnsi"/>
                <w:color w:val="auto"/>
                <w:sz w:val="24"/>
                <w:szCs w:val="24"/>
                <w:lang w:eastAsia="en-NZ"/>
              </w:rPr>
              <w:noBreakHyphen/>
              <w:t>disabled scholars undertaking study in a related disability support field. At the same time the evaluation noted that targets for disability inclusion would not be effective given the significant barriers experienced by PWD which are outside the program’s control.</w:t>
            </w:r>
          </w:p>
          <w:p w14:paraId="24C5C547" w14:textId="77777777" w:rsidR="00315F40" w:rsidRDefault="00315F40">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24"/>
                <w:szCs w:val="24"/>
              </w:rPr>
            </w:pPr>
          </w:p>
        </w:tc>
        <w:tc>
          <w:tcPr>
            <w:tcW w:w="3000" w:type="dxa"/>
            <w:tcBorders>
              <w:top w:val="single" w:sz="4" w:space="0" w:color="auto"/>
              <w:left w:val="nil"/>
              <w:bottom w:val="nil"/>
              <w:right w:val="nil"/>
            </w:tcBorders>
            <w:shd w:val="clear" w:color="auto" w:fill="B4C6E7" w:themeFill="accent5" w:themeFillTint="66"/>
            <w:hideMark/>
          </w:tcPr>
          <w:p w14:paraId="24C5C548" w14:textId="77777777" w:rsidR="00315F40" w:rsidRDefault="00315F40">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auto"/>
                <w:sz w:val="24"/>
                <w:szCs w:val="24"/>
                <w:lang w:val="en-AU" w:eastAsia="en-NZ"/>
              </w:rPr>
            </w:pPr>
            <w:r>
              <w:rPr>
                <w:rFonts w:asciiTheme="majorHAnsi" w:hAnsiTheme="majorHAnsi" w:cstheme="majorHAnsi"/>
                <w:color w:val="auto"/>
                <w:sz w:val="24"/>
                <w:szCs w:val="24"/>
                <w:lang w:eastAsia="en-NZ"/>
              </w:rPr>
              <w:t>AFB will work with Palladium to implement this recommendation in all future data collection and reporting commencing with the 2019</w:t>
            </w:r>
            <w:r>
              <w:rPr>
                <w:rFonts w:asciiTheme="majorHAnsi" w:hAnsiTheme="majorHAnsi" w:cstheme="majorHAnsi"/>
                <w:color w:val="auto"/>
                <w:sz w:val="24"/>
                <w:szCs w:val="24"/>
                <w:lang w:eastAsia="en-NZ"/>
              </w:rPr>
              <w:noBreakHyphen/>
              <w:t>20 Annual Plan.</w:t>
            </w:r>
            <w:r>
              <w:rPr>
                <w:rFonts w:asciiTheme="majorHAnsi" w:eastAsia="Times New Roman" w:hAnsiTheme="majorHAnsi" w:cstheme="majorHAnsi"/>
                <w:color w:val="auto"/>
                <w:sz w:val="24"/>
                <w:szCs w:val="24"/>
                <w:lang w:val="en-AU" w:eastAsia="en-NZ"/>
              </w:rPr>
              <w:t xml:space="preserve"> </w:t>
            </w:r>
          </w:p>
        </w:tc>
        <w:tc>
          <w:tcPr>
            <w:tcW w:w="3416" w:type="dxa"/>
            <w:tcBorders>
              <w:top w:val="single" w:sz="4" w:space="0" w:color="auto"/>
              <w:left w:val="nil"/>
              <w:bottom w:val="nil"/>
              <w:right w:val="nil"/>
            </w:tcBorders>
            <w:shd w:val="clear" w:color="auto" w:fill="B4C6E7" w:themeFill="accent5" w:themeFillTint="66"/>
            <w:hideMark/>
          </w:tcPr>
          <w:p w14:paraId="24C5C549" w14:textId="77777777" w:rsidR="00315F40" w:rsidRPr="00021AD3" w:rsidRDefault="00315F40">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rPr>
                <w:rStyle w:val="Strong"/>
                <w:b w:val="0"/>
              </w:rPr>
            </w:pPr>
            <w:r w:rsidRPr="00021AD3">
              <w:rPr>
                <w:rStyle w:val="Strong"/>
                <w:rFonts w:asciiTheme="majorHAnsi" w:hAnsiTheme="majorHAnsi" w:cstheme="majorHAnsi"/>
                <w:b w:val="0"/>
                <w:color w:val="auto"/>
                <w:sz w:val="24"/>
                <w:szCs w:val="24"/>
              </w:rPr>
              <w:t>By 1 July 2019 agreed approach will be documented in the 2019</w:t>
            </w:r>
            <w:r w:rsidRPr="00021AD3">
              <w:rPr>
                <w:rStyle w:val="Strong"/>
                <w:rFonts w:asciiTheme="majorHAnsi" w:hAnsiTheme="majorHAnsi" w:cstheme="majorHAnsi"/>
                <w:b w:val="0"/>
                <w:color w:val="auto"/>
                <w:sz w:val="24"/>
                <w:szCs w:val="24"/>
              </w:rPr>
              <w:noBreakHyphen/>
              <w:t>20 Annual Plan.</w:t>
            </w:r>
          </w:p>
          <w:p w14:paraId="24C5C54A" w14:textId="77777777" w:rsidR="00315F40" w:rsidRPr="00021AD3" w:rsidRDefault="00315F40">
            <w:pPr>
              <w:pStyle w:val="BodyText"/>
              <w:spacing w:after="0" w:line="240" w:lineRule="auto"/>
              <w:cnfStyle w:val="000000100000" w:firstRow="0" w:lastRow="0" w:firstColumn="0" w:lastColumn="0" w:oddVBand="0" w:evenVBand="0" w:oddHBand="1" w:evenHBand="0" w:firstRowFirstColumn="0" w:firstRowLastColumn="0" w:lastRowFirstColumn="0" w:lastRowLastColumn="0"/>
              <w:rPr>
                <w:b/>
              </w:rPr>
            </w:pPr>
            <w:r w:rsidRPr="00021AD3">
              <w:rPr>
                <w:rStyle w:val="Strong"/>
                <w:rFonts w:asciiTheme="majorHAnsi" w:hAnsiTheme="majorHAnsi" w:cstheme="majorHAnsi"/>
                <w:b w:val="0"/>
                <w:color w:val="auto"/>
                <w:sz w:val="24"/>
                <w:szCs w:val="24"/>
              </w:rPr>
              <w:t>Ongoing implementation over the next 12 months. Progress will be reviewed between AFB and the managing contractor through the biannual Program Management Group Meetings and between AFB and Africa Posts at the Februa</w:t>
            </w:r>
            <w:r w:rsidR="00F654CC">
              <w:rPr>
                <w:rStyle w:val="Strong"/>
                <w:rFonts w:asciiTheme="majorHAnsi" w:hAnsiTheme="majorHAnsi" w:cstheme="majorHAnsi"/>
                <w:b w:val="0"/>
                <w:color w:val="auto"/>
                <w:sz w:val="24"/>
                <w:szCs w:val="24"/>
              </w:rPr>
              <w:t>ry 2020 Annual Planning Meeting.</w:t>
            </w:r>
          </w:p>
        </w:tc>
      </w:tr>
    </w:tbl>
    <w:p w14:paraId="24C5C54C" w14:textId="77777777" w:rsidR="00AA333A" w:rsidRPr="00315F40" w:rsidRDefault="001E24AC" w:rsidP="00F654CC"/>
    <w:sectPr w:rsidR="00AA333A" w:rsidRPr="00315F40" w:rsidSect="00F654CC">
      <w:footerReference w:type="first" r:id="rId8"/>
      <w:pgSz w:w="16838" w:h="11906" w:orient="landscape" w:code="9"/>
      <w:pgMar w:top="709" w:right="1985" w:bottom="851"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C5C54F" w14:textId="77777777" w:rsidR="007D2536" w:rsidRDefault="007D2536" w:rsidP="00F60BD2">
      <w:pPr>
        <w:spacing w:before="0" w:after="0" w:line="240" w:lineRule="auto"/>
      </w:pPr>
      <w:r>
        <w:separator/>
      </w:r>
    </w:p>
  </w:endnote>
  <w:endnote w:type="continuationSeparator" w:id="0">
    <w:p w14:paraId="24C5C550" w14:textId="77777777" w:rsidR="007D2536" w:rsidRDefault="007D2536" w:rsidP="00F60BD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altName w:val="Trebuchet MS"/>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9478653"/>
      <w:docPartObj>
        <w:docPartGallery w:val="Page Numbers (Bottom of Page)"/>
        <w:docPartUnique/>
      </w:docPartObj>
    </w:sdtPr>
    <w:sdtEndPr>
      <w:rPr>
        <w:noProof/>
      </w:rPr>
    </w:sdtEndPr>
    <w:sdtContent>
      <w:p w14:paraId="24C5C551" w14:textId="77777777" w:rsidR="00471794" w:rsidRDefault="00471794">
        <w:pPr>
          <w:pStyle w:val="Footer"/>
          <w:jc w:val="right"/>
        </w:pPr>
        <w:r>
          <w:fldChar w:fldCharType="begin"/>
        </w:r>
        <w:r>
          <w:instrText xml:space="preserve"> PAGE   \* MERGEFORMAT </w:instrText>
        </w:r>
        <w:r>
          <w:fldChar w:fldCharType="separate"/>
        </w:r>
        <w:r w:rsidR="00621AFB">
          <w:rPr>
            <w:noProof/>
          </w:rPr>
          <w:t>1</w:t>
        </w:r>
        <w:r>
          <w:rPr>
            <w:noProof/>
          </w:rPr>
          <w:fldChar w:fldCharType="end"/>
        </w:r>
      </w:p>
    </w:sdtContent>
  </w:sdt>
  <w:p w14:paraId="24C5C552" w14:textId="77777777" w:rsidR="00F60BD2" w:rsidRDefault="00F60B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C5C54D" w14:textId="77777777" w:rsidR="007D2536" w:rsidRDefault="007D2536" w:rsidP="00F60BD2">
      <w:pPr>
        <w:spacing w:before="0" w:after="0" w:line="240" w:lineRule="auto"/>
      </w:pPr>
      <w:r>
        <w:separator/>
      </w:r>
    </w:p>
  </w:footnote>
  <w:footnote w:type="continuationSeparator" w:id="0">
    <w:p w14:paraId="24C5C54E" w14:textId="77777777" w:rsidR="007D2536" w:rsidRDefault="007D2536" w:rsidP="00F60BD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2C68A0"/>
    <w:multiLevelType w:val="hybridMultilevel"/>
    <w:tmpl w:val="138AF03C"/>
    <w:lvl w:ilvl="0" w:tplc="5162B75A">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 w15:restartNumberingAfterBreak="0">
    <w:nsid w:val="14E01610"/>
    <w:multiLevelType w:val="hybridMultilevel"/>
    <w:tmpl w:val="1F04232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1EE705E"/>
    <w:multiLevelType w:val="hybridMultilevel"/>
    <w:tmpl w:val="183403AE"/>
    <w:lvl w:ilvl="0" w:tplc="5162B7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53536DB"/>
    <w:multiLevelType w:val="hybridMultilevel"/>
    <w:tmpl w:val="47B6A3C4"/>
    <w:lvl w:ilvl="0" w:tplc="0C090001">
      <w:start w:val="1"/>
      <w:numFmt w:val="bullet"/>
      <w:lvlText w:val=""/>
      <w:lvlJc w:val="left"/>
      <w:pPr>
        <w:ind w:left="360" w:hanging="360"/>
      </w:pPr>
      <w:rPr>
        <w:rFonts w:ascii="Symbol" w:hAnsi="Symbol" w:hint="default"/>
        <w:b w:val="0"/>
      </w:rPr>
    </w:lvl>
    <w:lvl w:ilvl="1" w:tplc="C7C699CC">
      <w:start w:val="1"/>
      <w:numFmt w:val="bullet"/>
      <w:lvlText w:val="­"/>
      <w:lvlJc w:val="left"/>
      <w:pPr>
        <w:ind w:left="1080" w:hanging="360"/>
      </w:pPr>
      <w:rPr>
        <w:rFonts w:ascii="Courier New" w:hAnsi="Courier New"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5D56043A"/>
    <w:multiLevelType w:val="multilevel"/>
    <w:tmpl w:val="69AEB596"/>
    <w:numStyleLink w:val="BulletsList"/>
  </w:abstractNum>
  <w:abstractNum w:abstractNumId="5" w15:restartNumberingAfterBreak="0">
    <w:nsid w:val="5F690ACF"/>
    <w:multiLevelType w:val="hybridMultilevel"/>
    <w:tmpl w:val="FF146266"/>
    <w:lvl w:ilvl="0" w:tplc="C7C699CC">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26802BA"/>
    <w:multiLevelType w:val="hybridMultilevel"/>
    <w:tmpl w:val="A6708D8C"/>
    <w:lvl w:ilvl="0" w:tplc="092A0DBA">
      <w:start w:val="1"/>
      <w:numFmt w:val="bullet"/>
      <w:lvlText w:val=""/>
      <w:lvlJc w:val="left"/>
      <w:pPr>
        <w:ind w:left="717" w:hanging="360"/>
      </w:pPr>
      <w:rPr>
        <w:rFonts w:ascii="Symbol" w:hAnsi="Symbol" w:hint="default"/>
        <w:b w:val="0"/>
      </w:rPr>
    </w:lvl>
    <w:lvl w:ilvl="1" w:tplc="C7C699CC">
      <w:start w:val="1"/>
      <w:numFmt w:val="bullet"/>
      <w:lvlText w:val="­"/>
      <w:lvlJc w:val="left"/>
      <w:pPr>
        <w:ind w:left="1437" w:hanging="360"/>
      </w:pPr>
      <w:rPr>
        <w:rFonts w:ascii="Courier New" w:hAnsi="Courier New" w:hint="default"/>
      </w:r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7" w15:restartNumberingAfterBreak="0">
    <w:nsid w:val="62E94965"/>
    <w:multiLevelType w:val="hybridMultilevel"/>
    <w:tmpl w:val="BE0C7F32"/>
    <w:lvl w:ilvl="0" w:tplc="2E5623E8">
      <w:start w:val="1"/>
      <w:numFmt w:val="decimal"/>
      <w:lvlText w:val="%1."/>
      <w:lvlJc w:val="left"/>
      <w:pPr>
        <w:ind w:left="360" w:hanging="360"/>
      </w:pPr>
      <w:rPr>
        <w:rFonts w:asciiTheme="majorHAnsi" w:hAnsiTheme="majorHAnsi" w:cstheme="majorHAnsi" w:hint="default"/>
        <w:b w:val="0"/>
        <w:color w:val="auto"/>
        <w:sz w:val="24"/>
        <w:szCs w:val="24"/>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6D3900BB"/>
    <w:multiLevelType w:val="hybridMultilevel"/>
    <w:tmpl w:val="9D2C3FF8"/>
    <w:lvl w:ilvl="0" w:tplc="3CC4B92E">
      <w:start w:val="1"/>
      <w:numFmt w:val="decimal"/>
      <w:lvlText w:val="%1."/>
      <w:lvlJc w:val="left"/>
      <w:pPr>
        <w:ind w:left="360" w:hanging="360"/>
      </w:pPr>
      <w:rPr>
        <w:b w:val="0"/>
      </w:rPr>
    </w:lvl>
    <w:lvl w:ilvl="1" w:tplc="C7C699CC">
      <w:start w:val="1"/>
      <w:numFmt w:val="bullet"/>
      <w:lvlText w:val="­"/>
      <w:lvlJc w:val="left"/>
      <w:pPr>
        <w:ind w:left="1080" w:hanging="360"/>
      </w:pPr>
      <w:rPr>
        <w:rFonts w:ascii="Courier New" w:hAnsi="Courier New"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73107305"/>
    <w:multiLevelType w:val="multilevel"/>
    <w:tmpl w:val="69AEB596"/>
    <w:styleLink w:val="BulletsList"/>
    <w:lvl w:ilvl="0">
      <w:start w:val="1"/>
      <w:numFmt w:val="bullet"/>
      <w:pStyle w:val="Bullet1"/>
      <w:lvlText w:val=""/>
      <w:lvlJc w:val="left"/>
      <w:pPr>
        <w:tabs>
          <w:tab w:val="num" w:pos="284"/>
        </w:tabs>
        <w:ind w:left="284" w:hanging="284"/>
      </w:pPr>
      <w:rPr>
        <w:rFonts w:ascii="Symbol" w:hAnsi="Symbol" w:hint="default"/>
        <w:color w:val="5B9BD5" w:themeColor="accent1"/>
      </w:rPr>
    </w:lvl>
    <w:lvl w:ilvl="1">
      <w:start w:val="1"/>
      <w:numFmt w:val="bullet"/>
      <w:pStyle w:val="Bullet2"/>
      <w:lvlText w:val="–"/>
      <w:lvlJc w:val="left"/>
      <w:pPr>
        <w:tabs>
          <w:tab w:val="num" w:pos="568"/>
        </w:tabs>
        <w:ind w:left="568" w:hanging="284"/>
      </w:pPr>
      <w:rPr>
        <w:rFonts w:ascii="Arial" w:hAnsi="Arial" w:hint="default"/>
        <w:color w:val="5B9BD5" w:themeColor="accent1"/>
      </w:rPr>
    </w:lvl>
    <w:lvl w:ilvl="2">
      <w:start w:val="1"/>
      <w:numFmt w:val="bullet"/>
      <w:pStyle w:val="Bullet3"/>
      <w:lvlText w:val="»"/>
      <w:lvlJc w:val="left"/>
      <w:pPr>
        <w:tabs>
          <w:tab w:val="num" w:pos="852"/>
        </w:tabs>
        <w:ind w:left="852" w:hanging="285"/>
      </w:pPr>
      <w:rPr>
        <w:rFonts w:ascii="Arial" w:hAnsi="Arial" w:hint="default"/>
        <w:color w:val="5B9BD5" w:themeColor="accent1"/>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10" w15:restartNumberingAfterBreak="0">
    <w:nsid w:val="7E1C437F"/>
    <w:multiLevelType w:val="hybridMultilevel"/>
    <w:tmpl w:val="B854179C"/>
    <w:lvl w:ilvl="0" w:tplc="D9CC0B02">
      <w:start w:val="1"/>
      <w:numFmt w:val="bullet"/>
      <w:lvlText w:val="-"/>
      <w:lvlJc w:val="left"/>
      <w:pPr>
        <w:ind w:left="360" w:hanging="360"/>
      </w:pPr>
      <w:rPr>
        <w:rFonts w:ascii="Calibri Light" w:eastAsiaTheme="minorHAnsi" w:hAnsi="Calibri Light" w:cstheme="majorHAns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F7A528B"/>
    <w:multiLevelType w:val="hybridMultilevel"/>
    <w:tmpl w:val="E5267B26"/>
    <w:lvl w:ilvl="0" w:tplc="FC8AFB1E">
      <w:start w:val="1"/>
      <w:numFmt w:val="decimal"/>
      <w:pStyle w:val="Bullet"/>
      <w:lvlText w:val="%1."/>
      <w:lvlJc w:val="left"/>
      <w:pPr>
        <w:ind w:left="360" w:hanging="360"/>
      </w:pPr>
      <w:rPr>
        <w:rFonts w:ascii="Franklin Gothic Book" w:eastAsia="Times New Roman" w:hAnsi="Franklin Gothic Book" w:cs="Times New Roman"/>
        <w:color w:val="auto"/>
        <w:position w:val="3"/>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4"/>
  </w:num>
  <w:num w:numId="3">
    <w:abstractNumId w:val="10"/>
  </w:num>
  <w:num w:numId="4">
    <w:abstractNumId w:val="7"/>
  </w:num>
  <w:num w:numId="5">
    <w:abstractNumId w:val="0"/>
  </w:num>
  <w:num w:numId="6">
    <w:abstractNumId w:val="11"/>
  </w:num>
  <w:num w:numId="7">
    <w:abstractNumId w:val="8"/>
  </w:num>
  <w:num w:numId="8">
    <w:abstractNumId w:val="6"/>
  </w:num>
  <w:num w:numId="9">
    <w:abstractNumId w:val="3"/>
  </w:num>
  <w:num w:numId="10">
    <w:abstractNumId w:val="2"/>
  </w:num>
  <w:num w:numId="11">
    <w:abstractNumId w:val="5"/>
  </w:num>
  <w:num w:numId="12">
    <w:abstractNumId w:val="1"/>
  </w:num>
  <w:num w:numId="13">
    <w:abstractNumId w:val="11"/>
    <w:lvlOverride w:ilvl="0">
      <w:startOverride w:val="1"/>
    </w:lvlOverride>
    <w:lvlOverride w:ilvl="1"/>
    <w:lvlOverride w:ilvl="2"/>
    <w:lvlOverride w:ilvl="3"/>
    <w:lvlOverride w:ilvl="4"/>
    <w:lvlOverride w:ilvl="5"/>
    <w:lvlOverride w:ilvl="6"/>
    <w:lvlOverride w:ilvl="7"/>
    <w:lvlOverride w:ilvl="8"/>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D8E"/>
    <w:rsid w:val="00021AD3"/>
    <w:rsid w:val="00041D90"/>
    <w:rsid w:val="000459C0"/>
    <w:rsid w:val="00051184"/>
    <w:rsid w:val="00061C71"/>
    <w:rsid w:val="000641DA"/>
    <w:rsid w:val="00097D5D"/>
    <w:rsid w:val="000B115C"/>
    <w:rsid w:val="000C4632"/>
    <w:rsid w:val="000F24A7"/>
    <w:rsid w:val="0010378B"/>
    <w:rsid w:val="00105EA4"/>
    <w:rsid w:val="00147966"/>
    <w:rsid w:val="0015603A"/>
    <w:rsid w:val="001774C8"/>
    <w:rsid w:val="001921D7"/>
    <w:rsid w:val="001A1CED"/>
    <w:rsid w:val="001B5442"/>
    <w:rsid w:val="001E24AC"/>
    <w:rsid w:val="00204EC1"/>
    <w:rsid w:val="00217688"/>
    <w:rsid w:val="00252D8E"/>
    <w:rsid w:val="002660C2"/>
    <w:rsid w:val="00267EC6"/>
    <w:rsid w:val="002A3105"/>
    <w:rsid w:val="002A3E4B"/>
    <w:rsid w:val="002B5CA3"/>
    <w:rsid w:val="002E11C2"/>
    <w:rsid w:val="002E1D1D"/>
    <w:rsid w:val="002F53E9"/>
    <w:rsid w:val="00315F40"/>
    <w:rsid w:val="003222D1"/>
    <w:rsid w:val="00326223"/>
    <w:rsid w:val="003308FA"/>
    <w:rsid w:val="00370238"/>
    <w:rsid w:val="003B4859"/>
    <w:rsid w:val="003D1DE8"/>
    <w:rsid w:val="003F1402"/>
    <w:rsid w:val="003F3E1B"/>
    <w:rsid w:val="003F5F2F"/>
    <w:rsid w:val="00420983"/>
    <w:rsid w:val="0044018F"/>
    <w:rsid w:val="0044497A"/>
    <w:rsid w:val="00471794"/>
    <w:rsid w:val="00477C5F"/>
    <w:rsid w:val="004842C3"/>
    <w:rsid w:val="00484BD1"/>
    <w:rsid w:val="004933A7"/>
    <w:rsid w:val="004B48F3"/>
    <w:rsid w:val="004C057E"/>
    <w:rsid w:val="004D5892"/>
    <w:rsid w:val="004E6DDA"/>
    <w:rsid w:val="004F579B"/>
    <w:rsid w:val="00517B75"/>
    <w:rsid w:val="00524739"/>
    <w:rsid w:val="00547152"/>
    <w:rsid w:val="00583AE4"/>
    <w:rsid w:val="005951F5"/>
    <w:rsid w:val="005A286F"/>
    <w:rsid w:val="005A67F4"/>
    <w:rsid w:val="00614A46"/>
    <w:rsid w:val="00621AFB"/>
    <w:rsid w:val="006276DF"/>
    <w:rsid w:val="00637FC6"/>
    <w:rsid w:val="00660D18"/>
    <w:rsid w:val="006801F9"/>
    <w:rsid w:val="00682539"/>
    <w:rsid w:val="00694950"/>
    <w:rsid w:val="00694C03"/>
    <w:rsid w:val="006B7076"/>
    <w:rsid w:val="006C0DBE"/>
    <w:rsid w:val="006C6582"/>
    <w:rsid w:val="006E2D3E"/>
    <w:rsid w:val="006E41DF"/>
    <w:rsid w:val="006F116A"/>
    <w:rsid w:val="00752936"/>
    <w:rsid w:val="007548AF"/>
    <w:rsid w:val="00760DB7"/>
    <w:rsid w:val="00785277"/>
    <w:rsid w:val="007A0C87"/>
    <w:rsid w:val="007C2829"/>
    <w:rsid w:val="007D2536"/>
    <w:rsid w:val="007F0196"/>
    <w:rsid w:val="008147A8"/>
    <w:rsid w:val="00820AD4"/>
    <w:rsid w:val="00824D5D"/>
    <w:rsid w:val="00845D0F"/>
    <w:rsid w:val="008659AE"/>
    <w:rsid w:val="0089557A"/>
    <w:rsid w:val="008A7D5C"/>
    <w:rsid w:val="008D1D04"/>
    <w:rsid w:val="008E2B52"/>
    <w:rsid w:val="008E41E4"/>
    <w:rsid w:val="008E6137"/>
    <w:rsid w:val="009051BE"/>
    <w:rsid w:val="00914F0A"/>
    <w:rsid w:val="00921E62"/>
    <w:rsid w:val="00933DA0"/>
    <w:rsid w:val="009503B5"/>
    <w:rsid w:val="00953437"/>
    <w:rsid w:val="00961608"/>
    <w:rsid w:val="0098027E"/>
    <w:rsid w:val="00991ECD"/>
    <w:rsid w:val="009921BF"/>
    <w:rsid w:val="009B728C"/>
    <w:rsid w:val="009E3A71"/>
    <w:rsid w:val="00A15F1B"/>
    <w:rsid w:val="00A42080"/>
    <w:rsid w:val="00A4746B"/>
    <w:rsid w:val="00A479EB"/>
    <w:rsid w:val="00A53AFC"/>
    <w:rsid w:val="00A54543"/>
    <w:rsid w:val="00A63014"/>
    <w:rsid w:val="00A70D6D"/>
    <w:rsid w:val="00A73650"/>
    <w:rsid w:val="00A829FB"/>
    <w:rsid w:val="00A85A00"/>
    <w:rsid w:val="00A917E6"/>
    <w:rsid w:val="00AB5635"/>
    <w:rsid w:val="00AD5BD9"/>
    <w:rsid w:val="00AE31A8"/>
    <w:rsid w:val="00B1062E"/>
    <w:rsid w:val="00B15E14"/>
    <w:rsid w:val="00B30100"/>
    <w:rsid w:val="00B4155B"/>
    <w:rsid w:val="00B67027"/>
    <w:rsid w:val="00B734D3"/>
    <w:rsid w:val="00B769A8"/>
    <w:rsid w:val="00B90D90"/>
    <w:rsid w:val="00B959A4"/>
    <w:rsid w:val="00BB15C6"/>
    <w:rsid w:val="00BD77A0"/>
    <w:rsid w:val="00C026B8"/>
    <w:rsid w:val="00C1302B"/>
    <w:rsid w:val="00C17F0F"/>
    <w:rsid w:val="00C30634"/>
    <w:rsid w:val="00C374E5"/>
    <w:rsid w:val="00C448A2"/>
    <w:rsid w:val="00C63E23"/>
    <w:rsid w:val="00C94AE0"/>
    <w:rsid w:val="00CB7C83"/>
    <w:rsid w:val="00CE0886"/>
    <w:rsid w:val="00CF06CB"/>
    <w:rsid w:val="00D10F76"/>
    <w:rsid w:val="00D25E66"/>
    <w:rsid w:val="00D906DF"/>
    <w:rsid w:val="00D932A4"/>
    <w:rsid w:val="00DB57DF"/>
    <w:rsid w:val="00DC33F3"/>
    <w:rsid w:val="00DC6C05"/>
    <w:rsid w:val="00DD42FC"/>
    <w:rsid w:val="00E14FF0"/>
    <w:rsid w:val="00E1593D"/>
    <w:rsid w:val="00E216E1"/>
    <w:rsid w:val="00E46DD8"/>
    <w:rsid w:val="00E478F7"/>
    <w:rsid w:val="00E708E5"/>
    <w:rsid w:val="00E845ED"/>
    <w:rsid w:val="00E87938"/>
    <w:rsid w:val="00ED6853"/>
    <w:rsid w:val="00F13DA4"/>
    <w:rsid w:val="00F209FC"/>
    <w:rsid w:val="00F23B5B"/>
    <w:rsid w:val="00F45131"/>
    <w:rsid w:val="00F571E5"/>
    <w:rsid w:val="00F60BD2"/>
    <w:rsid w:val="00F654CC"/>
    <w:rsid w:val="00F747AA"/>
    <w:rsid w:val="00F82D99"/>
    <w:rsid w:val="00F87200"/>
    <w:rsid w:val="00FC2ECA"/>
    <w:rsid w:val="00FC4005"/>
    <w:rsid w:val="00FE09F8"/>
    <w:rsid w:val="00FF3B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4C5C4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FC6"/>
    <w:pPr>
      <w:suppressAutoHyphens/>
      <w:spacing w:before="120" w:after="60" w:line="260" w:lineRule="atLeast"/>
    </w:pPr>
    <w:rPr>
      <w:color w:val="44546A" w:themeColor="text2"/>
      <w:lang w:val="en-GB"/>
    </w:rPr>
  </w:style>
  <w:style w:type="paragraph" w:styleId="Heading1">
    <w:name w:val="heading 1"/>
    <w:basedOn w:val="Normal"/>
    <w:next w:val="Normal"/>
    <w:link w:val="Heading1Char"/>
    <w:qFormat/>
    <w:rsid w:val="00252D8E"/>
    <w:pPr>
      <w:keepNext/>
      <w:keepLines/>
      <w:spacing w:before="300" w:after="2400" w:line="380" w:lineRule="exact"/>
      <w:contextualSpacing/>
      <w:outlineLvl w:val="0"/>
    </w:pPr>
    <w:rPr>
      <w:rFonts w:asciiTheme="majorHAnsi" w:eastAsiaTheme="majorEastAsia" w:hAnsiTheme="majorHAnsi" w:cstheme="majorBidi"/>
      <w:b/>
      <w:bCs/>
      <w:caps/>
      <w:color w:val="FFFFFF" w:themeColor="background1"/>
      <w:sz w:val="38"/>
      <w:szCs w:val="28"/>
    </w:rPr>
  </w:style>
  <w:style w:type="paragraph" w:styleId="Heading2">
    <w:name w:val="heading 2"/>
    <w:basedOn w:val="Normal"/>
    <w:next w:val="Normal"/>
    <w:link w:val="Heading2Char"/>
    <w:uiPriority w:val="9"/>
    <w:semiHidden/>
    <w:unhideWhenUsed/>
    <w:qFormat/>
    <w:rsid w:val="00252D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unhideWhenUsed/>
    <w:qFormat/>
    <w:rsid w:val="00252D8E"/>
    <w:pPr>
      <w:spacing w:before="480" w:after="120" w:line="360" w:lineRule="atLeast"/>
      <w:contextualSpacing/>
      <w:outlineLvl w:val="2"/>
    </w:pPr>
    <w:rPr>
      <w:bCs/>
      <w:color w:val="44546A" w:themeColor="text2"/>
      <w:sz w:val="3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2D8E"/>
    <w:rPr>
      <w:rFonts w:asciiTheme="majorHAnsi" w:eastAsiaTheme="majorEastAsia" w:hAnsiTheme="majorHAnsi" w:cstheme="majorBidi"/>
      <w:b/>
      <w:bCs/>
      <w:caps/>
      <w:color w:val="FFFFFF" w:themeColor="background1"/>
      <w:sz w:val="38"/>
      <w:szCs w:val="28"/>
      <w:lang w:val="en-GB"/>
    </w:rPr>
  </w:style>
  <w:style w:type="character" w:customStyle="1" w:styleId="Heading3Char">
    <w:name w:val="Heading 3 Char"/>
    <w:basedOn w:val="DefaultParagraphFont"/>
    <w:link w:val="Heading3"/>
    <w:rsid w:val="00252D8E"/>
    <w:rPr>
      <w:rFonts w:asciiTheme="majorHAnsi" w:eastAsiaTheme="majorEastAsia" w:hAnsiTheme="majorHAnsi" w:cstheme="majorBidi"/>
      <w:bCs/>
      <w:color w:val="44546A" w:themeColor="text2"/>
      <w:sz w:val="30"/>
      <w:szCs w:val="26"/>
    </w:rPr>
  </w:style>
  <w:style w:type="paragraph" w:customStyle="1" w:styleId="Bullet1">
    <w:name w:val="Bullet 1"/>
    <w:basedOn w:val="Normal"/>
    <w:qFormat/>
    <w:rsid w:val="00252D8E"/>
    <w:pPr>
      <w:numPr>
        <w:numId w:val="2"/>
      </w:numPr>
      <w:tabs>
        <w:tab w:val="left" w:pos="567"/>
      </w:tabs>
      <w:spacing w:before="60"/>
    </w:pPr>
  </w:style>
  <w:style w:type="paragraph" w:customStyle="1" w:styleId="Bullet2">
    <w:name w:val="Bullet 2"/>
    <w:basedOn w:val="Bullet1"/>
    <w:qFormat/>
    <w:rsid w:val="00252D8E"/>
    <w:pPr>
      <w:numPr>
        <w:ilvl w:val="1"/>
      </w:numPr>
      <w:tabs>
        <w:tab w:val="clear" w:pos="568"/>
        <w:tab w:val="left" w:pos="851"/>
      </w:tabs>
    </w:pPr>
  </w:style>
  <w:style w:type="paragraph" w:customStyle="1" w:styleId="Bullet3">
    <w:name w:val="Bullet 3"/>
    <w:basedOn w:val="Bullet2"/>
    <w:qFormat/>
    <w:rsid w:val="00252D8E"/>
    <w:pPr>
      <w:numPr>
        <w:ilvl w:val="2"/>
      </w:numPr>
      <w:tabs>
        <w:tab w:val="clear" w:pos="852"/>
        <w:tab w:val="left" w:pos="1134"/>
      </w:tabs>
    </w:pPr>
  </w:style>
  <w:style w:type="numbering" w:customStyle="1" w:styleId="BulletsList">
    <w:name w:val="Bullets List"/>
    <w:uiPriority w:val="99"/>
    <w:rsid w:val="00252D8E"/>
    <w:pPr>
      <w:numPr>
        <w:numId w:val="1"/>
      </w:numPr>
    </w:pPr>
  </w:style>
  <w:style w:type="paragraph" w:customStyle="1" w:styleId="TableHeaderRow">
    <w:name w:val="Table Header Row"/>
    <w:basedOn w:val="Normal"/>
    <w:qFormat/>
    <w:rsid w:val="00252D8E"/>
    <w:pPr>
      <w:spacing w:before="60"/>
    </w:pPr>
    <w:rPr>
      <w:rFonts w:ascii="Calibri" w:hAnsi="Calibri"/>
      <w:b/>
      <w:color w:val="FFFFFF" w:themeColor="background1"/>
      <w:szCs w:val="21"/>
    </w:rPr>
  </w:style>
  <w:style w:type="table" w:customStyle="1" w:styleId="DFATTable1">
    <w:name w:val="DFAT Table 1"/>
    <w:basedOn w:val="TableNormal"/>
    <w:uiPriority w:val="99"/>
    <w:rsid w:val="00252D8E"/>
    <w:pPr>
      <w:spacing w:before="60" w:after="60" w:line="260" w:lineRule="atLeast"/>
    </w:pPr>
    <w:rPr>
      <w:rFonts w:ascii="Calibri" w:hAnsi="Calibri"/>
      <w:color w:val="44546A" w:themeColor="text2"/>
    </w:rPr>
    <w:tblPr>
      <w:tblStyleRowBandSize w:val="1"/>
      <w:tblStyleColBandSize w:val="1"/>
      <w:tblBorders>
        <w:top w:val="single" w:sz="4" w:space="0" w:color="44546A" w:themeColor="text2"/>
        <w:bottom w:val="single" w:sz="4" w:space="0" w:color="44546A" w:themeColor="text2"/>
        <w:insideH w:val="single" w:sz="4" w:space="0" w:color="44546A" w:themeColor="text2"/>
      </w:tblBorders>
      <w:tblCellMar>
        <w:top w:w="57" w:type="dxa"/>
        <w:bottom w:w="57" w:type="dxa"/>
      </w:tblCellMar>
    </w:tblPr>
    <w:tblStylePr w:type="firstRow">
      <w:rPr>
        <w:b w:val="0"/>
      </w:rPr>
      <w:tblPr/>
      <w:trPr>
        <w:tblHeader/>
      </w:trPr>
      <w:tcPr>
        <w:tcBorders>
          <w:top w:val="single" w:sz="4" w:space="0" w:color="5B9BD5" w:themeColor="accent1"/>
          <w:bottom w:val="single" w:sz="4" w:space="0" w:color="5B9BD5" w:themeColor="accent1"/>
          <w:insideH w:val="single" w:sz="4" w:space="0" w:color="5B9BD5" w:themeColor="accent1"/>
        </w:tcBorders>
        <w:shd w:val="clear" w:color="auto" w:fill="5B9BD5" w:themeFill="accent1"/>
      </w:tcPr>
    </w:tblStylePr>
    <w:tblStylePr w:type="lastRow">
      <w:rPr>
        <w:b/>
        <w:color w:val="FFFFFF" w:themeColor="background1"/>
      </w:rPr>
      <w:tblPr/>
      <w:tcPr>
        <w:shd w:val="clear" w:color="auto" w:fill="44546A" w:themeFill="text2"/>
      </w:tcPr>
    </w:tblStylePr>
    <w:tblStylePr w:type="firstCol">
      <w:tblPr/>
      <w:tcPr>
        <w:shd w:val="clear" w:color="auto" w:fill="E7E6E6" w:themeFill="background2"/>
      </w:tcPr>
    </w:tblStylePr>
    <w:tblStylePr w:type="lastCol">
      <w:tblPr/>
      <w:tcPr>
        <w:shd w:val="clear" w:color="auto" w:fill="E7E6E6" w:themeFill="background2"/>
      </w:tcPr>
    </w:tblStylePr>
    <w:tblStylePr w:type="band1Vert">
      <w:tblPr/>
      <w:tcPr>
        <w:shd w:val="clear" w:color="auto" w:fill="DEEAF6" w:themeFill="accent1" w:themeFillTint="33"/>
      </w:tcPr>
    </w:tblStylePr>
    <w:tblStylePr w:type="band2Vert">
      <w:tblPr/>
      <w:tcPr>
        <w:shd w:val="clear" w:color="auto" w:fill="BDD6EE" w:themeFill="accent1" w:themeFillTint="66"/>
      </w:tcPr>
    </w:tblStylePr>
    <w:tblStylePr w:type="band1Horz">
      <w:tblPr/>
      <w:tcPr>
        <w:shd w:val="clear" w:color="auto" w:fill="DEEAF6" w:themeFill="accent1" w:themeFillTint="33"/>
      </w:tcPr>
    </w:tblStylePr>
    <w:tblStylePr w:type="band2Horz">
      <w:tblPr/>
      <w:tcPr>
        <w:shd w:val="clear" w:color="auto" w:fill="BDD6EE" w:themeFill="accent1" w:themeFillTint="66"/>
      </w:tcPr>
    </w:tblStylePr>
  </w:style>
  <w:style w:type="paragraph" w:styleId="BodyText">
    <w:name w:val="Body Text"/>
    <w:basedOn w:val="Normal"/>
    <w:link w:val="BodyTextChar"/>
    <w:uiPriority w:val="99"/>
    <w:unhideWhenUsed/>
    <w:qFormat/>
    <w:rsid w:val="00252D8E"/>
  </w:style>
  <w:style w:type="character" w:customStyle="1" w:styleId="BodyTextChar">
    <w:name w:val="Body Text Char"/>
    <w:basedOn w:val="DefaultParagraphFont"/>
    <w:link w:val="BodyText"/>
    <w:uiPriority w:val="99"/>
    <w:rsid w:val="00252D8E"/>
    <w:rPr>
      <w:color w:val="44546A" w:themeColor="text2"/>
      <w:lang w:val="en-GB"/>
    </w:rPr>
  </w:style>
  <w:style w:type="character" w:customStyle="1" w:styleId="Heading2Char">
    <w:name w:val="Heading 2 Char"/>
    <w:basedOn w:val="DefaultParagraphFont"/>
    <w:link w:val="Heading2"/>
    <w:uiPriority w:val="9"/>
    <w:semiHidden/>
    <w:rsid w:val="00252D8E"/>
    <w:rPr>
      <w:rFonts w:asciiTheme="majorHAnsi" w:eastAsiaTheme="majorEastAsia" w:hAnsiTheme="majorHAnsi" w:cstheme="majorBidi"/>
      <w:color w:val="2E74B5" w:themeColor="accent1" w:themeShade="BF"/>
      <w:sz w:val="26"/>
      <w:szCs w:val="26"/>
      <w:lang w:val="en-GB"/>
    </w:rPr>
  </w:style>
  <w:style w:type="character" w:styleId="Strong">
    <w:name w:val="Strong"/>
    <w:basedOn w:val="DefaultParagraphFont"/>
    <w:uiPriority w:val="22"/>
    <w:qFormat/>
    <w:rsid w:val="00C30634"/>
    <w:rPr>
      <w:b/>
      <w:bCs/>
    </w:rPr>
  </w:style>
  <w:style w:type="paragraph" w:styleId="ListParagraph">
    <w:name w:val="List Paragraph"/>
    <w:aliases w:val="Bullets,Bullet paras,List Paragraph1,Recommendation,List Paragraph11,L,CV text,Table text,F5 List Paragraph,Dot pt,List Paragraph111,Medium Grid 1 - Accent 21,Numbered Paragraph,Bullet List,FooterText,List Paragraph2,ADB List Paragraph"/>
    <w:basedOn w:val="Normal"/>
    <w:link w:val="ListParagraphChar"/>
    <w:uiPriority w:val="34"/>
    <w:qFormat/>
    <w:rsid w:val="00C30634"/>
    <w:pPr>
      <w:suppressAutoHyphens w:val="0"/>
      <w:spacing w:before="0" w:after="0" w:line="240" w:lineRule="auto"/>
      <w:ind w:left="720"/>
      <w:contextualSpacing/>
    </w:pPr>
    <w:rPr>
      <w:rFonts w:ascii="Times New Roman" w:eastAsia="Times New Roman" w:hAnsi="Times New Roman" w:cs="Times New Roman"/>
      <w:color w:val="auto"/>
      <w:sz w:val="24"/>
      <w:szCs w:val="24"/>
      <w:lang w:val="en-AU"/>
    </w:rPr>
  </w:style>
  <w:style w:type="character" w:customStyle="1" w:styleId="ListParagraphChar">
    <w:name w:val="List Paragraph Char"/>
    <w:aliases w:val="Bullets Char,Bullet paras Char,List Paragraph1 Char,Recommendation Char,List Paragraph11 Char,L Char,CV text Char,Table text Char,F5 List Paragraph Char,Dot pt Char,List Paragraph111 Char,Medium Grid 1 - Accent 21 Char"/>
    <w:link w:val="ListParagraph"/>
    <w:uiPriority w:val="34"/>
    <w:locked/>
    <w:rsid w:val="00C3063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60BD2"/>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F60BD2"/>
    <w:rPr>
      <w:color w:val="44546A" w:themeColor="text2"/>
      <w:lang w:val="en-GB"/>
    </w:rPr>
  </w:style>
  <w:style w:type="paragraph" w:styleId="Footer">
    <w:name w:val="footer"/>
    <w:basedOn w:val="Normal"/>
    <w:link w:val="FooterChar"/>
    <w:uiPriority w:val="99"/>
    <w:unhideWhenUsed/>
    <w:rsid w:val="00F60BD2"/>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F60BD2"/>
    <w:rPr>
      <w:color w:val="44546A" w:themeColor="text2"/>
      <w:lang w:val="en-GB"/>
    </w:rPr>
  </w:style>
  <w:style w:type="paragraph" w:customStyle="1" w:styleId="Bullet">
    <w:name w:val="Bullet"/>
    <w:aliases w:val="b"/>
    <w:basedOn w:val="Normal"/>
    <w:link w:val="BulletChar"/>
    <w:uiPriority w:val="99"/>
    <w:qFormat/>
    <w:rsid w:val="00824D5D"/>
    <w:pPr>
      <w:numPr>
        <w:numId w:val="6"/>
      </w:numPr>
      <w:suppressAutoHyphens w:val="0"/>
      <w:spacing w:before="0" w:after="80" w:line="280" w:lineRule="exact"/>
    </w:pPr>
    <w:rPr>
      <w:rFonts w:ascii="Franklin Gothic Book" w:eastAsia="Times New Roman" w:hAnsi="Franklin Gothic Book" w:cs="Times New Roman"/>
      <w:color w:val="auto"/>
      <w:sz w:val="21"/>
      <w:szCs w:val="20"/>
      <w:lang w:val="en-AU" w:eastAsia="en-AU"/>
    </w:rPr>
  </w:style>
  <w:style w:type="character" w:customStyle="1" w:styleId="BulletChar">
    <w:name w:val="Bullet Char"/>
    <w:aliases w:val="b Char"/>
    <w:basedOn w:val="DefaultParagraphFont"/>
    <w:link w:val="Bullet"/>
    <w:uiPriority w:val="99"/>
    <w:rsid w:val="00824D5D"/>
    <w:rPr>
      <w:rFonts w:ascii="Franklin Gothic Book" w:eastAsia="Times New Roman" w:hAnsi="Franklin Gothic Book" w:cs="Times New Roman"/>
      <w:sz w:val="21"/>
      <w:szCs w:val="20"/>
      <w:lang w:eastAsia="en-AU"/>
    </w:rPr>
  </w:style>
  <w:style w:type="paragraph" w:styleId="FootnoteText">
    <w:name w:val="footnote text"/>
    <w:basedOn w:val="Normal"/>
    <w:link w:val="FootnoteTextChar"/>
    <w:uiPriority w:val="99"/>
    <w:rsid w:val="0089557A"/>
    <w:pPr>
      <w:suppressAutoHyphens w:val="0"/>
      <w:spacing w:before="40" w:after="0" w:line="288" w:lineRule="auto"/>
      <w:ind w:left="360" w:hanging="360"/>
    </w:pPr>
    <w:rPr>
      <w:rFonts w:ascii="Franklin Gothic Book" w:eastAsia="Times New Roman" w:hAnsi="Franklin Gothic Book" w:cs="Times New Roman"/>
      <w:color w:val="auto"/>
      <w:sz w:val="17"/>
      <w:szCs w:val="20"/>
      <w:lang w:val="en-AU" w:eastAsia="en-AU"/>
    </w:rPr>
  </w:style>
  <w:style w:type="character" w:customStyle="1" w:styleId="FootnoteTextChar">
    <w:name w:val="Footnote Text Char"/>
    <w:basedOn w:val="DefaultParagraphFont"/>
    <w:link w:val="FootnoteText"/>
    <w:uiPriority w:val="99"/>
    <w:rsid w:val="0089557A"/>
    <w:rPr>
      <w:rFonts w:ascii="Franklin Gothic Book" w:eastAsia="Times New Roman" w:hAnsi="Franklin Gothic Book" w:cs="Times New Roman"/>
      <w:sz w:val="17"/>
      <w:szCs w:val="20"/>
      <w:lang w:eastAsia="en-AU"/>
    </w:rPr>
  </w:style>
  <w:style w:type="character" w:styleId="FootnoteReference">
    <w:name w:val="footnote reference"/>
    <w:aliases w:val="ftref"/>
    <w:basedOn w:val="DefaultParagraphFont"/>
    <w:uiPriority w:val="99"/>
    <w:rsid w:val="0089557A"/>
    <w:rPr>
      <w:vertAlign w:val="superscript"/>
    </w:rPr>
  </w:style>
  <w:style w:type="paragraph" w:styleId="BalloonText">
    <w:name w:val="Balloon Text"/>
    <w:basedOn w:val="Normal"/>
    <w:link w:val="BalloonTextChar"/>
    <w:uiPriority w:val="99"/>
    <w:semiHidden/>
    <w:unhideWhenUsed/>
    <w:rsid w:val="00DB57D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7DF"/>
    <w:rPr>
      <w:rFonts w:ascii="Segoe UI" w:hAnsi="Segoe UI" w:cs="Segoe UI"/>
      <w:color w:val="44546A" w:themeColor="text2"/>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8848183">
      <w:bodyDiv w:val="1"/>
      <w:marLeft w:val="0"/>
      <w:marRight w:val="0"/>
      <w:marTop w:val="0"/>
      <w:marBottom w:val="0"/>
      <w:divBdr>
        <w:top w:val="none" w:sz="0" w:space="0" w:color="auto"/>
        <w:left w:val="none" w:sz="0" w:space="0" w:color="auto"/>
        <w:bottom w:val="none" w:sz="0" w:space="0" w:color="auto"/>
        <w:right w:val="none" w:sz="0" w:space="0" w:color="auto"/>
      </w:divBdr>
    </w:div>
    <w:div w:id="176137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7B747-206D-41BC-B5E6-A7456F18F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2222</Words>
  <Characters>12444</Characters>
  <Application>Microsoft Office Word</Application>
  <DocSecurity>0</DocSecurity>
  <Lines>510</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2023-01-20T05:30:00Z</dcterms:created>
  <dcterms:modified xsi:type="dcterms:W3CDTF">2023-01-20T05:30:00Z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199AFC8FD1EA456A9E1D9A88C9504251</vt:lpwstr>
  </property>
  <property fmtid="{D5CDD505-2E9C-101B-9397-08002B2CF9AE}" pid="9" name="PM_ProtectiveMarkingValue_Footer">
    <vt:lpwstr>OFFICIAL</vt:lpwstr>
  </property>
  <property fmtid="{D5CDD505-2E9C-101B-9397-08002B2CF9AE}" pid="10" name="PM_Originator_Hash_SHA1">
    <vt:lpwstr>899E4EA469A04FB023F4432B63374BB33589BF8A</vt:lpwstr>
  </property>
  <property fmtid="{D5CDD505-2E9C-101B-9397-08002B2CF9AE}" pid="11" name="PM_OriginationTimeStamp">
    <vt:lpwstr>2023-01-20T05:30:34Z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ABBFF5E2-9674-55C9-B08D-C9980002FD58</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2F7A0CA7DB462521D5052F6902597D80</vt:lpwstr>
  </property>
  <property fmtid="{D5CDD505-2E9C-101B-9397-08002B2CF9AE}" pid="23" name="PM_Hash_Salt">
    <vt:lpwstr>2F7A0CA7DB462521D5052F6902597D80</vt:lpwstr>
  </property>
  <property fmtid="{D5CDD505-2E9C-101B-9397-08002B2CF9AE}" pid="24" name="PM_Hash_SHA1">
    <vt:lpwstr>5D340AB94AD46D378F8E888B04D41214C23E3F53</vt:lpwstr>
  </property>
  <property fmtid="{D5CDD505-2E9C-101B-9397-08002B2CF9AE}" pid="25" name="PM_OriginatorUserAccountName_SHA256">
    <vt:lpwstr>290C9CFCFE70E139C4500567FB5830ACF9049F26A1998DDACA65669D45D5D2AD</vt:lpwstr>
  </property>
  <property fmtid="{D5CDD505-2E9C-101B-9397-08002B2CF9AE}" pid="26" name="PM_OriginatorDomainName_SHA256">
    <vt:lpwstr>6F3591835F3B2A8A025B00B5BA6418010DA3A17C9C26EA9C049FFD28039489A2</vt:lpwstr>
  </property>
  <property fmtid="{D5CDD505-2E9C-101B-9397-08002B2CF9AE}" pid="27" name="PM_MinimumSecurityClassification">
    <vt:lpwstr/>
  </property>
</Properties>
</file>