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547C" w14:textId="3ADB4544" w:rsidR="00C208CD" w:rsidRPr="00344FD7" w:rsidRDefault="00960D41" w:rsidP="004D797D">
      <w:pPr>
        <w:pStyle w:val="Cover-ClientName"/>
        <w:spacing w:before="5400"/>
        <w:ind w:left="2268" w:hanging="1276"/>
        <w:rPr>
          <w:rStyle w:val="BookTitle"/>
          <w:smallCaps w:val="0"/>
          <w:color w:val="1F497D" w:themeColor="text2"/>
          <w:sz w:val="72"/>
          <w:szCs w:val="72"/>
        </w:rPr>
      </w:pPr>
      <w:r w:rsidRPr="00344FD7">
        <w:rPr>
          <w:rStyle w:val="BookTitle"/>
          <w:smallCaps w:val="0"/>
          <w:noProof/>
          <w:color w:val="1F497D" w:themeColor="text2"/>
          <w:sz w:val="72"/>
          <w:szCs w:val="72"/>
        </w:rPr>
        <w:drawing>
          <wp:anchor distT="0" distB="0" distL="114300" distR="114300" simplePos="0" relativeHeight="251656704" behindDoc="1" locked="0" layoutInCell="1" allowOverlap="1" wp14:anchorId="4B13DCA2" wp14:editId="33F24B1F">
            <wp:simplePos x="0" y="0"/>
            <wp:positionH relativeFrom="page">
              <wp:posOffset>13970</wp:posOffset>
            </wp:positionH>
            <wp:positionV relativeFrom="page">
              <wp:posOffset>1270</wp:posOffset>
            </wp:positionV>
            <wp:extent cx="7560000" cy="106920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D09" w:rsidRPr="00344FD7">
        <w:rPr>
          <w:rStyle w:val="BookTitle"/>
          <w:smallCaps w:val="0"/>
          <w:color w:val="1F497D" w:themeColor="text2"/>
          <w:sz w:val="72"/>
          <w:szCs w:val="72"/>
        </w:rPr>
        <w:t>A</w:t>
      </w:r>
      <w:r w:rsidR="005F31A4" w:rsidRPr="00344FD7">
        <w:rPr>
          <w:rStyle w:val="BookTitle"/>
          <w:smallCaps w:val="0"/>
          <w:color w:val="1F497D" w:themeColor="text2"/>
          <w:sz w:val="72"/>
          <w:szCs w:val="72"/>
        </w:rPr>
        <w:t>ustralia</w:t>
      </w:r>
      <w:r w:rsidR="00631D09" w:rsidRPr="00344FD7">
        <w:rPr>
          <w:rStyle w:val="BookTitle"/>
          <w:smallCaps w:val="0"/>
          <w:color w:val="1F497D" w:themeColor="text2"/>
          <w:sz w:val="72"/>
          <w:szCs w:val="72"/>
        </w:rPr>
        <w:t xml:space="preserve"> Awards</w:t>
      </w:r>
      <w:r w:rsidR="00CC3D41" w:rsidRPr="00344FD7">
        <w:rPr>
          <w:rStyle w:val="BookTitle"/>
          <w:smallCaps w:val="0"/>
          <w:color w:val="1F497D" w:themeColor="text2"/>
          <w:sz w:val="72"/>
          <w:szCs w:val="72"/>
        </w:rPr>
        <w:t xml:space="preserve"> </w:t>
      </w:r>
      <w:r w:rsidR="00783A23" w:rsidRPr="00344FD7">
        <w:rPr>
          <w:rStyle w:val="BookTitle"/>
          <w:smallCaps w:val="0"/>
          <w:color w:val="1F497D" w:themeColor="text2"/>
          <w:sz w:val="72"/>
          <w:szCs w:val="72"/>
        </w:rPr>
        <w:t>Scholarship</w:t>
      </w:r>
      <w:r w:rsidR="001B3E88" w:rsidRPr="00344FD7">
        <w:rPr>
          <w:rStyle w:val="BookTitle"/>
          <w:smallCaps w:val="0"/>
          <w:color w:val="1F497D" w:themeColor="text2"/>
          <w:sz w:val="72"/>
          <w:szCs w:val="72"/>
        </w:rPr>
        <w:t>s</w:t>
      </w:r>
      <w:r w:rsidR="00CC3D41" w:rsidRPr="00344FD7">
        <w:rPr>
          <w:rStyle w:val="BookTitle"/>
          <w:smallCaps w:val="0"/>
          <w:color w:val="1F497D" w:themeColor="text2"/>
          <w:sz w:val="72"/>
          <w:szCs w:val="72"/>
        </w:rPr>
        <w:t xml:space="preserve"> </w:t>
      </w:r>
      <w:r w:rsidR="00631D09" w:rsidRPr="00344FD7">
        <w:rPr>
          <w:rStyle w:val="BookTitle"/>
          <w:smallCaps w:val="0"/>
          <w:color w:val="1F497D" w:themeColor="text2"/>
          <w:sz w:val="72"/>
          <w:szCs w:val="72"/>
        </w:rPr>
        <w:t>Surveys</w:t>
      </w:r>
    </w:p>
    <w:p w14:paraId="7007CC38" w14:textId="3FAEF5E4" w:rsidR="00CB7965" w:rsidRPr="00344FD7" w:rsidRDefault="009A12A4" w:rsidP="00DA4627">
      <w:pPr>
        <w:pStyle w:val="Cover-ProjectName"/>
        <w:spacing w:before="1680"/>
        <w:jc w:val="right"/>
        <w:rPr>
          <w:rStyle w:val="BookTitle"/>
          <w:smallCaps w:val="0"/>
          <w:color w:val="1F497D" w:themeColor="text2"/>
          <w:sz w:val="52"/>
        </w:rPr>
      </w:pPr>
      <w:r w:rsidRPr="00344FD7">
        <w:rPr>
          <w:rStyle w:val="BookTitle"/>
          <w:smallCaps w:val="0"/>
          <w:color w:val="1F497D" w:themeColor="text2"/>
          <w:sz w:val="52"/>
        </w:rPr>
        <w:t>20</w:t>
      </w:r>
      <w:r w:rsidR="00C13B80" w:rsidRPr="00344FD7">
        <w:rPr>
          <w:rStyle w:val="BookTitle"/>
          <w:smallCaps w:val="0"/>
          <w:color w:val="1F497D" w:themeColor="text2"/>
          <w:sz w:val="52"/>
        </w:rPr>
        <w:t>20</w:t>
      </w:r>
      <w:r w:rsidR="00695279" w:rsidRPr="00344FD7">
        <w:rPr>
          <w:rStyle w:val="BookTitle"/>
          <w:smallCaps w:val="0"/>
          <w:color w:val="1F497D" w:themeColor="text2"/>
          <w:sz w:val="52"/>
        </w:rPr>
        <w:t xml:space="preserve"> Executive Summary Report</w:t>
      </w:r>
    </w:p>
    <w:p w14:paraId="0AD37411" w14:textId="77777777" w:rsidR="00A11044" w:rsidRPr="00E22EEC" w:rsidRDefault="00A11044" w:rsidP="00DA4627">
      <w:pPr>
        <w:pStyle w:val="Cover-ProjectName"/>
        <w:spacing w:before="4080"/>
        <w:rPr>
          <w:rStyle w:val="BookTitle"/>
          <w:color w:val="31849B" w:themeColor="accent5" w:themeShade="BF"/>
          <w:highlight w:val="yellow"/>
        </w:rPr>
        <w:sectPr w:rsidR="00A11044" w:rsidRPr="00E22EEC" w:rsidSect="0025021E">
          <w:pgSz w:w="11906" w:h="16838" w:code="9"/>
          <w:pgMar w:top="1440" w:right="1134" w:bottom="1440" w:left="1440" w:header="709" w:footer="709" w:gutter="0"/>
          <w:cols w:space="708"/>
          <w:docGrid w:linePitch="360"/>
        </w:sectPr>
      </w:pPr>
    </w:p>
    <w:p w14:paraId="303631FE" w14:textId="2A28A6C8" w:rsidR="002B2F61" w:rsidRPr="00E22EEC" w:rsidRDefault="002B2F61" w:rsidP="006F0B65">
      <w:pPr>
        <w:pStyle w:val="TOCHeading"/>
      </w:pPr>
      <w:r w:rsidRPr="00E22EEC">
        <w:lastRenderedPageBreak/>
        <w:t>Contents</w:t>
      </w:r>
    </w:p>
    <w:p w14:paraId="71F22B09" w14:textId="77777777" w:rsidR="002B2F61" w:rsidRPr="00E22EEC" w:rsidRDefault="002B2F61" w:rsidP="002B2F61"/>
    <w:sdt>
      <w:sdtPr>
        <w:rPr>
          <w:b/>
          <w:sz w:val="28"/>
          <w:szCs w:val="26"/>
        </w:rPr>
        <w:id w:val="878506233"/>
        <w:docPartObj>
          <w:docPartGallery w:val="Table of Contents"/>
          <w:docPartUnique/>
        </w:docPartObj>
      </w:sdtPr>
      <w:sdtEndPr>
        <w:rPr>
          <w:b w:val="0"/>
          <w:sz w:val="24"/>
          <w:szCs w:val="24"/>
        </w:rPr>
      </w:sdtEndPr>
      <w:sdtContent>
        <w:p w14:paraId="300C17C3" w14:textId="05B3C178" w:rsidR="00004F8E" w:rsidRDefault="00004F8E">
          <w:pPr>
            <w:pStyle w:val="TOC1"/>
            <w:rPr>
              <w:rFonts w:asciiTheme="minorHAnsi" w:eastAsiaTheme="minorEastAsia" w:hAnsiTheme="minorHAnsi" w:cstheme="minorBidi"/>
              <w:color w:val="auto"/>
              <w:sz w:val="22"/>
              <w:szCs w:val="22"/>
            </w:rPr>
          </w:pPr>
          <w:r w:rsidRPr="00004F8E">
            <w:fldChar w:fldCharType="begin"/>
          </w:r>
          <w:r w:rsidRPr="00004F8E">
            <w:instrText xml:space="preserve"> TOC \o "1-1" \h \z \u </w:instrText>
          </w:r>
          <w:r w:rsidRPr="00004F8E">
            <w:fldChar w:fldCharType="separate"/>
          </w:r>
          <w:hyperlink w:anchor="_Toc65069877" w:history="1">
            <w:r w:rsidRPr="007B3E92">
              <w:rPr>
                <w:rStyle w:val="Hyperlink"/>
              </w:rPr>
              <w:t>Background and methodology</w:t>
            </w:r>
            <w:r>
              <w:rPr>
                <w:webHidden/>
              </w:rPr>
              <w:tab/>
            </w:r>
            <w:r>
              <w:rPr>
                <w:webHidden/>
              </w:rPr>
              <w:fldChar w:fldCharType="begin"/>
            </w:r>
            <w:r>
              <w:rPr>
                <w:webHidden/>
              </w:rPr>
              <w:instrText xml:space="preserve"> PAGEREF _Toc65069877 \h </w:instrText>
            </w:r>
            <w:r>
              <w:rPr>
                <w:webHidden/>
              </w:rPr>
            </w:r>
            <w:r>
              <w:rPr>
                <w:webHidden/>
              </w:rPr>
              <w:fldChar w:fldCharType="separate"/>
            </w:r>
            <w:r w:rsidR="00DB3DC4">
              <w:rPr>
                <w:webHidden/>
              </w:rPr>
              <w:t>3</w:t>
            </w:r>
            <w:r>
              <w:rPr>
                <w:webHidden/>
              </w:rPr>
              <w:fldChar w:fldCharType="end"/>
            </w:r>
          </w:hyperlink>
        </w:p>
        <w:p w14:paraId="5AF86DD4" w14:textId="6842A4F1" w:rsidR="00004F8E" w:rsidRDefault="001C769D">
          <w:pPr>
            <w:pStyle w:val="TOC1"/>
            <w:rPr>
              <w:rFonts w:asciiTheme="minorHAnsi" w:eastAsiaTheme="minorEastAsia" w:hAnsiTheme="minorHAnsi" w:cstheme="minorBidi"/>
              <w:color w:val="auto"/>
              <w:sz w:val="22"/>
              <w:szCs w:val="22"/>
            </w:rPr>
          </w:pPr>
          <w:hyperlink w:anchor="_Toc65069878" w:history="1">
            <w:r w:rsidR="00004F8E" w:rsidRPr="007B3E92">
              <w:rPr>
                <w:rStyle w:val="Hyperlink"/>
              </w:rPr>
              <w:t>Overall satisfaction with the Australia Awards</w:t>
            </w:r>
            <w:r w:rsidR="00004F8E">
              <w:rPr>
                <w:webHidden/>
              </w:rPr>
              <w:tab/>
            </w:r>
            <w:r w:rsidR="00004F8E">
              <w:rPr>
                <w:webHidden/>
              </w:rPr>
              <w:fldChar w:fldCharType="begin"/>
            </w:r>
            <w:r w:rsidR="00004F8E">
              <w:rPr>
                <w:webHidden/>
              </w:rPr>
              <w:instrText xml:space="preserve"> PAGEREF _Toc65069878 \h </w:instrText>
            </w:r>
            <w:r w:rsidR="00004F8E">
              <w:rPr>
                <w:webHidden/>
              </w:rPr>
            </w:r>
            <w:r w:rsidR="00004F8E">
              <w:rPr>
                <w:webHidden/>
              </w:rPr>
              <w:fldChar w:fldCharType="separate"/>
            </w:r>
            <w:r w:rsidR="00DB3DC4">
              <w:rPr>
                <w:webHidden/>
              </w:rPr>
              <w:t>5</w:t>
            </w:r>
            <w:r w:rsidR="00004F8E">
              <w:rPr>
                <w:webHidden/>
              </w:rPr>
              <w:fldChar w:fldCharType="end"/>
            </w:r>
          </w:hyperlink>
        </w:p>
        <w:p w14:paraId="079A3DA1" w14:textId="30B3566D" w:rsidR="00004F8E" w:rsidRDefault="001C769D">
          <w:pPr>
            <w:pStyle w:val="TOC1"/>
            <w:rPr>
              <w:rFonts w:asciiTheme="minorHAnsi" w:eastAsiaTheme="minorEastAsia" w:hAnsiTheme="minorHAnsi" w:cstheme="minorBidi"/>
              <w:color w:val="auto"/>
              <w:sz w:val="22"/>
              <w:szCs w:val="22"/>
            </w:rPr>
          </w:pPr>
          <w:hyperlink w:anchor="_Toc65069879" w:history="1">
            <w:r w:rsidR="00004F8E" w:rsidRPr="007B3E92">
              <w:rPr>
                <w:rStyle w:val="Hyperlink"/>
              </w:rPr>
              <w:t>Key Australia Awards outcomes</w:t>
            </w:r>
            <w:r w:rsidR="00004F8E">
              <w:rPr>
                <w:webHidden/>
              </w:rPr>
              <w:tab/>
            </w:r>
            <w:r w:rsidR="00004F8E">
              <w:rPr>
                <w:webHidden/>
              </w:rPr>
              <w:fldChar w:fldCharType="begin"/>
            </w:r>
            <w:r w:rsidR="00004F8E">
              <w:rPr>
                <w:webHidden/>
              </w:rPr>
              <w:instrText xml:space="preserve"> PAGEREF _Toc65069879 \h </w:instrText>
            </w:r>
            <w:r w:rsidR="00004F8E">
              <w:rPr>
                <w:webHidden/>
              </w:rPr>
            </w:r>
            <w:r w:rsidR="00004F8E">
              <w:rPr>
                <w:webHidden/>
              </w:rPr>
              <w:fldChar w:fldCharType="separate"/>
            </w:r>
            <w:r w:rsidR="00DB3DC4">
              <w:rPr>
                <w:webHidden/>
              </w:rPr>
              <w:t>9</w:t>
            </w:r>
            <w:r w:rsidR="00004F8E">
              <w:rPr>
                <w:webHidden/>
              </w:rPr>
              <w:fldChar w:fldCharType="end"/>
            </w:r>
          </w:hyperlink>
        </w:p>
        <w:p w14:paraId="433AF446" w14:textId="15044A20" w:rsidR="00004F8E" w:rsidRDefault="001C769D">
          <w:pPr>
            <w:pStyle w:val="TOC1"/>
            <w:rPr>
              <w:rFonts w:asciiTheme="minorHAnsi" w:eastAsiaTheme="minorEastAsia" w:hAnsiTheme="minorHAnsi" w:cstheme="minorBidi"/>
              <w:color w:val="auto"/>
              <w:sz w:val="22"/>
              <w:szCs w:val="22"/>
            </w:rPr>
          </w:pPr>
          <w:hyperlink w:anchor="_Toc65069880" w:history="1">
            <w:r w:rsidR="00004F8E" w:rsidRPr="007B3E92">
              <w:rPr>
                <w:rStyle w:val="Hyperlink"/>
              </w:rPr>
              <w:t>2020 student experiences at a glance</w:t>
            </w:r>
            <w:r w:rsidR="00004F8E">
              <w:rPr>
                <w:webHidden/>
              </w:rPr>
              <w:tab/>
            </w:r>
            <w:r w:rsidR="00004F8E">
              <w:rPr>
                <w:webHidden/>
              </w:rPr>
              <w:fldChar w:fldCharType="begin"/>
            </w:r>
            <w:r w:rsidR="00004F8E">
              <w:rPr>
                <w:webHidden/>
              </w:rPr>
              <w:instrText xml:space="preserve"> PAGEREF _Toc65069880 \h </w:instrText>
            </w:r>
            <w:r w:rsidR="00004F8E">
              <w:rPr>
                <w:webHidden/>
              </w:rPr>
            </w:r>
            <w:r w:rsidR="00004F8E">
              <w:rPr>
                <w:webHidden/>
              </w:rPr>
              <w:fldChar w:fldCharType="separate"/>
            </w:r>
            <w:r w:rsidR="00DB3DC4">
              <w:rPr>
                <w:webHidden/>
              </w:rPr>
              <w:t>12</w:t>
            </w:r>
            <w:r w:rsidR="00004F8E">
              <w:rPr>
                <w:webHidden/>
              </w:rPr>
              <w:fldChar w:fldCharType="end"/>
            </w:r>
          </w:hyperlink>
        </w:p>
        <w:p w14:paraId="47B9F067" w14:textId="69B07AD7" w:rsidR="00004F8E" w:rsidRDefault="001C769D">
          <w:pPr>
            <w:pStyle w:val="TOC1"/>
            <w:rPr>
              <w:rFonts w:asciiTheme="minorHAnsi" w:eastAsiaTheme="minorEastAsia" w:hAnsiTheme="minorHAnsi" w:cstheme="minorBidi"/>
              <w:color w:val="auto"/>
              <w:sz w:val="22"/>
              <w:szCs w:val="22"/>
            </w:rPr>
          </w:pPr>
          <w:hyperlink w:anchor="_Toc65069881" w:history="1">
            <w:r w:rsidR="00004F8E" w:rsidRPr="007B3E92">
              <w:rPr>
                <w:rStyle w:val="Hyperlink"/>
              </w:rPr>
              <w:t>Focus on discrimination, gender, disability and family composition</w:t>
            </w:r>
            <w:r w:rsidR="00004F8E">
              <w:rPr>
                <w:webHidden/>
              </w:rPr>
              <w:tab/>
            </w:r>
            <w:r w:rsidR="00004F8E">
              <w:rPr>
                <w:webHidden/>
              </w:rPr>
              <w:fldChar w:fldCharType="begin"/>
            </w:r>
            <w:r w:rsidR="00004F8E">
              <w:rPr>
                <w:webHidden/>
              </w:rPr>
              <w:instrText xml:space="preserve"> PAGEREF _Toc65069881 \h </w:instrText>
            </w:r>
            <w:r w:rsidR="00004F8E">
              <w:rPr>
                <w:webHidden/>
              </w:rPr>
            </w:r>
            <w:r w:rsidR="00004F8E">
              <w:rPr>
                <w:webHidden/>
              </w:rPr>
              <w:fldChar w:fldCharType="separate"/>
            </w:r>
            <w:r w:rsidR="00DB3DC4">
              <w:rPr>
                <w:webHidden/>
              </w:rPr>
              <w:t>17</w:t>
            </w:r>
            <w:r w:rsidR="00004F8E">
              <w:rPr>
                <w:webHidden/>
              </w:rPr>
              <w:fldChar w:fldCharType="end"/>
            </w:r>
          </w:hyperlink>
        </w:p>
        <w:p w14:paraId="43488A7E" w14:textId="7A052690" w:rsidR="00004F8E" w:rsidRDefault="001C769D">
          <w:pPr>
            <w:pStyle w:val="TOC1"/>
            <w:rPr>
              <w:rFonts w:asciiTheme="minorHAnsi" w:eastAsiaTheme="minorEastAsia" w:hAnsiTheme="minorHAnsi" w:cstheme="minorBidi"/>
              <w:color w:val="auto"/>
              <w:sz w:val="22"/>
              <w:szCs w:val="22"/>
            </w:rPr>
          </w:pPr>
          <w:hyperlink w:anchor="_Toc65069882" w:history="1">
            <w:r w:rsidR="00004F8E" w:rsidRPr="007B3E92">
              <w:rPr>
                <w:rStyle w:val="Hyperlink"/>
              </w:rPr>
              <w:t>Coping with COVID-19 and overall wellbeing</w:t>
            </w:r>
            <w:r w:rsidR="00004F8E">
              <w:rPr>
                <w:webHidden/>
              </w:rPr>
              <w:tab/>
            </w:r>
            <w:r w:rsidR="00004F8E">
              <w:rPr>
                <w:webHidden/>
              </w:rPr>
              <w:fldChar w:fldCharType="begin"/>
            </w:r>
            <w:r w:rsidR="00004F8E">
              <w:rPr>
                <w:webHidden/>
              </w:rPr>
              <w:instrText xml:space="preserve"> PAGEREF _Toc65069882 \h </w:instrText>
            </w:r>
            <w:r w:rsidR="00004F8E">
              <w:rPr>
                <w:webHidden/>
              </w:rPr>
            </w:r>
            <w:r w:rsidR="00004F8E">
              <w:rPr>
                <w:webHidden/>
              </w:rPr>
              <w:fldChar w:fldCharType="separate"/>
            </w:r>
            <w:r w:rsidR="00DB3DC4">
              <w:rPr>
                <w:webHidden/>
              </w:rPr>
              <w:t>20</w:t>
            </w:r>
            <w:r w:rsidR="00004F8E">
              <w:rPr>
                <w:webHidden/>
              </w:rPr>
              <w:fldChar w:fldCharType="end"/>
            </w:r>
          </w:hyperlink>
        </w:p>
        <w:p w14:paraId="620DA8E8" w14:textId="50F5CCE7" w:rsidR="00004F8E" w:rsidRPr="00004F8E" w:rsidRDefault="00004F8E" w:rsidP="00004F8E">
          <w:pPr>
            <w:pStyle w:val="TOC1"/>
          </w:pPr>
          <w:r w:rsidRPr="00004F8E">
            <w:fldChar w:fldCharType="end"/>
          </w:r>
          <w:r w:rsidR="009B0859" w:rsidRPr="00004F8E">
            <w:rPr>
              <w:highlight w:val="yellow"/>
            </w:rPr>
            <w:fldChar w:fldCharType="begin"/>
          </w:r>
          <w:r w:rsidR="009B0859" w:rsidRPr="00004F8E">
            <w:rPr>
              <w:highlight w:val="yellow"/>
            </w:rPr>
            <w:instrText xml:space="preserve"> TOC \n \h \z \u \t "Heading 6,4" </w:instrText>
          </w:r>
          <w:r w:rsidR="009B0859" w:rsidRPr="00004F8E">
            <w:rPr>
              <w:highlight w:val="yellow"/>
            </w:rPr>
            <w:fldChar w:fldCharType="separate"/>
          </w:r>
        </w:p>
        <w:p w14:paraId="4115BDB9" w14:textId="283E29C6" w:rsidR="00004F8E" w:rsidRPr="00004F8E" w:rsidRDefault="001C769D" w:rsidP="00004F8E">
          <w:pPr>
            <w:pStyle w:val="TOC1"/>
          </w:pPr>
          <w:hyperlink w:anchor="_Toc65069770" w:history="1">
            <w:r w:rsidR="00004F8E" w:rsidRPr="00004F8E">
              <w:t>Appendix A: Drivers of overall satisfaction with the Australia Awards</w:t>
            </w:r>
          </w:hyperlink>
        </w:p>
        <w:p w14:paraId="5A34AE65" w14:textId="36CC295B" w:rsidR="006F0B65" w:rsidRPr="00004F8E" w:rsidRDefault="009B0859" w:rsidP="00004F8E">
          <w:pPr>
            <w:pStyle w:val="TOC1"/>
            <w:rPr>
              <w:highlight w:val="yellow"/>
            </w:rPr>
            <w:sectPr w:rsidR="006F0B65" w:rsidRPr="00004F8E" w:rsidSect="006F0B65">
              <w:headerReference w:type="default" r:id="rId9"/>
              <w:pgSz w:w="11906" w:h="16838"/>
              <w:pgMar w:top="1440" w:right="1133" w:bottom="1440" w:left="1440" w:header="708" w:footer="708" w:gutter="0"/>
              <w:cols w:space="708"/>
              <w:docGrid w:linePitch="360"/>
            </w:sectPr>
          </w:pPr>
          <w:r w:rsidRPr="00004F8E">
            <w:rPr>
              <w:highlight w:val="yellow"/>
            </w:rPr>
            <w:fldChar w:fldCharType="end"/>
          </w:r>
        </w:p>
      </w:sdtContent>
    </w:sdt>
    <w:p w14:paraId="27FEC0A1" w14:textId="418FFAD6" w:rsidR="00A3245F" w:rsidRPr="00E22EEC" w:rsidRDefault="00C07FA2" w:rsidP="00F25704">
      <w:pPr>
        <w:pStyle w:val="Heading2"/>
      </w:pPr>
      <w:bookmarkStart w:id="0" w:name="_Ref378772856"/>
      <w:bookmarkStart w:id="1" w:name="_Toc65069877"/>
      <w:r w:rsidRPr="005A24AB">
        <w:lastRenderedPageBreak/>
        <w:t>Background</w:t>
      </w:r>
      <w:r w:rsidRPr="00E22EEC">
        <w:t xml:space="preserve"> and methodology</w:t>
      </w:r>
      <w:bookmarkEnd w:id="0"/>
      <w:bookmarkEnd w:id="1"/>
    </w:p>
    <w:p w14:paraId="7330A199" w14:textId="02DF1255" w:rsidR="00695279" w:rsidRPr="00E22EEC" w:rsidRDefault="00695279" w:rsidP="00695279">
      <w:r w:rsidRPr="00E22EEC">
        <w:t>The Department of Foreign Affairs and Trade (DFAT) undertakes a research program of the Australia Awards scholarship recipients on an annual basis</w:t>
      </w:r>
      <w:r w:rsidR="001E6F97" w:rsidRPr="00E22EEC">
        <w:t xml:space="preserve">. The annual process </w:t>
      </w:r>
      <w:r w:rsidR="009428DB">
        <w:t>involves</w:t>
      </w:r>
      <w:r w:rsidR="001E6F97" w:rsidRPr="00E22EEC">
        <w:t xml:space="preserve"> two</w:t>
      </w:r>
      <w:r w:rsidRPr="00E22EEC">
        <w:t xml:space="preserve"> surv</w:t>
      </w:r>
      <w:r w:rsidR="00631D09" w:rsidRPr="00E22EEC">
        <w:t>ey</w:t>
      </w:r>
      <w:r w:rsidR="001E6F97" w:rsidRPr="00E22EEC">
        <w:t>s</w:t>
      </w:r>
      <w:r w:rsidR="00631D09" w:rsidRPr="00E22EEC">
        <w:t xml:space="preserve"> of new </w:t>
      </w:r>
      <w:r w:rsidR="00E22EEC" w:rsidRPr="00E22EEC">
        <w:t>arrivals</w:t>
      </w:r>
      <w:r w:rsidR="00631D09" w:rsidRPr="00E22EEC">
        <w:t xml:space="preserve"> </w:t>
      </w:r>
      <w:r w:rsidR="001E6F97" w:rsidRPr="00E22EEC">
        <w:t xml:space="preserve">(one for </w:t>
      </w:r>
      <w:r w:rsidR="00631D09" w:rsidRPr="00E22EEC">
        <w:t>Semester One</w:t>
      </w:r>
      <w:r w:rsidRPr="00E22EEC">
        <w:t xml:space="preserve"> and </w:t>
      </w:r>
      <w:r w:rsidR="001E6F97" w:rsidRPr="00E22EEC">
        <w:t xml:space="preserve">one for </w:t>
      </w:r>
      <w:r w:rsidRPr="00E22EEC">
        <w:t xml:space="preserve">Semester </w:t>
      </w:r>
      <w:r w:rsidR="00631D09" w:rsidRPr="00E22EEC">
        <w:t>Two</w:t>
      </w:r>
      <w:r w:rsidR="001E6F97" w:rsidRPr="00E22EEC">
        <w:t xml:space="preserve">, </w:t>
      </w:r>
      <w:r w:rsidRPr="00E22EEC">
        <w:t>known as the Arrival Surveys) and a survey of students who have completed at least one semester of study (known as the Ongoing Survey). The three surveys are conducted online by ORIMA Research using a census design methodology.</w:t>
      </w:r>
    </w:p>
    <w:p w14:paraId="2BB464DE" w14:textId="77777777" w:rsidR="00E51B43" w:rsidRPr="00E22EEC" w:rsidRDefault="00695279" w:rsidP="00D00157">
      <w:pPr>
        <w:pStyle w:val="ListBullet"/>
      </w:pPr>
      <w:r w:rsidRPr="00E22EEC">
        <w:t>The</w:t>
      </w:r>
      <w:r w:rsidR="00193C52" w:rsidRPr="00E22EEC">
        <w:t xml:space="preserve"> two</w:t>
      </w:r>
      <w:r w:rsidRPr="00E22EEC">
        <w:t xml:space="preserve"> </w:t>
      </w:r>
      <w:r w:rsidR="001B087C" w:rsidRPr="00E22EEC">
        <w:rPr>
          <w:rStyle w:val="Strong"/>
        </w:rPr>
        <w:t>A</w:t>
      </w:r>
      <w:r w:rsidR="00D00157" w:rsidRPr="00E22EEC">
        <w:rPr>
          <w:rStyle w:val="Strong"/>
        </w:rPr>
        <w:t>rrival S</w:t>
      </w:r>
      <w:r w:rsidRPr="00E22EEC">
        <w:rPr>
          <w:rStyle w:val="Strong"/>
        </w:rPr>
        <w:t>urveys</w:t>
      </w:r>
      <w:r w:rsidRPr="00E22EEC">
        <w:t xml:space="preserve"> are aimed at gathering information on the </w:t>
      </w:r>
      <w:r w:rsidR="00E51B43" w:rsidRPr="00E22EEC">
        <w:t>following topics:</w:t>
      </w:r>
    </w:p>
    <w:p w14:paraId="428E5CE9" w14:textId="2DFE4D42" w:rsidR="00E51B43" w:rsidRPr="00E22EEC" w:rsidRDefault="00E51B43" w:rsidP="00493AC1">
      <w:pPr>
        <w:pStyle w:val="ListBullet2"/>
      </w:pPr>
      <w:r w:rsidRPr="00E22EEC">
        <w:t xml:space="preserve">the </w:t>
      </w:r>
      <w:r w:rsidR="00695279" w:rsidRPr="00E22EEC">
        <w:t>application process for</w:t>
      </w:r>
      <w:r w:rsidR="00E22EEC" w:rsidRPr="00E22EEC">
        <w:t xml:space="preserve"> the</w:t>
      </w:r>
      <w:r w:rsidRPr="00E22EEC">
        <w:t xml:space="preserve"> Australia Award</w:t>
      </w:r>
      <w:r w:rsidR="00985EFE" w:rsidRPr="00E22EEC">
        <w:t>s</w:t>
      </w:r>
    </w:p>
    <w:p w14:paraId="6A8F1C53" w14:textId="0FE6A104" w:rsidR="00E51B43" w:rsidRPr="00E22EEC" w:rsidRDefault="00E51B43" w:rsidP="00493AC1">
      <w:pPr>
        <w:pStyle w:val="ListBullet2"/>
      </w:pPr>
      <w:r w:rsidRPr="00E22EEC">
        <w:t>pre-departure preparation</w:t>
      </w:r>
    </w:p>
    <w:p w14:paraId="0F3E9983" w14:textId="1DBBC73C" w:rsidR="00E51B43" w:rsidRPr="00E22EEC" w:rsidRDefault="00CA1276" w:rsidP="00493AC1">
      <w:pPr>
        <w:pStyle w:val="ListBullet2"/>
      </w:pPr>
      <w:r w:rsidRPr="00E22EEC">
        <w:t>on-</w:t>
      </w:r>
      <w:r w:rsidR="00695279" w:rsidRPr="00E22EEC">
        <w:t>arrival</w:t>
      </w:r>
      <w:r w:rsidR="00E67756" w:rsidRPr="00E22EEC">
        <w:t xml:space="preserve"> and living experiences</w:t>
      </w:r>
    </w:p>
    <w:p w14:paraId="6F93E5A4" w14:textId="1F05EAAE" w:rsidR="00E51B43" w:rsidRPr="00E22EEC" w:rsidRDefault="00695279" w:rsidP="00493AC1">
      <w:pPr>
        <w:pStyle w:val="ListBullet2"/>
      </w:pPr>
      <w:r w:rsidRPr="00E22EEC">
        <w:t>initial thoughts on study programs</w:t>
      </w:r>
      <w:r w:rsidR="001F317B" w:rsidRPr="00E22EEC">
        <w:t xml:space="preserve">, </w:t>
      </w:r>
      <w:r w:rsidR="00E166EA" w:rsidRPr="00E22EEC">
        <w:t>institution</w:t>
      </w:r>
      <w:r w:rsidRPr="00E22EEC">
        <w:t xml:space="preserve"> services and facilities</w:t>
      </w:r>
      <w:r w:rsidR="00004F8E">
        <w:t>,</w:t>
      </w:r>
      <w:r w:rsidR="00E51B43" w:rsidRPr="00E22EEC">
        <w:t xml:space="preserve"> and</w:t>
      </w:r>
    </w:p>
    <w:p w14:paraId="17DDC77B" w14:textId="77777777" w:rsidR="00E51B43" w:rsidRPr="00C13B80" w:rsidRDefault="00E51B43" w:rsidP="00493AC1">
      <w:pPr>
        <w:pStyle w:val="ListBullet2"/>
      </w:pPr>
      <w:r w:rsidRPr="00C13B80">
        <w:t>satisfaction with the scholarship entitlements received</w:t>
      </w:r>
      <w:r w:rsidR="00FF25A1" w:rsidRPr="00C13B80">
        <w:t xml:space="preserve"> so far</w:t>
      </w:r>
      <w:r w:rsidR="00695279" w:rsidRPr="00C13B80">
        <w:t>.</w:t>
      </w:r>
    </w:p>
    <w:p w14:paraId="741F0434" w14:textId="6734FC92" w:rsidR="00C13B80" w:rsidRDefault="00C13B80" w:rsidP="002C3774">
      <w:r w:rsidRPr="00C13B80">
        <w:t>Two Arrival Surveys (AS1 and AS2) are conducted each year; however, due to travel restrictions resulting from COVID-19, only one (AS1) was conducted in 2020, in June/July.</w:t>
      </w:r>
      <w:r>
        <w:t xml:space="preserve"> The 2020 AS1 also included some questions on the transition to online learning and how students were faring in the COVID environment.</w:t>
      </w:r>
    </w:p>
    <w:p w14:paraId="085D79D8" w14:textId="77777777" w:rsidR="00D455CA" w:rsidRPr="00E22EEC" w:rsidRDefault="00695279" w:rsidP="00695279">
      <w:pPr>
        <w:pStyle w:val="ListBullet"/>
      </w:pPr>
      <w:r w:rsidRPr="00E22EEC">
        <w:t xml:space="preserve">The </w:t>
      </w:r>
      <w:r w:rsidR="001B087C" w:rsidRPr="00E22EEC">
        <w:rPr>
          <w:rStyle w:val="Strong"/>
        </w:rPr>
        <w:t>O</w:t>
      </w:r>
      <w:r w:rsidRPr="00E22EEC">
        <w:rPr>
          <w:rStyle w:val="Strong"/>
        </w:rPr>
        <w:t xml:space="preserve">ngoing </w:t>
      </w:r>
      <w:r w:rsidR="00D00157" w:rsidRPr="00E22EEC">
        <w:rPr>
          <w:rStyle w:val="Strong"/>
        </w:rPr>
        <w:t>S</w:t>
      </w:r>
      <w:r w:rsidRPr="00E22EEC">
        <w:rPr>
          <w:rStyle w:val="Strong"/>
        </w:rPr>
        <w:t>urvey</w:t>
      </w:r>
      <w:r w:rsidRPr="00E22EEC">
        <w:t xml:space="preserve"> is ai</w:t>
      </w:r>
      <w:r w:rsidR="00D455CA" w:rsidRPr="00E22EEC">
        <w:t>med at gathering information on:</w:t>
      </w:r>
    </w:p>
    <w:p w14:paraId="051804B3" w14:textId="00406C2A" w:rsidR="00D455CA" w:rsidRPr="00E22EEC" w:rsidRDefault="00695279" w:rsidP="00493AC1">
      <w:pPr>
        <w:pStyle w:val="ListBullet2"/>
      </w:pPr>
      <w:r w:rsidRPr="00E22EEC">
        <w:t>l</w:t>
      </w:r>
      <w:r w:rsidR="00D455CA" w:rsidRPr="00E22EEC">
        <w:t>iving and studying experiences</w:t>
      </w:r>
    </w:p>
    <w:p w14:paraId="05790778" w14:textId="42823A49" w:rsidR="00D455CA" w:rsidRPr="00E22EEC" w:rsidRDefault="00695279" w:rsidP="00493AC1">
      <w:pPr>
        <w:pStyle w:val="ListBullet2"/>
      </w:pPr>
      <w:r w:rsidRPr="00E22EEC">
        <w:t>assessments of facilities and services at Au</w:t>
      </w:r>
      <w:r w:rsidR="00D455CA" w:rsidRPr="00E22EEC">
        <w:t xml:space="preserve">stralian academic </w:t>
      </w:r>
      <w:r w:rsidR="00E166EA" w:rsidRPr="00E22EEC">
        <w:t>institution</w:t>
      </w:r>
      <w:r w:rsidR="00D455CA" w:rsidRPr="00E22EEC">
        <w:t>s</w:t>
      </w:r>
    </w:p>
    <w:p w14:paraId="0F20422A" w14:textId="1C0F0987" w:rsidR="00D455CA" w:rsidRPr="00E22EEC" w:rsidRDefault="00695279" w:rsidP="00493AC1">
      <w:pPr>
        <w:pStyle w:val="ListBullet2"/>
      </w:pPr>
      <w:r w:rsidRPr="00E22EEC">
        <w:t xml:space="preserve">entitlements and assistance provided by the </w:t>
      </w:r>
      <w:r w:rsidR="00CA1A9D" w:rsidRPr="00E22EEC">
        <w:t>Australia Awards</w:t>
      </w:r>
      <w:r w:rsidR="00BF255C">
        <w:t>,</w:t>
      </w:r>
      <w:r w:rsidR="00D455CA" w:rsidRPr="00E22EEC">
        <w:t xml:space="preserve"> and</w:t>
      </w:r>
    </w:p>
    <w:p w14:paraId="6397083E" w14:textId="77777777" w:rsidR="00D455CA" w:rsidRPr="00E22EEC" w:rsidRDefault="00695279" w:rsidP="00493AC1">
      <w:pPr>
        <w:pStyle w:val="ListBullet2"/>
      </w:pPr>
      <w:r w:rsidRPr="00E22EEC">
        <w:t>arrangements for returning home.</w:t>
      </w:r>
    </w:p>
    <w:p w14:paraId="34241B33" w14:textId="662DD231" w:rsidR="00695279" w:rsidRPr="00E22EEC" w:rsidRDefault="00695279" w:rsidP="002C3774">
      <w:r w:rsidRPr="00E22EEC">
        <w:t>The 20</w:t>
      </w:r>
      <w:r w:rsidR="00C13B80">
        <w:t>20</w:t>
      </w:r>
      <w:r w:rsidRPr="00E22EEC">
        <w:t xml:space="preserve"> Ongoing Survey </w:t>
      </w:r>
      <w:r w:rsidR="00C13B80">
        <w:t xml:space="preserve">(OS) </w:t>
      </w:r>
      <w:r w:rsidRPr="00E22EEC">
        <w:t xml:space="preserve">was conducted in </w:t>
      </w:r>
      <w:r w:rsidR="00730D68" w:rsidRPr="00E22EEC">
        <w:t>September</w:t>
      </w:r>
      <w:r w:rsidR="00E22EEC" w:rsidRPr="00E22EEC">
        <w:t>/October</w:t>
      </w:r>
      <w:r w:rsidRPr="00E22EEC">
        <w:t>.</w:t>
      </w:r>
      <w:r w:rsidR="00C13B80">
        <w:t xml:space="preserve"> The 2020 OS also included some questions to assess student health and wellbeing.</w:t>
      </w:r>
    </w:p>
    <w:p w14:paraId="683443D9" w14:textId="1DB8B0D4" w:rsidR="00FC1B02" w:rsidRPr="00E22EEC" w:rsidRDefault="00D00157" w:rsidP="00FC1B02">
      <w:r w:rsidRPr="00E22EEC">
        <w:t>This Executive Summary Report provides the results of the student surveys conducted in 20</w:t>
      </w:r>
      <w:r w:rsidR="00C13B80">
        <w:t>20</w:t>
      </w:r>
      <w:r w:rsidR="003B16B3" w:rsidRPr="00E22EEC">
        <w:t xml:space="preserve"> and provides comparisons</w:t>
      </w:r>
      <w:r w:rsidR="00C277A8" w:rsidRPr="00E22EEC">
        <w:t xml:space="preserve"> with previous </w:t>
      </w:r>
      <w:r w:rsidR="00396684" w:rsidRPr="00E22EEC">
        <w:t>survey cycles</w:t>
      </w:r>
      <w:r w:rsidR="003B16B3" w:rsidRPr="00E22EEC">
        <w:t xml:space="preserve"> </w:t>
      </w:r>
      <w:r w:rsidR="00F36840" w:rsidRPr="00E22EEC">
        <w:t>for key measures</w:t>
      </w:r>
      <w:r w:rsidRPr="00E22EEC">
        <w:t>.</w:t>
      </w:r>
    </w:p>
    <w:p w14:paraId="6B44BAC8" w14:textId="77777777" w:rsidR="00B64852" w:rsidRDefault="00B64852">
      <w:pPr>
        <w:rPr>
          <w:i/>
          <w:color w:val="31849B" w:themeColor="accent5" w:themeShade="BF"/>
          <w:sz w:val="28"/>
          <w:szCs w:val="32"/>
        </w:rPr>
      </w:pPr>
      <w:r>
        <w:br w:type="page"/>
      </w:r>
    </w:p>
    <w:p w14:paraId="454264AF" w14:textId="42845F31" w:rsidR="005575DF" w:rsidRPr="00B64852" w:rsidRDefault="00823F7C" w:rsidP="00B64852">
      <w:pPr>
        <w:pStyle w:val="Heading3"/>
      </w:pPr>
      <w:r w:rsidRPr="00596617">
        <w:rPr>
          <w:color w:val="215868" w:themeColor="accent5" w:themeShade="80"/>
        </w:rPr>
        <w:lastRenderedPageBreak/>
        <w:t>Response rates</w:t>
      </w:r>
    </w:p>
    <w:p w14:paraId="06DAD91A" w14:textId="3CBDF0FF" w:rsidR="00C13B80" w:rsidRDefault="00823F7C" w:rsidP="00074EF2">
      <w:pPr>
        <w:keepNext/>
        <w:spacing w:before="120"/>
      </w:pPr>
      <w:r w:rsidRPr="00FF18DB">
        <w:t>The response rates for the Arrival Surveys and the Ongoing Survey have remained high and steady in comparison with previous years (</w:t>
      </w:r>
      <w:r w:rsidR="00651373" w:rsidRPr="00FF18DB">
        <w:t>back to 2009</w:t>
      </w:r>
      <w:r w:rsidR="00726F45" w:rsidRPr="00FF18DB">
        <w:t xml:space="preserve">), with response rates of </w:t>
      </w:r>
      <w:r w:rsidR="00FF18DB" w:rsidRPr="00FF18DB">
        <w:t>8</w:t>
      </w:r>
      <w:r w:rsidR="00C13B80">
        <w:t>8</w:t>
      </w:r>
      <w:r w:rsidR="00651373" w:rsidRPr="00FF18DB">
        <w:t xml:space="preserve">% amongst new arrivals and </w:t>
      </w:r>
      <w:r w:rsidR="00FF18DB" w:rsidRPr="00FF18DB">
        <w:t>8</w:t>
      </w:r>
      <w:r w:rsidR="00C13B80">
        <w:t>0</w:t>
      </w:r>
      <w:r w:rsidR="00726F45" w:rsidRPr="00FF18DB">
        <w:t>% amongst ongoing students.</w:t>
      </w:r>
      <w:r w:rsidR="00651373" w:rsidRPr="00FF18DB">
        <w:t xml:space="preserve"> </w:t>
      </w:r>
      <w:r w:rsidR="00396684" w:rsidRPr="00FF18DB">
        <w:t>As shown in</w:t>
      </w:r>
      <w:r w:rsidR="000C62BA">
        <w:t xml:space="preserve"> the figure</w:t>
      </w:r>
      <w:r w:rsidR="009428DB">
        <w:t xml:space="preserve"> below</w:t>
      </w:r>
      <w:r w:rsidR="000C62BA">
        <w:t xml:space="preserve">, </w:t>
      </w:r>
      <w:r w:rsidR="00396684" w:rsidRPr="00FF18DB">
        <w:t xml:space="preserve">the total number of ongoing students </w:t>
      </w:r>
      <w:r w:rsidR="009428DB">
        <w:t>fell from 2013 (its historical high) to 2017, and has remained at a similar level to 2017 since</w:t>
      </w:r>
      <w:r w:rsidR="00C13B80">
        <w:t>.</w:t>
      </w:r>
    </w:p>
    <w:p w14:paraId="1F1D7294" w14:textId="7F5E5B67" w:rsidR="00823F7C" w:rsidRPr="00B91FA9" w:rsidRDefault="00004F8E" w:rsidP="009428DB">
      <w:pPr>
        <w:keepNext/>
        <w:spacing w:before="120"/>
      </w:pPr>
      <w:r>
        <w:t>The following chart</w:t>
      </w:r>
      <w:r w:rsidR="003E026B" w:rsidRPr="000D3FDA">
        <w:t xml:space="preserve"> </w:t>
      </w:r>
      <w:r w:rsidR="007F62FF" w:rsidRPr="000D3FDA">
        <w:t>tracks</w:t>
      </w:r>
      <w:r w:rsidR="003E026B" w:rsidRPr="000D3FDA">
        <w:t xml:space="preserve"> the response rate</w:t>
      </w:r>
      <w:r w:rsidR="00396684" w:rsidRPr="000D3FDA">
        <w:t>s</w:t>
      </w:r>
      <w:r w:rsidR="003E026B" w:rsidRPr="000D3FDA">
        <w:t xml:space="preserve"> </w:t>
      </w:r>
      <w:r w:rsidR="00396684" w:rsidRPr="000D3FDA">
        <w:t xml:space="preserve">and total number of ongoing students </w:t>
      </w:r>
      <w:r w:rsidR="003E026B" w:rsidRPr="000D3FDA">
        <w:t>since 2009</w:t>
      </w:r>
      <w:r w:rsidR="009428DB">
        <w:t>,</w:t>
      </w:r>
      <w:r w:rsidR="003E026B" w:rsidRPr="000D3FDA">
        <w:t xml:space="preserve"> and </w:t>
      </w:r>
      <w:r>
        <w:t>the tables below</w:t>
      </w:r>
      <w:r w:rsidR="00823F7C" w:rsidRPr="000D3FDA">
        <w:t xml:space="preserve"> provide details on the response numbers for the </w:t>
      </w:r>
      <w:r w:rsidR="004B7B99" w:rsidRPr="000D3FDA">
        <w:t xml:space="preserve">Australia Awards </w:t>
      </w:r>
      <w:r w:rsidR="00823F7C" w:rsidRPr="000D3FDA">
        <w:t>Schol</w:t>
      </w:r>
      <w:r w:rsidR="00173E33" w:rsidRPr="000D3FDA">
        <w:t>arship</w:t>
      </w:r>
      <w:r w:rsidR="004B7B99" w:rsidRPr="000D3FDA">
        <w:t>s</w:t>
      </w:r>
      <w:r w:rsidR="00173E33" w:rsidRPr="000D3FDA">
        <w:t xml:space="preserve"> </w:t>
      </w:r>
      <w:r w:rsidR="00173E33" w:rsidRPr="00B91FA9">
        <w:t>Surveys conducted in 20</w:t>
      </w:r>
      <w:r w:rsidR="00C13B80">
        <w:t>20</w:t>
      </w:r>
      <w:r w:rsidR="00823F7C" w:rsidRPr="00B91FA9">
        <w:t>.</w:t>
      </w:r>
    </w:p>
    <w:p w14:paraId="47C16BE9" w14:textId="0148FCC7" w:rsidR="003E026B" w:rsidRPr="00B91FA9" w:rsidRDefault="003E026B" w:rsidP="003E026B">
      <w:pPr>
        <w:pStyle w:val="FigureHeading"/>
      </w:pPr>
      <w:r w:rsidRPr="00B91FA9">
        <w:t>Tracking of survey response rates</w:t>
      </w:r>
    </w:p>
    <w:p w14:paraId="6255A2CF" w14:textId="69D8276B" w:rsidR="00AA32B7" w:rsidRPr="00B91FA9" w:rsidRDefault="00C13B80" w:rsidP="00F20626">
      <w:pPr>
        <w:pStyle w:val="Image"/>
      </w:pPr>
      <w:r>
        <w:drawing>
          <wp:inline distT="0" distB="0" distL="0" distR="0" wp14:anchorId="7905ED4E" wp14:editId="2AC3792C">
            <wp:extent cx="5843172" cy="1869897"/>
            <wp:effectExtent l="0" t="0" r="5715" b="0"/>
            <wp:docPr id="4" name="Picture 4" descr="The Chart shows in graphics the content of the above two paragraph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Chart shows in graphics the content of the above two paragraph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497" cy="1899122"/>
                    </a:xfrm>
                    <a:prstGeom prst="rect">
                      <a:avLst/>
                    </a:prstGeom>
                    <a:noFill/>
                  </pic:spPr>
                </pic:pic>
              </a:graphicData>
            </a:graphic>
          </wp:inline>
        </w:drawing>
      </w:r>
    </w:p>
    <w:p w14:paraId="0A53BEE3" w14:textId="681620AD" w:rsidR="00823F7C" w:rsidRPr="00B91FA9" w:rsidRDefault="00823F7C" w:rsidP="00823F7C">
      <w:pPr>
        <w:pStyle w:val="TableHeading"/>
      </w:pPr>
      <w:r w:rsidRPr="00B91FA9">
        <w:t>Deta</w:t>
      </w:r>
      <w:r w:rsidR="00CC4D7F" w:rsidRPr="00B91FA9">
        <w:t xml:space="preserve">ils of surveys conducted in </w:t>
      </w:r>
      <w:proofErr w:type="gramStart"/>
      <w:r w:rsidR="00CC4D7F" w:rsidRPr="00B91FA9">
        <w:t>20</w:t>
      </w:r>
      <w:r w:rsidR="00C13B80">
        <w:t>20</w:t>
      </w:r>
      <w:proofErr w:type="gramEnd"/>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tails of surveys conducted in 2016"/>
        <w:tblDescription w:val="A total of 607 Australia Awards students were sent an invitation to participate in the Arrival Survey Semester One 2016, of which 555 participated, representing a response rate of 91%.&#10;&#10;335 Australia Awards students were sent an invitation to participate in the Arrival Survey Semester Two 2016, of which 318  participated, representing a response rate of 95%.&#10;&#10;2,584 Australia Awards students were sent an invitation to participate in the Ongoing Survey 2016, of which 2,008 participated, representing a response rate of 78%."/>
      </w:tblPr>
      <w:tblGrid>
        <w:gridCol w:w="3652"/>
        <w:gridCol w:w="1842"/>
        <w:gridCol w:w="1843"/>
        <w:gridCol w:w="1843"/>
      </w:tblGrid>
      <w:tr w:rsidR="00823F7C" w:rsidRPr="00E13F06" w14:paraId="46B5FE0A" w14:textId="77777777" w:rsidTr="00E13F06">
        <w:trPr>
          <w:tblHeader/>
        </w:trPr>
        <w:tc>
          <w:tcPr>
            <w:tcW w:w="3652" w:type="dxa"/>
            <w:shd w:val="clear" w:color="auto" w:fill="1F497D" w:themeFill="text2"/>
            <w:vAlign w:val="center"/>
          </w:tcPr>
          <w:p w14:paraId="49CEBC38" w14:textId="77777777" w:rsidR="00823F7C" w:rsidRPr="00B91FA9" w:rsidRDefault="00823F7C" w:rsidP="007F62FF">
            <w:pPr>
              <w:pStyle w:val="ColumnHeading"/>
              <w:rPr>
                <w:color w:val="FFFFFF" w:themeColor="background1"/>
              </w:rPr>
            </w:pPr>
            <w:r w:rsidRPr="00B91FA9">
              <w:rPr>
                <w:color w:val="FFFFFF" w:themeColor="background1"/>
              </w:rPr>
              <w:t>Survey cycle</w:t>
            </w:r>
          </w:p>
        </w:tc>
        <w:tc>
          <w:tcPr>
            <w:tcW w:w="1842" w:type="dxa"/>
            <w:shd w:val="clear" w:color="auto" w:fill="1F497D" w:themeFill="text2"/>
            <w:vAlign w:val="center"/>
          </w:tcPr>
          <w:p w14:paraId="1B177B33" w14:textId="77777777" w:rsidR="00823F7C" w:rsidRPr="00B91FA9" w:rsidRDefault="00823F7C" w:rsidP="007F62FF">
            <w:pPr>
              <w:pStyle w:val="ColumnHeading"/>
              <w:rPr>
                <w:color w:val="FFFFFF" w:themeColor="background1"/>
              </w:rPr>
            </w:pPr>
            <w:r w:rsidRPr="00B91FA9">
              <w:rPr>
                <w:color w:val="FFFFFF" w:themeColor="background1"/>
              </w:rPr>
              <w:t>Student population</w:t>
            </w:r>
          </w:p>
        </w:tc>
        <w:tc>
          <w:tcPr>
            <w:tcW w:w="1843" w:type="dxa"/>
            <w:shd w:val="clear" w:color="auto" w:fill="1F497D" w:themeFill="text2"/>
            <w:vAlign w:val="center"/>
          </w:tcPr>
          <w:p w14:paraId="6EDE189C" w14:textId="77777777" w:rsidR="00823F7C" w:rsidRPr="00B91FA9" w:rsidRDefault="00823F7C" w:rsidP="007F62FF">
            <w:pPr>
              <w:pStyle w:val="ColumnHeading"/>
              <w:rPr>
                <w:color w:val="FFFFFF" w:themeColor="background1"/>
              </w:rPr>
            </w:pPr>
            <w:r w:rsidRPr="00B91FA9">
              <w:rPr>
                <w:color w:val="FFFFFF" w:themeColor="background1"/>
              </w:rPr>
              <w:t>Survey</w:t>
            </w:r>
            <w:r w:rsidR="00DA4627" w:rsidRPr="00B91FA9">
              <w:rPr>
                <w:color w:val="FFFFFF" w:themeColor="background1"/>
              </w:rPr>
              <w:t xml:space="preserve"> </w:t>
            </w:r>
            <w:r w:rsidRPr="00B91FA9">
              <w:rPr>
                <w:color w:val="FFFFFF" w:themeColor="background1"/>
              </w:rPr>
              <w:t>responses</w:t>
            </w:r>
          </w:p>
        </w:tc>
        <w:tc>
          <w:tcPr>
            <w:tcW w:w="1843" w:type="dxa"/>
            <w:shd w:val="clear" w:color="auto" w:fill="1F497D" w:themeFill="text2"/>
            <w:vAlign w:val="center"/>
          </w:tcPr>
          <w:p w14:paraId="596304A4" w14:textId="77777777" w:rsidR="00823F7C" w:rsidRPr="00E13F06" w:rsidRDefault="00823F7C" w:rsidP="007F62FF">
            <w:pPr>
              <w:pStyle w:val="ColumnHeading"/>
              <w:rPr>
                <w:color w:val="FFFFFF" w:themeColor="background1"/>
              </w:rPr>
            </w:pPr>
            <w:r w:rsidRPr="00B91FA9">
              <w:rPr>
                <w:color w:val="FFFFFF" w:themeColor="background1"/>
              </w:rPr>
              <w:t>Response</w:t>
            </w:r>
            <w:r w:rsidR="00DA4627" w:rsidRPr="00B91FA9">
              <w:rPr>
                <w:color w:val="FFFFFF" w:themeColor="background1"/>
              </w:rPr>
              <w:t xml:space="preserve"> </w:t>
            </w:r>
            <w:r w:rsidRPr="00B91FA9">
              <w:rPr>
                <w:color w:val="FFFFFF" w:themeColor="background1"/>
              </w:rPr>
              <w:t>rate</w:t>
            </w:r>
          </w:p>
        </w:tc>
      </w:tr>
      <w:tr w:rsidR="00E13F06" w:rsidRPr="00E22EEC" w14:paraId="4F9FCF10" w14:textId="77777777" w:rsidTr="00E13F06">
        <w:tc>
          <w:tcPr>
            <w:tcW w:w="3652" w:type="dxa"/>
            <w:tcBorders>
              <w:bottom w:val="single" w:sz="4" w:space="0" w:color="auto"/>
            </w:tcBorders>
            <w:shd w:val="clear" w:color="auto" w:fill="EEECE1" w:themeFill="background2"/>
            <w:vAlign w:val="bottom"/>
          </w:tcPr>
          <w:p w14:paraId="4EDFA624" w14:textId="01C185EC" w:rsidR="00E13F06" w:rsidRPr="00E22EEC" w:rsidRDefault="00E13F06" w:rsidP="00E13F06">
            <w:pPr>
              <w:pStyle w:val="TableText"/>
              <w:rPr>
                <w:rStyle w:val="Strong"/>
                <w:b w:val="0"/>
                <w:highlight w:val="yellow"/>
              </w:rPr>
            </w:pPr>
            <w:r>
              <w:rPr>
                <w:rFonts w:cs="Arial"/>
                <w:sz w:val="20"/>
                <w:szCs w:val="20"/>
              </w:rPr>
              <w:t>Arrival Survey Semester One 20</w:t>
            </w:r>
            <w:r w:rsidR="007026F1">
              <w:rPr>
                <w:rFonts w:cs="Arial"/>
                <w:sz w:val="20"/>
                <w:szCs w:val="20"/>
              </w:rPr>
              <w:t>20</w:t>
            </w:r>
          </w:p>
        </w:tc>
        <w:tc>
          <w:tcPr>
            <w:tcW w:w="1842" w:type="dxa"/>
            <w:tcBorders>
              <w:bottom w:val="single" w:sz="4" w:space="0" w:color="auto"/>
            </w:tcBorders>
            <w:shd w:val="clear" w:color="auto" w:fill="EEECE1" w:themeFill="background2"/>
            <w:vAlign w:val="bottom"/>
          </w:tcPr>
          <w:p w14:paraId="74F58B1E" w14:textId="3397E5F3" w:rsidR="00E13F06" w:rsidRPr="007026F1" w:rsidRDefault="00004F8E" w:rsidP="00E13F06">
            <w:pPr>
              <w:pStyle w:val="TableNumber"/>
              <w:rPr>
                <w:highlight w:val="yellow"/>
              </w:rPr>
            </w:pPr>
            <w:r w:rsidRPr="00004F8E">
              <w:rPr>
                <w:rFonts w:cs="Arial"/>
                <w:sz w:val="20"/>
                <w:szCs w:val="20"/>
              </w:rPr>
              <w:t>751</w:t>
            </w:r>
          </w:p>
        </w:tc>
        <w:tc>
          <w:tcPr>
            <w:tcW w:w="1843" w:type="dxa"/>
            <w:tcBorders>
              <w:bottom w:val="single" w:sz="4" w:space="0" w:color="auto"/>
            </w:tcBorders>
            <w:shd w:val="clear" w:color="auto" w:fill="EEECE1" w:themeFill="background2"/>
            <w:vAlign w:val="bottom"/>
          </w:tcPr>
          <w:p w14:paraId="0AE6E826" w14:textId="293A6690" w:rsidR="00E13F06" w:rsidRPr="00E22EEC" w:rsidRDefault="007026F1" w:rsidP="00E13F06">
            <w:pPr>
              <w:pStyle w:val="TableNumber"/>
              <w:rPr>
                <w:highlight w:val="yellow"/>
              </w:rPr>
            </w:pPr>
            <w:r>
              <w:rPr>
                <w:rFonts w:cs="Arial"/>
                <w:sz w:val="20"/>
                <w:szCs w:val="20"/>
              </w:rPr>
              <w:t>659</w:t>
            </w:r>
          </w:p>
        </w:tc>
        <w:tc>
          <w:tcPr>
            <w:tcW w:w="1843" w:type="dxa"/>
            <w:tcBorders>
              <w:bottom w:val="single" w:sz="4" w:space="0" w:color="auto"/>
            </w:tcBorders>
            <w:shd w:val="clear" w:color="auto" w:fill="EEECE1" w:themeFill="background2"/>
            <w:vAlign w:val="bottom"/>
          </w:tcPr>
          <w:p w14:paraId="5764C329" w14:textId="48FC0444" w:rsidR="00E13F06" w:rsidRPr="00E22EEC" w:rsidRDefault="00E13F06" w:rsidP="00E13F06">
            <w:pPr>
              <w:pStyle w:val="TableNumber"/>
              <w:rPr>
                <w:highlight w:val="yellow"/>
              </w:rPr>
            </w:pPr>
            <w:r>
              <w:rPr>
                <w:rFonts w:cs="Arial"/>
                <w:sz w:val="20"/>
                <w:szCs w:val="20"/>
              </w:rPr>
              <w:t>8</w:t>
            </w:r>
            <w:r w:rsidR="00004F8E">
              <w:rPr>
                <w:rFonts w:cs="Arial"/>
                <w:sz w:val="20"/>
                <w:szCs w:val="20"/>
              </w:rPr>
              <w:t>8</w:t>
            </w:r>
            <w:r>
              <w:rPr>
                <w:rFonts w:cs="Arial"/>
                <w:sz w:val="20"/>
                <w:szCs w:val="20"/>
              </w:rPr>
              <w:t>%</w:t>
            </w:r>
          </w:p>
        </w:tc>
      </w:tr>
      <w:tr w:rsidR="00E13F06" w:rsidRPr="00E22EEC" w14:paraId="67D97779" w14:textId="77777777" w:rsidTr="00E13F06">
        <w:tc>
          <w:tcPr>
            <w:tcW w:w="3652" w:type="dxa"/>
            <w:tcBorders>
              <w:top w:val="single" w:sz="4" w:space="0" w:color="auto"/>
              <w:bottom w:val="single" w:sz="4" w:space="0" w:color="auto"/>
            </w:tcBorders>
            <w:shd w:val="clear" w:color="auto" w:fill="EEECE1" w:themeFill="background2"/>
            <w:vAlign w:val="bottom"/>
          </w:tcPr>
          <w:p w14:paraId="608CD9DB" w14:textId="612F33B0" w:rsidR="00E13F06" w:rsidRPr="00E22EEC" w:rsidRDefault="00E13F06" w:rsidP="00E13F06">
            <w:pPr>
              <w:pStyle w:val="TableText"/>
              <w:rPr>
                <w:highlight w:val="yellow"/>
              </w:rPr>
            </w:pPr>
            <w:r>
              <w:rPr>
                <w:rFonts w:cs="Arial"/>
                <w:sz w:val="20"/>
                <w:szCs w:val="20"/>
              </w:rPr>
              <w:t>Ongoing Survey 20</w:t>
            </w:r>
            <w:r w:rsidR="007026F1">
              <w:rPr>
                <w:rFonts w:cs="Arial"/>
                <w:sz w:val="20"/>
                <w:szCs w:val="20"/>
              </w:rPr>
              <w:t>20</w:t>
            </w:r>
          </w:p>
        </w:tc>
        <w:tc>
          <w:tcPr>
            <w:tcW w:w="1842" w:type="dxa"/>
            <w:tcBorders>
              <w:top w:val="single" w:sz="4" w:space="0" w:color="auto"/>
              <w:bottom w:val="single" w:sz="4" w:space="0" w:color="auto"/>
            </w:tcBorders>
            <w:shd w:val="clear" w:color="auto" w:fill="EEECE1" w:themeFill="background2"/>
            <w:vAlign w:val="bottom"/>
          </w:tcPr>
          <w:p w14:paraId="168E9BAD" w14:textId="2DF66577" w:rsidR="00E13F06" w:rsidRPr="007026F1" w:rsidRDefault="00E13F06" w:rsidP="00E13F06">
            <w:pPr>
              <w:pStyle w:val="TableNumber"/>
              <w:rPr>
                <w:highlight w:val="yellow"/>
              </w:rPr>
            </w:pPr>
            <w:r w:rsidRPr="007026F1">
              <w:rPr>
                <w:rFonts w:cs="Arial"/>
                <w:sz w:val="20"/>
                <w:szCs w:val="20"/>
              </w:rPr>
              <w:t>2</w:t>
            </w:r>
            <w:r w:rsidR="007026F1" w:rsidRPr="007026F1">
              <w:rPr>
                <w:rFonts w:cs="Arial"/>
                <w:sz w:val="20"/>
                <w:szCs w:val="20"/>
              </w:rPr>
              <w:t>,</w:t>
            </w:r>
            <w:r w:rsidRPr="007026F1">
              <w:rPr>
                <w:rFonts w:cs="Arial"/>
                <w:sz w:val="20"/>
                <w:szCs w:val="20"/>
              </w:rPr>
              <w:t>0</w:t>
            </w:r>
            <w:r w:rsidR="007026F1" w:rsidRPr="007026F1">
              <w:rPr>
                <w:rFonts w:cs="Arial"/>
                <w:sz w:val="20"/>
                <w:szCs w:val="20"/>
              </w:rPr>
              <w:t>96</w:t>
            </w:r>
          </w:p>
        </w:tc>
        <w:tc>
          <w:tcPr>
            <w:tcW w:w="1843" w:type="dxa"/>
            <w:tcBorders>
              <w:top w:val="single" w:sz="4" w:space="0" w:color="auto"/>
              <w:bottom w:val="single" w:sz="4" w:space="0" w:color="auto"/>
            </w:tcBorders>
            <w:shd w:val="clear" w:color="auto" w:fill="EEECE1" w:themeFill="background2"/>
            <w:vAlign w:val="bottom"/>
          </w:tcPr>
          <w:p w14:paraId="77F6EBA6" w14:textId="609F5487" w:rsidR="00E13F06" w:rsidRPr="00E22EEC" w:rsidRDefault="007026F1" w:rsidP="00E13F06">
            <w:pPr>
              <w:pStyle w:val="TableNumber"/>
              <w:rPr>
                <w:highlight w:val="yellow"/>
              </w:rPr>
            </w:pPr>
            <w:r>
              <w:rPr>
                <w:rFonts w:cs="Arial"/>
                <w:sz w:val="20"/>
                <w:szCs w:val="20"/>
              </w:rPr>
              <w:t>1,559</w:t>
            </w:r>
          </w:p>
        </w:tc>
        <w:tc>
          <w:tcPr>
            <w:tcW w:w="1843" w:type="dxa"/>
            <w:tcBorders>
              <w:top w:val="single" w:sz="4" w:space="0" w:color="auto"/>
              <w:bottom w:val="single" w:sz="4" w:space="0" w:color="auto"/>
            </w:tcBorders>
            <w:shd w:val="clear" w:color="auto" w:fill="EEECE1" w:themeFill="background2"/>
            <w:vAlign w:val="bottom"/>
          </w:tcPr>
          <w:p w14:paraId="56BB3B29" w14:textId="375F25B4" w:rsidR="00E13F06" w:rsidRPr="00E22EEC" w:rsidRDefault="00E13F06" w:rsidP="00E13F06">
            <w:pPr>
              <w:pStyle w:val="TableNumber"/>
              <w:rPr>
                <w:highlight w:val="yellow"/>
              </w:rPr>
            </w:pPr>
            <w:r>
              <w:rPr>
                <w:rFonts w:cs="Arial"/>
                <w:sz w:val="20"/>
                <w:szCs w:val="20"/>
              </w:rPr>
              <w:t>8</w:t>
            </w:r>
            <w:r w:rsidR="00004F8E">
              <w:rPr>
                <w:rFonts w:cs="Arial"/>
                <w:sz w:val="20"/>
                <w:szCs w:val="20"/>
              </w:rPr>
              <w:t>0</w:t>
            </w:r>
            <w:r>
              <w:rPr>
                <w:rFonts w:cs="Arial"/>
                <w:sz w:val="20"/>
                <w:szCs w:val="20"/>
              </w:rPr>
              <w:t>%</w:t>
            </w:r>
          </w:p>
        </w:tc>
      </w:tr>
    </w:tbl>
    <w:p w14:paraId="1CC94629" w14:textId="77777777" w:rsidR="00823F7C" w:rsidRPr="00B64852" w:rsidRDefault="00823F7C" w:rsidP="00B64852">
      <w:pPr>
        <w:pStyle w:val="Heading3"/>
      </w:pPr>
      <w:r w:rsidRPr="00596617">
        <w:rPr>
          <w:color w:val="215868" w:themeColor="accent5" w:themeShade="80"/>
        </w:rPr>
        <w:t>Demographic profile</w:t>
      </w:r>
    </w:p>
    <w:p w14:paraId="70954744" w14:textId="00462D00" w:rsidR="005575DF" w:rsidRPr="000D3FDA" w:rsidRDefault="00346B19" w:rsidP="00074EF2">
      <w:pPr>
        <w:keepNext/>
        <w:spacing w:before="120"/>
      </w:pPr>
      <w:r w:rsidRPr="000D3FDA">
        <w:t xml:space="preserve">The </w:t>
      </w:r>
      <w:r w:rsidR="004C2D25" w:rsidRPr="000D3FDA">
        <w:t xml:space="preserve">high-level </w:t>
      </w:r>
      <w:r w:rsidRPr="000D3FDA">
        <w:t xml:space="preserve">profile of </w:t>
      </w:r>
      <w:r w:rsidR="004C2D25" w:rsidRPr="000D3FDA">
        <w:t xml:space="preserve">new arrival and ongoing </w:t>
      </w:r>
      <w:r w:rsidRPr="000D3FDA">
        <w:t xml:space="preserve">students who responded to the </w:t>
      </w:r>
      <w:r w:rsidR="00F347C8" w:rsidRPr="000D3FDA">
        <w:t>Australia Awards Scholarships S</w:t>
      </w:r>
      <w:r w:rsidR="00173E33" w:rsidRPr="000D3FDA">
        <w:t>urveys in 20</w:t>
      </w:r>
      <w:r w:rsidR="007026F1">
        <w:t>20</w:t>
      </w:r>
      <w:r w:rsidR="004C2D25" w:rsidRPr="000D3FDA">
        <w:t xml:space="preserve"> is provided </w:t>
      </w:r>
      <w:r w:rsidR="000C62BA">
        <w:t>in the table below</w:t>
      </w:r>
      <w:r w:rsidR="004C2D25" w:rsidRPr="000D3FDA">
        <w:t>.</w:t>
      </w:r>
    </w:p>
    <w:p w14:paraId="29DBFAA2" w14:textId="33F08A81" w:rsidR="004C2D25" w:rsidRPr="00C91B7F" w:rsidRDefault="004C2D25" w:rsidP="00074EF2">
      <w:pPr>
        <w:pStyle w:val="TableHeading"/>
        <w:ind w:right="-46"/>
      </w:pPr>
      <w:r w:rsidRPr="00C91B7F">
        <w:t>Profile of students who responded to the Arr</w:t>
      </w:r>
      <w:r w:rsidR="00EF572C" w:rsidRPr="00C91B7F">
        <w:t>ival and Ongoing Surveys in 20</w:t>
      </w:r>
      <w:r w:rsidR="003B00D8">
        <w:t>20</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ofile of students who responded to the Arrival and Ongoing Surveys in 2016"/>
        <w:tblDescription w:val="Of new arrivals: 48% are male, 52% are female, 31% are aged 18-29, 55% are aged 30-39, 14% are aged 40 plus, 34% are single, 66% are with family (spouse/partner and/or children), 4% are with a disability, and 16% have experienced discrimination.&#10;&#10;Of ongoing students: 51% are male, 49% are female; 23% are aged 18-29, 59% are aged 30-39, 18% are aged 40 plus; 29% are single, 71% are with family (spouse/partner and/or children); 72% have a job to return to, 23% are looking for a job, 3% are planning to undertake further studies; 2% are with a disability; 45% are in last semester of study; and 23% have experienced discrimination."/>
      </w:tblPr>
      <w:tblGrid>
        <w:gridCol w:w="4786"/>
        <w:gridCol w:w="2197"/>
        <w:gridCol w:w="2197"/>
      </w:tblGrid>
      <w:tr w:rsidR="004C2D25" w:rsidRPr="007026F1" w14:paraId="163761FB" w14:textId="77777777" w:rsidTr="00E13F06">
        <w:trPr>
          <w:tblHeader/>
        </w:trPr>
        <w:tc>
          <w:tcPr>
            <w:tcW w:w="4786" w:type="dxa"/>
            <w:shd w:val="clear" w:color="auto" w:fill="1F497D" w:themeFill="text2"/>
            <w:vAlign w:val="center"/>
          </w:tcPr>
          <w:p w14:paraId="772AE74C" w14:textId="77777777" w:rsidR="004C2D25" w:rsidRPr="007026F1" w:rsidRDefault="004C2D25" w:rsidP="004C2D25">
            <w:pPr>
              <w:pStyle w:val="ColumnHeading"/>
              <w:rPr>
                <w:color w:val="FFFFFF" w:themeColor="background1"/>
              </w:rPr>
            </w:pPr>
            <w:r w:rsidRPr="007026F1">
              <w:rPr>
                <w:color w:val="FFFFFF" w:themeColor="background1"/>
              </w:rPr>
              <w:t xml:space="preserve">Demographic </w:t>
            </w:r>
            <w:r w:rsidR="00651373" w:rsidRPr="007026F1">
              <w:rPr>
                <w:color w:val="FFFFFF" w:themeColor="background1"/>
              </w:rPr>
              <w:t>profile</w:t>
            </w:r>
          </w:p>
        </w:tc>
        <w:tc>
          <w:tcPr>
            <w:tcW w:w="2197" w:type="dxa"/>
            <w:shd w:val="clear" w:color="auto" w:fill="1F497D" w:themeFill="text2"/>
            <w:vAlign w:val="center"/>
          </w:tcPr>
          <w:p w14:paraId="43F855A1" w14:textId="77777777" w:rsidR="004C2D25" w:rsidRPr="007026F1" w:rsidRDefault="004C2D25" w:rsidP="00DA4627">
            <w:pPr>
              <w:pStyle w:val="ColumnHeading"/>
              <w:rPr>
                <w:color w:val="FFFFFF" w:themeColor="background1"/>
              </w:rPr>
            </w:pPr>
            <w:r w:rsidRPr="007026F1">
              <w:rPr>
                <w:color w:val="FFFFFF" w:themeColor="background1"/>
              </w:rPr>
              <w:t>Proportion of</w:t>
            </w:r>
            <w:r w:rsidR="00DA4627" w:rsidRPr="007026F1">
              <w:rPr>
                <w:color w:val="FFFFFF" w:themeColor="background1"/>
              </w:rPr>
              <w:t xml:space="preserve"> </w:t>
            </w:r>
            <w:r w:rsidRPr="007026F1">
              <w:rPr>
                <w:color w:val="FFFFFF" w:themeColor="background1"/>
              </w:rPr>
              <w:t>new arrivals</w:t>
            </w:r>
          </w:p>
        </w:tc>
        <w:tc>
          <w:tcPr>
            <w:tcW w:w="2197" w:type="dxa"/>
            <w:shd w:val="clear" w:color="auto" w:fill="1F497D" w:themeFill="text2"/>
            <w:vAlign w:val="center"/>
          </w:tcPr>
          <w:p w14:paraId="28F9E79E" w14:textId="77777777" w:rsidR="004C2D25" w:rsidRPr="007026F1" w:rsidRDefault="004C2D25" w:rsidP="00DA4627">
            <w:pPr>
              <w:pStyle w:val="ColumnHeading"/>
              <w:rPr>
                <w:color w:val="FFFFFF" w:themeColor="background1"/>
              </w:rPr>
            </w:pPr>
            <w:r w:rsidRPr="007026F1">
              <w:rPr>
                <w:color w:val="FFFFFF" w:themeColor="background1"/>
              </w:rPr>
              <w:t>Proportion of</w:t>
            </w:r>
            <w:r w:rsidR="00DA4627" w:rsidRPr="007026F1">
              <w:rPr>
                <w:color w:val="FFFFFF" w:themeColor="background1"/>
              </w:rPr>
              <w:t xml:space="preserve"> </w:t>
            </w:r>
            <w:r w:rsidRPr="007026F1">
              <w:rPr>
                <w:color w:val="FFFFFF" w:themeColor="background1"/>
              </w:rPr>
              <w:t>ongoing students</w:t>
            </w:r>
          </w:p>
        </w:tc>
      </w:tr>
      <w:tr w:rsidR="00E13F06" w:rsidRPr="007026F1" w14:paraId="12588E6E" w14:textId="77777777" w:rsidTr="00E13F06">
        <w:tc>
          <w:tcPr>
            <w:tcW w:w="4786" w:type="dxa"/>
            <w:tcBorders>
              <w:bottom w:val="dotted" w:sz="4" w:space="0" w:color="808080" w:themeColor="background1" w:themeShade="80"/>
            </w:tcBorders>
            <w:shd w:val="clear" w:color="auto" w:fill="EEECE1" w:themeFill="background2"/>
            <w:tcMar>
              <w:left w:w="57" w:type="dxa"/>
              <w:right w:w="57" w:type="dxa"/>
            </w:tcMar>
            <w:vAlign w:val="center"/>
          </w:tcPr>
          <w:p w14:paraId="65B69BE5" w14:textId="77777777" w:rsidR="00E13F06" w:rsidRPr="007026F1" w:rsidRDefault="00E13F06" w:rsidP="00E13F06">
            <w:pPr>
              <w:pStyle w:val="TableText"/>
              <w:ind w:right="317"/>
              <w:jc w:val="right"/>
              <w:rPr>
                <w:rStyle w:val="Strong"/>
                <w:b w:val="0"/>
              </w:rPr>
            </w:pPr>
            <w:r w:rsidRPr="007026F1">
              <w:rPr>
                <w:rStyle w:val="Strong"/>
                <w:b w:val="0"/>
              </w:rPr>
              <w:t>Male</w:t>
            </w:r>
          </w:p>
        </w:tc>
        <w:tc>
          <w:tcPr>
            <w:tcW w:w="2197" w:type="dxa"/>
            <w:tcBorders>
              <w:bottom w:val="dotted" w:sz="4" w:space="0" w:color="808080" w:themeColor="background1" w:themeShade="80"/>
            </w:tcBorders>
            <w:shd w:val="clear" w:color="auto" w:fill="EEECE1" w:themeFill="background2"/>
            <w:vAlign w:val="bottom"/>
          </w:tcPr>
          <w:p w14:paraId="2987857F" w14:textId="509F1904" w:rsidR="00E13F06" w:rsidRPr="007026F1" w:rsidRDefault="00E13F06" w:rsidP="00E13F06">
            <w:pPr>
              <w:pStyle w:val="TableNumber"/>
            </w:pPr>
            <w:r w:rsidRPr="007026F1">
              <w:rPr>
                <w:rFonts w:cs="Arial"/>
              </w:rPr>
              <w:t>4</w:t>
            </w:r>
            <w:r w:rsidR="007026F1" w:rsidRPr="007026F1">
              <w:rPr>
                <w:rFonts w:cs="Arial"/>
              </w:rPr>
              <w:t>5</w:t>
            </w:r>
            <w:r w:rsidRPr="007026F1">
              <w:rPr>
                <w:rFonts w:cs="Arial"/>
              </w:rPr>
              <w:t>%</w:t>
            </w:r>
          </w:p>
        </w:tc>
        <w:tc>
          <w:tcPr>
            <w:tcW w:w="2197" w:type="dxa"/>
            <w:tcBorders>
              <w:bottom w:val="dotted" w:sz="4" w:space="0" w:color="808080" w:themeColor="background1" w:themeShade="80"/>
            </w:tcBorders>
            <w:shd w:val="clear" w:color="auto" w:fill="EEECE1" w:themeFill="background2"/>
            <w:vAlign w:val="bottom"/>
          </w:tcPr>
          <w:p w14:paraId="4F1922CA" w14:textId="10940E73" w:rsidR="00E13F06" w:rsidRPr="007026F1" w:rsidRDefault="00E13F06" w:rsidP="00E13F06">
            <w:pPr>
              <w:pStyle w:val="TableNumber"/>
            </w:pPr>
            <w:r w:rsidRPr="007026F1">
              <w:rPr>
                <w:rFonts w:cs="Arial"/>
              </w:rPr>
              <w:t>4</w:t>
            </w:r>
            <w:r w:rsidR="007026F1" w:rsidRPr="007026F1">
              <w:rPr>
                <w:rFonts w:cs="Arial"/>
              </w:rPr>
              <w:t>6</w:t>
            </w:r>
            <w:r w:rsidRPr="007026F1">
              <w:rPr>
                <w:rFonts w:cs="Arial"/>
              </w:rPr>
              <w:t>%</w:t>
            </w:r>
          </w:p>
        </w:tc>
      </w:tr>
      <w:tr w:rsidR="00E13F06" w:rsidRPr="007026F1" w14:paraId="22C34AA9" w14:textId="77777777" w:rsidTr="00E13F06">
        <w:tc>
          <w:tcPr>
            <w:tcW w:w="4786" w:type="dxa"/>
            <w:tcBorders>
              <w:top w:val="dotted" w:sz="4" w:space="0" w:color="808080" w:themeColor="background1" w:themeShade="80"/>
              <w:bottom w:val="single" w:sz="4" w:space="0" w:color="auto"/>
            </w:tcBorders>
            <w:shd w:val="clear" w:color="auto" w:fill="EEECE1" w:themeFill="background2"/>
            <w:tcMar>
              <w:left w:w="57" w:type="dxa"/>
              <w:right w:w="57" w:type="dxa"/>
            </w:tcMar>
            <w:vAlign w:val="center"/>
          </w:tcPr>
          <w:p w14:paraId="6A5CCCC7" w14:textId="77777777" w:rsidR="00E13F06" w:rsidRPr="007026F1" w:rsidRDefault="00E13F06" w:rsidP="00E13F06">
            <w:pPr>
              <w:pStyle w:val="TableText"/>
              <w:ind w:right="317"/>
              <w:jc w:val="right"/>
            </w:pPr>
            <w:r w:rsidRPr="007026F1">
              <w:t>Female</w:t>
            </w:r>
          </w:p>
        </w:tc>
        <w:tc>
          <w:tcPr>
            <w:tcW w:w="2197" w:type="dxa"/>
            <w:tcBorders>
              <w:top w:val="dotted" w:sz="4" w:space="0" w:color="808080" w:themeColor="background1" w:themeShade="80"/>
              <w:bottom w:val="single" w:sz="4" w:space="0" w:color="auto"/>
            </w:tcBorders>
            <w:shd w:val="clear" w:color="auto" w:fill="EEECE1" w:themeFill="background2"/>
            <w:vAlign w:val="bottom"/>
          </w:tcPr>
          <w:p w14:paraId="0528DEB0" w14:textId="59C53BE3" w:rsidR="00E13F06" w:rsidRPr="007026F1" w:rsidRDefault="00E13F06" w:rsidP="00E13F06">
            <w:pPr>
              <w:pStyle w:val="TableNumber"/>
            </w:pPr>
            <w:r w:rsidRPr="007026F1">
              <w:rPr>
                <w:rFonts w:cs="Arial"/>
              </w:rPr>
              <w:t>5</w:t>
            </w:r>
            <w:r w:rsidR="007026F1" w:rsidRPr="007026F1">
              <w:rPr>
                <w:rFonts w:cs="Arial"/>
              </w:rPr>
              <w:t>5</w:t>
            </w:r>
            <w:r w:rsidRPr="007026F1">
              <w:rPr>
                <w:rFonts w:cs="Arial"/>
              </w:rPr>
              <w:t>%</w:t>
            </w:r>
          </w:p>
        </w:tc>
        <w:tc>
          <w:tcPr>
            <w:tcW w:w="2197" w:type="dxa"/>
            <w:tcBorders>
              <w:top w:val="dotted" w:sz="4" w:space="0" w:color="808080" w:themeColor="background1" w:themeShade="80"/>
              <w:bottom w:val="single" w:sz="4" w:space="0" w:color="auto"/>
            </w:tcBorders>
            <w:shd w:val="clear" w:color="auto" w:fill="EEECE1" w:themeFill="background2"/>
            <w:vAlign w:val="bottom"/>
          </w:tcPr>
          <w:p w14:paraId="0BF3CB1A" w14:textId="2C3BD252" w:rsidR="00E13F06" w:rsidRPr="007026F1" w:rsidRDefault="00E13F06" w:rsidP="00E13F06">
            <w:pPr>
              <w:pStyle w:val="TableNumber"/>
            </w:pPr>
            <w:r w:rsidRPr="007026F1">
              <w:rPr>
                <w:rFonts w:cs="Arial"/>
              </w:rPr>
              <w:t>5</w:t>
            </w:r>
            <w:r w:rsidR="007026F1" w:rsidRPr="007026F1">
              <w:rPr>
                <w:rFonts w:cs="Arial"/>
              </w:rPr>
              <w:t>4</w:t>
            </w:r>
            <w:r w:rsidRPr="007026F1">
              <w:rPr>
                <w:rFonts w:cs="Arial"/>
              </w:rPr>
              <w:t>%</w:t>
            </w:r>
          </w:p>
        </w:tc>
      </w:tr>
      <w:tr w:rsidR="00E13F06" w:rsidRPr="007026F1" w14:paraId="187A220F" w14:textId="77777777" w:rsidTr="00E13F06">
        <w:tc>
          <w:tcPr>
            <w:tcW w:w="4786" w:type="dxa"/>
            <w:tcBorders>
              <w:top w:val="single" w:sz="4" w:space="0" w:color="auto"/>
              <w:bottom w:val="dotted" w:sz="4" w:space="0" w:color="808080" w:themeColor="background1" w:themeShade="80"/>
            </w:tcBorders>
            <w:shd w:val="clear" w:color="auto" w:fill="auto"/>
            <w:tcMar>
              <w:left w:w="57" w:type="dxa"/>
              <w:right w:w="57" w:type="dxa"/>
            </w:tcMar>
            <w:vAlign w:val="center"/>
          </w:tcPr>
          <w:p w14:paraId="3914014C" w14:textId="379883BD" w:rsidR="00E13F06" w:rsidRPr="003B00D8" w:rsidRDefault="00E13F06" w:rsidP="00E13F06">
            <w:pPr>
              <w:pStyle w:val="TableText"/>
              <w:ind w:right="317"/>
              <w:jc w:val="right"/>
            </w:pPr>
            <w:r w:rsidRPr="003B00D8">
              <w:t>25 and below</w:t>
            </w:r>
          </w:p>
        </w:tc>
        <w:tc>
          <w:tcPr>
            <w:tcW w:w="2197" w:type="dxa"/>
            <w:tcBorders>
              <w:top w:val="single" w:sz="4" w:space="0" w:color="auto"/>
              <w:bottom w:val="dotted" w:sz="4" w:space="0" w:color="808080" w:themeColor="background1" w:themeShade="80"/>
            </w:tcBorders>
            <w:shd w:val="clear" w:color="auto" w:fill="auto"/>
            <w:vAlign w:val="bottom"/>
          </w:tcPr>
          <w:p w14:paraId="4F829A86" w14:textId="2D79D447" w:rsidR="00E13F06" w:rsidRPr="003B00D8" w:rsidRDefault="003B00D8" w:rsidP="00E13F06">
            <w:pPr>
              <w:pStyle w:val="TableNumber"/>
            </w:pPr>
            <w:r w:rsidRPr="003B00D8">
              <w:rPr>
                <w:rFonts w:cs="Arial"/>
              </w:rPr>
              <w:t>11</w:t>
            </w:r>
            <w:r w:rsidR="00E13F06" w:rsidRPr="003B00D8">
              <w:rPr>
                <w:rFonts w:cs="Arial"/>
              </w:rPr>
              <w:t>%</w:t>
            </w:r>
          </w:p>
        </w:tc>
        <w:tc>
          <w:tcPr>
            <w:tcW w:w="2197" w:type="dxa"/>
            <w:tcBorders>
              <w:top w:val="single" w:sz="4" w:space="0" w:color="auto"/>
              <w:bottom w:val="dotted" w:sz="4" w:space="0" w:color="808080" w:themeColor="background1" w:themeShade="80"/>
            </w:tcBorders>
            <w:shd w:val="clear" w:color="auto" w:fill="auto"/>
            <w:vAlign w:val="bottom"/>
          </w:tcPr>
          <w:p w14:paraId="606EDF51" w14:textId="3E8156E4" w:rsidR="00E13F06" w:rsidRPr="003B00D8" w:rsidRDefault="003B00D8" w:rsidP="00E13F06">
            <w:pPr>
              <w:pStyle w:val="TableNumber"/>
            </w:pPr>
            <w:r w:rsidRPr="003B00D8">
              <w:rPr>
                <w:rFonts w:cs="Arial"/>
              </w:rPr>
              <w:t>8</w:t>
            </w:r>
            <w:r w:rsidR="00E13F06" w:rsidRPr="003B00D8">
              <w:rPr>
                <w:rFonts w:cs="Arial"/>
              </w:rPr>
              <w:t>%</w:t>
            </w:r>
          </w:p>
        </w:tc>
      </w:tr>
      <w:tr w:rsidR="00E13F06" w:rsidRPr="007026F1" w14:paraId="69E54DB4" w14:textId="77777777" w:rsidTr="00E13F06">
        <w:tc>
          <w:tcPr>
            <w:tcW w:w="4786" w:type="dxa"/>
            <w:tcBorders>
              <w:top w:val="dotted" w:sz="4" w:space="0" w:color="808080" w:themeColor="background1" w:themeShade="80"/>
              <w:bottom w:val="dotted" w:sz="4" w:space="0" w:color="808080" w:themeColor="background1" w:themeShade="80"/>
            </w:tcBorders>
            <w:shd w:val="clear" w:color="auto" w:fill="auto"/>
            <w:tcMar>
              <w:left w:w="57" w:type="dxa"/>
              <w:right w:w="57" w:type="dxa"/>
            </w:tcMar>
            <w:vAlign w:val="center"/>
          </w:tcPr>
          <w:p w14:paraId="2079680D" w14:textId="76C1A28F" w:rsidR="00E13F06" w:rsidRPr="003B00D8" w:rsidRDefault="00E13F06" w:rsidP="00E13F06">
            <w:pPr>
              <w:pStyle w:val="TableText"/>
              <w:ind w:right="317"/>
              <w:jc w:val="right"/>
            </w:pPr>
            <w:r w:rsidRPr="003B00D8">
              <w:t>Aged 26 - 30</w:t>
            </w:r>
          </w:p>
        </w:tc>
        <w:tc>
          <w:tcPr>
            <w:tcW w:w="2197" w:type="dxa"/>
            <w:tcBorders>
              <w:top w:val="dotted" w:sz="4" w:space="0" w:color="808080" w:themeColor="background1" w:themeShade="80"/>
              <w:bottom w:val="dotted" w:sz="4" w:space="0" w:color="808080" w:themeColor="background1" w:themeShade="80"/>
            </w:tcBorders>
            <w:shd w:val="clear" w:color="auto" w:fill="auto"/>
            <w:vAlign w:val="bottom"/>
          </w:tcPr>
          <w:p w14:paraId="6C9982F3" w14:textId="2E287F74" w:rsidR="00E13F06" w:rsidRPr="003B00D8" w:rsidDel="00AE6BA9" w:rsidRDefault="00E13F06" w:rsidP="00E13F06">
            <w:pPr>
              <w:pStyle w:val="TableNumber"/>
            </w:pPr>
            <w:r w:rsidRPr="003B00D8">
              <w:rPr>
                <w:rFonts w:cs="Arial"/>
              </w:rPr>
              <w:t>2</w:t>
            </w:r>
            <w:r w:rsidR="003B00D8" w:rsidRPr="003B00D8">
              <w:rPr>
                <w:rFonts w:cs="Arial"/>
              </w:rPr>
              <w:t>7</w:t>
            </w:r>
            <w:r w:rsidRPr="003B00D8">
              <w:rPr>
                <w:rFonts w:cs="Arial"/>
              </w:rPr>
              <w:t>%</w:t>
            </w:r>
          </w:p>
        </w:tc>
        <w:tc>
          <w:tcPr>
            <w:tcW w:w="2197" w:type="dxa"/>
            <w:tcBorders>
              <w:top w:val="dotted" w:sz="4" w:space="0" w:color="808080" w:themeColor="background1" w:themeShade="80"/>
              <w:bottom w:val="dotted" w:sz="4" w:space="0" w:color="808080" w:themeColor="background1" w:themeShade="80"/>
            </w:tcBorders>
            <w:shd w:val="clear" w:color="auto" w:fill="auto"/>
            <w:vAlign w:val="bottom"/>
          </w:tcPr>
          <w:p w14:paraId="5841A860" w14:textId="5290991F" w:rsidR="00E13F06" w:rsidRPr="003B00D8" w:rsidRDefault="00E13F06" w:rsidP="00E13F06">
            <w:pPr>
              <w:pStyle w:val="TableNumber"/>
            </w:pPr>
            <w:r w:rsidRPr="003B00D8">
              <w:rPr>
                <w:rFonts w:cs="Arial"/>
              </w:rPr>
              <w:t>2</w:t>
            </w:r>
            <w:r w:rsidR="003B00D8" w:rsidRPr="003B00D8">
              <w:rPr>
                <w:rFonts w:cs="Arial"/>
              </w:rPr>
              <w:t>2</w:t>
            </w:r>
            <w:r w:rsidRPr="003B00D8">
              <w:rPr>
                <w:rFonts w:cs="Arial"/>
              </w:rPr>
              <w:t>%</w:t>
            </w:r>
          </w:p>
        </w:tc>
      </w:tr>
      <w:tr w:rsidR="00E13F06" w:rsidRPr="007026F1" w14:paraId="08EBFD62" w14:textId="77777777" w:rsidTr="00E13F06">
        <w:tc>
          <w:tcPr>
            <w:tcW w:w="4786" w:type="dxa"/>
            <w:tcBorders>
              <w:top w:val="dotted" w:sz="4" w:space="0" w:color="808080" w:themeColor="background1" w:themeShade="80"/>
              <w:bottom w:val="dotted" w:sz="4" w:space="0" w:color="808080" w:themeColor="background1" w:themeShade="80"/>
            </w:tcBorders>
            <w:shd w:val="clear" w:color="auto" w:fill="auto"/>
            <w:tcMar>
              <w:left w:w="57" w:type="dxa"/>
              <w:right w:w="57" w:type="dxa"/>
            </w:tcMar>
            <w:vAlign w:val="center"/>
          </w:tcPr>
          <w:p w14:paraId="1CE2E2A3" w14:textId="224320A9" w:rsidR="00E13F06" w:rsidRPr="003B00D8" w:rsidRDefault="00E13F06" w:rsidP="00E13F06">
            <w:pPr>
              <w:pStyle w:val="TableText"/>
              <w:ind w:right="317"/>
              <w:jc w:val="right"/>
            </w:pPr>
            <w:r w:rsidRPr="003B00D8">
              <w:t>Aged 31 - 35</w:t>
            </w:r>
          </w:p>
        </w:tc>
        <w:tc>
          <w:tcPr>
            <w:tcW w:w="2197" w:type="dxa"/>
            <w:tcBorders>
              <w:top w:val="dotted" w:sz="4" w:space="0" w:color="808080" w:themeColor="background1" w:themeShade="80"/>
              <w:bottom w:val="dotted" w:sz="4" w:space="0" w:color="808080" w:themeColor="background1" w:themeShade="80"/>
            </w:tcBorders>
            <w:shd w:val="clear" w:color="auto" w:fill="auto"/>
            <w:vAlign w:val="bottom"/>
          </w:tcPr>
          <w:p w14:paraId="471D3E70" w14:textId="4A96C2C6" w:rsidR="00E13F06" w:rsidRPr="003B00D8" w:rsidDel="00AE6BA9" w:rsidRDefault="00E13F06" w:rsidP="00E13F06">
            <w:pPr>
              <w:pStyle w:val="TableNumber"/>
            </w:pPr>
            <w:r w:rsidRPr="003B00D8">
              <w:rPr>
                <w:rFonts w:cs="Arial"/>
              </w:rPr>
              <w:t>3</w:t>
            </w:r>
            <w:r w:rsidR="003B00D8" w:rsidRPr="003B00D8">
              <w:rPr>
                <w:rFonts w:cs="Arial"/>
              </w:rPr>
              <w:t>1</w:t>
            </w:r>
            <w:r w:rsidRPr="003B00D8">
              <w:rPr>
                <w:rFonts w:cs="Arial"/>
              </w:rPr>
              <w:t>%</w:t>
            </w:r>
          </w:p>
        </w:tc>
        <w:tc>
          <w:tcPr>
            <w:tcW w:w="2197" w:type="dxa"/>
            <w:tcBorders>
              <w:top w:val="dotted" w:sz="4" w:space="0" w:color="808080" w:themeColor="background1" w:themeShade="80"/>
              <w:bottom w:val="dotted" w:sz="4" w:space="0" w:color="808080" w:themeColor="background1" w:themeShade="80"/>
            </w:tcBorders>
            <w:shd w:val="clear" w:color="auto" w:fill="auto"/>
            <w:vAlign w:val="bottom"/>
          </w:tcPr>
          <w:p w14:paraId="47F12382" w14:textId="46C583F8" w:rsidR="00E13F06" w:rsidRPr="003B00D8" w:rsidRDefault="00E13F06" w:rsidP="00E13F06">
            <w:pPr>
              <w:pStyle w:val="TableNumber"/>
            </w:pPr>
            <w:r w:rsidRPr="003B00D8">
              <w:rPr>
                <w:rFonts w:cs="Arial"/>
              </w:rPr>
              <w:t>3</w:t>
            </w:r>
            <w:r w:rsidR="003B00D8" w:rsidRPr="003B00D8">
              <w:rPr>
                <w:rFonts w:cs="Arial"/>
              </w:rPr>
              <w:t>1</w:t>
            </w:r>
            <w:r w:rsidRPr="003B00D8">
              <w:rPr>
                <w:rFonts w:cs="Arial"/>
              </w:rPr>
              <w:t>%</w:t>
            </w:r>
          </w:p>
        </w:tc>
      </w:tr>
      <w:tr w:rsidR="00E13F06" w:rsidRPr="007026F1" w14:paraId="71601B40" w14:textId="77777777" w:rsidTr="00E13F06">
        <w:tc>
          <w:tcPr>
            <w:tcW w:w="4786" w:type="dxa"/>
            <w:tcBorders>
              <w:top w:val="dotted" w:sz="4" w:space="0" w:color="808080" w:themeColor="background1" w:themeShade="80"/>
              <w:bottom w:val="dotted" w:sz="4" w:space="0" w:color="808080" w:themeColor="background1" w:themeShade="80"/>
            </w:tcBorders>
            <w:shd w:val="clear" w:color="auto" w:fill="auto"/>
            <w:tcMar>
              <w:left w:w="57" w:type="dxa"/>
              <w:right w:w="57" w:type="dxa"/>
            </w:tcMar>
            <w:vAlign w:val="center"/>
          </w:tcPr>
          <w:p w14:paraId="60645332" w14:textId="749DAF01" w:rsidR="00E13F06" w:rsidRPr="003B00D8" w:rsidRDefault="00E13F06" w:rsidP="00E13F06">
            <w:pPr>
              <w:pStyle w:val="TableText"/>
              <w:ind w:right="317"/>
              <w:jc w:val="right"/>
            </w:pPr>
            <w:r w:rsidRPr="003B00D8">
              <w:t>Aged 36 - 39</w:t>
            </w:r>
          </w:p>
        </w:tc>
        <w:tc>
          <w:tcPr>
            <w:tcW w:w="2197" w:type="dxa"/>
            <w:tcBorders>
              <w:top w:val="dotted" w:sz="4" w:space="0" w:color="808080" w:themeColor="background1" w:themeShade="80"/>
              <w:bottom w:val="dotted" w:sz="4" w:space="0" w:color="808080" w:themeColor="background1" w:themeShade="80"/>
            </w:tcBorders>
            <w:shd w:val="clear" w:color="auto" w:fill="auto"/>
            <w:vAlign w:val="bottom"/>
          </w:tcPr>
          <w:p w14:paraId="03D880A8" w14:textId="0D25A4E7" w:rsidR="00E13F06" w:rsidRPr="003B00D8" w:rsidRDefault="003B00D8" w:rsidP="00E13F06">
            <w:pPr>
              <w:pStyle w:val="TableNumber"/>
            </w:pPr>
            <w:r w:rsidRPr="003B00D8">
              <w:rPr>
                <w:rFonts w:cs="Arial"/>
              </w:rPr>
              <w:t>18</w:t>
            </w:r>
            <w:r w:rsidR="00E13F06" w:rsidRPr="003B00D8">
              <w:rPr>
                <w:rFonts w:cs="Arial"/>
              </w:rPr>
              <w:t>%</w:t>
            </w:r>
          </w:p>
        </w:tc>
        <w:tc>
          <w:tcPr>
            <w:tcW w:w="2197" w:type="dxa"/>
            <w:tcBorders>
              <w:top w:val="dotted" w:sz="4" w:space="0" w:color="808080" w:themeColor="background1" w:themeShade="80"/>
              <w:bottom w:val="dotted" w:sz="4" w:space="0" w:color="808080" w:themeColor="background1" w:themeShade="80"/>
            </w:tcBorders>
            <w:shd w:val="clear" w:color="auto" w:fill="auto"/>
            <w:vAlign w:val="bottom"/>
          </w:tcPr>
          <w:p w14:paraId="23CC5831" w14:textId="07370468" w:rsidR="00E13F06" w:rsidRPr="003B00D8" w:rsidRDefault="00E13F06" w:rsidP="00E13F06">
            <w:pPr>
              <w:pStyle w:val="TableNumber"/>
            </w:pPr>
            <w:r w:rsidRPr="003B00D8">
              <w:rPr>
                <w:rFonts w:cs="Arial"/>
              </w:rPr>
              <w:t>2</w:t>
            </w:r>
            <w:r w:rsidR="003B00D8" w:rsidRPr="003B00D8">
              <w:rPr>
                <w:rFonts w:cs="Arial"/>
              </w:rPr>
              <w:t>3</w:t>
            </w:r>
            <w:r w:rsidRPr="003B00D8">
              <w:rPr>
                <w:rFonts w:cs="Arial"/>
              </w:rPr>
              <w:t>%</w:t>
            </w:r>
          </w:p>
        </w:tc>
      </w:tr>
      <w:tr w:rsidR="00E13F06" w:rsidRPr="007026F1" w14:paraId="2B029686" w14:textId="77777777" w:rsidTr="00E13F06">
        <w:tc>
          <w:tcPr>
            <w:tcW w:w="4786" w:type="dxa"/>
            <w:tcBorders>
              <w:top w:val="dotted" w:sz="4" w:space="0" w:color="808080" w:themeColor="background1" w:themeShade="80"/>
              <w:bottom w:val="single" w:sz="4" w:space="0" w:color="auto"/>
            </w:tcBorders>
            <w:shd w:val="clear" w:color="auto" w:fill="auto"/>
            <w:tcMar>
              <w:left w:w="57" w:type="dxa"/>
              <w:right w:w="57" w:type="dxa"/>
            </w:tcMar>
            <w:vAlign w:val="center"/>
          </w:tcPr>
          <w:p w14:paraId="0F026315" w14:textId="60547922" w:rsidR="00E13F06" w:rsidRPr="003B00D8" w:rsidRDefault="00E13F06" w:rsidP="00E13F06">
            <w:pPr>
              <w:pStyle w:val="TableText"/>
              <w:ind w:right="317"/>
              <w:jc w:val="right"/>
            </w:pPr>
            <w:r w:rsidRPr="003B00D8">
              <w:t>Above 40</w:t>
            </w:r>
          </w:p>
        </w:tc>
        <w:tc>
          <w:tcPr>
            <w:tcW w:w="2197" w:type="dxa"/>
            <w:tcBorders>
              <w:top w:val="dotted" w:sz="4" w:space="0" w:color="808080" w:themeColor="background1" w:themeShade="80"/>
              <w:bottom w:val="single" w:sz="4" w:space="0" w:color="auto"/>
            </w:tcBorders>
            <w:shd w:val="clear" w:color="auto" w:fill="auto"/>
            <w:vAlign w:val="bottom"/>
          </w:tcPr>
          <w:p w14:paraId="699FE7C8" w14:textId="7B8F32DE" w:rsidR="00E13F06" w:rsidRPr="003B00D8" w:rsidRDefault="00E13F06" w:rsidP="00E13F06">
            <w:pPr>
              <w:pStyle w:val="TableNumber"/>
            </w:pPr>
            <w:r w:rsidRPr="003B00D8">
              <w:rPr>
                <w:rFonts w:cs="Arial"/>
              </w:rPr>
              <w:t>1</w:t>
            </w:r>
            <w:r w:rsidR="003B00D8" w:rsidRPr="003B00D8">
              <w:rPr>
                <w:rFonts w:cs="Arial"/>
              </w:rPr>
              <w:t>3</w:t>
            </w:r>
            <w:r w:rsidRPr="003B00D8">
              <w:rPr>
                <w:rFonts w:cs="Arial"/>
              </w:rPr>
              <w:t>%</w:t>
            </w:r>
          </w:p>
        </w:tc>
        <w:tc>
          <w:tcPr>
            <w:tcW w:w="2197" w:type="dxa"/>
            <w:tcBorders>
              <w:top w:val="dotted" w:sz="4" w:space="0" w:color="808080" w:themeColor="background1" w:themeShade="80"/>
              <w:bottom w:val="single" w:sz="4" w:space="0" w:color="auto"/>
            </w:tcBorders>
            <w:shd w:val="clear" w:color="auto" w:fill="auto"/>
            <w:vAlign w:val="bottom"/>
          </w:tcPr>
          <w:p w14:paraId="368BC49D" w14:textId="6C817153" w:rsidR="00E13F06" w:rsidRPr="003B00D8" w:rsidRDefault="00E13F06" w:rsidP="00E13F06">
            <w:pPr>
              <w:pStyle w:val="TableNumber"/>
            </w:pPr>
            <w:r w:rsidRPr="003B00D8">
              <w:rPr>
                <w:rFonts w:cs="Arial"/>
              </w:rPr>
              <w:t>1</w:t>
            </w:r>
            <w:r w:rsidR="003B00D8" w:rsidRPr="003B00D8">
              <w:rPr>
                <w:rFonts w:cs="Arial"/>
              </w:rPr>
              <w:t>6</w:t>
            </w:r>
            <w:r w:rsidRPr="003B00D8">
              <w:rPr>
                <w:rFonts w:cs="Arial"/>
              </w:rPr>
              <w:t>%</w:t>
            </w:r>
          </w:p>
        </w:tc>
      </w:tr>
      <w:tr w:rsidR="00E13F06" w:rsidRPr="007026F1" w14:paraId="65287BD7" w14:textId="77777777" w:rsidTr="00E13F06">
        <w:tc>
          <w:tcPr>
            <w:tcW w:w="4786" w:type="dxa"/>
            <w:tcBorders>
              <w:top w:val="single" w:sz="4" w:space="0" w:color="auto"/>
              <w:bottom w:val="dotted" w:sz="4" w:space="0" w:color="808080" w:themeColor="background1" w:themeShade="80"/>
            </w:tcBorders>
            <w:shd w:val="clear" w:color="auto" w:fill="EEECE1" w:themeFill="background2"/>
            <w:tcMar>
              <w:left w:w="57" w:type="dxa"/>
              <w:right w:w="57" w:type="dxa"/>
            </w:tcMar>
            <w:vAlign w:val="center"/>
          </w:tcPr>
          <w:p w14:paraId="1D556434" w14:textId="3C25DCF2" w:rsidR="00E13F06" w:rsidRPr="007026F1" w:rsidRDefault="00E13F06" w:rsidP="00E13F06">
            <w:pPr>
              <w:pStyle w:val="TableText"/>
              <w:ind w:right="317"/>
              <w:jc w:val="right"/>
            </w:pPr>
            <w:r w:rsidRPr="007026F1">
              <w:t>Single (without children)</w:t>
            </w:r>
          </w:p>
        </w:tc>
        <w:tc>
          <w:tcPr>
            <w:tcW w:w="2197" w:type="dxa"/>
            <w:tcBorders>
              <w:top w:val="single" w:sz="4" w:space="0" w:color="auto"/>
              <w:bottom w:val="dotted" w:sz="4" w:space="0" w:color="808080" w:themeColor="background1" w:themeShade="80"/>
            </w:tcBorders>
            <w:shd w:val="clear" w:color="auto" w:fill="EEECE1" w:themeFill="background2"/>
            <w:vAlign w:val="bottom"/>
          </w:tcPr>
          <w:p w14:paraId="6FF1EA57" w14:textId="2C21DC78" w:rsidR="00E13F06" w:rsidRPr="007026F1" w:rsidRDefault="007026F1" w:rsidP="00E13F06">
            <w:pPr>
              <w:pStyle w:val="TableNumber"/>
            </w:pPr>
            <w:r w:rsidRPr="007026F1">
              <w:rPr>
                <w:rFonts w:cs="Arial"/>
              </w:rPr>
              <w:t>46</w:t>
            </w:r>
            <w:r w:rsidR="00E13F06" w:rsidRPr="007026F1">
              <w:rPr>
                <w:rFonts w:cs="Arial"/>
              </w:rPr>
              <w:t>%</w:t>
            </w:r>
          </w:p>
        </w:tc>
        <w:tc>
          <w:tcPr>
            <w:tcW w:w="2197" w:type="dxa"/>
            <w:tcBorders>
              <w:top w:val="single" w:sz="4" w:space="0" w:color="auto"/>
              <w:bottom w:val="dotted" w:sz="4" w:space="0" w:color="808080" w:themeColor="background1" w:themeShade="80"/>
            </w:tcBorders>
            <w:shd w:val="clear" w:color="auto" w:fill="EEECE1" w:themeFill="background2"/>
            <w:vAlign w:val="bottom"/>
          </w:tcPr>
          <w:p w14:paraId="2EB80870" w14:textId="1C7CE8F2" w:rsidR="00E13F06" w:rsidRPr="007026F1" w:rsidRDefault="007026F1" w:rsidP="00E13F06">
            <w:pPr>
              <w:pStyle w:val="TableNumber"/>
            </w:pPr>
            <w:r w:rsidRPr="007026F1">
              <w:rPr>
                <w:rFonts w:cs="Arial"/>
              </w:rPr>
              <w:t>41</w:t>
            </w:r>
            <w:r w:rsidR="00E13F06" w:rsidRPr="007026F1">
              <w:rPr>
                <w:rFonts w:cs="Arial"/>
              </w:rPr>
              <w:t>%</w:t>
            </w:r>
          </w:p>
        </w:tc>
      </w:tr>
      <w:tr w:rsidR="004C2D25" w:rsidRPr="007026F1" w14:paraId="2F64D397" w14:textId="77777777" w:rsidTr="00E13F06">
        <w:tc>
          <w:tcPr>
            <w:tcW w:w="4786" w:type="dxa"/>
            <w:tcBorders>
              <w:top w:val="dotted" w:sz="4" w:space="0" w:color="808080" w:themeColor="background1" w:themeShade="80"/>
              <w:bottom w:val="single" w:sz="4" w:space="0" w:color="auto"/>
            </w:tcBorders>
            <w:shd w:val="clear" w:color="auto" w:fill="EEECE1" w:themeFill="background2"/>
            <w:tcMar>
              <w:left w:w="57" w:type="dxa"/>
              <w:right w:w="57" w:type="dxa"/>
            </w:tcMar>
            <w:vAlign w:val="center"/>
          </w:tcPr>
          <w:p w14:paraId="5D23C810" w14:textId="400321AE" w:rsidR="004C2D25" w:rsidRPr="007026F1" w:rsidRDefault="004C2D25" w:rsidP="00DA4627">
            <w:pPr>
              <w:pStyle w:val="TableText"/>
              <w:ind w:right="317"/>
              <w:jc w:val="right"/>
            </w:pPr>
            <w:r w:rsidRPr="007026F1">
              <w:t xml:space="preserve">With </w:t>
            </w:r>
            <w:r w:rsidR="00FA2200" w:rsidRPr="007026F1">
              <w:t>family</w:t>
            </w:r>
            <w:r w:rsidR="00DA4627" w:rsidRPr="007026F1">
              <w:t xml:space="preserve"> </w:t>
            </w:r>
            <w:r w:rsidR="00FA2200" w:rsidRPr="007026F1">
              <w:t>(</w:t>
            </w:r>
            <w:r w:rsidRPr="007026F1">
              <w:t>spouse/partner</w:t>
            </w:r>
            <w:r w:rsidR="00FA2200" w:rsidRPr="007026F1">
              <w:t xml:space="preserve"> and/or</w:t>
            </w:r>
            <w:r w:rsidR="00FB2CC8" w:rsidRPr="007026F1">
              <w:t xml:space="preserve"> </w:t>
            </w:r>
            <w:r w:rsidR="00FA2200" w:rsidRPr="007026F1">
              <w:t>children)</w:t>
            </w:r>
          </w:p>
        </w:tc>
        <w:tc>
          <w:tcPr>
            <w:tcW w:w="2197" w:type="dxa"/>
            <w:tcBorders>
              <w:top w:val="dotted" w:sz="4" w:space="0" w:color="808080" w:themeColor="background1" w:themeShade="80"/>
              <w:bottom w:val="single" w:sz="4" w:space="0" w:color="auto"/>
            </w:tcBorders>
            <w:shd w:val="clear" w:color="auto" w:fill="EEECE1" w:themeFill="background2"/>
            <w:vAlign w:val="center"/>
          </w:tcPr>
          <w:p w14:paraId="40BEE94D" w14:textId="708D329B" w:rsidR="004C2D25" w:rsidRPr="007026F1" w:rsidRDefault="00E13F06" w:rsidP="004C2D25">
            <w:pPr>
              <w:pStyle w:val="TableNumber"/>
            </w:pPr>
            <w:r w:rsidRPr="007026F1">
              <w:t>5</w:t>
            </w:r>
            <w:r w:rsidR="007026F1" w:rsidRPr="007026F1">
              <w:t>4</w:t>
            </w:r>
            <w:r w:rsidR="00FA2200" w:rsidRPr="007026F1">
              <w:t>%</w:t>
            </w:r>
          </w:p>
        </w:tc>
        <w:tc>
          <w:tcPr>
            <w:tcW w:w="2197" w:type="dxa"/>
            <w:tcBorders>
              <w:top w:val="dotted" w:sz="4" w:space="0" w:color="808080" w:themeColor="background1" w:themeShade="80"/>
              <w:bottom w:val="single" w:sz="4" w:space="0" w:color="auto"/>
            </w:tcBorders>
            <w:shd w:val="clear" w:color="auto" w:fill="EEECE1" w:themeFill="background2"/>
            <w:vAlign w:val="center"/>
          </w:tcPr>
          <w:p w14:paraId="7709007E" w14:textId="41361826" w:rsidR="004C2D25" w:rsidRPr="007026F1" w:rsidRDefault="00E13F06" w:rsidP="004C2D25">
            <w:pPr>
              <w:pStyle w:val="TableNumber"/>
            </w:pPr>
            <w:r w:rsidRPr="007026F1">
              <w:t>5</w:t>
            </w:r>
            <w:r w:rsidR="007026F1" w:rsidRPr="007026F1">
              <w:t>9</w:t>
            </w:r>
            <w:r w:rsidR="00FA2200" w:rsidRPr="007026F1">
              <w:t>%</w:t>
            </w:r>
          </w:p>
        </w:tc>
      </w:tr>
      <w:tr w:rsidR="00E13F06" w:rsidRPr="007026F1" w14:paraId="1F0110FA" w14:textId="77777777" w:rsidTr="007026F1">
        <w:tc>
          <w:tcPr>
            <w:tcW w:w="4786" w:type="dxa"/>
            <w:tcBorders>
              <w:top w:val="single" w:sz="4" w:space="0" w:color="auto"/>
              <w:bottom w:val="single" w:sz="4" w:space="0" w:color="auto"/>
            </w:tcBorders>
            <w:shd w:val="clear" w:color="auto" w:fill="auto"/>
            <w:tcMar>
              <w:left w:w="57" w:type="dxa"/>
              <w:right w:w="57" w:type="dxa"/>
            </w:tcMar>
            <w:vAlign w:val="center"/>
          </w:tcPr>
          <w:p w14:paraId="627230EF" w14:textId="68F21A99" w:rsidR="00E13F06" w:rsidRPr="007026F1" w:rsidRDefault="00E13F06" w:rsidP="00E13F06">
            <w:pPr>
              <w:pStyle w:val="TableText"/>
              <w:ind w:right="317"/>
              <w:jc w:val="right"/>
            </w:pPr>
            <w:r w:rsidRPr="007026F1">
              <w:t>With disability</w:t>
            </w:r>
          </w:p>
        </w:tc>
        <w:tc>
          <w:tcPr>
            <w:tcW w:w="2197" w:type="dxa"/>
            <w:tcBorders>
              <w:top w:val="single" w:sz="4" w:space="0" w:color="auto"/>
              <w:bottom w:val="single" w:sz="4" w:space="0" w:color="auto"/>
            </w:tcBorders>
            <w:shd w:val="clear" w:color="auto" w:fill="auto"/>
            <w:vAlign w:val="bottom"/>
          </w:tcPr>
          <w:p w14:paraId="51CC18DD" w14:textId="2876CF3C" w:rsidR="00E13F06" w:rsidRPr="007026F1" w:rsidRDefault="007026F1" w:rsidP="00E13F06">
            <w:pPr>
              <w:pStyle w:val="TableNumber"/>
            </w:pPr>
            <w:r w:rsidRPr="007026F1">
              <w:rPr>
                <w:rFonts w:cs="Arial"/>
              </w:rPr>
              <w:t>4</w:t>
            </w:r>
            <w:r w:rsidR="00E13F06" w:rsidRPr="007026F1">
              <w:rPr>
                <w:rFonts w:cs="Arial"/>
              </w:rPr>
              <w:t>%</w:t>
            </w:r>
          </w:p>
        </w:tc>
        <w:tc>
          <w:tcPr>
            <w:tcW w:w="2197" w:type="dxa"/>
            <w:tcBorders>
              <w:top w:val="single" w:sz="4" w:space="0" w:color="auto"/>
              <w:bottom w:val="single" w:sz="4" w:space="0" w:color="auto"/>
            </w:tcBorders>
            <w:shd w:val="clear" w:color="auto" w:fill="auto"/>
            <w:vAlign w:val="bottom"/>
          </w:tcPr>
          <w:p w14:paraId="1DE2C089" w14:textId="1D563E2C" w:rsidR="00E13F06" w:rsidRPr="007026F1" w:rsidRDefault="007026F1" w:rsidP="00E13F06">
            <w:pPr>
              <w:pStyle w:val="TableNumber"/>
            </w:pPr>
            <w:r w:rsidRPr="007026F1">
              <w:rPr>
                <w:rFonts w:cs="Arial"/>
              </w:rPr>
              <w:t>4</w:t>
            </w:r>
            <w:r w:rsidR="00E13F06" w:rsidRPr="007026F1">
              <w:rPr>
                <w:rFonts w:cs="Arial"/>
              </w:rPr>
              <w:t>%</w:t>
            </w:r>
          </w:p>
        </w:tc>
      </w:tr>
      <w:tr w:rsidR="00FA2200" w:rsidRPr="007026F1" w14:paraId="46CBBF24" w14:textId="77777777" w:rsidTr="007026F1">
        <w:tc>
          <w:tcPr>
            <w:tcW w:w="4786" w:type="dxa"/>
            <w:tcBorders>
              <w:top w:val="single" w:sz="4" w:space="0" w:color="auto"/>
              <w:bottom w:val="single" w:sz="4" w:space="0" w:color="auto"/>
            </w:tcBorders>
            <w:shd w:val="clear" w:color="auto" w:fill="EEECE1"/>
            <w:tcMar>
              <w:left w:w="57" w:type="dxa"/>
              <w:right w:w="57" w:type="dxa"/>
            </w:tcMar>
            <w:vAlign w:val="center"/>
          </w:tcPr>
          <w:p w14:paraId="06F50C0F" w14:textId="77777777" w:rsidR="00FA2200" w:rsidRPr="007026F1" w:rsidRDefault="00FA2200" w:rsidP="004C2D25">
            <w:pPr>
              <w:pStyle w:val="TableText"/>
              <w:ind w:right="317"/>
              <w:jc w:val="right"/>
            </w:pPr>
            <w:r w:rsidRPr="007026F1">
              <w:t>In last semester of study</w:t>
            </w:r>
          </w:p>
        </w:tc>
        <w:tc>
          <w:tcPr>
            <w:tcW w:w="2197" w:type="dxa"/>
            <w:tcBorders>
              <w:top w:val="single" w:sz="4" w:space="0" w:color="auto"/>
              <w:bottom w:val="single" w:sz="4" w:space="0" w:color="auto"/>
            </w:tcBorders>
            <w:shd w:val="clear" w:color="auto" w:fill="EEECE1"/>
            <w:vAlign w:val="center"/>
          </w:tcPr>
          <w:p w14:paraId="01DC48A3" w14:textId="77777777" w:rsidR="00FA2200" w:rsidRPr="007026F1" w:rsidRDefault="00FA2200" w:rsidP="004C2D25">
            <w:pPr>
              <w:pStyle w:val="TableNumber"/>
            </w:pPr>
            <w:r w:rsidRPr="007026F1">
              <w:t>N/A</w:t>
            </w:r>
          </w:p>
        </w:tc>
        <w:tc>
          <w:tcPr>
            <w:tcW w:w="2197" w:type="dxa"/>
            <w:tcBorders>
              <w:top w:val="single" w:sz="4" w:space="0" w:color="auto"/>
              <w:bottom w:val="single" w:sz="4" w:space="0" w:color="auto"/>
            </w:tcBorders>
            <w:shd w:val="clear" w:color="auto" w:fill="EEECE1"/>
            <w:vAlign w:val="center"/>
          </w:tcPr>
          <w:p w14:paraId="7ADB36A1" w14:textId="69344F25" w:rsidR="00FA2200" w:rsidRPr="007026F1" w:rsidRDefault="007026F1" w:rsidP="009A49FE">
            <w:pPr>
              <w:pStyle w:val="TableNumber"/>
            </w:pPr>
            <w:r w:rsidRPr="007026F1">
              <w:t>61</w:t>
            </w:r>
            <w:r w:rsidR="00FA2200" w:rsidRPr="007026F1">
              <w:t>%</w:t>
            </w:r>
          </w:p>
        </w:tc>
      </w:tr>
      <w:tr w:rsidR="004A45F9" w:rsidRPr="007026F1" w14:paraId="494D6EAA" w14:textId="77777777" w:rsidTr="007026F1">
        <w:tc>
          <w:tcPr>
            <w:tcW w:w="4786" w:type="dxa"/>
            <w:tcBorders>
              <w:top w:val="single" w:sz="4" w:space="0" w:color="auto"/>
              <w:bottom w:val="single" w:sz="4" w:space="0" w:color="auto"/>
            </w:tcBorders>
            <w:shd w:val="clear" w:color="auto" w:fill="auto"/>
            <w:tcMar>
              <w:left w:w="57" w:type="dxa"/>
              <w:right w:w="57" w:type="dxa"/>
            </w:tcMar>
            <w:vAlign w:val="center"/>
          </w:tcPr>
          <w:p w14:paraId="1170B434" w14:textId="55D5CC11" w:rsidR="004A45F9" w:rsidRPr="007026F1" w:rsidRDefault="004A45F9" w:rsidP="004C2D25">
            <w:pPr>
              <w:pStyle w:val="TableText"/>
              <w:ind w:right="317"/>
              <w:jc w:val="right"/>
            </w:pPr>
            <w:r w:rsidRPr="007026F1">
              <w:t>Experienced discrimination</w:t>
            </w:r>
          </w:p>
        </w:tc>
        <w:tc>
          <w:tcPr>
            <w:tcW w:w="2197" w:type="dxa"/>
            <w:tcBorders>
              <w:top w:val="single" w:sz="4" w:space="0" w:color="auto"/>
              <w:bottom w:val="single" w:sz="4" w:space="0" w:color="auto"/>
            </w:tcBorders>
            <w:shd w:val="clear" w:color="auto" w:fill="auto"/>
            <w:vAlign w:val="center"/>
          </w:tcPr>
          <w:p w14:paraId="2BBDE67D" w14:textId="3D3C939F" w:rsidR="004A45F9" w:rsidRPr="007026F1" w:rsidRDefault="007026F1" w:rsidP="00F20626">
            <w:pPr>
              <w:pStyle w:val="TableNumber"/>
            </w:pPr>
            <w:r w:rsidRPr="007026F1">
              <w:t>18</w:t>
            </w:r>
            <w:r w:rsidR="004A45F9" w:rsidRPr="007026F1">
              <w:t>%</w:t>
            </w:r>
          </w:p>
        </w:tc>
        <w:tc>
          <w:tcPr>
            <w:tcW w:w="2197" w:type="dxa"/>
            <w:tcBorders>
              <w:top w:val="single" w:sz="4" w:space="0" w:color="auto"/>
              <w:bottom w:val="single" w:sz="4" w:space="0" w:color="auto"/>
            </w:tcBorders>
            <w:shd w:val="clear" w:color="auto" w:fill="auto"/>
            <w:vAlign w:val="center"/>
          </w:tcPr>
          <w:p w14:paraId="2F401AB5" w14:textId="5FD9F08B" w:rsidR="004A45F9" w:rsidRPr="007026F1" w:rsidRDefault="00E13F06" w:rsidP="004C2D25">
            <w:pPr>
              <w:pStyle w:val="TableNumber"/>
            </w:pPr>
            <w:r w:rsidRPr="007026F1">
              <w:t>1</w:t>
            </w:r>
            <w:r w:rsidR="007026F1" w:rsidRPr="007026F1">
              <w:t>9</w:t>
            </w:r>
            <w:r w:rsidR="004A45F9" w:rsidRPr="007026F1">
              <w:t>%</w:t>
            </w:r>
          </w:p>
        </w:tc>
      </w:tr>
    </w:tbl>
    <w:p w14:paraId="66BFC7C2" w14:textId="49D6CB2C" w:rsidR="00EC0FE9" w:rsidRPr="00B64852" w:rsidRDefault="00EC0FE9" w:rsidP="00F25704">
      <w:pPr>
        <w:pStyle w:val="Heading2"/>
      </w:pPr>
      <w:bookmarkStart w:id="2" w:name="_Ref378772710"/>
      <w:bookmarkStart w:id="3" w:name="_Toc65069878"/>
      <w:r w:rsidRPr="00B64852">
        <w:lastRenderedPageBreak/>
        <w:t>Overall satisfaction</w:t>
      </w:r>
      <w:bookmarkEnd w:id="2"/>
      <w:r w:rsidR="00432A82" w:rsidRPr="00B64852">
        <w:t xml:space="preserve"> with the Australia Awards</w:t>
      </w:r>
      <w:bookmarkEnd w:id="3"/>
    </w:p>
    <w:p w14:paraId="571690AF" w14:textId="3231ED45" w:rsidR="00C46AC9" w:rsidRDefault="00277165" w:rsidP="00C46AC9">
      <w:r w:rsidRPr="005F2EB9">
        <w:t xml:space="preserve">Overall satisfaction with the Australia Awards has remained high </w:t>
      </w:r>
      <w:r w:rsidR="00764483" w:rsidRPr="005F2EB9">
        <w:t>and steady</w:t>
      </w:r>
      <w:r w:rsidR="004B23BE" w:rsidRPr="005F2EB9">
        <w:t>,</w:t>
      </w:r>
      <w:r w:rsidRPr="005F2EB9">
        <w:t xml:space="preserve"> </w:t>
      </w:r>
      <w:r w:rsidR="00E247B5" w:rsidRPr="005F2EB9">
        <w:t xml:space="preserve">ranging between </w:t>
      </w:r>
      <w:r w:rsidR="001633B7" w:rsidRPr="005F2EB9">
        <w:t>96</w:t>
      </w:r>
      <w:r w:rsidR="004B23BE" w:rsidRPr="005F2EB9">
        <w:t xml:space="preserve">% and </w:t>
      </w:r>
      <w:r w:rsidR="003B1A4C" w:rsidRPr="005F2EB9">
        <w:t>99</w:t>
      </w:r>
      <w:r w:rsidR="00A64D91" w:rsidRPr="005F2EB9">
        <w:t>% satisfaction</w:t>
      </w:r>
      <w:r w:rsidR="00432A82" w:rsidRPr="005F2EB9">
        <w:t xml:space="preserve"> since 2013</w:t>
      </w:r>
      <w:r w:rsidR="00B35F6F" w:rsidRPr="005F2EB9">
        <w:t>, for both ongoing and new arrival students</w:t>
      </w:r>
      <w:r w:rsidR="00764483" w:rsidRPr="005F2EB9">
        <w:t xml:space="preserve"> </w:t>
      </w:r>
      <w:r w:rsidR="001633B7" w:rsidRPr="005F2EB9">
        <w:t xml:space="preserve">(see </w:t>
      </w:r>
      <w:r w:rsidR="009428DB">
        <w:t xml:space="preserve">the </w:t>
      </w:r>
      <w:r w:rsidR="00004F8E">
        <w:t>figure</w:t>
      </w:r>
      <w:r w:rsidR="00074EF2" w:rsidRPr="005F2EB9">
        <w:t xml:space="preserve"> </w:t>
      </w:r>
      <w:r w:rsidR="005F31A4" w:rsidRPr="005F2EB9">
        <w:t>below</w:t>
      </w:r>
      <w:r w:rsidR="001633B7" w:rsidRPr="005F2EB9">
        <w:t>)</w:t>
      </w:r>
      <w:r w:rsidRPr="005F2EB9">
        <w:t>. This</w:t>
      </w:r>
      <w:r w:rsidRPr="00A64D91">
        <w:t xml:space="preserve"> is even more impressive</w:t>
      </w:r>
      <w:r w:rsidR="004F64B3" w:rsidRPr="00A64D91">
        <w:t xml:space="preserve"> for ongoing students</w:t>
      </w:r>
      <w:r w:rsidRPr="00A64D91">
        <w:t xml:space="preserve">, </w:t>
      </w:r>
      <w:r w:rsidR="00270F88" w:rsidRPr="00A64D91">
        <w:t>whose</w:t>
      </w:r>
      <w:r w:rsidR="004F64B3" w:rsidRPr="00A64D91">
        <w:t xml:space="preserve"> </w:t>
      </w:r>
      <w:r w:rsidRPr="00A64D91">
        <w:t>satisfaction levels have been sustained well after the excitement o</w:t>
      </w:r>
      <w:r w:rsidR="00E15AFE" w:rsidRPr="00A64D91">
        <w:t xml:space="preserve">f commencing their scholarship. </w:t>
      </w:r>
      <w:r w:rsidR="00E8776D" w:rsidRPr="005F2EB9">
        <w:t>Correspondingly</w:t>
      </w:r>
      <w:r w:rsidR="001633B7" w:rsidRPr="005F2EB9">
        <w:t>, l</w:t>
      </w:r>
      <w:r w:rsidR="000916B0" w:rsidRPr="005F2EB9">
        <w:t xml:space="preserve">evels of dissatisfaction </w:t>
      </w:r>
      <w:r w:rsidR="00493AC1" w:rsidRPr="005F2EB9">
        <w:t>have remained</w:t>
      </w:r>
      <w:r w:rsidR="00B70E05" w:rsidRPr="005F2EB9">
        <w:t xml:space="preserve"> </w:t>
      </w:r>
      <w:r w:rsidR="000916B0" w:rsidRPr="005F2EB9">
        <w:t>consistent</w:t>
      </w:r>
      <w:r w:rsidR="00B70E05" w:rsidRPr="005F2EB9">
        <w:t>ly very low</w:t>
      </w:r>
      <w:r w:rsidR="000916B0" w:rsidRPr="005F2EB9">
        <w:t xml:space="preserve"> </w:t>
      </w:r>
      <w:r w:rsidR="003B1A4C" w:rsidRPr="005F2EB9">
        <w:t>(0-</w:t>
      </w:r>
      <w:r w:rsidR="00B121FB" w:rsidRPr="005F2EB9">
        <w:t>1</w:t>
      </w:r>
      <w:r w:rsidR="001633B7" w:rsidRPr="005F2EB9">
        <w:t>%)</w:t>
      </w:r>
      <w:r w:rsidR="00493AC1" w:rsidRPr="005F2EB9">
        <w:t xml:space="preserve"> since 2013</w:t>
      </w:r>
      <w:r w:rsidR="000916B0" w:rsidRPr="005F2EB9">
        <w:t>.</w:t>
      </w:r>
    </w:p>
    <w:p w14:paraId="5D00F2B1" w14:textId="77777777" w:rsidR="00DE7D60" w:rsidRDefault="00DE7D60" w:rsidP="00DE7D60">
      <w:r>
        <w:t>The research identified positively correlated relationships between aspects of the Australia Awards and overall satisfaction, namely:</w:t>
      </w:r>
    </w:p>
    <w:p w14:paraId="086B6A96" w14:textId="1C3F0563" w:rsidR="00DE7D60" w:rsidRDefault="00DE7D60" w:rsidP="00DE7D60">
      <w:pPr>
        <w:pStyle w:val="ListBullet"/>
      </w:pPr>
      <w:r>
        <w:t xml:space="preserve">the usefulness of the knowledge and skills provided by course for working on development issues in ongoing student’s home </w:t>
      </w:r>
      <w:proofErr w:type="gramStart"/>
      <w:r>
        <w:t>country</w:t>
      </w:r>
      <w:proofErr w:type="gramEnd"/>
    </w:p>
    <w:p w14:paraId="1BE4C0C1" w14:textId="4E85E85D" w:rsidR="00DE7D60" w:rsidRDefault="00DE7D60" w:rsidP="00DE7D60">
      <w:pPr>
        <w:pStyle w:val="ListBullet"/>
      </w:pPr>
      <w:r>
        <w:t>ongoing student’s inclination to recommend Australia as a destination for study or travel and to recommend the Australia Awards, and</w:t>
      </w:r>
    </w:p>
    <w:p w14:paraId="31C371CC" w14:textId="532E6C20" w:rsidR="00DE7D60" w:rsidRDefault="00DE7D60" w:rsidP="00DE7D60">
      <w:pPr>
        <w:pStyle w:val="ListBullet"/>
      </w:pPr>
      <w:r>
        <w:t>ongoing student’s satisfaction with entitlements and other assistance.</w:t>
      </w:r>
    </w:p>
    <w:p w14:paraId="51259921" w14:textId="7A9FCBDA" w:rsidR="00DE7D60" w:rsidRDefault="00DE7D60" w:rsidP="00DE7D60">
      <w:r w:rsidRPr="0009476E">
        <w:t>New arrival’s preparation for coming to Australia tended to have a larger correlation with overall satisfaction in previous years. However, this was less so in 2020, possibly due to some of the larg</w:t>
      </w:r>
      <w:r w:rsidR="003B00D8" w:rsidRPr="0009476E">
        <w:t>e,</w:t>
      </w:r>
      <w:r w:rsidRPr="0009476E">
        <w:t xml:space="preserve"> unexpected changes that occurred</w:t>
      </w:r>
      <w:r w:rsidR="003B00D8" w:rsidRPr="0009476E">
        <w:t xml:space="preserve"> as a result of COVID-19</w:t>
      </w:r>
      <w:r w:rsidRPr="0009476E">
        <w:t>.</w:t>
      </w:r>
    </w:p>
    <w:p w14:paraId="5F5C70EA" w14:textId="77777777" w:rsidR="000E297D" w:rsidRPr="0009476E" w:rsidRDefault="000E297D" w:rsidP="00DE7D60"/>
    <w:p w14:paraId="6BF913A2" w14:textId="3699BEB8" w:rsidR="00174E34" w:rsidRPr="0009476E" w:rsidRDefault="00174E34" w:rsidP="0030460E">
      <w:pPr>
        <w:pStyle w:val="FigureHeading"/>
        <w:keepNext w:val="0"/>
      </w:pPr>
      <w:r w:rsidRPr="0009476E">
        <w:t>Overall satisfaction with the Australia Award</w:t>
      </w:r>
      <w:r w:rsidR="00985EFE" w:rsidRPr="0009476E">
        <w:t>s</w:t>
      </w:r>
    </w:p>
    <w:p w14:paraId="4D730E49" w14:textId="1329EAAC" w:rsidR="00174E34" w:rsidRDefault="00174E34" w:rsidP="0030460E">
      <w:pPr>
        <w:pStyle w:val="FigureHeading2"/>
        <w:keepNext w:val="0"/>
      </w:pPr>
      <w:r w:rsidRPr="0009476E">
        <w:t>Base: All survey respondents</w:t>
      </w:r>
    </w:p>
    <w:p w14:paraId="4A1C9031" w14:textId="76A478F1" w:rsidR="00C46AC9" w:rsidRPr="00C34990" w:rsidRDefault="0009476E" w:rsidP="0030460E">
      <w:pPr>
        <w:pStyle w:val="FigureHeading2"/>
        <w:keepNext w:val="0"/>
      </w:pPr>
      <w:r>
        <w:rPr>
          <w:noProof/>
        </w:rPr>
        <w:drawing>
          <wp:inline distT="0" distB="0" distL="0" distR="0" wp14:anchorId="52ED6CE7" wp14:editId="10E53D75">
            <wp:extent cx="5755005" cy="3066415"/>
            <wp:effectExtent l="0" t="0" r="0" b="0"/>
            <wp:docPr id="1" name="Picture 1" descr="The chart shows graphs of the survey response by new arrivals and ongoing students from 2013-2020. This is detailed in the above paragraph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chart shows graphs of the survey response by new arrivals and ongoing students from 2013-2020. This is detailed in the above paragraphs">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3066415"/>
                    </a:xfrm>
                    <a:prstGeom prst="rect">
                      <a:avLst/>
                    </a:prstGeom>
                    <a:noFill/>
                  </pic:spPr>
                </pic:pic>
              </a:graphicData>
            </a:graphic>
          </wp:inline>
        </w:drawing>
      </w:r>
    </w:p>
    <w:p w14:paraId="2C198A19" w14:textId="77777777" w:rsidR="00EC0FE9" w:rsidRPr="003B00D8" w:rsidRDefault="00EC0FE9" w:rsidP="00B64852">
      <w:pPr>
        <w:pStyle w:val="Heading3"/>
      </w:pPr>
      <w:r w:rsidRPr="00596617">
        <w:rPr>
          <w:color w:val="215868" w:themeColor="accent5" w:themeShade="80"/>
        </w:rPr>
        <w:t>Drivers of overall satisfaction</w:t>
      </w:r>
    </w:p>
    <w:p w14:paraId="2C9885A6" w14:textId="5F9CA8C3" w:rsidR="003E3DE2" w:rsidRPr="003B00D8" w:rsidRDefault="00E72F66" w:rsidP="00E72F66">
      <w:bookmarkStart w:id="4" w:name="_Ref378161725"/>
      <w:bookmarkStart w:id="5" w:name="_Ref378760263"/>
      <w:bookmarkStart w:id="6" w:name="_Ref410389152"/>
      <w:r w:rsidRPr="003B00D8">
        <w:t>The research applied regression modelling techniques to identify a range of attributes that had a strong influence (correlation) on how satisfied students were with their Australia Awards in 20</w:t>
      </w:r>
      <w:r w:rsidR="003B00D8" w:rsidRPr="003B00D8">
        <w:t>20</w:t>
      </w:r>
      <w:r w:rsidRPr="003B00D8">
        <w:t>.</w:t>
      </w:r>
    </w:p>
    <w:p w14:paraId="630A818E" w14:textId="5A2E3B20" w:rsidR="006103A1" w:rsidRPr="003B00D8" w:rsidRDefault="00074EF2" w:rsidP="00E72F66">
      <w:r w:rsidRPr="003B00D8">
        <w:t>As shown in</w:t>
      </w:r>
      <w:r w:rsidR="000C62BA">
        <w:t xml:space="preserve"> the following image</w:t>
      </w:r>
      <w:r w:rsidRPr="003B00D8">
        <w:t xml:space="preserve">, the Arrival Survey model identified </w:t>
      </w:r>
      <w:r w:rsidR="003B00D8" w:rsidRPr="003B00D8">
        <w:t>nine</w:t>
      </w:r>
      <w:r w:rsidRPr="003B00D8">
        <w:t xml:space="preserve"> ‘drivers’ of overall satisfaction</w:t>
      </w:r>
      <w:r w:rsidR="00437BF2" w:rsidRPr="003B00D8">
        <w:t xml:space="preserve"> and the Ongoing Survey model identified </w:t>
      </w:r>
      <w:r w:rsidR="003B00D8" w:rsidRPr="003B00D8">
        <w:t>seven</w:t>
      </w:r>
      <w:r w:rsidR="00437BF2" w:rsidRPr="003B00D8">
        <w:t xml:space="preserve"> ‘</w:t>
      </w:r>
      <w:proofErr w:type="gramStart"/>
      <w:r w:rsidR="00437BF2" w:rsidRPr="003B00D8">
        <w:t>drivers’</w:t>
      </w:r>
      <w:proofErr w:type="gramEnd"/>
      <w:r w:rsidR="00437BF2" w:rsidRPr="003B00D8">
        <w:t>. F</w:t>
      </w:r>
      <w:r w:rsidR="003B00D8" w:rsidRPr="003B00D8">
        <w:t>our</w:t>
      </w:r>
      <w:r w:rsidR="0050586D" w:rsidRPr="003B00D8">
        <w:t xml:space="preserve"> of </w:t>
      </w:r>
      <w:r w:rsidR="00437BF2" w:rsidRPr="003B00D8">
        <w:t>these</w:t>
      </w:r>
      <w:r w:rsidR="006103A1" w:rsidRPr="003B00D8">
        <w:t xml:space="preserve"> were </w:t>
      </w:r>
      <w:r w:rsidR="00437BF2" w:rsidRPr="003B00D8">
        <w:t>common to both models</w:t>
      </w:r>
      <w:r w:rsidRPr="003B00D8">
        <w:t>.</w:t>
      </w:r>
    </w:p>
    <w:p w14:paraId="675382B7" w14:textId="77777777" w:rsidR="003B00D8" w:rsidRDefault="003B00D8" w:rsidP="003B00D8">
      <w:pPr>
        <w:pStyle w:val="ListBullet"/>
      </w:pPr>
      <w:r w:rsidRPr="000F14E2">
        <w:lastRenderedPageBreak/>
        <w:t>As with previous survey cycles, the most important driver of overall satisfaction among ongoing students was the level of satisfaction with the entitlements and/or other assistance provided by the Australia Awards.</w:t>
      </w:r>
    </w:p>
    <w:p w14:paraId="157FEA7D" w14:textId="0082BE8F" w:rsidR="003B00D8" w:rsidRDefault="003B00D8" w:rsidP="003B00D8">
      <w:pPr>
        <w:pStyle w:val="ListBullet"/>
      </w:pPr>
      <w:r>
        <w:t xml:space="preserve">However, two factors were found to have higher importance among new arrivals: overall studying experience, </w:t>
      </w:r>
      <w:r w:rsidRPr="00FC02BC">
        <w:t>institutional services and</w:t>
      </w:r>
      <w:r>
        <w:t xml:space="preserve"> support, and overall satisfaction with the preparation to come to Australia. The relatively higher importance of these three factors is unique to 2020, and may be related to the unusual circumstances of COVID-19.</w:t>
      </w:r>
    </w:p>
    <w:p w14:paraId="2889B0A6" w14:textId="4F5BF2D6" w:rsidR="00E72F66" w:rsidRPr="003B00D8" w:rsidRDefault="00396684" w:rsidP="003B00D8">
      <w:r w:rsidRPr="003B00D8">
        <w:t>As with previous cycles, allowances and entitlements continues to be the most significant driver of overall satisfaction amongst both new arrivals and ongoing students.</w:t>
      </w:r>
    </w:p>
    <w:p w14:paraId="2A67229B" w14:textId="2C8CCD25" w:rsidR="00E72F66" w:rsidRPr="003B00D8" w:rsidRDefault="00E72F66" w:rsidP="00E72F66">
      <w:pPr>
        <w:rPr>
          <w:b/>
        </w:rPr>
      </w:pPr>
      <w:r w:rsidRPr="003B00D8">
        <w:t>A detailed description for each regression model is provided in Appendix A.</w:t>
      </w:r>
    </w:p>
    <w:bookmarkEnd w:id="4"/>
    <w:bookmarkEnd w:id="5"/>
    <w:bookmarkEnd w:id="6"/>
    <w:p w14:paraId="2DB79F50" w14:textId="5C819F22" w:rsidR="00EC0FE9" w:rsidRPr="00964B93" w:rsidRDefault="00964B93" w:rsidP="00E72F66">
      <w:pPr>
        <w:pStyle w:val="FigureHeading"/>
      </w:pPr>
      <w:r w:rsidRPr="00964B93">
        <w:t>Overlap in k</w:t>
      </w:r>
      <w:r w:rsidR="00EC0FE9" w:rsidRPr="00964B93">
        <w:t xml:space="preserve">ey </w:t>
      </w:r>
      <w:r w:rsidRPr="00964B93">
        <w:t>d</w:t>
      </w:r>
      <w:r w:rsidR="00EC0FE9" w:rsidRPr="00964B93">
        <w:t xml:space="preserve">rivers of overall satisfaction for </w:t>
      </w:r>
      <w:r w:rsidR="005817ED" w:rsidRPr="00964B93">
        <w:t xml:space="preserve">new </w:t>
      </w:r>
      <w:r w:rsidR="00EC0FE9" w:rsidRPr="00964B93">
        <w:t xml:space="preserve">arrivals and ongoing </w:t>
      </w:r>
      <w:proofErr w:type="gramStart"/>
      <w:r w:rsidR="00EC0FE9" w:rsidRPr="00964B93">
        <w:t>students</w:t>
      </w:r>
      <w:proofErr w:type="gramEnd"/>
    </w:p>
    <w:p w14:paraId="78679DDF" w14:textId="31F63FC1" w:rsidR="00EC0FE9" w:rsidRPr="00DE7D60" w:rsidRDefault="003B00D8" w:rsidP="00437BF2">
      <w:pPr>
        <w:pStyle w:val="Image"/>
        <w:jc w:val="center"/>
        <w:rPr>
          <w:highlight w:val="yellow"/>
        </w:rPr>
      </w:pPr>
      <w:r>
        <w:rPr>
          <w:b/>
        </w:rPr>
        <w:drawing>
          <wp:inline distT="0" distB="0" distL="0" distR="0" wp14:anchorId="4EF8A175" wp14:editId="556BFC86">
            <wp:extent cx="5301049" cy="3414087"/>
            <wp:effectExtent l="0" t="0" r="0" b="0"/>
            <wp:docPr id="8" name="Picture 8" descr="This graph shows the overlap of overall satisfaction based on Allowances and Entitlements, studying experience, institutional services and support and course selection by new arrivals and ongoing stude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graph shows the overlap of overall satisfaction based on Allowances and Entitlements, studying experience, institutional services and support and course selection by new arrivals and ongoing student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479" cy="3416940"/>
                    </a:xfrm>
                    <a:prstGeom prst="rect">
                      <a:avLst/>
                    </a:prstGeom>
                    <a:noFill/>
                  </pic:spPr>
                </pic:pic>
              </a:graphicData>
            </a:graphic>
          </wp:inline>
        </w:drawing>
      </w:r>
    </w:p>
    <w:p w14:paraId="3A205DBC" w14:textId="77777777" w:rsidR="002A007C" w:rsidRPr="00964B93" w:rsidRDefault="002A007C" w:rsidP="00B64852">
      <w:pPr>
        <w:pStyle w:val="Heading3"/>
      </w:pPr>
      <w:r w:rsidRPr="00596617">
        <w:rPr>
          <w:color w:val="215868" w:themeColor="accent5" w:themeShade="80"/>
        </w:rPr>
        <w:t xml:space="preserve">Priorities for improving/maintaining overall </w:t>
      </w:r>
      <w:proofErr w:type="gramStart"/>
      <w:r w:rsidRPr="00596617">
        <w:rPr>
          <w:color w:val="215868" w:themeColor="accent5" w:themeShade="80"/>
        </w:rPr>
        <w:t>satisfaction</w:t>
      </w:r>
      <w:proofErr w:type="gramEnd"/>
    </w:p>
    <w:p w14:paraId="47BBE2C7" w14:textId="512FA5D5" w:rsidR="00817BD1" w:rsidRPr="00DE7D60" w:rsidRDefault="00817BD1" w:rsidP="004076B4">
      <w:pPr>
        <w:pStyle w:val="Heading4"/>
        <w:rPr>
          <w:bCs w:val="0"/>
          <w:color w:val="auto"/>
          <w:sz w:val="22"/>
          <w:szCs w:val="22"/>
          <w:highlight w:val="yellow"/>
        </w:rPr>
      </w:pPr>
      <w:r w:rsidRPr="00964B93">
        <w:rPr>
          <w:bCs w:val="0"/>
          <w:color w:val="auto"/>
          <w:sz w:val="22"/>
          <w:szCs w:val="22"/>
        </w:rPr>
        <w:t xml:space="preserve">This section highlights the attributes that contributed most towards improving or maintaining overall satisfaction with the Australia Awards for students based on the regression analysis. </w:t>
      </w:r>
      <w:r w:rsidR="00B91FA9" w:rsidRPr="00964B93">
        <w:rPr>
          <w:bCs w:val="0"/>
          <w:color w:val="auto"/>
          <w:sz w:val="22"/>
          <w:szCs w:val="22"/>
        </w:rPr>
        <w:t xml:space="preserve">While this section highlights the high-level priorities across Australia Awards students, it is important to note that priorities may be </w:t>
      </w:r>
      <w:r w:rsidR="00C86FA2">
        <w:rPr>
          <w:bCs w:val="0"/>
          <w:color w:val="auto"/>
          <w:sz w:val="22"/>
          <w:szCs w:val="22"/>
        </w:rPr>
        <w:t>differ</w:t>
      </w:r>
      <w:r w:rsidR="00B91FA9" w:rsidRPr="00964B93">
        <w:rPr>
          <w:bCs w:val="0"/>
          <w:color w:val="auto"/>
          <w:sz w:val="22"/>
          <w:szCs w:val="22"/>
        </w:rPr>
        <w:t xml:space="preserve"> across demographic cohorts</w:t>
      </w:r>
      <w:r w:rsidRPr="00964B93">
        <w:rPr>
          <w:bCs w:val="0"/>
          <w:color w:val="auto"/>
          <w:sz w:val="22"/>
          <w:szCs w:val="22"/>
        </w:rPr>
        <w:t>.</w:t>
      </w:r>
    </w:p>
    <w:p w14:paraId="7CA42FBA" w14:textId="63B69787" w:rsidR="002A007C" w:rsidRPr="00964B93" w:rsidRDefault="002A007C" w:rsidP="00B64852">
      <w:pPr>
        <w:pStyle w:val="Heading4"/>
      </w:pPr>
      <w:r w:rsidRPr="00596617">
        <w:rPr>
          <w:color w:val="215868" w:themeColor="accent5" w:themeShade="80"/>
        </w:rPr>
        <w:t>20</w:t>
      </w:r>
      <w:r w:rsidR="00964B93" w:rsidRPr="00596617">
        <w:rPr>
          <w:color w:val="215868" w:themeColor="accent5" w:themeShade="80"/>
        </w:rPr>
        <w:t>20</w:t>
      </w:r>
      <w:r w:rsidRPr="00596617">
        <w:rPr>
          <w:color w:val="215868" w:themeColor="accent5" w:themeShade="80"/>
        </w:rPr>
        <w:t xml:space="preserve"> new arrivals</w:t>
      </w:r>
    </w:p>
    <w:p w14:paraId="4111C36C" w14:textId="419FED94" w:rsidR="00817BD1" w:rsidRPr="00964B93" w:rsidRDefault="00817BD1" w:rsidP="00817BD1">
      <w:bookmarkStart w:id="7" w:name="_Hlk361939"/>
      <w:r w:rsidRPr="00964B93">
        <w:t xml:space="preserve">As shown in the diagram below, the most important driver of overall satisfaction with the Australia Awards, as identified by new arrivals, was in relation to </w:t>
      </w:r>
      <w:r w:rsidR="00964B93" w:rsidRPr="00964B93">
        <w:t>how they rated their studying experience.</w:t>
      </w:r>
      <w:r w:rsidR="00964B93">
        <w:t xml:space="preserve"> </w:t>
      </w:r>
      <w:r w:rsidRPr="00964B93">
        <w:t>Pe</w:t>
      </w:r>
      <w:r w:rsidR="00FC445E" w:rsidRPr="00964B93">
        <w:t xml:space="preserve">rformance on this measure </w:t>
      </w:r>
      <w:r w:rsidR="00964B93" w:rsidRPr="00964B93">
        <w:t>has declined in 2020 (potentially affected by remote learning instituted in response to COVID-19).</w:t>
      </w:r>
    </w:p>
    <w:p w14:paraId="3380111C" w14:textId="5DAF5B2C" w:rsidR="00FC445E" w:rsidRPr="00F95AA9" w:rsidRDefault="00FC445E" w:rsidP="00FC445E">
      <w:pPr>
        <w:pStyle w:val="ListBullet"/>
        <w:ind w:left="426" w:hanging="426"/>
      </w:pPr>
      <w:bookmarkStart w:id="8" w:name="_Hlk65592696"/>
      <w:bookmarkEnd w:id="7"/>
      <w:r w:rsidRPr="00F95AA9">
        <w:t>The next t</w:t>
      </w:r>
      <w:r w:rsidR="00C86FA2">
        <w:t>hree</w:t>
      </w:r>
      <w:r w:rsidRPr="00F95AA9">
        <w:t xml:space="preserve"> most important drivers were</w:t>
      </w:r>
      <w:r w:rsidR="00964B93" w:rsidRPr="00F95AA9">
        <w:t xml:space="preserve"> institutional services and support, </w:t>
      </w:r>
      <w:r w:rsidR="00C86FA2">
        <w:t xml:space="preserve">satisfaction with pre-scholarship preparation, </w:t>
      </w:r>
      <w:r w:rsidR="00964B93" w:rsidRPr="00F95AA9">
        <w:t>and allowance and entitlements</w:t>
      </w:r>
      <w:r w:rsidRPr="00F95AA9">
        <w:t>.</w:t>
      </w:r>
    </w:p>
    <w:bookmarkEnd w:id="8"/>
    <w:p w14:paraId="3538A614" w14:textId="7284121E" w:rsidR="00FC445E" w:rsidRPr="00F95AA9" w:rsidRDefault="00FC445E" w:rsidP="00FC445E">
      <w:pPr>
        <w:pStyle w:val="ListBullet"/>
        <w:ind w:left="426" w:hanging="426"/>
      </w:pPr>
      <w:r w:rsidRPr="00F95AA9">
        <w:t xml:space="preserve">Performance for all </w:t>
      </w:r>
      <w:r w:rsidR="00964B93" w:rsidRPr="00F95AA9">
        <w:t xml:space="preserve">other </w:t>
      </w:r>
      <w:r w:rsidRPr="00F95AA9">
        <w:t>comparable key drivers</w:t>
      </w:r>
      <w:r w:rsidR="00964B93" w:rsidRPr="00F95AA9">
        <w:t xml:space="preserve"> (i.e</w:t>
      </w:r>
      <w:r w:rsidR="00066E6C">
        <w:t>.</w:t>
      </w:r>
      <w:r w:rsidR="00964B93" w:rsidRPr="00F95AA9">
        <w:t xml:space="preserve"> apart from studying experience)</w:t>
      </w:r>
      <w:r w:rsidRPr="00F95AA9">
        <w:t xml:space="preserve"> was broadly in line with 201</w:t>
      </w:r>
      <w:r w:rsidR="00964B93" w:rsidRPr="00F95AA9">
        <w:t>9</w:t>
      </w:r>
      <w:r w:rsidRPr="00F95AA9">
        <w:t xml:space="preserve"> results</w:t>
      </w:r>
      <w:r w:rsidR="00964B93" w:rsidRPr="00F95AA9">
        <w:t>.</w:t>
      </w:r>
    </w:p>
    <w:p w14:paraId="2C6358E4" w14:textId="0610F1CB" w:rsidR="00FC445E" w:rsidRPr="00F95AA9" w:rsidRDefault="00FC445E" w:rsidP="00FC445E">
      <w:pPr>
        <w:pStyle w:val="ListBullet"/>
        <w:ind w:left="426" w:hanging="426"/>
      </w:pPr>
      <w:r w:rsidRPr="00F95AA9">
        <w:t>Among key drivers,</w:t>
      </w:r>
      <w:r w:rsidR="00964B93" w:rsidRPr="00F95AA9">
        <w:t xml:space="preserve"> new arrivals gave </w:t>
      </w:r>
      <w:r w:rsidR="00C86FA2">
        <w:t xml:space="preserve">their lowest ratings to the </w:t>
      </w:r>
      <w:r w:rsidR="00964B93" w:rsidRPr="00F95AA9">
        <w:t xml:space="preserve">preparatory information </w:t>
      </w:r>
      <w:r w:rsidR="00C86FA2">
        <w:t xml:space="preserve">they received </w:t>
      </w:r>
      <w:r w:rsidR="00964B93" w:rsidRPr="00F95AA9">
        <w:t xml:space="preserve">on life and study </w:t>
      </w:r>
      <w:r w:rsidR="00C86FA2">
        <w:t>in</w:t>
      </w:r>
      <w:r w:rsidR="00964B93" w:rsidRPr="00F95AA9">
        <w:t xml:space="preserve"> Australia.</w:t>
      </w:r>
    </w:p>
    <w:p w14:paraId="4D421E5F" w14:textId="67CAC889" w:rsidR="00F559DC" w:rsidRPr="00F95AA9" w:rsidRDefault="00F559DC" w:rsidP="00F559DC">
      <w:pPr>
        <w:pStyle w:val="FigureHeading"/>
        <w:rPr>
          <w:b w:val="0"/>
          <w:sz w:val="20"/>
        </w:rPr>
      </w:pPr>
      <w:r w:rsidRPr="00F95AA9">
        <w:lastRenderedPageBreak/>
        <w:t xml:space="preserve">Drivers of overall satisfaction amongst </w:t>
      </w:r>
      <w:r w:rsidRPr="00F95AA9">
        <w:rPr>
          <w:u w:val="single"/>
        </w:rPr>
        <w:t>new arrivals</w:t>
      </w:r>
      <w:r w:rsidRPr="00F95AA9">
        <w:rPr>
          <w:b w:val="0"/>
        </w:rPr>
        <w:br/>
      </w:r>
      <w:r w:rsidRPr="00F95AA9">
        <w:rPr>
          <w:b w:val="0"/>
          <w:sz w:val="20"/>
        </w:rPr>
        <w:t>201</w:t>
      </w:r>
      <w:r w:rsidR="00964B93" w:rsidRPr="00F95AA9">
        <w:rPr>
          <w:b w:val="0"/>
          <w:sz w:val="20"/>
        </w:rPr>
        <w:t>9</w:t>
      </w:r>
      <w:r w:rsidRPr="00F95AA9">
        <w:rPr>
          <w:b w:val="0"/>
          <w:sz w:val="20"/>
        </w:rPr>
        <w:t xml:space="preserve"> performance result shown where comparison is </w:t>
      </w:r>
      <w:proofErr w:type="gramStart"/>
      <w:r w:rsidRPr="00F95AA9">
        <w:rPr>
          <w:b w:val="0"/>
          <w:sz w:val="20"/>
        </w:rPr>
        <w:t>possible</w:t>
      </w:r>
      <w:proofErr w:type="gramEnd"/>
    </w:p>
    <w:p w14:paraId="336E51CE" w14:textId="4FBB5A5B" w:rsidR="003968B4" w:rsidRPr="00DE7D60" w:rsidRDefault="00964B93" w:rsidP="00F559DC">
      <w:pPr>
        <w:pStyle w:val="FigureHeading"/>
        <w:rPr>
          <w:b w:val="0"/>
          <w:sz w:val="20"/>
          <w:highlight w:val="yellow"/>
        </w:rPr>
      </w:pPr>
      <w:r w:rsidRPr="00EC4324">
        <w:rPr>
          <w:noProof/>
        </w:rPr>
        <w:drawing>
          <wp:inline distT="0" distB="0" distL="0" distR="0" wp14:anchorId="61863CD5" wp14:editId="389AB7BA">
            <wp:extent cx="5731510" cy="4140969"/>
            <wp:effectExtent l="0" t="0" r="0" b="0"/>
            <wp:docPr id="11" name="Picture 11" descr="This chart shows the overall satisfaction with the Australia Awards as stated in the above paragraph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chart shows the overall satisfaction with the Australia Awards as stated in the above paragraphs.">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140969"/>
                    </a:xfrm>
                    <a:prstGeom prst="rect">
                      <a:avLst/>
                    </a:prstGeom>
                    <a:noFill/>
                  </pic:spPr>
                </pic:pic>
              </a:graphicData>
            </a:graphic>
          </wp:inline>
        </w:drawing>
      </w:r>
    </w:p>
    <w:p w14:paraId="70F13ACA" w14:textId="39778F73" w:rsidR="00F95AA9" w:rsidRDefault="00F559DC" w:rsidP="00F95AA9">
      <w:r w:rsidRPr="00F95AA9">
        <w:t xml:space="preserve">While </w:t>
      </w:r>
      <w:r w:rsidR="00CC5A2A" w:rsidRPr="00F95AA9">
        <w:t>most</w:t>
      </w:r>
      <w:r w:rsidRPr="00F95AA9">
        <w:t xml:space="preserve"> new arrivals were very positive in relation to the key drivers above, th</w:t>
      </w:r>
      <w:r w:rsidR="00F95AA9" w:rsidRPr="00F95AA9">
        <w:t xml:space="preserve">ere were some small cohorts where the positive sentiment was lower, potentially </w:t>
      </w:r>
      <w:r w:rsidR="00C86FA2">
        <w:t>requiring</w:t>
      </w:r>
      <w:r w:rsidR="00F95AA9" w:rsidRPr="00F95AA9">
        <w:t xml:space="preserve"> further attention</w:t>
      </w:r>
      <w:r w:rsidR="000D3956" w:rsidRPr="00F95AA9">
        <w:t xml:space="preserve">. </w:t>
      </w:r>
      <w:r w:rsidR="00F95AA9" w:rsidRPr="00C6290A">
        <w:t>Unless otherwise indicated, those reported here are those with significant deviation from overall results, as well as populations of five or more, to avoid spurious conclusions</w:t>
      </w:r>
      <w:r w:rsidR="00F95AA9">
        <w:t xml:space="preserve"> (so for example, references to ‘all countries’ below refers to all countries with five or more students responding to the survey)</w:t>
      </w:r>
      <w:r w:rsidR="00F95AA9" w:rsidRPr="00C6290A">
        <w:t xml:space="preserve">. Among all demographic breakdowns of new arrivals, variation in performance on key drivers was greatest across countries (of </w:t>
      </w:r>
      <w:r w:rsidR="00F95AA9">
        <w:t xml:space="preserve">student </w:t>
      </w:r>
      <w:r w:rsidR="00F95AA9" w:rsidRPr="00C6290A">
        <w:t>citizenship).</w:t>
      </w:r>
    </w:p>
    <w:p w14:paraId="304FB779" w14:textId="0E243B5C" w:rsidR="002A007C" w:rsidRPr="00F95AA9" w:rsidRDefault="002A007C" w:rsidP="00B64852">
      <w:pPr>
        <w:pStyle w:val="Heading4"/>
      </w:pPr>
      <w:r w:rsidRPr="00596617">
        <w:rPr>
          <w:color w:val="215868" w:themeColor="accent5" w:themeShade="80"/>
        </w:rPr>
        <w:t>20</w:t>
      </w:r>
      <w:r w:rsidR="00F95AA9" w:rsidRPr="00596617">
        <w:rPr>
          <w:color w:val="215868" w:themeColor="accent5" w:themeShade="80"/>
        </w:rPr>
        <w:t>20</w:t>
      </w:r>
      <w:r w:rsidRPr="00596617">
        <w:rPr>
          <w:color w:val="215868" w:themeColor="accent5" w:themeShade="80"/>
        </w:rPr>
        <w:t xml:space="preserve"> ongoing students</w:t>
      </w:r>
    </w:p>
    <w:p w14:paraId="400F958C" w14:textId="77777777" w:rsidR="00F95AA9" w:rsidRPr="00093CCC" w:rsidRDefault="00F95AA9" w:rsidP="00F95AA9">
      <w:r w:rsidRPr="00093CCC">
        <w:t>As in previous years, the most important driver was in relation to satisfaction with award entitlements. Satisfaction on this measure was 92% in 2020, broadly consistent with previous years.</w:t>
      </w:r>
    </w:p>
    <w:p w14:paraId="30E8F7B9" w14:textId="77777777" w:rsidR="00F95AA9" w:rsidRPr="00093CCC" w:rsidRDefault="00F95AA9" w:rsidP="00F95AA9">
      <w:pPr>
        <w:pStyle w:val="ListBullet"/>
      </w:pPr>
      <w:r w:rsidRPr="00093CCC">
        <w:t xml:space="preserve">Performance of all other comparable key drivers was similar with 2019 results, with the exception of the dedicated contact officer or student support services, which saw a </w:t>
      </w:r>
      <w:r>
        <w:t>small</w:t>
      </w:r>
      <w:r w:rsidRPr="00093CCC">
        <w:t xml:space="preserve"> decline.</w:t>
      </w:r>
    </w:p>
    <w:p w14:paraId="1F05E42F" w14:textId="745CCDEE" w:rsidR="00F95AA9" w:rsidRPr="00F95AA9" w:rsidRDefault="00F95AA9" w:rsidP="00F95AA9">
      <w:pPr>
        <w:pStyle w:val="ListBullet"/>
      </w:pPr>
      <w:r w:rsidRPr="00093CCC">
        <w:t>As in 2019, satisfaction with financial experiences relating to banking and payments was the most highly rated key driver (there was an average positive sentiment of 98% across the component measures).</w:t>
      </w:r>
    </w:p>
    <w:p w14:paraId="0BA20AFD" w14:textId="06618F80" w:rsidR="002541FE" w:rsidRDefault="002541FE" w:rsidP="002541FE">
      <w:pPr>
        <w:pStyle w:val="FigureHeading"/>
        <w:rPr>
          <w:b w:val="0"/>
          <w:sz w:val="20"/>
        </w:rPr>
      </w:pPr>
      <w:r w:rsidRPr="00F95AA9">
        <w:lastRenderedPageBreak/>
        <w:t xml:space="preserve">Drivers of overall satisfaction amongst </w:t>
      </w:r>
      <w:r w:rsidRPr="00F95AA9">
        <w:rPr>
          <w:u w:val="single"/>
        </w:rPr>
        <w:t>ongoing students</w:t>
      </w:r>
      <w:r w:rsidRPr="00F95AA9">
        <w:rPr>
          <w:u w:val="single"/>
        </w:rPr>
        <w:br/>
      </w:r>
      <w:r w:rsidRPr="00F95AA9">
        <w:rPr>
          <w:b w:val="0"/>
          <w:sz w:val="20"/>
        </w:rPr>
        <w:t>201</w:t>
      </w:r>
      <w:r w:rsidR="00F95AA9" w:rsidRPr="00F95AA9">
        <w:rPr>
          <w:b w:val="0"/>
          <w:sz w:val="20"/>
        </w:rPr>
        <w:t>9</w:t>
      </w:r>
      <w:r w:rsidRPr="00F95AA9">
        <w:rPr>
          <w:b w:val="0"/>
          <w:sz w:val="20"/>
        </w:rPr>
        <w:t xml:space="preserve"> performance result shown where comparison is </w:t>
      </w:r>
      <w:proofErr w:type="gramStart"/>
      <w:r w:rsidRPr="00F95AA9">
        <w:rPr>
          <w:b w:val="0"/>
          <w:sz w:val="20"/>
        </w:rPr>
        <w:t>possible</w:t>
      </w:r>
      <w:proofErr w:type="gramEnd"/>
    </w:p>
    <w:p w14:paraId="200DF957" w14:textId="64CD5F10" w:rsidR="00F95AA9" w:rsidRPr="00F95AA9" w:rsidRDefault="00F95AA9" w:rsidP="002541FE">
      <w:pPr>
        <w:pStyle w:val="FigureHeading"/>
      </w:pPr>
      <w:r w:rsidRPr="00BA7333">
        <w:rPr>
          <w:noProof/>
        </w:rPr>
        <w:drawing>
          <wp:inline distT="0" distB="0" distL="0" distR="0" wp14:anchorId="35C4D9F5" wp14:editId="3AEC0069">
            <wp:extent cx="5731510" cy="4205424"/>
            <wp:effectExtent l="0" t="0" r="0" b="0"/>
            <wp:docPr id="7" name="Picture 7" descr="This chart shows the overall satisfaction amongst ongoing students as described in the paragraph abo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chart shows the overall satisfaction amongst ongoing students as described in the paragraph above.">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205424"/>
                    </a:xfrm>
                    <a:prstGeom prst="rect">
                      <a:avLst/>
                    </a:prstGeom>
                    <a:noFill/>
                  </pic:spPr>
                </pic:pic>
              </a:graphicData>
            </a:graphic>
          </wp:inline>
        </w:drawing>
      </w:r>
    </w:p>
    <w:p w14:paraId="0EDB9BBF" w14:textId="1F9AD78B" w:rsidR="00D13B31" w:rsidRPr="00D24A72" w:rsidRDefault="00F95AA9" w:rsidP="00D24A72">
      <w:bookmarkStart w:id="9" w:name="_Ref468871446"/>
      <w:r w:rsidRPr="00BA7333">
        <w:t>As with new arrivals, most ongoing students were very positive in relation to the key drivers above, however there were some small cohorts where the sentiment was slightly lower, possibly requiring further attention. The most significant factor affecting performance in key drivers was country of citizenship.</w:t>
      </w:r>
      <w:bookmarkEnd w:id="9"/>
    </w:p>
    <w:p w14:paraId="373AD454" w14:textId="53F42369" w:rsidR="00432A82" w:rsidRPr="000E297D" w:rsidRDefault="00432A82" w:rsidP="00F25704">
      <w:pPr>
        <w:pStyle w:val="Heading2"/>
      </w:pPr>
      <w:bookmarkStart w:id="10" w:name="_Toc497491234"/>
      <w:bookmarkStart w:id="11" w:name="_Toc65069879"/>
      <w:r w:rsidRPr="000E297D">
        <w:lastRenderedPageBreak/>
        <w:t xml:space="preserve">Key </w:t>
      </w:r>
      <w:r w:rsidR="000D6D4C" w:rsidRPr="000E297D">
        <w:t>Australia Awards</w:t>
      </w:r>
      <w:r w:rsidRPr="000E297D">
        <w:t xml:space="preserve"> outcomes</w:t>
      </w:r>
      <w:bookmarkEnd w:id="10"/>
      <w:bookmarkEnd w:id="11"/>
    </w:p>
    <w:p w14:paraId="069C870E" w14:textId="77777777" w:rsidR="00F95AA9" w:rsidRPr="00DA5B47" w:rsidRDefault="00F95AA9" w:rsidP="00F95AA9">
      <w:r w:rsidRPr="00DA5B47">
        <w:t>The goals of the Australia Awards are to support partner countries in progressing their development goals and to foster positive relationships with Australia that advance mutual interests. To realise these goals, the Australia Awards seeks to achieve the following outcomes:</w:t>
      </w:r>
    </w:p>
    <w:p w14:paraId="3DF5CC53" w14:textId="6046F36A" w:rsidR="00F95AA9" w:rsidRPr="00DA5B47" w:rsidRDefault="00F95AA9" w:rsidP="00F95AA9">
      <w:pPr>
        <w:pStyle w:val="ListBullet"/>
      </w:pPr>
      <w:r w:rsidRPr="00DA5B47">
        <w:t>Outcome 1: Alumni using their skills, knowledge and networks to contribute to sustainable development</w:t>
      </w:r>
      <w:r w:rsidR="006274D5">
        <w:t>.</w:t>
      </w:r>
    </w:p>
    <w:p w14:paraId="19AC5463" w14:textId="1CF50333" w:rsidR="00F95AA9" w:rsidRPr="00DA5B47" w:rsidRDefault="00F95AA9" w:rsidP="00F95AA9">
      <w:pPr>
        <w:pStyle w:val="ListBullet"/>
      </w:pPr>
      <w:r w:rsidRPr="00DA5B47">
        <w:t>Outcome 2: Alumni contributing to cooperation between Australia and partner countries</w:t>
      </w:r>
      <w:r w:rsidR="006274D5">
        <w:t>.</w:t>
      </w:r>
    </w:p>
    <w:p w14:paraId="032E1157" w14:textId="55870EF8" w:rsidR="00F95AA9" w:rsidRPr="00DA5B47" w:rsidRDefault="00F95AA9" w:rsidP="00F95AA9">
      <w:pPr>
        <w:pStyle w:val="ListBullet"/>
      </w:pPr>
      <w:r w:rsidRPr="00DA5B47">
        <w:t>Outcome 3: Effective, mutually advantageous partnerships between institutions and businesses in Australia and partner countries</w:t>
      </w:r>
      <w:r w:rsidR="006274D5">
        <w:t>.</w:t>
      </w:r>
    </w:p>
    <w:p w14:paraId="195BF300" w14:textId="7E887F42" w:rsidR="00F95AA9" w:rsidRPr="00DA5B47" w:rsidRDefault="00F95AA9" w:rsidP="00F95AA9">
      <w:pPr>
        <w:pStyle w:val="ListBullet"/>
      </w:pPr>
      <w:r w:rsidRPr="00DA5B47">
        <w:t>Outcome 4: Alumni viewing Australia, Australians and Australian expertise positively</w:t>
      </w:r>
      <w:r w:rsidR="006274D5">
        <w:t>.</w:t>
      </w:r>
    </w:p>
    <w:p w14:paraId="778609E9" w14:textId="77777777" w:rsidR="00F95AA9" w:rsidRPr="00DA5B47" w:rsidRDefault="00F95AA9" w:rsidP="00F95AA9">
      <w:r w:rsidRPr="00DA5B47">
        <w:t>Given the long term and multi-faceted nature of these strategic outcomes, results from the Australia Awards surveys can provide an indication as to the attitudinal disposition of current students in contributing to these four outcomes. The key outcomes have been assessed using results from the Ongoing Survey only, as the greater length and depth of ongoing students’ experiences are better suited to provide insights into the long-term outcomes of the Australia Awards.</w:t>
      </w:r>
    </w:p>
    <w:p w14:paraId="6C37285A" w14:textId="77777777" w:rsidR="00F95AA9" w:rsidRDefault="00F95AA9" w:rsidP="00F95AA9">
      <w:r w:rsidRPr="00DA5B47">
        <w:t>The 2020 results across each of these four strategic outcomes were very similar with the results achieved in 2019 (with a marginal drop in measures relating to Outcome 2). Overall, these outcomes indicate that 90% of ongoing students are well positioned to achieve positive outcomes due to their participation in the Australia Awards. Measures for each strategic outcome are presented in greater detail below.</w:t>
      </w:r>
    </w:p>
    <w:p w14:paraId="5F995D87" w14:textId="1232A8E6" w:rsidR="00F83019" w:rsidRPr="00BA451D" w:rsidRDefault="00432A82" w:rsidP="00F83019">
      <w:pPr>
        <w:pStyle w:val="FigureHeading"/>
      </w:pPr>
      <w:r w:rsidRPr="00BA451D">
        <w:t xml:space="preserve">Position of </w:t>
      </w:r>
      <w:r w:rsidR="00B01A5B" w:rsidRPr="00BA451D">
        <w:t xml:space="preserve">ongoing </w:t>
      </w:r>
      <w:r w:rsidRPr="00BA451D">
        <w:t xml:space="preserve">students to achieve </w:t>
      </w:r>
      <w:proofErr w:type="gramStart"/>
      <w:r w:rsidRPr="00BA451D">
        <w:t>outcomes</w:t>
      </w:r>
      <w:proofErr w:type="gramEnd"/>
    </w:p>
    <w:p w14:paraId="3694D7EA" w14:textId="00AFFDEE" w:rsidR="00432A82" w:rsidRPr="00BA451D" w:rsidRDefault="00D24A72" w:rsidP="00F83019">
      <w:pPr>
        <w:pStyle w:val="FigureHeading2"/>
        <w:rPr>
          <w:b/>
        </w:rPr>
      </w:pPr>
      <w:r w:rsidRPr="00BA451D">
        <w:rPr>
          <w:noProof/>
        </w:rPr>
        <mc:AlternateContent>
          <mc:Choice Requires="wps">
            <w:drawing>
              <wp:anchor distT="0" distB="0" distL="114300" distR="114300" simplePos="0" relativeHeight="251659776" behindDoc="0" locked="0" layoutInCell="1" allowOverlap="1" wp14:anchorId="15DA55A0" wp14:editId="54ABD7F2">
                <wp:simplePos x="0" y="0"/>
                <wp:positionH relativeFrom="column">
                  <wp:posOffset>4873625</wp:posOffset>
                </wp:positionH>
                <wp:positionV relativeFrom="paragraph">
                  <wp:posOffset>66040</wp:posOffset>
                </wp:positionV>
                <wp:extent cx="1282700" cy="2161540"/>
                <wp:effectExtent l="0" t="0" r="0" b="0"/>
                <wp:wrapNone/>
                <wp:docPr id="12" name="Text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82700" cy="2161540"/>
                        </a:xfrm>
                        <a:prstGeom prst="rect">
                          <a:avLst/>
                        </a:prstGeom>
                        <a:noFill/>
                      </wps:spPr>
                      <wps:txbx>
                        <w:txbxContent>
                          <w:p w14:paraId="21AE1BF2" w14:textId="23208724" w:rsidR="00BA451D" w:rsidRPr="00BA451D" w:rsidRDefault="003B00D8" w:rsidP="00D8732F">
                            <w:pPr>
                              <w:rPr>
                                <w:rFonts w:asciiTheme="minorHAnsi" w:hAnsi="Calibri" w:cstheme="minorBidi"/>
                                <w:b/>
                                <w:bCs/>
                                <w:color w:val="000000" w:themeColor="text1"/>
                                <w:kern w:val="24"/>
                                <w:sz w:val="20"/>
                                <w:szCs w:val="20"/>
                              </w:rPr>
                            </w:pPr>
                            <w:r w:rsidRPr="00BA451D">
                              <w:rPr>
                                <w:rFonts w:asciiTheme="minorHAnsi" w:hAnsi="Calibri" w:cstheme="minorBidi"/>
                                <w:b/>
                                <w:bCs/>
                                <w:color w:val="000000" w:themeColor="text1"/>
                                <w:kern w:val="24"/>
                                <w:sz w:val="20"/>
                                <w:szCs w:val="20"/>
                              </w:rPr>
                              <w:t>9</w:t>
                            </w:r>
                            <w:r w:rsidR="00BA451D" w:rsidRPr="00BA451D">
                              <w:rPr>
                                <w:rFonts w:asciiTheme="minorHAnsi" w:hAnsi="Calibri" w:cstheme="minorBidi"/>
                                <w:b/>
                                <w:bCs/>
                                <w:color w:val="000000" w:themeColor="text1"/>
                                <w:kern w:val="24"/>
                                <w:sz w:val="20"/>
                                <w:szCs w:val="20"/>
                              </w:rPr>
                              <w:t>0</w:t>
                            </w:r>
                            <w:r w:rsidRPr="00BA451D">
                              <w:rPr>
                                <w:rFonts w:asciiTheme="minorHAnsi" w:hAnsi="Calibri" w:cstheme="minorBidi"/>
                                <w:b/>
                                <w:bCs/>
                                <w:color w:val="000000" w:themeColor="text1"/>
                                <w:kern w:val="24"/>
                                <w:sz w:val="20"/>
                                <w:szCs w:val="20"/>
                              </w:rPr>
                              <w:t xml:space="preserve">% </w:t>
                            </w:r>
                            <w:r w:rsidR="00D33369">
                              <w:rPr>
                                <w:rFonts w:asciiTheme="minorHAnsi" w:hAnsi="Calibri" w:cstheme="minorBidi"/>
                                <w:b/>
                                <w:bCs/>
                                <w:color w:val="000000" w:themeColor="text1"/>
                                <w:kern w:val="24"/>
                                <w:sz w:val="20"/>
                                <w:szCs w:val="20"/>
                              </w:rPr>
                              <w:t xml:space="preserve">overall  </w:t>
                            </w:r>
                            <w:r w:rsidRPr="00BA451D">
                              <w:rPr>
                                <w:rFonts w:asciiTheme="minorHAnsi" w:hAnsi="Calibri" w:cstheme="minorBidi"/>
                                <w:b/>
                                <w:bCs/>
                                <w:color w:val="000000" w:themeColor="text1"/>
                                <w:kern w:val="24"/>
                                <w:sz w:val="20"/>
                                <w:szCs w:val="20"/>
                              </w:rPr>
                              <w:t xml:space="preserve"> average</w:t>
                            </w:r>
                            <w:r w:rsidR="00D33369">
                              <w:rPr>
                                <w:rFonts w:asciiTheme="minorHAnsi" w:hAnsi="Calibri" w:cstheme="minorBidi"/>
                                <w:b/>
                                <w:bCs/>
                                <w:color w:val="000000" w:themeColor="text1"/>
                                <w:kern w:val="24"/>
                                <w:sz w:val="20"/>
                                <w:szCs w:val="20"/>
                              </w:rPr>
                              <w:t xml:space="preserve">     </w:t>
                            </w:r>
                            <w:r w:rsidRPr="00BA451D">
                              <w:rPr>
                                <w:rFonts w:asciiTheme="minorHAnsi" w:hAnsi="Calibri" w:cstheme="minorBidi"/>
                                <w:b/>
                                <w:bCs/>
                                <w:color w:val="000000" w:themeColor="text1"/>
                                <w:kern w:val="24"/>
                                <w:sz w:val="20"/>
                                <w:szCs w:val="20"/>
                              </w:rPr>
                              <w:t xml:space="preserve"> positioned to achieve positive </w:t>
                            </w:r>
                            <w:proofErr w:type="gramStart"/>
                            <w:r w:rsidRPr="00BA451D">
                              <w:rPr>
                                <w:rFonts w:asciiTheme="minorHAnsi" w:hAnsi="Calibri" w:cstheme="minorBidi"/>
                                <w:b/>
                                <w:bCs/>
                                <w:color w:val="000000" w:themeColor="text1"/>
                                <w:kern w:val="24"/>
                                <w:sz w:val="20"/>
                                <w:szCs w:val="20"/>
                              </w:rPr>
                              <w:t>outcomes</w:t>
                            </w:r>
                            <w:proofErr w:type="gramEnd"/>
                          </w:p>
                          <w:p w14:paraId="12B385E8" w14:textId="77777777" w:rsidR="00BA451D" w:rsidRDefault="003B00D8" w:rsidP="00D8732F">
                            <w:pPr>
                              <w:rPr>
                                <w:rFonts w:asciiTheme="minorHAnsi" w:hAnsi="Calibri" w:cstheme="minorBidi"/>
                                <w:b/>
                                <w:bCs/>
                                <w:i/>
                                <w:iCs/>
                                <w:color w:val="000000" w:themeColor="text1"/>
                                <w:kern w:val="24"/>
                                <w:sz w:val="20"/>
                                <w:szCs w:val="20"/>
                              </w:rPr>
                            </w:pPr>
                            <w:r w:rsidRPr="00BA451D">
                              <w:rPr>
                                <w:rFonts w:asciiTheme="minorHAnsi" w:hAnsi="Calibri" w:cstheme="minorBidi"/>
                                <w:b/>
                                <w:bCs/>
                                <w:i/>
                                <w:iCs/>
                                <w:color w:val="000000" w:themeColor="text1"/>
                                <w:kern w:val="24"/>
                                <w:sz w:val="20"/>
                                <w:szCs w:val="20"/>
                              </w:rPr>
                              <w:t>(9</w:t>
                            </w:r>
                            <w:r w:rsidR="00BA451D" w:rsidRPr="00BA451D">
                              <w:rPr>
                                <w:rFonts w:asciiTheme="minorHAnsi" w:hAnsi="Calibri" w:cstheme="minorBidi"/>
                                <w:b/>
                                <w:bCs/>
                                <w:i/>
                                <w:iCs/>
                                <w:color w:val="000000" w:themeColor="text1"/>
                                <w:kern w:val="24"/>
                                <w:sz w:val="20"/>
                                <w:szCs w:val="20"/>
                              </w:rPr>
                              <w:t>1</w:t>
                            </w:r>
                            <w:r w:rsidRPr="00BA451D">
                              <w:rPr>
                                <w:rFonts w:asciiTheme="minorHAnsi" w:hAnsi="Calibri" w:cstheme="minorBidi"/>
                                <w:b/>
                                <w:bCs/>
                                <w:i/>
                                <w:iCs/>
                                <w:color w:val="000000" w:themeColor="text1"/>
                                <w:kern w:val="24"/>
                                <w:sz w:val="20"/>
                                <w:szCs w:val="20"/>
                              </w:rPr>
                              <w:t>% in 201</w:t>
                            </w:r>
                            <w:r w:rsidR="00BA451D" w:rsidRPr="00BA451D">
                              <w:rPr>
                                <w:rFonts w:asciiTheme="minorHAnsi" w:hAnsi="Calibri" w:cstheme="minorBidi"/>
                                <w:b/>
                                <w:bCs/>
                                <w:i/>
                                <w:iCs/>
                                <w:color w:val="000000" w:themeColor="text1"/>
                                <w:kern w:val="24"/>
                                <w:sz w:val="20"/>
                                <w:szCs w:val="20"/>
                              </w:rPr>
                              <w:t>9,</w:t>
                            </w:r>
                          </w:p>
                          <w:p w14:paraId="1D2B701B" w14:textId="28B068DC" w:rsidR="003B00D8" w:rsidRPr="00BA451D" w:rsidRDefault="00BA451D" w:rsidP="00D8732F">
                            <w:pPr>
                              <w:rPr>
                                <w:b/>
                                <w:bCs/>
                                <w:sz w:val="20"/>
                                <w:szCs w:val="20"/>
                              </w:rPr>
                            </w:pPr>
                            <w:r w:rsidRPr="00BA451D">
                              <w:rPr>
                                <w:rFonts w:asciiTheme="minorHAnsi" w:hAnsi="Calibri" w:cstheme="minorBidi"/>
                                <w:b/>
                                <w:bCs/>
                                <w:i/>
                                <w:iCs/>
                                <w:color w:val="000000" w:themeColor="text1"/>
                                <w:kern w:val="24"/>
                                <w:sz w:val="20"/>
                                <w:szCs w:val="20"/>
                              </w:rPr>
                              <w:t xml:space="preserve"> 92% in 2018</w:t>
                            </w:r>
                            <w:r w:rsidR="003B00D8" w:rsidRPr="00BA451D">
                              <w:rPr>
                                <w:rFonts w:asciiTheme="minorHAnsi" w:hAnsi="Calibri" w:cstheme="minorBidi"/>
                                <w:b/>
                                <w:bCs/>
                                <w:i/>
                                <w:iCs/>
                                <w:color w:val="000000" w:themeColor="text1"/>
                                <w:kern w:val="24"/>
                                <w:sz w:val="20"/>
                                <w:szCs w:val="20"/>
                              </w:rPr>
                              <w:t>)</w:t>
                            </w:r>
                          </w:p>
                        </w:txbxContent>
                      </wps:txbx>
                      <wps:bodyPr wrap="square" rtlCol="0" anchor="ctr">
                        <a:noAutofit/>
                      </wps:bodyPr>
                    </wps:wsp>
                  </a:graphicData>
                </a:graphic>
                <wp14:sizeRelV relativeFrom="margin">
                  <wp14:pctHeight>0</wp14:pctHeight>
                </wp14:sizeRelV>
              </wp:anchor>
            </w:drawing>
          </mc:Choice>
          <mc:Fallback>
            <w:pict>
              <v:shapetype w14:anchorId="15DA55A0" id="_x0000_t202" coordsize="21600,21600" o:spt="202" path="m,l,21600r21600,l21600,xe">
                <v:stroke joinstyle="miter"/>
                <v:path gradientshapeok="t" o:connecttype="rect"/>
              </v:shapetype>
              <v:shape id="TextBox 1" o:spid="_x0000_s1026" type="#_x0000_t202" alt="&quot;&quot;" style="position:absolute;left:0;text-align:left;margin-left:383.75pt;margin-top:5.2pt;width:101pt;height:170.2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" filled="f" stroked="f">
                <v:textbox>
                  <w:txbxContent>
                    <w:p w14:paraId="21AE1BF2" w14:textId="23208724" w:rsidR="00BA451D" w:rsidRPr="00BA451D" w:rsidRDefault="003B00D8" w:rsidP="00D8732F">
                      <w:pPr>
                        <w:rPr>
                          <w:rFonts w:asciiTheme="minorHAnsi" w:hAnsi="Calibri" w:cstheme="minorBidi"/>
                          <w:b/>
                          <w:bCs/>
                          <w:color w:val="000000" w:themeColor="text1"/>
                          <w:kern w:val="24"/>
                          <w:sz w:val="20"/>
                          <w:szCs w:val="20"/>
                        </w:rPr>
                      </w:pPr>
                      <w:r w:rsidRPr="00BA451D">
                        <w:rPr>
                          <w:rFonts w:asciiTheme="minorHAnsi" w:hAnsi="Calibri" w:cstheme="minorBidi"/>
                          <w:b/>
                          <w:bCs/>
                          <w:color w:val="000000" w:themeColor="text1"/>
                          <w:kern w:val="24"/>
                          <w:sz w:val="20"/>
                          <w:szCs w:val="20"/>
                        </w:rPr>
                        <w:t>9</w:t>
                      </w:r>
                      <w:r w:rsidR="00BA451D" w:rsidRPr="00BA451D">
                        <w:rPr>
                          <w:rFonts w:asciiTheme="minorHAnsi" w:hAnsi="Calibri" w:cstheme="minorBidi"/>
                          <w:b/>
                          <w:bCs/>
                          <w:color w:val="000000" w:themeColor="text1"/>
                          <w:kern w:val="24"/>
                          <w:sz w:val="20"/>
                          <w:szCs w:val="20"/>
                        </w:rPr>
                        <w:t>0</w:t>
                      </w:r>
                      <w:r w:rsidRPr="00BA451D">
                        <w:rPr>
                          <w:rFonts w:asciiTheme="minorHAnsi" w:hAnsi="Calibri" w:cstheme="minorBidi"/>
                          <w:b/>
                          <w:bCs/>
                          <w:color w:val="000000" w:themeColor="text1"/>
                          <w:kern w:val="24"/>
                          <w:sz w:val="20"/>
                          <w:szCs w:val="20"/>
                        </w:rPr>
                        <w:t xml:space="preserve">% </w:t>
                      </w:r>
                      <w:r w:rsidR="00D33369">
                        <w:rPr>
                          <w:rFonts w:asciiTheme="minorHAnsi" w:hAnsi="Calibri" w:cstheme="minorBidi"/>
                          <w:b/>
                          <w:bCs/>
                          <w:color w:val="000000" w:themeColor="text1"/>
                          <w:kern w:val="24"/>
                          <w:sz w:val="20"/>
                          <w:szCs w:val="20"/>
                        </w:rPr>
                        <w:t xml:space="preserve">overall  </w:t>
                      </w:r>
                      <w:r w:rsidRPr="00BA451D">
                        <w:rPr>
                          <w:rFonts w:asciiTheme="minorHAnsi" w:hAnsi="Calibri" w:cstheme="minorBidi"/>
                          <w:b/>
                          <w:bCs/>
                          <w:color w:val="000000" w:themeColor="text1"/>
                          <w:kern w:val="24"/>
                          <w:sz w:val="20"/>
                          <w:szCs w:val="20"/>
                        </w:rPr>
                        <w:t xml:space="preserve"> average</w:t>
                      </w:r>
                      <w:r w:rsidR="00D33369">
                        <w:rPr>
                          <w:rFonts w:asciiTheme="minorHAnsi" w:hAnsi="Calibri" w:cstheme="minorBidi"/>
                          <w:b/>
                          <w:bCs/>
                          <w:color w:val="000000" w:themeColor="text1"/>
                          <w:kern w:val="24"/>
                          <w:sz w:val="20"/>
                          <w:szCs w:val="20"/>
                        </w:rPr>
                        <w:t xml:space="preserve">     </w:t>
                      </w:r>
                      <w:r w:rsidRPr="00BA451D">
                        <w:rPr>
                          <w:rFonts w:asciiTheme="minorHAnsi" w:hAnsi="Calibri" w:cstheme="minorBidi"/>
                          <w:b/>
                          <w:bCs/>
                          <w:color w:val="000000" w:themeColor="text1"/>
                          <w:kern w:val="24"/>
                          <w:sz w:val="20"/>
                          <w:szCs w:val="20"/>
                        </w:rPr>
                        <w:t xml:space="preserve"> positioned to achieve positive outcomes</w:t>
                      </w:r>
                    </w:p>
                    <w:p w14:paraId="12B385E8" w14:textId="77777777" w:rsidR="00BA451D" w:rsidRDefault="003B00D8" w:rsidP="00D8732F">
                      <w:pPr>
                        <w:rPr>
                          <w:rFonts w:asciiTheme="minorHAnsi" w:hAnsi="Calibri" w:cstheme="minorBidi"/>
                          <w:b/>
                          <w:bCs/>
                          <w:i/>
                          <w:iCs/>
                          <w:color w:val="000000" w:themeColor="text1"/>
                          <w:kern w:val="24"/>
                          <w:sz w:val="20"/>
                          <w:szCs w:val="20"/>
                        </w:rPr>
                      </w:pPr>
                      <w:r w:rsidRPr="00BA451D">
                        <w:rPr>
                          <w:rFonts w:asciiTheme="minorHAnsi" w:hAnsi="Calibri" w:cstheme="minorBidi"/>
                          <w:b/>
                          <w:bCs/>
                          <w:i/>
                          <w:iCs/>
                          <w:color w:val="000000" w:themeColor="text1"/>
                          <w:kern w:val="24"/>
                          <w:sz w:val="20"/>
                          <w:szCs w:val="20"/>
                        </w:rPr>
                        <w:t>(9</w:t>
                      </w:r>
                      <w:r w:rsidR="00BA451D" w:rsidRPr="00BA451D">
                        <w:rPr>
                          <w:rFonts w:asciiTheme="minorHAnsi" w:hAnsi="Calibri" w:cstheme="minorBidi"/>
                          <w:b/>
                          <w:bCs/>
                          <w:i/>
                          <w:iCs/>
                          <w:color w:val="000000" w:themeColor="text1"/>
                          <w:kern w:val="24"/>
                          <w:sz w:val="20"/>
                          <w:szCs w:val="20"/>
                        </w:rPr>
                        <w:t>1</w:t>
                      </w:r>
                      <w:r w:rsidRPr="00BA451D">
                        <w:rPr>
                          <w:rFonts w:asciiTheme="minorHAnsi" w:hAnsi="Calibri" w:cstheme="minorBidi"/>
                          <w:b/>
                          <w:bCs/>
                          <w:i/>
                          <w:iCs/>
                          <w:color w:val="000000" w:themeColor="text1"/>
                          <w:kern w:val="24"/>
                          <w:sz w:val="20"/>
                          <w:szCs w:val="20"/>
                        </w:rPr>
                        <w:t>% in 201</w:t>
                      </w:r>
                      <w:r w:rsidR="00BA451D" w:rsidRPr="00BA451D">
                        <w:rPr>
                          <w:rFonts w:asciiTheme="minorHAnsi" w:hAnsi="Calibri" w:cstheme="minorBidi"/>
                          <w:b/>
                          <w:bCs/>
                          <w:i/>
                          <w:iCs/>
                          <w:color w:val="000000" w:themeColor="text1"/>
                          <w:kern w:val="24"/>
                          <w:sz w:val="20"/>
                          <w:szCs w:val="20"/>
                        </w:rPr>
                        <w:t>9,</w:t>
                      </w:r>
                    </w:p>
                    <w:p w14:paraId="1D2B701B" w14:textId="28B068DC" w:rsidR="003B00D8" w:rsidRPr="00BA451D" w:rsidRDefault="00BA451D" w:rsidP="00D8732F">
                      <w:pPr>
                        <w:rPr>
                          <w:b/>
                          <w:bCs/>
                          <w:sz w:val="20"/>
                          <w:szCs w:val="20"/>
                        </w:rPr>
                      </w:pPr>
                      <w:r w:rsidRPr="00BA451D">
                        <w:rPr>
                          <w:rFonts w:asciiTheme="minorHAnsi" w:hAnsi="Calibri" w:cstheme="minorBidi"/>
                          <w:b/>
                          <w:bCs/>
                          <w:i/>
                          <w:iCs/>
                          <w:color w:val="000000" w:themeColor="text1"/>
                          <w:kern w:val="24"/>
                          <w:sz w:val="20"/>
                          <w:szCs w:val="20"/>
                        </w:rPr>
                        <w:t xml:space="preserve"> 92% in 2018</w:t>
                      </w:r>
                      <w:r w:rsidR="003B00D8" w:rsidRPr="00BA451D">
                        <w:rPr>
                          <w:rFonts w:asciiTheme="minorHAnsi" w:hAnsi="Calibri" w:cstheme="minorBidi"/>
                          <w:b/>
                          <w:bCs/>
                          <w:i/>
                          <w:iCs/>
                          <w:color w:val="000000" w:themeColor="text1"/>
                          <w:kern w:val="24"/>
                          <w:sz w:val="20"/>
                          <w:szCs w:val="20"/>
                        </w:rPr>
                        <w:t>)</w:t>
                      </w:r>
                    </w:p>
                  </w:txbxContent>
                </v:textbox>
              </v:shape>
            </w:pict>
          </mc:Fallback>
        </mc:AlternateContent>
      </w:r>
      <w:r w:rsidR="004C4203" w:rsidRPr="00BA451D">
        <w:t>(Chart shows average positive sentiment across component questions relevant to each outcome)</w:t>
      </w:r>
    </w:p>
    <w:p w14:paraId="072BF67E" w14:textId="2DB4C2C3" w:rsidR="00432A82" w:rsidRPr="00DE7D60" w:rsidRDefault="00BA451D" w:rsidP="004C02CC">
      <w:pPr>
        <w:rPr>
          <w:highlight w:val="yellow"/>
        </w:rPr>
      </w:pPr>
      <w:r w:rsidRPr="00DD6C2B">
        <w:rPr>
          <w:noProof/>
        </w:rPr>
        <w:drawing>
          <wp:inline distT="0" distB="0" distL="0" distR="0" wp14:anchorId="5467807F" wp14:editId="46F9BF6D">
            <wp:extent cx="5731510" cy="3772314"/>
            <wp:effectExtent l="0" t="0" r="0" b="0"/>
            <wp:docPr id="101" name="Picture 101" descr="This chart shows all four key Australia Awards  outcomes and the percentage rates of surveys conducted in 2020 and 201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This chart shows all four key Australia Awards  outcomes and the percentage rates of surveys conducted in 2020 and 2019">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772314"/>
                    </a:xfrm>
                    <a:prstGeom prst="rect">
                      <a:avLst/>
                    </a:prstGeom>
                    <a:noFill/>
                    <a:ln>
                      <a:noFill/>
                    </a:ln>
                  </pic:spPr>
                </pic:pic>
              </a:graphicData>
            </a:graphic>
          </wp:inline>
        </w:drawing>
      </w:r>
    </w:p>
    <w:p w14:paraId="3C9BE204" w14:textId="70CD8076" w:rsidR="00432A82" w:rsidRPr="007D4191" w:rsidRDefault="008F4410" w:rsidP="000E297D">
      <w:pPr>
        <w:pStyle w:val="Heading3"/>
      </w:pPr>
      <w:r w:rsidRPr="00596617">
        <w:rPr>
          <w:color w:val="215868" w:themeColor="accent5" w:themeShade="80"/>
        </w:rPr>
        <w:lastRenderedPageBreak/>
        <w:t xml:space="preserve">Outcome 1: </w:t>
      </w:r>
      <w:r w:rsidR="00432A82" w:rsidRPr="00596617">
        <w:rPr>
          <w:color w:val="215868" w:themeColor="accent5" w:themeShade="80"/>
        </w:rPr>
        <w:t xml:space="preserve">Alumni using their skills, knowledge and networks to contribute to sustainable </w:t>
      </w:r>
      <w:proofErr w:type="gramStart"/>
      <w:r w:rsidR="00432A82" w:rsidRPr="00596617">
        <w:rPr>
          <w:color w:val="215868" w:themeColor="accent5" w:themeShade="80"/>
        </w:rPr>
        <w:t>development</w:t>
      </w:r>
      <w:proofErr w:type="gramEnd"/>
    </w:p>
    <w:p w14:paraId="60491287" w14:textId="77777777" w:rsidR="00BA451D" w:rsidRPr="000F1126" w:rsidRDefault="00BA451D" w:rsidP="00BA451D">
      <w:bookmarkStart w:id="12" w:name="_Hlk534810692"/>
      <w:r w:rsidRPr="003145FC">
        <w:t>Unchanged since 2019, 97% of ongoing students are positioned well to use their skills, knowledge and networks to contribute to sustainable development.</w:t>
      </w:r>
      <w:r>
        <w:t xml:space="preserve"> The 2020 results also show that </w:t>
      </w:r>
      <w:r w:rsidRPr="003145FC">
        <w:t xml:space="preserve">majorities of students </w:t>
      </w:r>
      <w:r w:rsidRPr="003145FC">
        <w:rPr>
          <w:i/>
          <w:iCs/>
        </w:rPr>
        <w:t>strongly agree</w:t>
      </w:r>
      <w:r w:rsidRPr="003145FC">
        <w:t xml:space="preserve"> with component questions of this outcome measure, with these </w:t>
      </w:r>
      <w:r w:rsidRPr="000F1126">
        <w:t>proportions generally stable across recent years.</w:t>
      </w:r>
    </w:p>
    <w:p w14:paraId="6E58B163" w14:textId="77777777" w:rsidR="00BA451D" w:rsidRPr="000F1126" w:rsidRDefault="00BA451D" w:rsidP="00BA451D">
      <w:r w:rsidRPr="000F1126">
        <w:t>Students participating in the Australia Awards agree that the knowledge and skills provided by their course or research will be useful for working on development issues in their home country (98%, with 65% strongly agreeing, in line with 66% in 2019).</w:t>
      </w:r>
    </w:p>
    <w:p w14:paraId="5B9A15D4" w14:textId="77777777" w:rsidR="00BA451D" w:rsidRPr="000F1126" w:rsidRDefault="00BA451D" w:rsidP="00BA451D">
      <w:r w:rsidRPr="000F1126">
        <w:t>Other related metrics indicate that more than nine-in-ten students agree that:</w:t>
      </w:r>
    </w:p>
    <w:p w14:paraId="41445163" w14:textId="77777777" w:rsidR="00BA451D" w:rsidRPr="000F1126" w:rsidRDefault="00BA451D" w:rsidP="00BA451D">
      <w:pPr>
        <w:pStyle w:val="ListBullet"/>
      </w:pPr>
      <w:r w:rsidRPr="000F1126">
        <w:t>they value the skills and knowledge gained through their studies and experience in Australia (99%, with 73% strongly agreeing, the same as in 2019)</w:t>
      </w:r>
    </w:p>
    <w:p w14:paraId="74F327F7" w14:textId="77777777" w:rsidR="00BA451D" w:rsidRPr="000F1126" w:rsidRDefault="00BA451D" w:rsidP="00BA451D">
      <w:pPr>
        <w:pStyle w:val="ListBullet"/>
      </w:pPr>
      <w:r w:rsidRPr="000F1126">
        <w:t>their study experience will help them make a positive impact on the community in their home country (99%, with 67% strongly agreeing, the same as in 2019)</w:t>
      </w:r>
    </w:p>
    <w:p w14:paraId="2F51293D" w14:textId="77777777" w:rsidR="00BA451D" w:rsidRPr="000F1126" w:rsidRDefault="00BA451D" w:rsidP="00BA451D">
      <w:pPr>
        <w:pStyle w:val="ListBullet"/>
      </w:pPr>
      <w:r w:rsidRPr="000F1126">
        <w:t>the Australia Awards have motivated them to help support development initiatives in their home country (98%, with 64% strongly agreeing compared to 65% in 201</w:t>
      </w:r>
      <w:r>
        <w:t>9</w:t>
      </w:r>
      <w:r w:rsidRPr="000F1126">
        <w:t>)</w:t>
      </w:r>
    </w:p>
    <w:p w14:paraId="57A7E266" w14:textId="77777777" w:rsidR="00BA451D" w:rsidRPr="000F1126" w:rsidRDefault="00BA451D" w:rsidP="00BA451D">
      <w:pPr>
        <w:pStyle w:val="ListBullet"/>
      </w:pPr>
      <w:r w:rsidRPr="000F1126">
        <w:t>their study experience has improved their ability to better manage projects to meet specified goals (97%, with 57% strongly agreeing compared to 56% in 2019)</w:t>
      </w:r>
      <w:r>
        <w:t>,</w:t>
      </w:r>
      <w:r w:rsidRPr="000F1126">
        <w:t xml:space="preserve"> and</w:t>
      </w:r>
    </w:p>
    <w:p w14:paraId="5EA549B4" w14:textId="77777777" w:rsidR="00BA451D" w:rsidRPr="000F1126" w:rsidRDefault="00BA451D" w:rsidP="00BA451D">
      <w:pPr>
        <w:pStyle w:val="ListBullet"/>
      </w:pPr>
      <w:r w:rsidRPr="000F1126">
        <w:t>their course/curriculum is well aligned with the learning and developmental outcomes they are seeking (92%, with 43% strongly agreeing, the same as in 2019).</w:t>
      </w:r>
    </w:p>
    <w:bookmarkEnd w:id="12"/>
    <w:p w14:paraId="5C25C672" w14:textId="77777777" w:rsidR="00183A59" w:rsidRPr="007D4191" w:rsidRDefault="00183A59" w:rsidP="000E297D">
      <w:pPr>
        <w:pStyle w:val="Heading3"/>
      </w:pPr>
      <w:r w:rsidRPr="00596617">
        <w:rPr>
          <w:color w:val="215868" w:themeColor="accent5" w:themeShade="80"/>
        </w:rPr>
        <w:t xml:space="preserve">Outcome 2: Alumni contributing to cooperation between Australia and partner </w:t>
      </w:r>
      <w:proofErr w:type="gramStart"/>
      <w:r w:rsidRPr="00596617">
        <w:rPr>
          <w:color w:val="215868" w:themeColor="accent5" w:themeShade="80"/>
        </w:rPr>
        <w:t>countries</w:t>
      </w:r>
      <w:proofErr w:type="gramEnd"/>
    </w:p>
    <w:p w14:paraId="7FC2A1D6" w14:textId="77777777" w:rsidR="00555BF3" w:rsidRPr="00EF56E5" w:rsidRDefault="00555BF3" w:rsidP="00555BF3">
      <w:bookmarkStart w:id="13" w:name="_Hlk534810708"/>
      <w:r w:rsidRPr="00984ECC">
        <w:t xml:space="preserve">Just under three in four ongoing students (73%, down slightly from 76% in 2019) are positioned well to contribute to cooperation between Australia and partner countries. The result for this outcome has also been relatively low in previous years, reflecting the difficulty </w:t>
      </w:r>
      <w:r w:rsidRPr="00EF56E5">
        <w:t>some students have experienced in forming friendships outside their own country group or institution. These difficulties appear to have been exacerbated by COVID-19 conditions with lower levels of socialisation reported with students not from the home country.</w:t>
      </w:r>
    </w:p>
    <w:p w14:paraId="68C7886C" w14:textId="77777777" w:rsidR="00555BF3" w:rsidRPr="00EF56E5" w:rsidRDefault="00555BF3" w:rsidP="00555BF3">
      <w:r w:rsidRPr="00EF56E5">
        <w:t>Nonetheless, the majority of ongoing students agreed that:</w:t>
      </w:r>
    </w:p>
    <w:p w14:paraId="49C996D6" w14:textId="07ED473B" w:rsidR="00555BF3" w:rsidRPr="00E31B28" w:rsidRDefault="00555BF3" w:rsidP="00555BF3">
      <w:pPr>
        <w:pStyle w:val="ListBullet"/>
      </w:pPr>
      <w:r w:rsidRPr="00EF56E5">
        <w:t>other students have been inclusive towards them (81%</w:t>
      </w:r>
      <w:r>
        <w:t xml:space="preserve">, </w:t>
      </w:r>
      <w:r w:rsidRPr="00EF56E5">
        <w:t xml:space="preserve">the same as in 2019—with 24% </w:t>
      </w:r>
      <w:r w:rsidRPr="00E31B28">
        <w:t>strongly agreeing, down from 27% in 2019)</w:t>
      </w:r>
    </w:p>
    <w:p w14:paraId="55AC7665" w14:textId="01ACFA8C" w:rsidR="00555BF3" w:rsidRPr="00E31B28" w:rsidRDefault="00555BF3" w:rsidP="00555BF3">
      <w:pPr>
        <w:pStyle w:val="ListBullet"/>
      </w:pPr>
      <w:r w:rsidRPr="00E31B28">
        <w:t>they have found it easy to make friends with other students (not from their own country) whilst in Australia (76%, with 26% strongly agreeing—compared to 82% and 29% respectively in 2019)</w:t>
      </w:r>
      <w:r w:rsidR="00BF255C">
        <w:t>,</w:t>
      </w:r>
      <w:r w:rsidRPr="00E31B28">
        <w:t xml:space="preserve"> and</w:t>
      </w:r>
    </w:p>
    <w:p w14:paraId="5446D4AF" w14:textId="77777777" w:rsidR="00555BF3" w:rsidRPr="00E31B28" w:rsidRDefault="00555BF3" w:rsidP="00555BF3">
      <w:pPr>
        <w:pStyle w:val="ListBullet"/>
      </w:pPr>
      <w:r w:rsidRPr="00E31B28">
        <w:t>they have found it easy to make friends with other people (outside their institution and not from their own country) whilst in Australia (61%, with 19% strongly agreeing—compared to 67% and 22% respectively in 2019.</w:t>
      </w:r>
    </w:p>
    <w:bookmarkEnd w:id="13"/>
    <w:p w14:paraId="5E9CD58F" w14:textId="32757131" w:rsidR="00555BF3" w:rsidRPr="00D24A72" w:rsidRDefault="00555BF3" w:rsidP="00D24A72">
      <w:pPr>
        <w:pStyle w:val="ListBullet"/>
        <w:numPr>
          <w:ilvl w:val="0"/>
          <w:numId w:val="0"/>
        </w:numPr>
      </w:pPr>
      <w:r>
        <w:t>Students continue to socialise primarily with students from their home country (75%) and other international students (77%). Additionally, students remain more likely to socialise with other people (non-students) from their home country (43%) than with either Australian students (28%) or Australian non-students (34%). While some of these figures have fallen in 2020 (for instance, socialisation with Australian non-students declined from 34% to 28%), this overall pattern of interaction has remained broadly consistent since 2013.</w:t>
      </w:r>
    </w:p>
    <w:p w14:paraId="7ABDC97D" w14:textId="32AD2AF5" w:rsidR="00183A59" w:rsidRPr="007D4191" w:rsidRDefault="00183A59" w:rsidP="000E297D">
      <w:pPr>
        <w:pStyle w:val="Heading3"/>
      </w:pPr>
      <w:r w:rsidRPr="00596617">
        <w:rPr>
          <w:color w:val="215868" w:themeColor="accent5" w:themeShade="80"/>
        </w:rPr>
        <w:lastRenderedPageBreak/>
        <w:t>Outcome 3: Effective, mutually advantageous partnerships between institutions and businesses in Australia and partner countries</w:t>
      </w:r>
    </w:p>
    <w:p w14:paraId="7B111354" w14:textId="77777777" w:rsidR="00555BF3" w:rsidRPr="009D0253" w:rsidRDefault="00555BF3" w:rsidP="00555BF3">
      <w:bookmarkStart w:id="14" w:name="_Hlk534810759"/>
      <w:r>
        <w:t>A large majority</w:t>
      </w:r>
      <w:r w:rsidRPr="009D0253">
        <w:t xml:space="preserve"> of ongoing students (9</w:t>
      </w:r>
      <w:r>
        <w:t>3</w:t>
      </w:r>
      <w:r w:rsidRPr="009D0253">
        <w:t>%</w:t>
      </w:r>
      <w:r>
        <w:t xml:space="preserve">, </w:t>
      </w:r>
      <w:r w:rsidRPr="009D0253">
        <w:t>similar to 9</w:t>
      </w:r>
      <w:r>
        <w:t>4</w:t>
      </w:r>
      <w:r w:rsidRPr="009D0253">
        <w:t>% in 201</w:t>
      </w:r>
      <w:r>
        <w:t>9</w:t>
      </w:r>
      <w:r w:rsidRPr="009D0253">
        <w:t>) are well positioned to establish effective, mutually advantageous partnerships between institutions and businesses in Australia and partner countries, with a marginal decrease in the proportion of highly positive students regarding one statement.</w:t>
      </w:r>
    </w:p>
    <w:p w14:paraId="591F6D3C" w14:textId="77777777" w:rsidR="00555BF3" w:rsidRPr="00977B03" w:rsidRDefault="00555BF3" w:rsidP="00555BF3">
      <w:r w:rsidRPr="009D0253">
        <w:t xml:space="preserve">Students agree that participation in the Australian Awards has been beneficial for developing their professional </w:t>
      </w:r>
      <w:r w:rsidRPr="00977B03">
        <w:t>credentials at home (98%, with 67% strongly agreeing, similar to 99% and 6</w:t>
      </w:r>
      <w:r>
        <w:t>7</w:t>
      </w:r>
      <w:r w:rsidRPr="00977B03">
        <w:t>% in 2019) and useful professional networks in Australia (87%, with 50% strongly agreeing, similar to 89% and 50% in 2019).</w:t>
      </w:r>
    </w:p>
    <w:p w14:paraId="25AE6A0B" w14:textId="77777777" w:rsidR="00555BF3" w:rsidRPr="00977B03" w:rsidRDefault="00555BF3" w:rsidP="00555BF3">
      <w:r w:rsidRPr="00977B03">
        <w:t>Related to this outcome:</w:t>
      </w:r>
    </w:p>
    <w:p w14:paraId="12BA0A50" w14:textId="5BA0B51F" w:rsidR="00555BF3" w:rsidRPr="00977B03" w:rsidRDefault="00555BF3" w:rsidP="00D24A72">
      <w:pPr>
        <w:pStyle w:val="ListBullet"/>
      </w:pPr>
      <w:r w:rsidRPr="00977B03">
        <w:t>Just under half of students returning home in the next nine months at the time of the Ongoing Survey expect to return to the same organisation that they left to engage in the Australia Awards. This proportion has remained around or above one-half across previous years, but the 2020 result (48%) is the lowest recorded level.</w:t>
      </w:r>
    </w:p>
    <w:bookmarkEnd w:id="14"/>
    <w:p w14:paraId="3855D072" w14:textId="4180FB3F" w:rsidR="00555BF3" w:rsidRPr="00555BF3" w:rsidRDefault="00555BF3" w:rsidP="00555BF3">
      <w:pPr>
        <w:pStyle w:val="ListBullet"/>
        <w:keepNext/>
        <w:ind w:left="425" w:hanging="425"/>
      </w:pPr>
      <w:r w:rsidRPr="00977B03">
        <w:t>The most common barriers ongoing students expected to encounter in using their qualifications when they return home were identified by between 2-12% of students. Home countries lacking the required infrastructure to support implementation of the students’ qualifications was the most commonly cited barrier in 2020 (1</w:t>
      </w:r>
      <w:r>
        <w:t>1</w:t>
      </w:r>
      <w:r w:rsidRPr="00977B03">
        <w:t>%), as in previous years.</w:t>
      </w:r>
    </w:p>
    <w:p w14:paraId="3A844768" w14:textId="77777777" w:rsidR="00183A59" w:rsidRPr="00596617" w:rsidRDefault="00183A59" w:rsidP="000E297D">
      <w:pPr>
        <w:pStyle w:val="Heading3"/>
        <w:rPr>
          <w:color w:val="215868" w:themeColor="accent5" w:themeShade="80"/>
        </w:rPr>
      </w:pPr>
      <w:r w:rsidRPr="00596617">
        <w:rPr>
          <w:color w:val="215868" w:themeColor="accent5" w:themeShade="80"/>
        </w:rPr>
        <w:t>Outcome 4: Alumni view Australia, Australians and Australian expertise positively</w:t>
      </w:r>
    </w:p>
    <w:p w14:paraId="5F4F1CED" w14:textId="77777777" w:rsidR="00555BF3" w:rsidRPr="008334E1" w:rsidRDefault="00555BF3" w:rsidP="00555BF3">
      <w:bookmarkStart w:id="15" w:name="_Hlk534814745"/>
      <w:r w:rsidRPr="00261C1D">
        <w:t xml:space="preserve">Through their Australia Awards experience, 98% of ongoing students view Australia, Australians and Australian expertise positively. This overall figure has not changed since 2019, although there have been small shifts in positive sentiment (both up and down) on the individual questions that form </w:t>
      </w:r>
      <w:r w:rsidRPr="008334E1">
        <w:t>part of this metric.</w:t>
      </w:r>
    </w:p>
    <w:p w14:paraId="79159805" w14:textId="77777777" w:rsidR="00555BF3" w:rsidRPr="008334E1" w:rsidRDefault="00555BF3" w:rsidP="00555BF3">
      <w:r w:rsidRPr="008334E1">
        <w:t xml:space="preserve">Nearly all students agreed that they would recommend Australia as a good place to visit (99%) and study (99%), and the same proportion indicated they would recommend others to apply for the Australia Awards (99%). These overall proportions were in line with 2019 results (98-99%) and the proportion who </w:t>
      </w:r>
      <w:r w:rsidRPr="008334E1">
        <w:rPr>
          <w:i/>
          <w:iCs/>
        </w:rPr>
        <w:t>strongly agreed</w:t>
      </w:r>
      <w:r w:rsidRPr="008334E1">
        <w:t xml:space="preserve"> has also remained broadly the same since, with some signs of gradual increase since 2019.</w:t>
      </w:r>
    </w:p>
    <w:p w14:paraId="161478CA" w14:textId="77777777" w:rsidR="00555BF3" w:rsidRPr="008334E1" w:rsidRDefault="00555BF3" w:rsidP="00555BF3">
      <w:r w:rsidRPr="008334E1">
        <w:t>Related to these outcomes, but with some small decline in strong positive sentiment:</w:t>
      </w:r>
    </w:p>
    <w:p w14:paraId="2A6AAB03" w14:textId="103F2689" w:rsidR="00555BF3" w:rsidRPr="008334E1" w:rsidRDefault="00555BF3" w:rsidP="00555BF3">
      <w:pPr>
        <w:pStyle w:val="ListBullet"/>
      </w:pPr>
      <w:r w:rsidRPr="008334E1">
        <w:t>97% of students agreed that their study experience has had a positive impact on their lives (with 64% strongly agreeing, compared to 6</w:t>
      </w:r>
      <w:r>
        <w:t>6</w:t>
      </w:r>
      <w:r w:rsidRPr="008334E1">
        <w:t>% in 2019 and 67% in 2018)</w:t>
      </w:r>
    </w:p>
    <w:p w14:paraId="592F4C75" w14:textId="1E572C88" w:rsidR="00555BF3" w:rsidRPr="008334E1" w:rsidRDefault="00555BF3" w:rsidP="00555BF3">
      <w:pPr>
        <w:pStyle w:val="ListBullet"/>
      </w:pPr>
      <w:r w:rsidRPr="008334E1">
        <w:t>95% of students agreed their Australia Awards experience has helped them better understand Australian culture (with 55% strongly agreeing, compared to 57% in 2019 and 58% in 2018)</w:t>
      </w:r>
      <w:r w:rsidR="00BF255C">
        <w:t>,</w:t>
      </w:r>
      <w:r>
        <w:t xml:space="preserve"> and</w:t>
      </w:r>
    </w:p>
    <w:p w14:paraId="42BB7732" w14:textId="02BA1E14" w:rsidR="00555BF3" w:rsidRDefault="00555BF3" w:rsidP="00555BF3">
      <w:pPr>
        <w:pStyle w:val="ListBullet"/>
      </w:pPr>
      <w:r w:rsidRPr="008651A5">
        <w:t>1</w:t>
      </w:r>
      <w:r>
        <w:t>9</w:t>
      </w:r>
      <w:r w:rsidRPr="008651A5">
        <w:t>% of students had personally experienced discrimination in Australia, while 2</w:t>
      </w:r>
      <w:r>
        <w:t>5</w:t>
      </w:r>
      <w:r w:rsidRPr="008651A5">
        <w:t>% had witnessed an act of discrimination</w:t>
      </w:r>
      <w:r>
        <w:t xml:space="preserve">. The latter figure was in line with previous years, but the proportion of ongoing students </w:t>
      </w:r>
      <w:r>
        <w:rPr>
          <w:i/>
          <w:iCs/>
        </w:rPr>
        <w:t>experiencing</w:t>
      </w:r>
      <w:r>
        <w:t xml:space="preserve"> discrimination has gradually declined over time (from 29% in 2013). </w:t>
      </w:r>
    </w:p>
    <w:p w14:paraId="272EF96C" w14:textId="7BD27D3E" w:rsidR="003B6802" w:rsidRPr="00555BF3" w:rsidRDefault="003B6802" w:rsidP="007D4191">
      <w:pPr>
        <w:pStyle w:val="Heading1"/>
      </w:pPr>
      <w:bookmarkStart w:id="16" w:name="_Toc65069880"/>
      <w:bookmarkEnd w:id="15"/>
      <w:r w:rsidRPr="00555BF3">
        <w:lastRenderedPageBreak/>
        <w:t>20</w:t>
      </w:r>
      <w:r w:rsidR="00555BF3" w:rsidRPr="00555BF3">
        <w:t>20</w:t>
      </w:r>
      <w:r w:rsidRPr="00555BF3">
        <w:t xml:space="preserve"> student experiences at a glance</w:t>
      </w:r>
      <w:bookmarkEnd w:id="16"/>
    </w:p>
    <w:p w14:paraId="50236AF7" w14:textId="7B62F2B5" w:rsidR="003B6802" w:rsidRPr="00555BF3" w:rsidRDefault="003B6802" w:rsidP="003B6802">
      <w:r w:rsidRPr="00555BF3">
        <w:t>This section outlines the overall experiences that students had in 20</w:t>
      </w:r>
      <w:r w:rsidR="00555BF3" w:rsidRPr="00555BF3">
        <w:t>20</w:t>
      </w:r>
      <w:r w:rsidRPr="00555BF3">
        <w:t xml:space="preserve"> regarding their Australia Awards scholarship.</w:t>
      </w:r>
    </w:p>
    <w:p w14:paraId="617FAC70" w14:textId="77777777" w:rsidR="00284018" w:rsidRPr="00555BF3" w:rsidRDefault="00284018" w:rsidP="00F25704">
      <w:pPr>
        <w:pStyle w:val="Heading3"/>
      </w:pPr>
      <w:r w:rsidRPr="00596617">
        <w:rPr>
          <w:color w:val="215868" w:themeColor="accent5" w:themeShade="80"/>
        </w:rPr>
        <w:t>Overall satisfaction</w:t>
      </w:r>
    </w:p>
    <w:p w14:paraId="623DBBA5" w14:textId="0FE9570C" w:rsidR="00555BF3" w:rsidRPr="00CC7043" w:rsidRDefault="00555BF3" w:rsidP="00555BF3">
      <w:pPr>
        <w:spacing w:before="120"/>
      </w:pPr>
      <w:r w:rsidRPr="00CC7043">
        <w:t xml:space="preserve">Overall satisfaction with the Australia Awards was high for both new arrivals (99%) and ongoing students (98%), consistent with </w:t>
      </w:r>
      <w:r>
        <w:t>previous years</w:t>
      </w:r>
      <w:r w:rsidRPr="00CC7043">
        <w:t xml:space="preserve">. The proportion of ongoing students </w:t>
      </w:r>
      <w:r w:rsidR="00C86FA2">
        <w:t>‘</w:t>
      </w:r>
      <w:r w:rsidRPr="00CC7043">
        <w:t>very satisfied</w:t>
      </w:r>
      <w:r w:rsidR="00C86FA2">
        <w:t>’</w:t>
      </w:r>
      <w:r w:rsidRPr="00CC7043">
        <w:t xml:space="preserve"> (59%) remained broadly in line with 2019 (61%), the proportion of very positive new arrivals showed signs of decline (61%, down from 65% in 2019).</w:t>
      </w:r>
    </w:p>
    <w:p w14:paraId="75548A6C" w14:textId="77777777" w:rsidR="00555BF3" w:rsidRPr="00CC7043" w:rsidRDefault="00555BF3" w:rsidP="00555BF3">
      <w:r w:rsidRPr="00CC7043">
        <w:t>The research identified positively correlated relationships between aspects of the Australia Awards and overall satisfaction, namely:</w:t>
      </w:r>
    </w:p>
    <w:p w14:paraId="474F3723" w14:textId="77777777" w:rsidR="00555BF3" w:rsidRPr="00CC7043" w:rsidRDefault="00555BF3" w:rsidP="00555BF3">
      <w:pPr>
        <w:pStyle w:val="ListBullet"/>
      </w:pPr>
      <w:r w:rsidRPr="00CC7043">
        <w:t xml:space="preserve">the usefulness of the knowledge and skills provided by course for working on development issues in ongoing student’s home </w:t>
      </w:r>
      <w:proofErr w:type="gramStart"/>
      <w:r w:rsidRPr="00CC7043">
        <w:t>country</w:t>
      </w:r>
      <w:proofErr w:type="gramEnd"/>
    </w:p>
    <w:p w14:paraId="450314C1" w14:textId="77777777" w:rsidR="00555BF3" w:rsidRPr="00C877E2" w:rsidRDefault="00555BF3" w:rsidP="00555BF3">
      <w:pPr>
        <w:pStyle w:val="ListBullet"/>
      </w:pPr>
      <w:r w:rsidRPr="00C877E2">
        <w:t>ongoing student’s inclination to recommend Australia as a destination for study or travel and to recommend the Australia Awards</w:t>
      </w:r>
    </w:p>
    <w:p w14:paraId="223FFE31" w14:textId="77777777" w:rsidR="00555BF3" w:rsidRPr="00C877E2" w:rsidRDefault="00555BF3" w:rsidP="00555BF3">
      <w:pPr>
        <w:pStyle w:val="ListBullet"/>
      </w:pPr>
      <w:r w:rsidRPr="00C877E2">
        <w:t>ongoing student’s satisfaction with entitlements and other assistance</w:t>
      </w:r>
      <w:r>
        <w:t>,</w:t>
      </w:r>
      <w:r w:rsidRPr="00C877E2">
        <w:t xml:space="preserve"> and</w:t>
      </w:r>
    </w:p>
    <w:p w14:paraId="0C075B9F" w14:textId="08717397" w:rsidR="00555BF3" w:rsidRDefault="00555BF3" w:rsidP="00555BF3">
      <w:pPr>
        <w:pStyle w:val="ListBullet"/>
      </w:pPr>
      <w:r w:rsidRPr="00C877E2">
        <w:t>new arrival’s satisfaction with preparation for coming to Australia.</w:t>
      </w:r>
    </w:p>
    <w:p w14:paraId="79CB718D" w14:textId="77777777" w:rsidR="003B6802" w:rsidRPr="00750577" w:rsidRDefault="003B6802" w:rsidP="00F25704">
      <w:pPr>
        <w:pStyle w:val="Heading3"/>
      </w:pPr>
      <w:r w:rsidRPr="00596617">
        <w:rPr>
          <w:color w:val="215868" w:themeColor="accent5" w:themeShade="80"/>
        </w:rPr>
        <w:t>Obtaining an Australia Award</w:t>
      </w:r>
    </w:p>
    <w:p w14:paraId="28512A8D" w14:textId="77777777" w:rsidR="00750577" w:rsidRDefault="00750577" w:rsidP="00750577">
      <w:pPr>
        <w:spacing w:before="120" w:after="120"/>
        <w:rPr>
          <w:rFonts w:cs="Arial"/>
        </w:rPr>
      </w:pPr>
      <w:r w:rsidRPr="001662F2">
        <w:rPr>
          <w:rFonts w:cs="Arial"/>
        </w:rPr>
        <w:t xml:space="preserve">Among new arrivals, the most common reason for </w:t>
      </w:r>
      <w:r w:rsidRPr="001662F2">
        <w:rPr>
          <w:rStyle w:val="Strong"/>
          <w:rFonts w:cs="Arial"/>
        </w:rPr>
        <w:t>applying for an Australia award</w:t>
      </w:r>
      <w:r w:rsidRPr="001662F2">
        <w:rPr>
          <w:rFonts w:cs="Arial"/>
        </w:rPr>
        <w:t xml:space="preserve"> (cited by 79%) was to contribute to their country’s development. The same was true for students’ </w:t>
      </w:r>
      <w:r w:rsidRPr="001662F2">
        <w:rPr>
          <w:rStyle w:val="Strong"/>
          <w:rFonts w:cs="Arial"/>
        </w:rPr>
        <w:t>choice of course</w:t>
      </w:r>
      <w:r w:rsidRPr="001662F2">
        <w:rPr>
          <w:rFonts w:cs="Arial"/>
        </w:rPr>
        <w:t xml:space="preserve"> (84%), followed by compatibility with career plans (77%). Most students </w:t>
      </w:r>
      <w:r w:rsidRPr="001662F2">
        <w:rPr>
          <w:rStyle w:val="Strong"/>
          <w:rFonts w:cs="Arial"/>
        </w:rPr>
        <w:t>chose their educational institution</w:t>
      </w:r>
      <w:r w:rsidRPr="001662F2">
        <w:rPr>
          <w:rFonts w:cs="Arial"/>
        </w:rPr>
        <w:t xml:space="preserve"> based on the availability of desired courses (75%) and the institution’s international reputation and the availability of desired courses (73%).</w:t>
      </w:r>
    </w:p>
    <w:p w14:paraId="4CDA2994" w14:textId="77777777" w:rsidR="00750577" w:rsidRPr="001662F2" w:rsidRDefault="00750577" w:rsidP="00750577">
      <w:pPr>
        <w:spacing w:before="120" w:after="120"/>
        <w:rPr>
          <w:rFonts w:cs="Arial"/>
        </w:rPr>
      </w:pPr>
      <w:r>
        <w:rPr>
          <w:rFonts w:cs="Arial"/>
        </w:rPr>
        <w:t>All these reasons were also the predominant reasons provided by new arrivals in 2019.</w:t>
      </w:r>
    </w:p>
    <w:p w14:paraId="67387088" w14:textId="354FC5AB" w:rsidR="00E0386D" w:rsidRPr="00750577" w:rsidRDefault="005A24AB" w:rsidP="00E0386D">
      <w:pPr>
        <w:spacing w:after="240"/>
        <w:jc w:val="center"/>
        <w:rPr>
          <w:rFonts w:cs="Arial"/>
          <w:b/>
        </w:rPr>
      </w:pPr>
      <w:r>
        <w:rPr>
          <w:rFonts w:cs="Arial"/>
          <w:b/>
          <w:bCs/>
        </w:rPr>
        <w:t>Top Three m</w:t>
      </w:r>
      <w:r w:rsidR="00E0386D" w:rsidRPr="00004F8E">
        <w:rPr>
          <w:rFonts w:cs="Arial"/>
          <w:b/>
          <w:bCs/>
        </w:rPr>
        <w:t>otivating</w:t>
      </w:r>
      <w:r w:rsidR="00E0386D" w:rsidRPr="00750577">
        <w:rPr>
          <w:rFonts w:cs="Arial"/>
          <w:b/>
        </w:rPr>
        <w:t xml:space="preserve"> factors in applying for and choosing course</w:t>
      </w:r>
      <w:r w:rsidR="006E2CAA">
        <w:rPr>
          <w:rFonts w:cs="Arial"/>
          <w:b/>
        </w:rPr>
        <w:t>.</w:t>
      </w:r>
    </w:p>
    <w:tbl>
      <w:tblPr>
        <w:tblW w:w="5000" w:type="pct"/>
        <w:tblLook w:val="04A0" w:firstRow="1" w:lastRow="0" w:firstColumn="1" w:lastColumn="0" w:noHBand="0" w:noVBand="1"/>
      </w:tblPr>
      <w:tblGrid>
        <w:gridCol w:w="3035"/>
        <w:gridCol w:w="3036"/>
        <w:gridCol w:w="3034"/>
      </w:tblGrid>
      <w:tr w:rsidR="00750577" w:rsidRPr="001662F2" w14:paraId="43C1F8F0" w14:textId="77777777" w:rsidTr="00FE54B6">
        <w:trPr>
          <w:cantSplit/>
          <w:trHeight w:val="525"/>
          <w:tblHeader/>
        </w:trPr>
        <w:tc>
          <w:tcPr>
            <w:tcW w:w="1667" w:type="pct"/>
            <w:tcBorders>
              <w:top w:val="nil"/>
              <w:left w:val="nil"/>
              <w:bottom w:val="nil"/>
              <w:right w:val="single" w:sz="8" w:space="0" w:color="FFFFFF"/>
            </w:tcBorders>
            <w:shd w:val="clear" w:color="auto" w:fill="244062"/>
            <w:vAlign w:val="bottom"/>
            <w:hideMark/>
          </w:tcPr>
          <w:p w14:paraId="4D405779" w14:textId="77777777" w:rsidR="00750577" w:rsidRPr="001662F2" w:rsidRDefault="00750577" w:rsidP="00FE54B6">
            <w:pPr>
              <w:pStyle w:val="TableHeading"/>
            </w:pPr>
            <w:bookmarkStart w:id="17" w:name="_Hlk534814867"/>
            <w:r w:rsidRPr="001662F2">
              <w:t>Reasons for applying for an Australia Award</w:t>
            </w:r>
          </w:p>
        </w:tc>
        <w:tc>
          <w:tcPr>
            <w:tcW w:w="1667" w:type="pct"/>
            <w:tcBorders>
              <w:top w:val="nil"/>
              <w:left w:val="single" w:sz="8" w:space="0" w:color="FFFFFF"/>
              <w:bottom w:val="nil"/>
              <w:right w:val="single" w:sz="8" w:space="0" w:color="FFFFFF"/>
            </w:tcBorders>
            <w:shd w:val="clear" w:color="auto" w:fill="244062"/>
            <w:vAlign w:val="bottom"/>
            <w:hideMark/>
          </w:tcPr>
          <w:p w14:paraId="386896DF" w14:textId="77777777" w:rsidR="00750577" w:rsidRPr="001662F2" w:rsidRDefault="00750577" w:rsidP="00FE54B6">
            <w:pPr>
              <w:pStyle w:val="TableHeading"/>
            </w:pPr>
            <w:r w:rsidRPr="001662F2">
              <w:t>Reasons for choosing course</w:t>
            </w:r>
          </w:p>
        </w:tc>
        <w:tc>
          <w:tcPr>
            <w:tcW w:w="1666" w:type="pct"/>
            <w:tcBorders>
              <w:top w:val="nil"/>
              <w:left w:val="nil"/>
              <w:bottom w:val="nil"/>
              <w:right w:val="nil"/>
            </w:tcBorders>
            <w:shd w:val="clear" w:color="auto" w:fill="244062"/>
            <w:vAlign w:val="bottom"/>
            <w:hideMark/>
          </w:tcPr>
          <w:p w14:paraId="1F70C1A7" w14:textId="77777777" w:rsidR="00750577" w:rsidRPr="001662F2" w:rsidRDefault="00750577" w:rsidP="00FE54B6">
            <w:pPr>
              <w:pStyle w:val="TableHeading"/>
            </w:pPr>
            <w:r w:rsidRPr="001662F2">
              <w:t>Reasons for choosing institution</w:t>
            </w:r>
          </w:p>
        </w:tc>
      </w:tr>
      <w:tr w:rsidR="00750577" w:rsidRPr="001662F2" w14:paraId="0BA04253" w14:textId="77777777" w:rsidTr="00FE54B6">
        <w:trPr>
          <w:cantSplit/>
          <w:trHeight w:val="538"/>
        </w:trPr>
        <w:tc>
          <w:tcPr>
            <w:tcW w:w="1667" w:type="pct"/>
            <w:tcBorders>
              <w:top w:val="single" w:sz="8" w:space="0" w:color="FFFFFF"/>
              <w:left w:val="nil"/>
              <w:bottom w:val="single" w:sz="12" w:space="0" w:color="FFFFFF"/>
              <w:right w:val="single" w:sz="8" w:space="0" w:color="FFFFFF"/>
            </w:tcBorders>
            <w:shd w:val="clear" w:color="auto" w:fill="B8CCE4"/>
            <w:vAlign w:val="center"/>
            <w:hideMark/>
          </w:tcPr>
          <w:p w14:paraId="0377DDCB" w14:textId="77777777" w:rsidR="00750577" w:rsidRPr="001662F2" w:rsidRDefault="00750577" w:rsidP="00FE54B6">
            <w:pPr>
              <w:pStyle w:val="TableText"/>
              <w:spacing w:before="60" w:after="60"/>
              <w:jc w:val="center"/>
            </w:pPr>
            <w:r w:rsidRPr="001662F2">
              <w:t>The education I receive will help me contribute to my country's development (</w:t>
            </w:r>
            <w:r>
              <w:t>79</w:t>
            </w:r>
            <w:r w:rsidRPr="001662F2">
              <w:t>%)</w:t>
            </w:r>
          </w:p>
        </w:tc>
        <w:tc>
          <w:tcPr>
            <w:tcW w:w="1667" w:type="pct"/>
            <w:tcBorders>
              <w:top w:val="single" w:sz="8" w:space="0" w:color="FFFFFF"/>
              <w:left w:val="single" w:sz="8" w:space="0" w:color="FFFFFF"/>
              <w:bottom w:val="single" w:sz="12" w:space="0" w:color="FFFFFF"/>
              <w:right w:val="single" w:sz="8" w:space="0" w:color="FFFFFF"/>
            </w:tcBorders>
            <w:shd w:val="clear" w:color="auto" w:fill="B8CCE4"/>
            <w:vAlign w:val="center"/>
            <w:hideMark/>
          </w:tcPr>
          <w:p w14:paraId="2884569E" w14:textId="77777777" w:rsidR="00750577" w:rsidRPr="001662F2" w:rsidRDefault="00750577" w:rsidP="00FE54B6">
            <w:pPr>
              <w:pStyle w:val="TableText"/>
              <w:spacing w:before="60" w:after="60"/>
              <w:jc w:val="center"/>
            </w:pPr>
            <w:r w:rsidRPr="001662F2">
              <w:t>It is appropriate for my country's development needs (8</w:t>
            </w:r>
            <w:r>
              <w:t>4</w:t>
            </w:r>
            <w:r w:rsidRPr="001662F2">
              <w:t>%)</w:t>
            </w:r>
          </w:p>
        </w:tc>
        <w:tc>
          <w:tcPr>
            <w:tcW w:w="1666" w:type="pct"/>
            <w:tcBorders>
              <w:top w:val="single" w:sz="8" w:space="0" w:color="FFFFFF"/>
              <w:left w:val="nil"/>
              <w:bottom w:val="single" w:sz="12" w:space="0" w:color="FFFFFF"/>
              <w:right w:val="nil"/>
            </w:tcBorders>
            <w:shd w:val="clear" w:color="auto" w:fill="B8CCE4"/>
            <w:vAlign w:val="center"/>
            <w:hideMark/>
          </w:tcPr>
          <w:p w14:paraId="77FBA2C4" w14:textId="77777777" w:rsidR="00750577" w:rsidRPr="001662F2" w:rsidRDefault="00750577" w:rsidP="00FE54B6">
            <w:pPr>
              <w:pStyle w:val="TableText"/>
              <w:spacing w:before="60" w:after="60"/>
              <w:jc w:val="center"/>
            </w:pPr>
            <w:r w:rsidRPr="001662F2">
              <w:t>It offered the course I wanted to do (7</w:t>
            </w:r>
            <w:r>
              <w:t>5</w:t>
            </w:r>
            <w:r w:rsidRPr="001662F2">
              <w:t>%)</w:t>
            </w:r>
          </w:p>
        </w:tc>
      </w:tr>
      <w:tr w:rsidR="00750577" w:rsidRPr="001662F2" w14:paraId="5198C1EB" w14:textId="77777777" w:rsidTr="00FE54B6">
        <w:trPr>
          <w:cantSplit/>
          <w:trHeight w:val="663"/>
        </w:trPr>
        <w:tc>
          <w:tcPr>
            <w:tcW w:w="1667" w:type="pct"/>
            <w:tcBorders>
              <w:top w:val="nil"/>
              <w:left w:val="nil"/>
              <w:bottom w:val="single" w:sz="8" w:space="0" w:color="FFFFFF"/>
              <w:right w:val="single" w:sz="8" w:space="0" w:color="FFFFFF"/>
            </w:tcBorders>
            <w:shd w:val="clear" w:color="000000" w:fill="B8CCE4"/>
            <w:vAlign w:val="center"/>
            <w:hideMark/>
          </w:tcPr>
          <w:p w14:paraId="1E1D2D37" w14:textId="77777777" w:rsidR="00750577" w:rsidRPr="001662F2" w:rsidRDefault="00750577" w:rsidP="00FE54B6">
            <w:pPr>
              <w:pStyle w:val="TableText"/>
              <w:spacing w:before="60" w:after="60"/>
              <w:jc w:val="center"/>
            </w:pPr>
            <w:r w:rsidRPr="001662F2">
              <w:t>Good universities, research facilities and other educational resources are available in Australia (4</w:t>
            </w:r>
            <w:r>
              <w:t>8</w:t>
            </w:r>
            <w:r w:rsidRPr="001662F2">
              <w:t>%)</w:t>
            </w:r>
          </w:p>
        </w:tc>
        <w:tc>
          <w:tcPr>
            <w:tcW w:w="1667" w:type="pct"/>
            <w:tcBorders>
              <w:top w:val="nil"/>
              <w:left w:val="single" w:sz="8" w:space="0" w:color="FFFFFF"/>
              <w:bottom w:val="single" w:sz="8" w:space="0" w:color="FFFFFF"/>
              <w:right w:val="single" w:sz="8" w:space="0" w:color="FFFFFF"/>
            </w:tcBorders>
            <w:shd w:val="clear" w:color="000000" w:fill="B8CCE4"/>
            <w:vAlign w:val="center"/>
            <w:hideMark/>
          </w:tcPr>
          <w:p w14:paraId="605C6042" w14:textId="77777777" w:rsidR="00750577" w:rsidRPr="001662F2" w:rsidRDefault="00750577" w:rsidP="00FE54B6">
            <w:pPr>
              <w:pStyle w:val="TableText"/>
              <w:spacing w:before="60" w:after="60"/>
              <w:jc w:val="center"/>
            </w:pPr>
            <w:r w:rsidRPr="001662F2">
              <w:t>It is the most appropriate course for my future career plans (77%)</w:t>
            </w:r>
          </w:p>
        </w:tc>
        <w:tc>
          <w:tcPr>
            <w:tcW w:w="1666" w:type="pct"/>
            <w:tcBorders>
              <w:top w:val="nil"/>
              <w:left w:val="nil"/>
              <w:bottom w:val="single" w:sz="8" w:space="0" w:color="FFFFFF"/>
              <w:right w:val="nil"/>
            </w:tcBorders>
            <w:shd w:val="clear" w:color="000000" w:fill="B8CCE4"/>
            <w:vAlign w:val="center"/>
            <w:hideMark/>
          </w:tcPr>
          <w:p w14:paraId="52E5B68B" w14:textId="77777777" w:rsidR="00750577" w:rsidRPr="001662F2" w:rsidRDefault="00750577" w:rsidP="00FE54B6">
            <w:pPr>
              <w:pStyle w:val="TableText"/>
              <w:spacing w:before="60" w:after="60"/>
              <w:jc w:val="center"/>
            </w:pPr>
            <w:r w:rsidRPr="001662F2">
              <w:t>It has a good international reputation (7</w:t>
            </w:r>
            <w:r>
              <w:t>3</w:t>
            </w:r>
            <w:r w:rsidRPr="001662F2">
              <w:t>%)</w:t>
            </w:r>
          </w:p>
        </w:tc>
      </w:tr>
      <w:tr w:rsidR="00750577" w:rsidRPr="007E1980" w14:paraId="64BA8A6F" w14:textId="77777777" w:rsidTr="00FE54B6">
        <w:trPr>
          <w:cantSplit/>
          <w:trHeight w:val="520"/>
        </w:trPr>
        <w:tc>
          <w:tcPr>
            <w:tcW w:w="1667" w:type="pct"/>
            <w:tcBorders>
              <w:top w:val="nil"/>
              <w:left w:val="nil"/>
              <w:bottom w:val="nil"/>
              <w:right w:val="single" w:sz="8" w:space="0" w:color="FFFFFF"/>
            </w:tcBorders>
            <w:shd w:val="clear" w:color="000000" w:fill="B8CCE4"/>
            <w:vAlign w:val="center"/>
            <w:hideMark/>
          </w:tcPr>
          <w:p w14:paraId="6C5442E3" w14:textId="77777777" w:rsidR="00750577" w:rsidRPr="001662F2" w:rsidRDefault="00750577" w:rsidP="00FE54B6">
            <w:pPr>
              <w:pStyle w:val="TableText"/>
              <w:spacing w:before="60" w:after="60"/>
              <w:jc w:val="center"/>
            </w:pPr>
            <w:r w:rsidRPr="001662F2">
              <w:t>The education I receive will help me do my job better (3</w:t>
            </w:r>
            <w:r>
              <w:t>3</w:t>
            </w:r>
            <w:r w:rsidRPr="001662F2">
              <w:t>%)</w:t>
            </w:r>
          </w:p>
        </w:tc>
        <w:tc>
          <w:tcPr>
            <w:tcW w:w="1667" w:type="pct"/>
            <w:tcBorders>
              <w:top w:val="nil"/>
              <w:left w:val="single" w:sz="8" w:space="0" w:color="FFFFFF"/>
              <w:bottom w:val="nil"/>
              <w:right w:val="single" w:sz="8" w:space="0" w:color="FFFFFF"/>
            </w:tcBorders>
            <w:shd w:val="clear" w:color="000000" w:fill="B8CCE4"/>
            <w:vAlign w:val="center"/>
            <w:hideMark/>
          </w:tcPr>
          <w:p w14:paraId="7796FB98" w14:textId="77777777" w:rsidR="00750577" w:rsidRPr="001662F2" w:rsidRDefault="00750577" w:rsidP="00FE54B6">
            <w:pPr>
              <w:pStyle w:val="TableText"/>
              <w:spacing w:before="60" w:after="60"/>
              <w:jc w:val="center"/>
            </w:pPr>
            <w:r w:rsidRPr="001662F2">
              <w:t>It matched my personal area of interest (5</w:t>
            </w:r>
            <w:r>
              <w:t>3</w:t>
            </w:r>
            <w:r w:rsidRPr="001662F2">
              <w:t>%)</w:t>
            </w:r>
          </w:p>
        </w:tc>
        <w:tc>
          <w:tcPr>
            <w:tcW w:w="1666" w:type="pct"/>
            <w:tcBorders>
              <w:top w:val="nil"/>
              <w:left w:val="nil"/>
              <w:bottom w:val="nil"/>
              <w:right w:val="nil"/>
            </w:tcBorders>
            <w:shd w:val="clear" w:color="000000" w:fill="B8CCE4"/>
            <w:vAlign w:val="center"/>
            <w:hideMark/>
          </w:tcPr>
          <w:p w14:paraId="763EDD3E" w14:textId="77777777" w:rsidR="00750577" w:rsidRPr="001662F2" w:rsidRDefault="00750577" w:rsidP="00FE54B6">
            <w:pPr>
              <w:pStyle w:val="TableText"/>
              <w:spacing w:before="60" w:after="60"/>
              <w:jc w:val="center"/>
            </w:pPr>
            <w:r w:rsidRPr="001662F2">
              <w:t>I met the entry requirements (2</w:t>
            </w:r>
            <w:r>
              <w:t>1</w:t>
            </w:r>
            <w:r w:rsidRPr="001662F2">
              <w:t>%)</w:t>
            </w:r>
          </w:p>
        </w:tc>
      </w:tr>
    </w:tbl>
    <w:bookmarkEnd w:id="17"/>
    <w:p w14:paraId="241C21F2" w14:textId="77777777" w:rsidR="00750577" w:rsidRPr="0087718E" w:rsidRDefault="00750577" w:rsidP="00750577">
      <w:pPr>
        <w:keepNext/>
        <w:rPr>
          <w:rFonts w:cs="Arial"/>
        </w:rPr>
      </w:pPr>
      <w:r w:rsidRPr="001662F2">
        <w:rPr>
          <w:rFonts w:cs="Arial"/>
        </w:rPr>
        <w:t xml:space="preserve">Over one third (35%) of students had </w:t>
      </w:r>
      <w:r w:rsidRPr="001662F2">
        <w:rPr>
          <w:rFonts w:cs="Arial"/>
          <w:b/>
        </w:rPr>
        <w:t>applied for another scholarship program</w:t>
      </w:r>
      <w:r w:rsidRPr="001662F2">
        <w:rPr>
          <w:rFonts w:cs="Arial"/>
        </w:rPr>
        <w:t xml:space="preserve"> within the past two years. St</w:t>
      </w:r>
      <w:r w:rsidRPr="0087718E">
        <w:rPr>
          <w:rFonts w:cs="Arial"/>
        </w:rPr>
        <w:t>udent interest was mostly in relation to a government scholarship from:</w:t>
      </w:r>
    </w:p>
    <w:p w14:paraId="664F05B2" w14:textId="77777777" w:rsidR="00750577" w:rsidRPr="0087718E" w:rsidRDefault="00750577" w:rsidP="00750577">
      <w:pPr>
        <w:pStyle w:val="ListBullet"/>
      </w:pPr>
      <w:r w:rsidRPr="0087718E">
        <w:t>the New Zealand Development Scholarship (28%, with 27% of these being successful)</w:t>
      </w:r>
    </w:p>
    <w:p w14:paraId="009A7421" w14:textId="77777777" w:rsidR="00750577" w:rsidRPr="0087718E" w:rsidRDefault="00750577" w:rsidP="00750577">
      <w:pPr>
        <w:pStyle w:val="ListBullet"/>
      </w:pPr>
      <w:r w:rsidRPr="0087718E">
        <w:t>the British Chevening Scholarship (27%, with 2% of these being successful)</w:t>
      </w:r>
    </w:p>
    <w:p w14:paraId="4065D022" w14:textId="77777777" w:rsidR="00750577" w:rsidRPr="0087718E" w:rsidRDefault="00750577" w:rsidP="00750577">
      <w:pPr>
        <w:pStyle w:val="ListBullet"/>
      </w:pPr>
      <w:r w:rsidRPr="0087718E">
        <w:t>their home country (26%, with 34% of these being successful)</w:t>
      </w:r>
      <w:r>
        <w:t>,</w:t>
      </w:r>
      <w:r w:rsidRPr="0087718E">
        <w:t xml:space="preserve"> and/or</w:t>
      </w:r>
    </w:p>
    <w:p w14:paraId="1CEE8065" w14:textId="77777777" w:rsidR="00750577" w:rsidRPr="00187FE2" w:rsidRDefault="00750577" w:rsidP="00750577">
      <w:pPr>
        <w:pStyle w:val="ListBullet"/>
      </w:pPr>
      <w:r w:rsidRPr="00187FE2">
        <w:lastRenderedPageBreak/>
        <w:t>a Fulbright Scholarship (12%, with 4% of these being successful).</w:t>
      </w:r>
    </w:p>
    <w:p w14:paraId="04C0720B" w14:textId="77777777" w:rsidR="00750577" w:rsidRPr="00187FE2" w:rsidRDefault="00750577" w:rsidP="00750577">
      <w:pPr>
        <w:keepNext/>
        <w:rPr>
          <w:rFonts w:cs="Arial"/>
        </w:rPr>
      </w:pPr>
      <w:r w:rsidRPr="00187FE2">
        <w:rPr>
          <w:rFonts w:cs="Arial"/>
        </w:rPr>
        <w:t>New arrivals were generally positive in relation to their experiences in selecting and applying for an education course, as well as obtaining their Australia Award, with at least 79% giving a positive response on each application-related metric. New arrivals were most positive about their experiences in relation to:</w:t>
      </w:r>
    </w:p>
    <w:p w14:paraId="65E3D12F" w14:textId="77777777" w:rsidR="00750577" w:rsidRPr="00187FE2" w:rsidRDefault="00750577" w:rsidP="00750577">
      <w:pPr>
        <w:pStyle w:val="ListBullet"/>
      </w:pPr>
      <w:r w:rsidRPr="00187FE2">
        <w:t>finding useful information about courses and educational institutions in Australia (95%)</w:t>
      </w:r>
    </w:p>
    <w:p w14:paraId="6FDCD2F6" w14:textId="77777777" w:rsidR="00750577" w:rsidRPr="00187FE2" w:rsidRDefault="00750577" w:rsidP="00750577">
      <w:pPr>
        <w:pStyle w:val="ListBullet"/>
      </w:pPr>
      <w:r w:rsidRPr="00187FE2">
        <w:t>getting accepted (an offer letter) into an Australian educational institution (92%)</w:t>
      </w:r>
      <w:r>
        <w:t>,</w:t>
      </w:r>
      <w:r w:rsidRPr="00187FE2">
        <w:t xml:space="preserve"> and</w:t>
      </w:r>
    </w:p>
    <w:p w14:paraId="05960DDF" w14:textId="77777777" w:rsidR="00750577" w:rsidRPr="00187FE2" w:rsidRDefault="00750577" w:rsidP="00750577">
      <w:pPr>
        <w:pStyle w:val="ListBullet"/>
      </w:pPr>
      <w:r w:rsidRPr="00187FE2">
        <w:t>attending an IELTS or TOEFL test (91%).</w:t>
      </w:r>
    </w:p>
    <w:p w14:paraId="689EEA11" w14:textId="77777777" w:rsidR="00750577" w:rsidRPr="00187FE2" w:rsidRDefault="00750577" w:rsidP="00750577">
      <w:pPr>
        <w:keepNext/>
        <w:rPr>
          <w:rFonts w:cs="Arial"/>
        </w:rPr>
      </w:pPr>
      <w:r w:rsidRPr="00187FE2">
        <w:rPr>
          <w:rFonts w:cs="Arial"/>
        </w:rPr>
        <w:t>As with previous years, the least positive components of this experience were in relation to paying for (79%) and preparing for (82%) an IELTS or TOEFL test.</w:t>
      </w:r>
    </w:p>
    <w:p w14:paraId="28F18C74" w14:textId="77777777" w:rsidR="00183A59" w:rsidRPr="00805BC7" w:rsidRDefault="00183A59" w:rsidP="00F25704">
      <w:pPr>
        <w:pStyle w:val="Heading3"/>
      </w:pPr>
      <w:r w:rsidRPr="00596617">
        <w:rPr>
          <w:color w:val="215868" w:themeColor="accent5" w:themeShade="80"/>
        </w:rPr>
        <w:t xml:space="preserve">Preparing to come to </w:t>
      </w:r>
      <w:proofErr w:type="gramStart"/>
      <w:r w:rsidRPr="00596617">
        <w:rPr>
          <w:color w:val="215868" w:themeColor="accent5" w:themeShade="80"/>
        </w:rPr>
        <w:t>Australia</w:t>
      </w:r>
      <w:proofErr w:type="gramEnd"/>
    </w:p>
    <w:p w14:paraId="34DC22B9" w14:textId="77777777" w:rsidR="00750577" w:rsidRPr="00F44346" w:rsidRDefault="00750577" w:rsidP="00750577">
      <w:bookmarkStart w:id="18" w:name="_Hlk534814889"/>
      <w:r w:rsidRPr="00F44346">
        <w:t>Most students (95%) were satisfied with their preparation for coming to Australia (in line with 96% in 2019).</w:t>
      </w:r>
    </w:p>
    <w:p w14:paraId="7C2CD72A" w14:textId="77777777" w:rsidR="00750577" w:rsidRPr="006967E2" w:rsidRDefault="00750577" w:rsidP="00750577">
      <w:pPr>
        <w:pStyle w:val="ListBullet"/>
      </w:pPr>
      <w:r w:rsidRPr="00F44346">
        <w:t>Most students found the resources they accessed in preparation for living and studying in Australia useful. Specifically, 86% of new arrivals found Australia Awards website and institution website useful, while 79% fou</w:t>
      </w:r>
      <w:r w:rsidRPr="006967E2">
        <w:t>nd the relevant DFAT website and/or speaking to alumni useful.</w:t>
      </w:r>
    </w:p>
    <w:p w14:paraId="5F475CCB" w14:textId="77777777" w:rsidR="00750577" w:rsidRPr="00D25D11" w:rsidRDefault="00750577" w:rsidP="00750577">
      <w:pPr>
        <w:pStyle w:val="ListBullet2"/>
        <w:tabs>
          <w:tab w:val="clear" w:pos="851"/>
          <w:tab w:val="left" w:pos="1418"/>
        </w:tabs>
        <w:ind w:left="1276" w:hanging="425"/>
      </w:pPr>
      <w:r w:rsidRPr="00D25D11">
        <w:t>Students were most likely to have found these resources useful for providing information relating to conditions of the Australia Awards (95%), visa requirements (92%), course information (84%) and campus location (</w:t>
      </w:r>
      <w:r>
        <w:t>8</w:t>
      </w:r>
      <w:r w:rsidRPr="00D25D11">
        <w:t>4%), and least likely to find them useful regarding employment opportunities for either themselves (47%) or their spouse (51%).</w:t>
      </w:r>
    </w:p>
    <w:p w14:paraId="4FBFBF5F" w14:textId="77777777" w:rsidR="00750577" w:rsidRPr="00D25D11" w:rsidRDefault="00750577" w:rsidP="00750577">
      <w:pPr>
        <w:pStyle w:val="ListBullet"/>
      </w:pPr>
      <w:r w:rsidRPr="006967E2">
        <w:t>Attendance at the Australia Awards Pre-Departure Briefing remained high in 2020 (97%), as did the proportion of students who reported using a copy of the Scholarships Policy Handbook (94%), Australia Awards Pre-Departure Guidebook (87%). Students were less lik</w:t>
      </w:r>
      <w:r w:rsidRPr="00D25D11">
        <w:t>ely to use the Australia Awards Pre-Departure DVD (40%, lower than in any previous year, and down from 57% in 2019). Less than 1% of students did not use any of these resources.</w:t>
      </w:r>
    </w:p>
    <w:p w14:paraId="0A1D815F" w14:textId="77777777" w:rsidR="00750577" w:rsidRPr="00C92B2A" w:rsidRDefault="00750577" w:rsidP="00750577">
      <w:pPr>
        <w:pStyle w:val="ListBullet"/>
      </w:pPr>
      <w:r w:rsidRPr="00D25D11">
        <w:t xml:space="preserve">For each of </w:t>
      </w:r>
      <w:r w:rsidRPr="00C92B2A">
        <w:t>these resources, 95-97% of those who used them found them useful. Further, 92% of students agreed that the information provided by these resources reflected their experiences on arriving in Australia.</w:t>
      </w:r>
    </w:p>
    <w:p w14:paraId="28F8D588" w14:textId="77777777" w:rsidR="00750577" w:rsidRPr="00C92B2A" w:rsidRDefault="00750577" w:rsidP="00750577">
      <w:pPr>
        <w:pStyle w:val="ListBullet2"/>
        <w:tabs>
          <w:tab w:val="clear" w:pos="851"/>
          <w:tab w:val="left" w:pos="1418"/>
        </w:tabs>
        <w:ind w:left="1276" w:hanging="425"/>
      </w:pPr>
      <w:r w:rsidRPr="00C92B2A">
        <w:t>Students were more likely to have found the Pre-Departure resources useful as sources of information relating to their Australia Awards entitlements, responsibilities and obligations (95%), Australia Awards contract (94%), and their arrival in Australia (94%).</w:t>
      </w:r>
    </w:p>
    <w:p w14:paraId="6D2488D6" w14:textId="77777777" w:rsidR="00750577" w:rsidRPr="00CC14C4" w:rsidRDefault="00750577" w:rsidP="00750577">
      <w:r w:rsidRPr="00C92B2A">
        <w:t>Students had positive experiences preparing to come to Australia, especially in obtaining a visa (92%), making travel arrangements to come to Australia (90%) and making financial arrangements (85%).</w:t>
      </w:r>
    </w:p>
    <w:bookmarkEnd w:id="18"/>
    <w:p w14:paraId="527EC6BC" w14:textId="760B08D3" w:rsidR="003B6802" w:rsidRPr="00805BC7" w:rsidRDefault="003B6802" w:rsidP="00F25704">
      <w:pPr>
        <w:pStyle w:val="Heading3"/>
      </w:pPr>
      <w:r w:rsidRPr="00596617">
        <w:rPr>
          <w:color w:val="215868" w:themeColor="accent5" w:themeShade="80"/>
        </w:rPr>
        <w:t>Studying and living in Australia</w:t>
      </w:r>
    </w:p>
    <w:p w14:paraId="205E7C5E" w14:textId="37EA95A5" w:rsidR="00750577" w:rsidRPr="00750577" w:rsidRDefault="00750577" w:rsidP="00750577">
      <w:r w:rsidRPr="00C92B2A">
        <w:t>Students were asked to indicate their living and studying experiences whilst in Australia by rating their level of agreement with a range of statements relating to general living expe</w:t>
      </w:r>
      <w:r w:rsidRPr="002A64D8">
        <w:t xml:space="preserve">riences, studying and financial components. </w:t>
      </w:r>
      <w:hyperlink w:anchor="_Appendix_B:_Detailed" w:history="1">
        <w:r w:rsidRPr="002A64D8">
          <w:t>Appendix B</w:t>
        </w:r>
      </w:hyperlink>
      <w:r w:rsidRPr="002A64D8">
        <w:t xml:space="preserve"> provides</w:t>
      </w:r>
      <w:r w:rsidRPr="002A64D8">
        <w:rPr>
          <w:rFonts w:cs="Arial"/>
        </w:rPr>
        <w:t xml:space="preserve"> a more detailed overview of these topics by region, post, country and institution.</w:t>
      </w:r>
    </w:p>
    <w:p w14:paraId="36D23BAF" w14:textId="32E42BBB" w:rsidR="00750577" w:rsidRDefault="00750577" w:rsidP="00750577">
      <w:pPr>
        <w:pStyle w:val="ListBullet"/>
      </w:pPr>
      <w:r w:rsidRPr="002A64D8">
        <w:t xml:space="preserve">In terms of students’ </w:t>
      </w:r>
      <w:r w:rsidRPr="002A64D8">
        <w:rPr>
          <w:b/>
        </w:rPr>
        <w:t>general living and studying experience</w:t>
      </w:r>
      <w:r w:rsidRPr="002A64D8">
        <w:t xml:space="preserve">, the majority of new arrivals and ongoing students (95% and 92% respectively) agreed that they have been able to cover their basic needs, with a lower proportion reporting that they have been able to achieve a reasonable standard of living (74% for each cohort). Aside from being </w:t>
      </w:r>
      <w:r w:rsidRPr="002A64D8">
        <w:lastRenderedPageBreak/>
        <w:t>marginally less positive regarding their ability to meet basic needs, ongoing students were more positive regarding all facets of their general living and studying experiences.</w:t>
      </w:r>
    </w:p>
    <w:p w14:paraId="31621DB4" w14:textId="0ADB428B" w:rsidR="00183A59" w:rsidRPr="00750577" w:rsidRDefault="00183A59" w:rsidP="00750577">
      <w:pPr>
        <w:pStyle w:val="FigureHeading"/>
      </w:pPr>
      <w:r w:rsidRPr="00750577">
        <w:t xml:space="preserve">Satisfaction with general living and studying </w:t>
      </w:r>
      <w:proofErr w:type="gramStart"/>
      <w:r w:rsidRPr="00750577">
        <w:t>experiences</w:t>
      </w:r>
      <w:proofErr w:type="gramEnd"/>
    </w:p>
    <w:p w14:paraId="6037DDCE" w14:textId="54C5DA45" w:rsidR="00284018" w:rsidRPr="00750577" w:rsidRDefault="00750577" w:rsidP="00284018">
      <w:pPr>
        <w:spacing w:after="240"/>
      </w:pPr>
      <w:r w:rsidRPr="00750577">
        <w:rPr>
          <w:noProof/>
        </w:rPr>
        <w:drawing>
          <wp:inline distT="0" distB="0" distL="0" distR="0" wp14:anchorId="65884293" wp14:editId="7AFE8788">
            <wp:extent cx="5731510" cy="1522531"/>
            <wp:effectExtent l="0" t="0" r="2540" b="0"/>
            <wp:docPr id="125" name="Picture 125" descr="This chart shows the percentage rate in terms of all students surveyed with general living and studying experience. More detail is provided in the paragraph abo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This chart shows the percentage rate in terms of all students surveyed with general living and studying experience. More detail is provided in the paragraph above.">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522531"/>
                    </a:xfrm>
                    <a:prstGeom prst="rect">
                      <a:avLst/>
                    </a:prstGeom>
                    <a:noFill/>
                    <a:ln>
                      <a:noFill/>
                    </a:ln>
                  </pic:spPr>
                </pic:pic>
              </a:graphicData>
            </a:graphic>
          </wp:inline>
        </w:drawing>
      </w:r>
    </w:p>
    <w:p w14:paraId="017CC5A0" w14:textId="77777777" w:rsidR="006A50EF" w:rsidRPr="00750577" w:rsidRDefault="006A50EF" w:rsidP="006A50EF">
      <w:pPr>
        <w:spacing w:after="240"/>
      </w:pPr>
      <w:r w:rsidRPr="00750577">
        <w:t xml:space="preserve">Both new arrivals and ongoing students viewed their </w:t>
      </w:r>
      <w:r w:rsidRPr="00750577">
        <w:rPr>
          <w:b/>
        </w:rPr>
        <w:t>studying experiences</w:t>
      </w:r>
      <w:r w:rsidRPr="00750577">
        <w:t xml:space="preserve"> positively, specifically in relation to understanding or using English, the academic requirements of their course, and approaching teachers and other staff. Ongoing students were more positive regarding all aspects of their studying experiences.</w:t>
      </w:r>
    </w:p>
    <w:p w14:paraId="2AB63888" w14:textId="3A1C260B" w:rsidR="006A50EF" w:rsidRPr="00750577" w:rsidRDefault="006A50EF" w:rsidP="006A50EF">
      <w:pPr>
        <w:jc w:val="center"/>
        <w:rPr>
          <w:b/>
          <w:bCs/>
        </w:rPr>
      </w:pPr>
      <w:r w:rsidRPr="00750577">
        <w:rPr>
          <w:b/>
          <w:bCs/>
        </w:rPr>
        <w:t>Satisfaction with studying experiences</w:t>
      </w:r>
    </w:p>
    <w:p w14:paraId="2FDD129C" w14:textId="727BA5A8" w:rsidR="00D24A72" w:rsidRPr="00D24A72" w:rsidRDefault="00750577" w:rsidP="00750577">
      <w:pPr>
        <w:spacing w:after="240"/>
      </w:pPr>
      <w:r w:rsidRPr="00FD088F">
        <w:rPr>
          <w:noProof/>
        </w:rPr>
        <w:drawing>
          <wp:inline distT="0" distB="0" distL="0" distR="0" wp14:anchorId="5B082765" wp14:editId="4D8BDEA8">
            <wp:extent cx="5731510" cy="1521585"/>
            <wp:effectExtent l="0" t="0" r="2540" b="0"/>
            <wp:docPr id="126" name="Picture 126" descr="This chart shows the satisfaction with studying experiences matching the description provided in the above paragrap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This chart shows the satisfaction with studying experiences matching the description provided in the above paragraph.">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1521585"/>
                    </a:xfrm>
                    <a:prstGeom prst="rect">
                      <a:avLst/>
                    </a:prstGeom>
                    <a:noFill/>
                    <a:ln>
                      <a:noFill/>
                    </a:ln>
                  </pic:spPr>
                </pic:pic>
              </a:graphicData>
            </a:graphic>
          </wp:inline>
        </w:drawing>
      </w:r>
      <w:r w:rsidRPr="00FD088F">
        <w:t xml:space="preserve">Despite variation in values, new arrivals and ongoing students ordered the quality of their top </w:t>
      </w:r>
      <w:r w:rsidRPr="00FD088F">
        <w:rPr>
          <w:b/>
          <w:bCs/>
        </w:rPr>
        <w:t>financial experiences</w:t>
      </w:r>
      <w:r w:rsidRPr="00FD088F">
        <w:t xml:space="preserve"> similarly, with both groups viewing particularly positive their experience obtaining correct and timely payments of their Australia Awards allowance, navigating Australian financial and banking systems and finding affordable contracts for services. Ongoing students found all aspects of their financial experiences either equally or more positive than new arrivals, except for the cost of living in Australia.</w:t>
      </w:r>
    </w:p>
    <w:p w14:paraId="09A2DC06" w14:textId="5901EE34" w:rsidR="006A50EF" w:rsidRPr="00750577" w:rsidRDefault="006A50EF" w:rsidP="007D4191">
      <w:pPr>
        <w:keepNext/>
        <w:jc w:val="center"/>
        <w:rPr>
          <w:b/>
          <w:bCs/>
        </w:rPr>
      </w:pPr>
      <w:r w:rsidRPr="00750577">
        <w:rPr>
          <w:b/>
          <w:bCs/>
        </w:rPr>
        <w:t>Satisfaction with financial experiences</w:t>
      </w:r>
    </w:p>
    <w:p w14:paraId="08457C34" w14:textId="116AEE19" w:rsidR="00284018" w:rsidRPr="00DE7D60" w:rsidRDefault="00750577" w:rsidP="00284018">
      <w:pPr>
        <w:spacing w:after="240"/>
        <w:rPr>
          <w:highlight w:val="yellow"/>
        </w:rPr>
      </w:pPr>
      <w:r w:rsidRPr="00EE6877">
        <w:rPr>
          <w:noProof/>
        </w:rPr>
        <w:drawing>
          <wp:inline distT="0" distB="0" distL="0" distR="0" wp14:anchorId="4E3CED34" wp14:editId="00A9F800">
            <wp:extent cx="5367130" cy="1424747"/>
            <wp:effectExtent l="0" t="0" r="5080" b="0"/>
            <wp:docPr id="127" name="Picture 127" descr="This chart provides a visual image of the satisfaction with financial experiences as detailed in the above paragrap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This chart provides a visual image of the satisfaction with financial experiences as detailed in the above paragraph.">
                      <a:extLst>
                        <a:ext uri="{C183D7F6-B498-43B3-948B-1728B52AA6E4}">
                          <adec:decorative xmlns:adec="http://schemas.microsoft.com/office/drawing/2017/decorative" val="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4225" cy="1426630"/>
                    </a:xfrm>
                    <a:prstGeom prst="rect">
                      <a:avLst/>
                    </a:prstGeom>
                    <a:noFill/>
                    <a:ln>
                      <a:noFill/>
                    </a:ln>
                  </pic:spPr>
                </pic:pic>
              </a:graphicData>
            </a:graphic>
          </wp:inline>
        </w:drawing>
      </w:r>
    </w:p>
    <w:p w14:paraId="35B584B3" w14:textId="77777777" w:rsidR="00750577" w:rsidRPr="0054630B" w:rsidRDefault="00750577" w:rsidP="00750577">
      <w:r w:rsidRPr="00A84620">
        <w:t>Around one in five new arrivals (18%) and ongoing students (</w:t>
      </w:r>
      <w:r>
        <w:t>19</w:t>
      </w:r>
      <w:r w:rsidRPr="00A84620">
        <w:t>%) indicated they had experienced discrimination. Instances of discrimination have been generally decreasing since 2013 (when rates of discrimination were 19% and 29% respectively), although the reported rate among new arrivals represents a reversion from the historical low of 14% in 2019. In additions, 22% of n</w:t>
      </w:r>
      <w:r w:rsidRPr="0054630B">
        <w:t xml:space="preserve">ew arrivals and 25% ongoing students indicated they had </w:t>
      </w:r>
      <w:r w:rsidRPr="0054630B">
        <w:rPr>
          <w:i/>
          <w:iCs/>
        </w:rPr>
        <w:t>witnessed</w:t>
      </w:r>
      <w:r w:rsidRPr="0054630B">
        <w:t xml:space="preserve"> discrimination.</w:t>
      </w:r>
    </w:p>
    <w:p w14:paraId="0FB0A66A" w14:textId="77777777" w:rsidR="00750577" w:rsidRPr="0054630B" w:rsidRDefault="00750577" w:rsidP="00750577">
      <w:r w:rsidRPr="0054630B">
        <w:t>Of students who had experienced discrimination, 6% of new arrivals (similar to 7% in 2019) and 10% of ongoing students (up from 7% in 2019) indicated this affected them ‘a lot’.</w:t>
      </w:r>
    </w:p>
    <w:p w14:paraId="06ECECC1" w14:textId="77777777" w:rsidR="00750577" w:rsidRPr="0054630B" w:rsidRDefault="00750577" w:rsidP="00750577">
      <w:r w:rsidRPr="0054630B">
        <w:lastRenderedPageBreak/>
        <w:t xml:space="preserve">While most ongoing students who experienced and/or witnessed discrimination reported that it had no adverse effect on their attitude towards Australia (74%, compared to 70% in 2019), </w:t>
      </w:r>
      <w:r>
        <w:t>one in five</w:t>
      </w:r>
      <w:r w:rsidRPr="0054630B">
        <w:t xml:space="preserve"> (</w:t>
      </w:r>
      <w:r>
        <w:t xml:space="preserve">20% </w:t>
      </w:r>
      <w:r w:rsidRPr="0054630B">
        <w:t>compared to 21% in 2019) reporting that it has disheartened their views about Australia. New arrivals were less likely to report no adverse effect (66%) and more likely to indicate being disheartened (24%)—in both cases</w:t>
      </w:r>
      <w:r>
        <w:t>,</w:t>
      </w:r>
      <w:r w:rsidRPr="0054630B">
        <w:t xml:space="preserve"> less positive results than in 2019 (71% and 20% respectively).</w:t>
      </w:r>
    </w:p>
    <w:p w14:paraId="5B24D5B3" w14:textId="1F9CEF57" w:rsidR="003B6802" w:rsidRPr="00805BC7" w:rsidRDefault="00355927" w:rsidP="00F25704">
      <w:pPr>
        <w:pStyle w:val="Heading3"/>
      </w:pPr>
      <w:r w:rsidRPr="00596617">
        <w:rPr>
          <w:color w:val="215868" w:themeColor="accent5" w:themeShade="80"/>
        </w:rPr>
        <w:t>F</w:t>
      </w:r>
      <w:r w:rsidR="003B6802" w:rsidRPr="00596617">
        <w:rPr>
          <w:color w:val="215868" w:themeColor="accent5" w:themeShade="80"/>
        </w:rPr>
        <w:t>acilities</w:t>
      </w:r>
      <w:r w:rsidRPr="00596617">
        <w:rPr>
          <w:color w:val="215868" w:themeColor="accent5" w:themeShade="80"/>
        </w:rPr>
        <w:t xml:space="preserve"> and Services</w:t>
      </w:r>
      <w:r w:rsidR="003B6802" w:rsidRPr="00596617">
        <w:rPr>
          <w:color w:val="215868" w:themeColor="accent5" w:themeShade="80"/>
        </w:rPr>
        <w:t xml:space="preserve"> at Australian educational institutions</w:t>
      </w:r>
    </w:p>
    <w:p w14:paraId="46055D15" w14:textId="77777777" w:rsidR="00750577" w:rsidRPr="00C4217C" w:rsidRDefault="00750577" w:rsidP="00750577">
      <w:pPr>
        <w:rPr>
          <w:rFonts w:cs="Arial"/>
        </w:rPr>
      </w:pPr>
      <w:r w:rsidRPr="00C4217C">
        <w:rPr>
          <w:rFonts w:cs="Arial"/>
        </w:rPr>
        <w:t>Consistent with 2019 findings, nearly all students were satisfied with most of the facilities and services provided at their institution. Levels of satisfaction were broadly similar between new arrivals and ongoing students. The greatest difference</w:t>
      </w:r>
      <w:r>
        <w:rPr>
          <w:rFonts w:cs="Arial"/>
        </w:rPr>
        <w:t xml:space="preserve"> (five percentage points)</w:t>
      </w:r>
      <w:r w:rsidRPr="00C4217C">
        <w:rPr>
          <w:rFonts w:cs="Arial"/>
        </w:rPr>
        <w:t xml:space="preserve"> related to the least-used</w:t>
      </w:r>
      <w:r>
        <w:rPr>
          <w:rFonts w:cs="Arial"/>
        </w:rPr>
        <w:t xml:space="preserve"> </w:t>
      </w:r>
      <w:r w:rsidRPr="00C4217C">
        <w:rPr>
          <w:rFonts w:cs="Arial"/>
        </w:rPr>
        <w:t>service, legal advice.</w:t>
      </w:r>
    </w:p>
    <w:p w14:paraId="1A15EA7F" w14:textId="385F54DD" w:rsidR="00142BC4" w:rsidRDefault="006E2CAA" w:rsidP="008A6C8D">
      <w:pPr>
        <w:rPr>
          <w:rFonts w:cs="Arial"/>
        </w:rPr>
      </w:pPr>
      <w:r w:rsidRPr="00C4217C">
        <w:rPr>
          <w:rFonts w:cs="Arial"/>
        </w:rPr>
        <w:t>Satisfaction levels were 90% or higher amongst new arrivals and ongoing students across five of the facilities/services listed: library, computer facilities, computer skills, academic skills services, international student support</w:t>
      </w:r>
      <w:r>
        <w:rPr>
          <w:rFonts w:cs="Arial"/>
        </w:rPr>
        <w:t xml:space="preserve"> services, and </w:t>
      </w:r>
      <w:r w:rsidRPr="00C4217C">
        <w:rPr>
          <w:rFonts w:cs="Arial"/>
        </w:rPr>
        <w:t>Student Contact Officer</w:t>
      </w:r>
      <w:r>
        <w:rPr>
          <w:rFonts w:cs="Arial"/>
        </w:rPr>
        <w:t xml:space="preserve">; and </w:t>
      </w:r>
      <w:bookmarkStart w:id="19" w:name="_Hlk65063767"/>
      <w:r>
        <w:rPr>
          <w:rFonts w:cs="Arial"/>
        </w:rPr>
        <w:t>a sixth service (health) received 90% satisfaction among ongoing students only (89% among new arrivals). Least well-rated services were childcare (64% new arrivals, 66% ongoing students) and legal advice (69% new arrivals, 74% ongoing students).</w:t>
      </w:r>
      <w:bookmarkEnd w:id="19"/>
    </w:p>
    <w:p w14:paraId="41944740" w14:textId="697C21F5" w:rsidR="006A50EF" w:rsidRPr="00142BC4" w:rsidRDefault="006A50EF" w:rsidP="006A50EF">
      <w:pPr>
        <w:jc w:val="center"/>
        <w:rPr>
          <w:b/>
          <w:bCs/>
        </w:rPr>
      </w:pPr>
      <w:r w:rsidRPr="00142BC4">
        <w:rPr>
          <w:b/>
          <w:bCs/>
        </w:rPr>
        <w:t>Satisfaction with educational facilities and services</w:t>
      </w:r>
    </w:p>
    <w:p w14:paraId="2A81F4CD" w14:textId="4C37E29B" w:rsidR="006A50EF" w:rsidRPr="00DE7D60" w:rsidRDefault="00142BC4" w:rsidP="006A50EF">
      <w:pPr>
        <w:rPr>
          <w:rFonts w:cs="Arial"/>
          <w:highlight w:val="yellow"/>
        </w:rPr>
      </w:pPr>
      <w:r w:rsidRPr="00EE6877">
        <w:rPr>
          <w:noProof/>
        </w:rPr>
        <w:drawing>
          <wp:inline distT="0" distB="0" distL="0" distR="0" wp14:anchorId="16FD314C" wp14:editId="6785B9F8">
            <wp:extent cx="5731510" cy="1424028"/>
            <wp:effectExtent l="0" t="0" r="2540" b="5080"/>
            <wp:docPr id="128" name="Picture 128" descr="This chart provides a visual image of the satisfaction with educational facilities and services by ongoing and new students. This is provided in more detail in the paragraphs follow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This chart provides a visual image of the satisfaction with educational facilities and services by ongoing and new students. This is provided in more detail in the paragraphs following.">
                      <a:extLst>
                        <a:ext uri="{C183D7F6-B498-43B3-948B-1728B52AA6E4}">
                          <adec:decorative xmlns:adec="http://schemas.microsoft.com/office/drawing/2017/decorative" val="0"/>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6365"/>
                    <a:stretch/>
                  </pic:blipFill>
                  <pic:spPr bwMode="auto">
                    <a:xfrm>
                      <a:off x="0" y="0"/>
                      <a:ext cx="5731510" cy="1424028"/>
                    </a:xfrm>
                    <a:prstGeom prst="rect">
                      <a:avLst/>
                    </a:prstGeom>
                    <a:noFill/>
                    <a:ln>
                      <a:noFill/>
                    </a:ln>
                    <a:extLst>
                      <a:ext uri="{53640926-AAD7-44D8-BBD7-CCE9431645EC}">
                        <a14:shadowObscured xmlns:a14="http://schemas.microsoft.com/office/drawing/2010/main"/>
                      </a:ext>
                    </a:extLst>
                  </pic:spPr>
                </pic:pic>
              </a:graphicData>
            </a:graphic>
          </wp:inline>
        </w:drawing>
      </w:r>
    </w:p>
    <w:p w14:paraId="06E27D26" w14:textId="77777777" w:rsidR="00142BC4" w:rsidRPr="002D47CB" w:rsidRDefault="00142BC4" w:rsidP="007D4191">
      <w:pPr>
        <w:keepNext/>
        <w:rPr>
          <w:rFonts w:cs="Arial"/>
        </w:rPr>
      </w:pPr>
      <w:r w:rsidRPr="002D47CB">
        <w:rPr>
          <w:rFonts w:cs="Arial"/>
        </w:rPr>
        <w:t>A</w:t>
      </w:r>
      <w:r>
        <w:rPr>
          <w:rFonts w:cs="Arial"/>
        </w:rPr>
        <w:t>m</w:t>
      </w:r>
      <w:r w:rsidRPr="002D47CB">
        <w:rPr>
          <w:rFonts w:cs="Arial"/>
        </w:rPr>
        <w:t>o</w:t>
      </w:r>
      <w:r>
        <w:rPr>
          <w:rFonts w:cs="Arial"/>
        </w:rPr>
        <w:t>ng</w:t>
      </w:r>
      <w:r w:rsidRPr="002D47CB">
        <w:rPr>
          <w:rFonts w:cs="Arial"/>
        </w:rPr>
        <w:t>st ongoing students, 95% were satisfied with the quality of their institution, and 90% were satisfied with the quality of their course/research supervision.</w:t>
      </w:r>
    </w:p>
    <w:p w14:paraId="39E7C4D7" w14:textId="77777777" w:rsidR="00142BC4" w:rsidRPr="001D5665" w:rsidRDefault="00142BC4" w:rsidP="001D5665">
      <w:pPr>
        <w:pStyle w:val="ListBullet"/>
      </w:pPr>
      <w:r w:rsidRPr="001D5665">
        <w:t>93% of ongoing students agreed that they had chosen the right educational institution, and the same proportion felt that they had chosen the right course or research topic.</w:t>
      </w:r>
    </w:p>
    <w:p w14:paraId="0B774220" w14:textId="77777777" w:rsidR="00142BC4" w:rsidRPr="002D47CB" w:rsidRDefault="00142BC4" w:rsidP="00142BC4">
      <w:pPr>
        <w:rPr>
          <w:rFonts w:cs="Arial"/>
        </w:rPr>
      </w:pPr>
      <w:r>
        <w:rPr>
          <w:rFonts w:cs="Arial"/>
        </w:rPr>
        <w:t>As in 2019, s</w:t>
      </w:r>
      <w:r w:rsidRPr="002D47CB">
        <w:rPr>
          <w:rFonts w:cs="Arial"/>
        </w:rPr>
        <w:t>tudents were highly satisfied with their course, agreeing that their course was:</w:t>
      </w:r>
    </w:p>
    <w:p w14:paraId="79308D2E" w14:textId="77777777" w:rsidR="00142BC4" w:rsidRPr="00B07529" w:rsidRDefault="00142BC4" w:rsidP="00142BC4">
      <w:pPr>
        <w:pStyle w:val="ListBullet"/>
      </w:pPr>
      <w:r w:rsidRPr="002D47CB">
        <w:t xml:space="preserve">current (96% of both new arrivals </w:t>
      </w:r>
      <w:r w:rsidRPr="00B07529">
        <w:t>and ongoing students)</w:t>
      </w:r>
    </w:p>
    <w:p w14:paraId="56A50975" w14:textId="77777777" w:rsidR="00142BC4" w:rsidRPr="00B07529" w:rsidRDefault="00142BC4" w:rsidP="00142BC4">
      <w:pPr>
        <w:pStyle w:val="ListBullet"/>
      </w:pPr>
      <w:r w:rsidRPr="00B07529">
        <w:t>well designed (91% of new arrivals and 92% of ongoing students)</w:t>
      </w:r>
      <w:r>
        <w:t>,</w:t>
      </w:r>
      <w:r w:rsidRPr="00B07529">
        <w:t xml:space="preserve"> and</w:t>
      </w:r>
    </w:p>
    <w:p w14:paraId="1468AF23" w14:textId="77777777" w:rsidR="00142BC4" w:rsidRPr="00B07529" w:rsidRDefault="00142BC4" w:rsidP="00142BC4">
      <w:pPr>
        <w:pStyle w:val="ListBullet"/>
      </w:pPr>
      <w:r w:rsidRPr="00B07529">
        <w:t>aligned with the learning and development outcomes they sought (91% of new arrivals and 92% of ongoing students).</w:t>
      </w:r>
    </w:p>
    <w:p w14:paraId="0F139F32" w14:textId="77777777" w:rsidR="00142BC4" w:rsidRPr="00B07529" w:rsidRDefault="00142BC4" w:rsidP="00142BC4">
      <w:r>
        <w:t>New arrivals</w:t>
      </w:r>
      <w:r w:rsidRPr="00B07529">
        <w:t xml:space="preserve"> were less likely than in previous years to feel that their course had a good balance </w:t>
      </w:r>
      <w:r w:rsidRPr="00B07529">
        <w:rPr>
          <w:rFonts w:cs="Arial"/>
        </w:rPr>
        <w:t>of</w:t>
      </w:r>
      <w:r w:rsidRPr="00B07529">
        <w:t xml:space="preserve"> theoretical and practical components (81%, down from 91% in 2019), although among ongoing students this had fallen only marginally (85%, similar to 87% in 2019).</w:t>
      </w:r>
    </w:p>
    <w:p w14:paraId="7ECEED98" w14:textId="77777777" w:rsidR="00142BC4" w:rsidRPr="00171A37" w:rsidRDefault="00142BC4" w:rsidP="00142BC4">
      <w:pPr>
        <w:rPr>
          <w:rFonts w:cs="Arial"/>
        </w:rPr>
      </w:pPr>
      <w:r w:rsidRPr="00171A37">
        <w:rPr>
          <w:rFonts w:cs="Arial"/>
        </w:rPr>
        <w:t>Most new arrivals (rounding to 100%) participated in an Introductory Academic Program (IAP); and of these, 95% were satisfied with the program. The three topics found most useful in IAPs were:</w:t>
      </w:r>
    </w:p>
    <w:p w14:paraId="637DD568" w14:textId="77777777" w:rsidR="00142BC4" w:rsidRPr="00171A37" w:rsidRDefault="00142BC4" w:rsidP="00142BC4">
      <w:pPr>
        <w:pStyle w:val="ListBullet"/>
      </w:pPr>
      <w:r w:rsidRPr="00171A37">
        <w:t>plagiarism and referencing (96%)</w:t>
      </w:r>
    </w:p>
    <w:p w14:paraId="6D70D3EA" w14:textId="77777777" w:rsidR="00142BC4" w:rsidRPr="00171A37" w:rsidRDefault="00142BC4" w:rsidP="00142BC4">
      <w:pPr>
        <w:pStyle w:val="ListBullet"/>
      </w:pPr>
      <w:r w:rsidRPr="00171A37">
        <w:t>introduction and orientation to the educational institution’s campus (95%)</w:t>
      </w:r>
      <w:r>
        <w:t>,</w:t>
      </w:r>
      <w:r w:rsidRPr="00171A37">
        <w:t xml:space="preserve"> and</w:t>
      </w:r>
    </w:p>
    <w:p w14:paraId="1C7EAFBF" w14:textId="77777777" w:rsidR="00142BC4" w:rsidRPr="00171A37" w:rsidRDefault="00142BC4" w:rsidP="00142BC4">
      <w:pPr>
        <w:pStyle w:val="ListBullet"/>
      </w:pPr>
      <w:r w:rsidRPr="00171A37">
        <w:t>study skills and general academic skills (93%).</w:t>
      </w:r>
    </w:p>
    <w:p w14:paraId="507E13B9" w14:textId="565F3301" w:rsidR="003B6802" w:rsidRPr="00805BC7" w:rsidRDefault="003B6802" w:rsidP="00F25704">
      <w:pPr>
        <w:pStyle w:val="Heading3"/>
      </w:pPr>
      <w:r w:rsidRPr="00596617">
        <w:rPr>
          <w:color w:val="215868" w:themeColor="accent5" w:themeShade="80"/>
        </w:rPr>
        <w:lastRenderedPageBreak/>
        <w:t>Entitlements and other assistance</w:t>
      </w:r>
    </w:p>
    <w:p w14:paraId="1B3E0817" w14:textId="77777777" w:rsidR="00142BC4" w:rsidRPr="00B62370" w:rsidRDefault="00142BC4" w:rsidP="00142BC4">
      <w:pPr>
        <w:spacing w:before="120"/>
      </w:pPr>
      <w:r w:rsidRPr="00B62370">
        <w:t xml:space="preserve">Most new arrivals (93%) and ongoing students (92%) reported that they were satisfied with the </w:t>
      </w:r>
      <w:r w:rsidRPr="00B62370">
        <w:rPr>
          <w:b/>
        </w:rPr>
        <w:t>entitlements and other assistance</w:t>
      </w:r>
      <w:r w:rsidRPr="00B62370">
        <w:t xml:space="preserve"> they received from the Australia Awards. Student satisfaction with the Establishment allowance (a special on-arrival payment to help students settle in Australia) was the highest with 96% of both new arrivals and ongoing students satisfied. High satisfaction was also recorded for the fortnightly scholarship living allowance, with 82% of new arrivals and 80% of ongoing students satisfied.</w:t>
      </w:r>
    </w:p>
    <w:p w14:paraId="218E2C75" w14:textId="3C477E99" w:rsidR="00142BC4" w:rsidRPr="006E2CAA" w:rsidRDefault="00142BC4" w:rsidP="006A50EF">
      <w:r w:rsidRPr="00B62370">
        <w:t>Ongoing student satisfaction with the other types of entitlements/assistance remained high, with the exception of the fieldwork entitlement where satisfaction was marginally lower, at 68% (down from 73% in 2019</w:t>
      </w:r>
      <w:r>
        <w:t xml:space="preserve">, but similar to </w:t>
      </w:r>
      <w:r w:rsidRPr="00B62370">
        <w:t>previous years).</w:t>
      </w:r>
    </w:p>
    <w:p w14:paraId="335A2894" w14:textId="5A2FAD50" w:rsidR="006A50EF" w:rsidRPr="00142BC4" w:rsidRDefault="006A50EF" w:rsidP="006A50EF">
      <w:pPr>
        <w:jc w:val="center"/>
        <w:rPr>
          <w:b/>
          <w:bCs/>
        </w:rPr>
      </w:pPr>
      <w:r w:rsidRPr="00142BC4">
        <w:rPr>
          <w:b/>
          <w:bCs/>
        </w:rPr>
        <w:t>Satisfaction with entitlements and other assistance</w:t>
      </w:r>
    </w:p>
    <w:p w14:paraId="1518CFF7" w14:textId="53B4915A" w:rsidR="00DC38A8" w:rsidRPr="00DE7D60" w:rsidRDefault="00142BC4" w:rsidP="00DC38A8">
      <w:pPr>
        <w:rPr>
          <w:highlight w:val="yellow"/>
        </w:rPr>
      </w:pPr>
      <w:r w:rsidRPr="00651EE3">
        <w:rPr>
          <w:noProof/>
        </w:rPr>
        <w:drawing>
          <wp:inline distT="0" distB="0" distL="0" distR="0" wp14:anchorId="51391C43" wp14:editId="6395340E">
            <wp:extent cx="5731510" cy="1658620"/>
            <wp:effectExtent l="0" t="0" r="2540" b="0"/>
            <wp:docPr id="55" name="Picture 55" descr="This chart provides a visual image of the satisfaction with entitlements and other assistance by ongoing and new students. This is provided in more detail in the paragraphs follow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his chart provides a visual image of the satisfaction with entitlements and other assistance by ongoing and new students. This is provided in more detail in the paragraphs following.">
                      <a:extLst>
                        <a:ext uri="{C183D7F6-B498-43B3-948B-1728B52AA6E4}">
                          <adec:decorative xmlns:adec="http://schemas.microsoft.com/office/drawing/2017/decorative" val="0"/>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6911"/>
                    <a:stretch/>
                  </pic:blipFill>
                  <pic:spPr bwMode="auto">
                    <a:xfrm>
                      <a:off x="0" y="0"/>
                      <a:ext cx="5731510" cy="1658620"/>
                    </a:xfrm>
                    <a:prstGeom prst="rect">
                      <a:avLst/>
                    </a:prstGeom>
                    <a:noFill/>
                    <a:ln>
                      <a:noFill/>
                    </a:ln>
                    <a:extLst>
                      <a:ext uri="{53640926-AAD7-44D8-BBD7-CCE9431645EC}">
                        <a14:shadowObscured xmlns:a14="http://schemas.microsoft.com/office/drawing/2010/main"/>
                      </a:ext>
                    </a:extLst>
                  </pic:spPr>
                </pic:pic>
              </a:graphicData>
            </a:graphic>
          </wp:inline>
        </w:drawing>
      </w:r>
    </w:p>
    <w:p w14:paraId="3BF52640" w14:textId="39F91658" w:rsidR="00024683" w:rsidRPr="00024683" w:rsidRDefault="00024683" w:rsidP="00024683">
      <w:r w:rsidRPr="00B62370">
        <w:t>Only 11% of new arrivals reported that they would have been likely to study in Australia without a scholarship of any type, the smallest proportion so far recorded (previous years’ results range from 14% in 2019 to 23% in 2013). This result highlights the importance of scholarship entitlements in enabling students to study in Australia.</w:t>
      </w:r>
    </w:p>
    <w:p w14:paraId="39CF4E43" w14:textId="532CE29B" w:rsidR="003B6802" w:rsidRPr="00805BC7" w:rsidRDefault="003B6802" w:rsidP="00F25704">
      <w:pPr>
        <w:pStyle w:val="Heading3"/>
      </w:pPr>
      <w:r w:rsidRPr="00596617">
        <w:rPr>
          <w:color w:val="215868" w:themeColor="accent5" w:themeShade="80"/>
        </w:rPr>
        <w:t>Returning home</w:t>
      </w:r>
    </w:p>
    <w:p w14:paraId="618AD5FC" w14:textId="77777777" w:rsidR="00024683" w:rsidRPr="00B62370" w:rsidRDefault="00024683" w:rsidP="00024683">
      <w:bookmarkStart w:id="20" w:name="_Hlk534815176"/>
      <w:r w:rsidRPr="00B62370">
        <w:t>Of the 932 students who reported that they were close to completing their studies within the next nine months:</w:t>
      </w:r>
    </w:p>
    <w:p w14:paraId="264001D6" w14:textId="77777777" w:rsidR="00024683" w:rsidRPr="00C7248A" w:rsidRDefault="00024683" w:rsidP="00024683">
      <w:pPr>
        <w:pStyle w:val="ListBullet"/>
      </w:pPr>
      <w:r w:rsidRPr="00B62370">
        <w:t xml:space="preserve">66% had </w:t>
      </w:r>
      <w:r w:rsidRPr="00C7248A">
        <w:t>work arrangements in place (either returning to the same organisation they left or moving to a different organisation);</w:t>
      </w:r>
    </w:p>
    <w:p w14:paraId="009327B1" w14:textId="77777777" w:rsidR="00024683" w:rsidRPr="00C7248A" w:rsidRDefault="00024683" w:rsidP="00024683">
      <w:pPr>
        <w:pStyle w:val="ListBullet2"/>
        <w:tabs>
          <w:tab w:val="clear" w:pos="851"/>
          <w:tab w:val="left" w:pos="1418"/>
        </w:tabs>
        <w:ind w:left="1276" w:hanging="425"/>
      </w:pPr>
      <w:r w:rsidRPr="00C7248A">
        <w:t>Of the students that had work arrangements in place, 56% reported that their employer had a Reintegration/Re-entry Plan in place (up from 49% in 2019 and also above all previous years), with 20% indicating there was no Plan in place, and 24% unsure.</w:t>
      </w:r>
    </w:p>
    <w:p w14:paraId="28666694" w14:textId="13DD519C" w:rsidR="00024683" w:rsidRPr="00C7248A" w:rsidRDefault="00024683" w:rsidP="00024683">
      <w:pPr>
        <w:pStyle w:val="ListBullet"/>
      </w:pPr>
      <w:r w:rsidRPr="00C7248A">
        <w:t>30% were looking for a job or were intending to look for a job on return to their home countr</w:t>
      </w:r>
      <w:r w:rsidR="006E2CAA">
        <w:t>y.</w:t>
      </w:r>
    </w:p>
    <w:p w14:paraId="7B79F4DC" w14:textId="3E691492" w:rsidR="00024683" w:rsidRPr="00B62370" w:rsidRDefault="00024683" w:rsidP="00024683">
      <w:pPr>
        <w:pStyle w:val="ListBullet"/>
      </w:pPr>
      <w:r w:rsidRPr="00B62370">
        <w:t>3% planned to undertake further studies</w:t>
      </w:r>
      <w:r w:rsidR="006274D5">
        <w:t>,</w:t>
      </w:r>
      <w:r w:rsidRPr="00B62370">
        <w:t xml:space="preserve"> and </w:t>
      </w:r>
    </w:p>
    <w:p w14:paraId="10B39100" w14:textId="77777777" w:rsidR="00024683" w:rsidRPr="00B62370" w:rsidRDefault="00024683" w:rsidP="00024683">
      <w:pPr>
        <w:pStyle w:val="ListBullet"/>
      </w:pPr>
      <w:r w:rsidRPr="00B62370">
        <w:t>1% had another type of arrangement in place.</w:t>
      </w:r>
    </w:p>
    <w:p w14:paraId="53CE6C9D" w14:textId="359DC2A1" w:rsidR="00024683" w:rsidRPr="00BA6B7B" w:rsidRDefault="00024683" w:rsidP="00024683">
      <w:r w:rsidRPr="00BA6B7B">
        <w:t>Students were asked to identify the extent to which they expect to encounter a range of barriers to using their qualifications when they return home.</w:t>
      </w:r>
      <w:r>
        <w:t xml:space="preserve"> The four most common potential barriers, rated </w:t>
      </w:r>
      <w:r w:rsidRPr="00BA6B7B">
        <w:t>as ‘major’ or ‘severe’ by around one in 10 returning students, were</w:t>
      </w:r>
      <w:r w:rsidR="00BF255C">
        <w:t>:</w:t>
      </w:r>
    </w:p>
    <w:p w14:paraId="3129A50B" w14:textId="7EFBCE88" w:rsidR="00024683" w:rsidRPr="00BA6B7B" w:rsidRDefault="00024683" w:rsidP="00024683">
      <w:pPr>
        <w:pStyle w:val="ListBullet"/>
      </w:pPr>
      <w:r w:rsidRPr="00BA6B7B">
        <w:t>their home countries may not have the required infrastructure, systems or funding to support implementation of their new qualifications (11%)</w:t>
      </w:r>
    </w:p>
    <w:p w14:paraId="25AD60F4" w14:textId="6320C85D" w:rsidR="00024683" w:rsidRPr="00BA6B7B" w:rsidRDefault="00024683" w:rsidP="00024683">
      <w:pPr>
        <w:pStyle w:val="ListBullet"/>
      </w:pPr>
      <w:r w:rsidRPr="00BA6B7B">
        <w:t>there will be a lack of work opportunities / career development for candidates with their new qualifications (10%)</w:t>
      </w:r>
      <w:r w:rsidR="00BF255C">
        <w:t>,</w:t>
      </w:r>
      <w:r w:rsidRPr="00BA6B7B">
        <w:t xml:space="preserve"> and</w:t>
      </w:r>
    </w:p>
    <w:p w14:paraId="7BFE302B" w14:textId="0F58F9A4" w:rsidR="00024683" w:rsidRPr="00024683" w:rsidRDefault="00024683" w:rsidP="00024683">
      <w:pPr>
        <w:pStyle w:val="ListBullet"/>
      </w:pPr>
      <w:r w:rsidRPr="00BA6B7B">
        <w:t>their employer may not be able (8%) or may be reluctant (8%) to make full use of their new qualifications.</w:t>
      </w:r>
      <w:bookmarkEnd w:id="20"/>
    </w:p>
    <w:p w14:paraId="3FD08892" w14:textId="13FE2F63" w:rsidR="00CE5F58" w:rsidRPr="00805BC7" w:rsidRDefault="006F11BF" w:rsidP="00361978">
      <w:pPr>
        <w:pStyle w:val="Heading1"/>
        <w:pageBreakBefore w:val="0"/>
        <w:spacing w:before="480"/>
      </w:pPr>
      <w:bookmarkStart w:id="21" w:name="_Toc65069881"/>
      <w:r w:rsidRPr="00805BC7">
        <w:lastRenderedPageBreak/>
        <w:t>Focus on discrimination, gender, disability and family</w:t>
      </w:r>
      <w:r w:rsidR="001A0858">
        <w:t xml:space="preserve"> </w:t>
      </w:r>
      <w:proofErr w:type="gramStart"/>
      <w:r w:rsidRPr="00805BC7">
        <w:t>composition</w:t>
      </w:r>
      <w:bookmarkEnd w:id="21"/>
      <w:proofErr w:type="gramEnd"/>
    </w:p>
    <w:p w14:paraId="68FAB6BB" w14:textId="77777777" w:rsidR="006A50EF" w:rsidRPr="00805BC7" w:rsidRDefault="006A50EF" w:rsidP="006A50EF">
      <w:pPr>
        <w:spacing w:before="120"/>
        <w:rPr>
          <w:rFonts w:cs="Arial"/>
        </w:rPr>
      </w:pPr>
      <w:r w:rsidRPr="00805BC7">
        <w:rPr>
          <w:rFonts w:cs="Arial"/>
        </w:rPr>
        <w:t>This section provides information on the experiences of students who have experienced discrimination or sexual harassment, female student experiences, the experiences of students with disabilities and the experiences of students with different family compositions.</w:t>
      </w:r>
    </w:p>
    <w:p w14:paraId="16747D4F" w14:textId="77777777" w:rsidR="00805BC7" w:rsidRPr="00805BC7" w:rsidRDefault="00805BC7" w:rsidP="00F25704">
      <w:pPr>
        <w:pStyle w:val="Heading3"/>
      </w:pPr>
      <w:r w:rsidRPr="00596617">
        <w:rPr>
          <w:color w:val="215868" w:themeColor="accent5" w:themeShade="80"/>
        </w:rPr>
        <w:t>Discrimination</w:t>
      </w:r>
    </w:p>
    <w:p w14:paraId="0DF802FD" w14:textId="77777777" w:rsidR="00805BC7" w:rsidRPr="00D50F13" w:rsidRDefault="00805BC7" w:rsidP="00805BC7">
      <w:pPr>
        <w:spacing w:before="120"/>
        <w:rPr>
          <w:rFonts w:cs="Arial"/>
          <w:highlight w:val="yellow"/>
        </w:rPr>
      </w:pPr>
      <w:bookmarkStart w:id="22" w:name="_Hlk534815210"/>
      <w:r w:rsidRPr="00D50F13">
        <w:t xml:space="preserve">Consistent with previous years, the longer students have been in Australia, the more likely they are to have witnessed or experienced </w:t>
      </w:r>
      <w:r w:rsidRPr="00D50F13">
        <w:rPr>
          <w:b/>
        </w:rPr>
        <w:t>discrimination</w:t>
      </w:r>
      <w:r w:rsidRPr="00D50F13">
        <w:t xml:space="preserve">. However, due a small increase in perceived rates of discrimination among new arrivals, but </w:t>
      </w:r>
      <w:r w:rsidRPr="00D50F13">
        <w:rPr>
          <w:i/>
          <w:iCs/>
        </w:rPr>
        <w:t>not</w:t>
      </w:r>
      <w:r w:rsidRPr="00D50F13">
        <w:t xml:space="preserve"> among</w:t>
      </w:r>
      <w:r w:rsidRPr="00D50F13">
        <w:rPr>
          <w:rFonts w:cs="Arial"/>
        </w:rPr>
        <w:t xml:space="preserve"> ongoing students, the difference between the two groups was marginal in 2020: 18% of new arrivals indicated they had personally </w:t>
      </w:r>
      <w:r w:rsidRPr="00D50F13">
        <w:rPr>
          <w:rFonts w:cs="Arial"/>
          <w:b/>
          <w:bCs/>
        </w:rPr>
        <w:t>experienced</w:t>
      </w:r>
      <w:r w:rsidRPr="00D50F13">
        <w:rPr>
          <w:rFonts w:cs="Arial"/>
        </w:rPr>
        <w:t xml:space="preserve"> discrimination (compared to 19% of ongoing students), and 22% of new arrivals indicated they had </w:t>
      </w:r>
      <w:r w:rsidRPr="00D50F13">
        <w:rPr>
          <w:rFonts w:cs="Arial"/>
          <w:b/>
          <w:bCs/>
        </w:rPr>
        <w:t>witnessed</w:t>
      </w:r>
      <w:r w:rsidRPr="00D50F13">
        <w:rPr>
          <w:rFonts w:cs="Arial"/>
        </w:rPr>
        <w:t xml:space="preserve"> discrimination (compared to 25% of ongoing students). The rate of experiencing discrimination among new arrivals was at its highest since 2013 (19%), while among ongoing students it was at a historical low (down from 29% in 2013).</w:t>
      </w:r>
    </w:p>
    <w:p w14:paraId="7E975BBA" w14:textId="77777777" w:rsidR="00805BC7" w:rsidRPr="00D50F13" w:rsidRDefault="00805BC7" w:rsidP="00805BC7">
      <w:pPr>
        <w:pStyle w:val="ListBullet"/>
      </w:pPr>
      <w:r w:rsidRPr="00D50F13">
        <w:t>While 89% of students who had experienced or witnessed discrimination reported that this experience affected them to some degree (i.e. at least 'slightly'), only 6-10% reported that it affected them 'a lot'.</w:t>
      </w:r>
    </w:p>
    <w:p w14:paraId="0FA6FB24" w14:textId="77777777" w:rsidR="00805BC7" w:rsidRDefault="00805BC7" w:rsidP="00805BC7">
      <w:pPr>
        <w:pStyle w:val="ListBullet"/>
      </w:pPr>
      <w:r w:rsidRPr="009D2A12">
        <w:t xml:space="preserve">New arrival students who experienced discrimination, </w:t>
      </w:r>
      <w:r w:rsidRPr="009D2A12">
        <w:rPr>
          <w:i/>
          <w:iCs/>
        </w:rPr>
        <w:t>particularly</w:t>
      </w:r>
      <w:r w:rsidRPr="009D2A12">
        <w:t xml:space="preserve"> those who experienced it personally but did not witness it occur to others, were less likely to find it easy to make friends with other students</w:t>
      </w:r>
      <w:r>
        <w:t xml:space="preserve"> outside their host country (60%, compared to 77% of those who did not experience or witness discrimination), and were also less likely to easily make friends with other non-students (31%, compared to 56%).</w:t>
      </w:r>
    </w:p>
    <w:p w14:paraId="13FD3E44" w14:textId="77777777" w:rsidR="00805BC7" w:rsidRPr="001E48C2" w:rsidRDefault="00805BC7" w:rsidP="00805BC7">
      <w:pPr>
        <w:rPr>
          <w:rFonts w:cs="Arial"/>
        </w:rPr>
      </w:pPr>
      <w:r w:rsidRPr="009D2A12">
        <w:rPr>
          <w:rFonts w:cs="Arial"/>
        </w:rPr>
        <w:t>This may reflect deeper vulnerabilitie</w:t>
      </w:r>
      <w:r w:rsidRPr="001E48C2">
        <w:rPr>
          <w:rFonts w:cs="Arial"/>
        </w:rPr>
        <w:t>s that may make them more susceptible to indicating experiencing instances of discrimination. Nonetheless, this is an issue that should be continually monitored.</w:t>
      </w:r>
    </w:p>
    <w:bookmarkEnd w:id="22"/>
    <w:p w14:paraId="754A744B" w14:textId="77777777" w:rsidR="00805BC7" w:rsidRPr="00805BC7" w:rsidRDefault="00805BC7" w:rsidP="00F25704">
      <w:pPr>
        <w:pStyle w:val="Heading3"/>
      </w:pPr>
      <w:r w:rsidRPr="00596617">
        <w:rPr>
          <w:color w:val="215868" w:themeColor="accent5" w:themeShade="80"/>
        </w:rPr>
        <w:t>Gender</w:t>
      </w:r>
    </w:p>
    <w:p w14:paraId="445C46ED" w14:textId="77777777" w:rsidR="00805BC7" w:rsidRPr="001E48C2" w:rsidRDefault="00805BC7" w:rsidP="00805BC7">
      <w:pPr>
        <w:spacing w:before="120"/>
      </w:pPr>
      <w:bookmarkStart w:id="23" w:name="_Hlk534815223"/>
      <w:r w:rsidRPr="001E48C2">
        <w:t>As in other recent years (form 2018 onwards), a slight majority of respondents were female (55% of new arrivals and 52% of ongoing students).</w:t>
      </w:r>
    </w:p>
    <w:p w14:paraId="2319B84F" w14:textId="77777777" w:rsidR="00805BC7" w:rsidRDefault="00805BC7" w:rsidP="00805BC7">
      <w:r w:rsidRPr="001E48C2">
        <w:t>Satisfaction with the overall scholarship experience was the same for both male and female new arrivals (both 99%) and ongoing students (both 98%)</w:t>
      </w:r>
      <w:r>
        <w:t>, and male and female students had similar ratings across most measures covered by the survey.</w:t>
      </w:r>
    </w:p>
    <w:p w14:paraId="2CC069BF" w14:textId="77777777" w:rsidR="00805BC7" w:rsidRDefault="00805BC7" w:rsidP="00805BC7">
      <w:r>
        <w:t>As in past years, ongoing female students were marginally more likely to experience discrimination (22%, compared to 16% of males) and to witness it (27%, compared to 23%), and this discrimination tended to have a stronger impact on them (for instance, 25% of female students who experienced or witnessed discrimination indicated it affected them at least ‘moderately’, compared to 13% of males). Female students were also more likely to feel the discrimination disheartened their views of Australia (25%, compared to 14% of males).</w:t>
      </w:r>
    </w:p>
    <w:p w14:paraId="6CA57CF5" w14:textId="77777777" w:rsidR="00805BC7" w:rsidRPr="00805BC7" w:rsidRDefault="00805BC7" w:rsidP="00F25704">
      <w:pPr>
        <w:pStyle w:val="Heading3"/>
      </w:pPr>
      <w:r w:rsidRPr="00596617">
        <w:rPr>
          <w:color w:val="215868" w:themeColor="accent5" w:themeShade="80"/>
        </w:rPr>
        <w:t>Disability</w:t>
      </w:r>
    </w:p>
    <w:p w14:paraId="23B7A22A" w14:textId="77777777" w:rsidR="00805BC7" w:rsidRPr="00630BDB" w:rsidRDefault="00805BC7" w:rsidP="00805BC7">
      <w:pPr>
        <w:spacing w:before="120"/>
      </w:pPr>
      <w:r w:rsidRPr="0012285B">
        <w:t xml:space="preserve">Among both new arrivals and ongoing students, 4% indicated they had a disability, similar to 3% in 2019 and in line </w:t>
      </w:r>
      <w:r w:rsidRPr="00630BDB">
        <w:t>with 2-4% across previous years.</w:t>
      </w:r>
    </w:p>
    <w:p w14:paraId="56D4F31B" w14:textId="77777777" w:rsidR="00805BC7" w:rsidRPr="00630BDB" w:rsidRDefault="00805BC7" w:rsidP="00805BC7">
      <w:r w:rsidRPr="00630BDB">
        <w:t xml:space="preserve">A health assessment was introduced into the ongoing survey in 2019 and retained in 2020, with closely similar rates of health-related difficulties </w:t>
      </w:r>
      <w:r>
        <w:t>being</w:t>
      </w:r>
      <w:r w:rsidRPr="00630BDB">
        <w:t xml:space="preserve"> recorded in both years. The 2020 survey found that, of ongoing students:</w:t>
      </w:r>
    </w:p>
    <w:p w14:paraId="427F4872" w14:textId="77777777" w:rsidR="00805BC7" w:rsidRPr="00630BDB" w:rsidRDefault="00805BC7" w:rsidP="00805BC7">
      <w:pPr>
        <w:pStyle w:val="ListBullet"/>
      </w:pPr>
      <w:r w:rsidRPr="00630BDB">
        <w:t>28% memory or concentration problems (36% of those with a disability)</w:t>
      </w:r>
    </w:p>
    <w:p w14:paraId="280B1E00" w14:textId="77777777" w:rsidR="00805BC7" w:rsidRPr="00630BDB" w:rsidRDefault="00805BC7" w:rsidP="00805BC7">
      <w:pPr>
        <w:pStyle w:val="ListBullet"/>
      </w:pPr>
      <w:r w:rsidRPr="00630BDB">
        <w:lastRenderedPageBreak/>
        <w:t>20% difficulty seeing, even with the help of glasses (29% of those with a disability)</w:t>
      </w:r>
    </w:p>
    <w:p w14:paraId="4D8A9EA5" w14:textId="77777777" w:rsidR="00805BC7" w:rsidRPr="00630BDB" w:rsidRDefault="00805BC7" w:rsidP="00805BC7">
      <w:pPr>
        <w:pStyle w:val="ListBullet"/>
      </w:pPr>
      <w:r w:rsidRPr="00630BDB">
        <w:t>17% had difficulty communicating in their usual language (also 17% for those with a disability)</w:t>
      </w:r>
    </w:p>
    <w:p w14:paraId="59F50611" w14:textId="77777777" w:rsidR="00805BC7" w:rsidRPr="00630BDB" w:rsidRDefault="00805BC7" w:rsidP="00805BC7">
      <w:pPr>
        <w:pStyle w:val="ListBullet"/>
      </w:pPr>
      <w:r w:rsidRPr="00630BDB">
        <w:t>6% difficulty climbing steps (37% of those with a disability)</w:t>
      </w:r>
    </w:p>
    <w:p w14:paraId="27F6AA1F" w14:textId="77777777" w:rsidR="00805BC7" w:rsidRPr="00630BDB" w:rsidRDefault="00805BC7" w:rsidP="00805BC7">
      <w:pPr>
        <w:pStyle w:val="ListBullet"/>
      </w:pPr>
      <w:r w:rsidRPr="00630BDB">
        <w:t>4% had difficulty with self-care such as washing and dressing (12% of those with a disability)</w:t>
      </w:r>
      <w:r>
        <w:t>,</w:t>
      </w:r>
      <w:r w:rsidRPr="00630BDB">
        <w:t xml:space="preserve"> and</w:t>
      </w:r>
    </w:p>
    <w:p w14:paraId="3CE928F9" w14:textId="77777777" w:rsidR="00805BC7" w:rsidRPr="00630BDB" w:rsidRDefault="00805BC7" w:rsidP="00805BC7">
      <w:pPr>
        <w:pStyle w:val="ListBullet"/>
      </w:pPr>
      <w:r w:rsidRPr="00630BDB">
        <w:t>2% had hearing issues, even with the help of a hearing aid (14% of those with a disability).</w:t>
      </w:r>
    </w:p>
    <w:p w14:paraId="57D5BDC2" w14:textId="77777777" w:rsidR="00805BC7" w:rsidRPr="00F109C4" w:rsidRDefault="00805BC7" w:rsidP="00805BC7">
      <w:r w:rsidRPr="00F109C4">
        <w:t xml:space="preserve">New arrivals with disabilities were generally more positive than other new arrivals about all aspects of </w:t>
      </w:r>
      <w:r w:rsidRPr="00F109C4">
        <w:rPr>
          <w:b/>
          <w:bCs/>
        </w:rPr>
        <w:t>preparing to come to Australia</w:t>
      </w:r>
      <w:r w:rsidRPr="00F109C4">
        <w:t>, apart from making financial arrangements (78%, compared to 86%).</w:t>
      </w:r>
    </w:p>
    <w:p w14:paraId="3DDDAB7F" w14:textId="77777777" w:rsidR="00805BC7" w:rsidRPr="004523B2" w:rsidRDefault="00805BC7" w:rsidP="00805BC7">
      <w:r w:rsidRPr="00F109C4">
        <w:t xml:space="preserve">New arrivals in this cohort were also more positive about their </w:t>
      </w:r>
      <w:r w:rsidRPr="00F109C4">
        <w:rPr>
          <w:b/>
        </w:rPr>
        <w:t>studying and living</w:t>
      </w:r>
      <w:r w:rsidRPr="00F109C4">
        <w:t xml:space="preserve"> experiences relative to other students in most respects, although they were less likely to feel that other students were inclusive towards them (64%, compared to 77%) and that they were </w:t>
      </w:r>
      <w:r w:rsidRPr="004523B2">
        <w:t>able to make friends easily with non-students not from their home country (45%, compared to 53%). However, these differences appear to lessen with time, as ongoing students were no less positive than other students in either regard.</w:t>
      </w:r>
    </w:p>
    <w:p w14:paraId="7C08EFD0" w14:textId="77777777" w:rsidR="00805BC7" w:rsidRPr="000E1254" w:rsidRDefault="00805BC7" w:rsidP="00805BC7">
      <w:r w:rsidRPr="004523B2">
        <w:t xml:space="preserve">Ongoing students with disabilities were more likely to experience </w:t>
      </w:r>
      <w:r w:rsidRPr="004523B2">
        <w:rPr>
          <w:b/>
        </w:rPr>
        <w:t>discrimination</w:t>
      </w:r>
      <w:r w:rsidRPr="004523B2">
        <w:t xml:space="preserve"> during their time in Australia (30%, compared to 19% of ongoing students without disabilities). The impact of this discrimination also tended to be stronger on ongoing students with disabilities (22% indicated the discrimination they experienced or witnessed affected them ‘a lot’, compared </w:t>
      </w:r>
      <w:r w:rsidRPr="000E1254">
        <w:t>to 9% among students without disabilities).</w:t>
      </w:r>
    </w:p>
    <w:bookmarkEnd w:id="23"/>
    <w:p w14:paraId="7DE5061B" w14:textId="77777777" w:rsidR="00805BC7" w:rsidRPr="00805BC7" w:rsidRDefault="00805BC7" w:rsidP="00F25704">
      <w:pPr>
        <w:pStyle w:val="Heading3"/>
      </w:pPr>
      <w:r w:rsidRPr="00596617">
        <w:rPr>
          <w:color w:val="215868" w:themeColor="accent5" w:themeShade="80"/>
        </w:rPr>
        <w:t>Family composition</w:t>
      </w:r>
    </w:p>
    <w:p w14:paraId="56282A46" w14:textId="77777777" w:rsidR="00805BC7" w:rsidRPr="000E1254" w:rsidRDefault="00805BC7" w:rsidP="00805BC7">
      <w:pPr>
        <w:spacing w:before="120"/>
      </w:pPr>
      <w:r w:rsidRPr="000E1254">
        <w:t>Just under half of respondents to the ongoing survey had child dependents (46%, a total of 42% partnered with children and 4% single with children). The remaining 54% of students (with no dependents) consisted of 13% partnered and 41% single. These proportions have</w:t>
      </w:r>
      <w:r>
        <w:t xml:space="preserve"> followed the same broad outlines since 2017, although in this time the proportion partnered with children has steadily declined (from 50% to 42%), while the proportion single without children has correspondingly increased (from 34% to 41%).</w:t>
      </w:r>
    </w:p>
    <w:p w14:paraId="5DEAB1FE" w14:textId="77777777" w:rsidR="00805BC7" w:rsidRDefault="00805BC7" w:rsidP="00805BC7">
      <w:r>
        <w:t>Ongoing s</w:t>
      </w:r>
      <w:r w:rsidRPr="00DA262F">
        <w:t>tudents with children were marginally less likely to be satisfied with the entitlements and assistance they received from Australia Awards overall</w:t>
      </w:r>
      <w:r>
        <w:t xml:space="preserve"> (88% if single, 89% if partnered, compared to 95-96% of students without children). Single students with children recorded the lowest levels of satisfaction with particular aspects of their entitlements, such as their fieldwork entitlement (53%, compared to 66% for partnered students with children and 71% for students without children).</w:t>
      </w:r>
    </w:p>
    <w:p w14:paraId="0FBB5310" w14:textId="77777777" w:rsidR="00805BC7" w:rsidRDefault="00805BC7" w:rsidP="00805BC7">
      <w:r>
        <w:t>Single-parent ongoing students were also:</w:t>
      </w:r>
    </w:p>
    <w:p w14:paraId="206E54F8" w14:textId="77777777" w:rsidR="00805BC7" w:rsidRDefault="00805BC7" w:rsidP="00805BC7">
      <w:pPr>
        <w:pStyle w:val="ListBullet"/>
      </w:pPr>
      <w:r>
        <w:t>least positive regarding the cost of living in Australia (50%, compared to 55% of partnered parents and 70-75% of students without children);</w:t>
      </w:r>
    </w:p>
    <w:p w14:paraId="43BE84DC" w14:textId="77777777" w:rsidR="00805BC7" w:rsidRDefault="00805BC7" w:rsidP="00805BC7">
      <w:pPr>
        <w:pStyle w:val="ListBullet"/>
      </w:pPr>
      <w:r>
        <w:t>most likely to have made use of several their institution’s advisory services, such as counselling, information about accommodation, and financial advice—with their satisfaction levels higher than average for counselling (91%, compared to 85% overall), but lower for financial advice (73%, compared to 79%)’</w:t>
      </w:r>
    </w:p>
    <w:p w14:paraId="534393A0" w14:textId="3A5978DF" w:rsidR="00805BC7" w:rsidRDefault="00805BC7" w:rsidP="00805BC7">
      <w:pPr>
        <w:pStyle w:val="ListBullet"/>
      </w:pPr>
      <w:r>
        <w:t>least likely to feel they were fully or mostly coping with a variety of aspects of their life in Australia, including personal relationships, their studies, and their</w:t>
      </w:r>
      <w:r w:rsidRPr="005279CE">
        <w:t xml:space="preserve"> ability to deal with challenges and stress</w:t>
      </w:r>
      <w:r>
        <w:t xml:space="preserve"> (see next section).</w:t>
      </w:r>
    </w:p>
    <w:p w14:paraId="19E1F74F" w14:textId="77777777" w:rsidR="00805BC7" w:rsidRPr="00F33C9C" w:rsidRDefault="00805BC7" w:rsidP="00F33C9C">
      <w:pPr>
        <w:pStyle w:val="Heading1"/>
      </w:pPr>
      <w:bookmarkStart w:id="24" w:name="_Toc61615769"/>
      <w:bookmarkStart w:id="25" w:name="_Toc65069882"/>
      <w:r w:rsidRPr="00F33C9C">
        <w:lastRenderedPageBreak/>
        <w:t>Coping with COVID-19 and overall wellbeing</w:t>
      </w:r>
      <w:bookmarkEnd w:id="24"/>
      <w:bookmarkEnd w:id="25"/>
    </w:p>
    <w:p w14:paraId="0CD953F0" w14:textId="237E6058" w:rsidR="00805BC7" w:rsidRPr="00997184" w:rsidRDefault="00805BC7" w:rsidP="00805BC7">
      <w:pPr>
        <w:spacing w:before="120"/>
        <w:rPr>
          <w:rFonts w:cs="Arial"/>
        </w:rPr>
      </w:pPr>
      <w:r w:rsidRPr="00997184">
        <w:rPr>
          <w:rFonts w:cs="Arial"/>
        </w:rPr>
        <w:t xml:space="preserve">This section </w:t>
      </w:r>
      <w:r>
        <w:rPr>
          <w:rFonts w:cs="Arial"/>
        </w:rPr>
        <w:t>covers questions introduced to the surveys conducted in 2020 to gauge the impact of the COVID-19 pandemic on students</w:t>
      </w:r>
      <w:r w:rsidR="00C86FA2">
        <w:rPr>
          <w:rFonts w:cs="Arial"/>
        </w:rPr>
        <w:t>’</w:t>
      </w:r>
      <w:r>
        <w:rPr>
          <w:rFonts w:cs="Arial"/>
        </w:rPr>
        <w:t xml:space="preserve"> education, experiences of Australia, and overall wellbeing.</w:t>
      </w:r>
    </w:p>
    <w:p w14:paraId="0875E78C" w14:textId="77777777" w:rsidR="00805BC7" w:rsidRPr="00805BC7" w:rsidRDefault="00805BC7" w:rsidP="00F25704">
      <w:pPr>
        <w:pStyle w:val="Heading3"/>
      </w:pPr>
      <w:r w:rsidRPr="00596617">
        <w:rPr>
          <w:color w:val="215868" w:themeColor="accent5" w:themeShade="80"/>
        </w:rPr>
        <w:t>Impact of COVID-19</w:t>
      </w:r>
    </w:p>
    <w:p w14:paraId="2E4092AB" w14:textId="26F8AAEA" w:rsidR="00805BC7" w:rsidRDefault="00BF255C" w:rsidP="00805BC7">
      <w:pPr>
        <w:spacing w:before="120"/>
        <w:rPr>
          <w:rFonts w:cs="Arial"/>
        </w:rPr>
      </w:pPr>
      <w:r>
        <w:rPr>
          <w:rFonts w:cs="Arial"/>
        </w:rPr>
        <w:t>The</w:t>
      </w:r>
      <w:r w:rsidR="00805BC7" w:rsidRPr="008E26FB">
        <w:rPr>
          <w:rFonts w:cs="Arial"/>
        </w:rPr>
        <w:t xml:space="preserve"> majority of new arrivals felt that the COVID-19 pandemic had an impact for the worse on their mental health (62%) and/or on their studies (54%), and just under half also felt there had been an impact for the worse on their </w:t>
      </w:r>
      <w:r w:rsidR="00805BC7">
        <w:rPr>
          <w:rFonts w:cs="Arial"/>
        </w:rPr>
        <w:t>feeling part of their community</w:t>
      </w:r>
      <w:r w:rsidR="00805BC7" w:rsidRPr="008E26FB">
        <w:rPr>
          <w:rFonts w:cs="Arial"/>
        </w:rPr>
        <w:t xml:space="preserve"> (47%) and feeling </w:t>
      </w:r>
      <w:r w:rsidR="00805BC7">
        <w:rPr>
          <w:rFonts w:cs="Arial"/>
        </w:rPr>
        <w:t>safe (43%).</w:t>
      </w:r>
    </w:p>
    <w:p w14:paraId="7E47756C" w14:textId="77777777" w:rsidR="00805BC7" w:rsidRDefault="00805BC7" w:rsidP="00805BC7">
      <w:pPr>
        <w:spacing w:before="120"/>
        <w:rPr>
          <w:rFonts w:cs="Arial"/>
        </w:rPr>
      </w:pPr>
      <w:r>
        <w:rPr>
          <w:rFonts w:cs="Arial"/>
        </w:rPr>
        <w:t>However, in most respects, new arrivals generally felt that the pandemic had had no effect—particularly regarding:</w:t>
      </w:r>
    </w:p>
    <w:p w14:paraId="16709F22" w14:textId="77777777" w:rsidR="00805BC7" w:rsidRDefault="00805BC7" w:rsidP="00805BC7">
      <w:pPr>
        <w:pStyle w:val="ListBullet"/>
        <w:rPr>
          <w:rFonts w:cs="Arial"/>
        </w:rPr>
      </w:pPr>
      <w:r>
        <w:rPr>
          <w:rFonts w:cs="Arial"/>
        </w:rPr>
        <w:t>how well their accommodation meets their needs (84% indicating this was about the same as pre-COVID, with 4% indicating an improvement)</w:t>
      </w:r>
    </w:p>
    <w:p w14:paraId="7995883B" w14:textId="77777777" w:rsidR="00805BC7" w:rsidRDefault="00805BC7" w:rsidP="00805BC7">
      <w:pPr>
        <w:pStyle w:val="ListBullet"/>
        <w:rPr>
          <w:rFonts w:cs="Arial"/>
        </w:rPr>
      </w:pPr>
      <w:r>
        <w:rPr>
          <w:rFonts w:cs="Arial"/>
        </w:rPr>
        <w:t>feeling welcome in Australia (74% no change, and 8% improved), and</w:t>
      </w:r>
    </w:p>
    <w:p w14:paraId="78983811" w14:textId="77777777" w:rsidR="00805BC7" w:rsidRDefault="00805BC7" w:rsidP="00805BC7">
      <w:pPr>
        <w:pStyle w:val="ListBullet"/>
        <w:rPr>
          <w:rFonts w:cs="Arial"/>
        </w:rPr>
      </w:pPr>
      <w:r>
        <w:rPr>
          <w:rFonts w:cs="Arial"/>
        </w:rPr>
        <w:t>feeling supported (63% no change, 16% improved).</w:t>
      </w:r>
    </w:p>
    <w:p w14:paraId="3CC00BD4" w14:textId="7218B2D2" w:rsidR="00805BC7" w:rsidRPr="00E07770" w:rsidRDefault="00805BC7" w:rsidP="00805BC7">
      <w:pPr>
        <w:pStyle w:val="FigureHeading"/>
      </w:pPr>
      <w:r w:rsidRPr="00E07770">
        <w:t>Aspects of life and study in Australia affected by disruptions brought about by the pandemic (new arrivals)</w:t>
      </w:r>
    </w:p>
    <w:p w14:paraId="2E928EB8" w14:textId="39171690" w:rsidR="00805BC7" w:rsidRPr="00F33C9C" w:rsidRDefault="00F33C9C" w:rsidP="00F33C9C">
      <w:pPr>
        <w:pStyle w:val="Image"/>
      </w:pPr>
      <w:r>
        <w:drawing>
          <wp:inline distT="0" distB="0" distL="0" distR="0" wp14:anchorId="77F9C3CB" wp14:editId="1E54AB30">
            <wp:extent cx="5730875" cy="2926080"/>
            <wp:effectExtent l="0" t="0" r="0" b="0"/>
            <wp:docPr id="35" name="Picture 35" descr="This chart shows aspects of life and study affected by disruptions brought about by COVID-19 by the new arrivals. This is detailed in the above paragra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his chart shows aspects of life and study affected by disruptions brought about by COVID-19 by the new arrivals. This is detailed in the above paragrah">
                      <a:extLst>
                        <a:ext uri="{C183D7F6-B498-43B3-948B-1728B52AA6E4}">
                          <adec:decorative xmlns:adec="http://schemas.microsoft.com/office/drawing/2017/decorative" val="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2926080"/>
                    </a:xfrm>
                    <a:prstGeom prst="rect">
                      <a:avLst/>
                    </a:prstGeom>
                    <a:noFill/>
                  </pic:spPr>
                </pic:pic>
              </a:graphicData>
            </a:graphic>
          </wp:inline>
        </w:drawing>
      </w:r>
    </w:p>
    <w:p w14:paraId="477A065B" w14:textId="77777777" w:rsidR="00805BC7" w:rsidRPr="00805BC7" w:rsidRDefault="00805BC7" w:rsidP="00F25704">
      <w:pPr>
        <w:pStyle w:val="Heading3"/>
      </w:pPr>
      <w:r w:rsidRPr="00596617">
        <w:rPr>
          <w:color w:val="215868" w:themeColor="accent5" w:themeShade="80"/>
        </w:rPr>
        <w:t xml:space="preserve">Transition to online </w:t>
      </w:r>
      <w:proofErr w:type="gramStart"/>
      <w:r w:rsidRPr="00596617">
        <w:rPr>
          <w:color w:val="215868" w:themeColor="accent5" w:themeShade="80"/>
        </w:rPr>
        <w:t>learning</w:t>
      </w:r>
      <w:proofErr w:type="gramEnd"/>
    </w:p>
    <w:p w14:paraId="2F529EE9" w14:textId="77777777" w:rsidR="00805BC7" w:rsidRDefault="00805BC7" w:rsidP="00805BC7">
      <w:pPr>
        <w:spacing w:before="120"/>
        <w:rPr>
          <w:rFonts w:cs="Arial"/>
        </w:rPr>
      </w:pPr>
      <w:bookmarkStart w:id="26" w:name="_Hlk61337916"/>
      <w:r w:rsidRPr="003D490A">
        <w:rPr>
          <w:rFonts w:cs="Arial"/>
        </w:rPr>
        <w:t>New arrivals were generally positive about those aspects of the transition to online learning most under institutions’ control, such as the range of online learning resources (84%), lecturers being accessible and responsive (81%) and making it easy to access their online learning resources (81%).</w:t>
      </w:r>
      <w:r>
        <w:rPr>
          <w:rFonts w:cs="Arial"/>
        </w:rPr>
        <w:t xml:space="preserve"> Despite this, only a minority agreed that the transition to online learning was easy (38% agreed, while 33% disagreed), and overall, a majority found online learning inferior to the pre-COVID delivery of their course (57% considered online delivery worse, 28% thought there was no significant difference, and 15% considered it better).</w:t>
      </w:r>
    </w:p>
    <w:p w14:paraId="0FA71FEC" w14:textId="77777777" w:rsidR="00805BC7" w:rsidRDefault="00805BC7" w:rsidP="00805BC7">
      <w:pPr>
        <w:spacing w:before="120"/>
        <w:rPr>
          <w:rFonts w:cs="Arial"/>
        </w:rPr>
      </w:pPr>
      <w:r>
        <w:rPr>
          <w:rFonts w:cs="Arial"/>
        </w:rPr>
        <w:t>The least satisfactory aspect of online learning was interaction with other students, with only 25% agreeing (and 59% disagreeing) that this worked just as well in an online environment.</w:t>
      </w:r>
    </w:p>
    <w:bookmarkEnd w:id="26"/>
    <w:p w14:paraId="30CF42FB" w14:textId="4DA2D682" w:rsidR="00805BC7" w:rsidRDefault="00805BC7" w:rsidP="00805BC7">
      <w:pPr>
        <w:pStyle w:val="FigureHeading"/>
      </w:pPr>
      <w:r w:rsidRPr="008F2EAC">
        <w:lastRenderedPageBreak/>
        <w:t>Transition</w:t>
      </w:r>
      <w:r>
        <w:t xml:space="preserve"> to online learning</w:t>
      </w:r>
      <w:r w:rsidRPr="00E07770">
        <w:t xml:space="preserve"> (</w:t>
      </w:r>
      <w:r>
        <w:t>new arrivals</w:t>
      </w:r>
      <w:r w:rsidRPr="00E07770">
        <w:t>)</w:t>
      </w:r>
    </w:p>
    <w:p w14:paraId="7B0C1349" w14:textId="10BE01F1" w:rsidR="00361978" w:rsidRDefault="00361978" w:rsidP="00361978">
      <w:pPr>
        <w:pStyle w:val="Image"/>
      </w:pPr>
      <w:r>
        <w:drawing>
          <wp:inline distT="0" distB="0" distL="0" distR="0" wp14:anchorId="75A4A692" wp14:editId="304C495B">
            <wp:extent cx="5609064" cy="4404189"/>
            <wp:effectExtent l="0" t="0" r="0" b="0"/>
            <wp:docPr id="32" name="Picture 32" descr="Cha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10;&#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27216" cy="4418442"/>
                    </a:xfrm>
                    <a:prstGeom prst="rect">
                      <a:avLst/>
                    </a:prstGeom>
                    <a:noFill/>
                  </pic:spPr>
                </pic:pic>
              </a:graphicData>
            </a:graphic>
          </wp:inline>
        </w:drawing>
      </w:r>
    </w:p>
    <w:p w14:paraId="1A495FDE" w14:textId="77777777" w:rsidR="00805BC7" w:rsidRPr="00805BC7" w:rsidRDefault="00805BC7" w:rsidP="00F25704">
      <w:pPr>
        <w:pStyle w:val="Heading3"/>
      </w:pPr>
      <w:r w:rsidRPr="00596617">
        <w:rPr>
          <w:color w:val="215868" w:themeColor="accent5" w:themeShade="80"/>
        </w:rPr>
        <w:t>Coping</w:t>
      </w:r>
    </w:p>
    <w:p w14:paraId="0BEF8278" w14:textId="77777777" w:rsidR="00805BC7" w:rsidRDefault="00805BC7" w:rsidP="00805BC7">
      <w:pPr>
        <w:spacing w:before="120"/>
        <w:rPr>
          <w:rFonts w:cs="Arial"/>
        </w:rPr>
      </w:pPr>
      <w:r w:rsidRPr="00AF1B63">
        <w:rPr>
          <w:rFonts w:cs="Arial"/>
        </w:rPr>
        <w:t>At least seven in 10 ongoing students felt they were at least ‘mostly’ coping with a range of aspects of their current circumstances, from feeling welcome in Australia (90%) to their mental health (70%), as shown in the figure below.</w:t>
      </w:r>
      <w:r>
        <w:rPr>
          <w:rFonts w:cs="Arial"/>
        </w:rPr>
        <w:t xml:space="preserve"> Across all aspects of their life, 2-7% of students felt they were doing no better than ‘barely coping’, and a maximum of only 1% indicated they were ‘not coping at all’.</w:t>
      </w:r>
    </w:p>
    <w:p w14:paraId="36F705DB" w14:textId="3227560F" w:rsidR="00805BC7" w:rsidRPr="00E07770" w:rsidRDefault="00805BC7" w:rsidP="00805BC7">
      <w:pPr>
        <w:pStyle w:val="FigureHeading"/>
      </w:pPr>
      <w:r w:rsidRPr="00E07770">
        <w:t>Extent of coping with aspects of life and study in Australia (ongoing students)</w:t>
      </w:r>
    </w:p>
    <w:p w14:paraId="3DA8785A" w14:textId="11A7537A" w:rsidR="00805BC7" w:rsidRPr="00E07770" w:rsidRDefault="00361978" w:rsidP="00361978">
      <w:pPr>
        <w:pStyle w:val="Image"/>
      </w:pPr>
      <w:r>
        <w:drawing>
          <wp:inline distT="0" distB="0" distL="0" distR="0" wp14:anchorId="48F44E00" wp14:editId="13ED09AA">
            <wp:extent cx="5730875" cy="2895600"/>
            <wp:effectExtent l="0" t="0" r="0" b="0"/>
            <wp:docPr id="33" name="Picture 33" descr="Cha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rt&#10;&#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2895600"/>
                    </a:xfrm>
                    <a:prstGeom prst="rect">
                      <a:avLst/>
                    </a:prstGeom>
                    <a:noFill/>
                  </pic:spPr>
                </pic:pic>
              </a:graphicData>
            </a:graphic>
          </wp:inline>
        </w:drawing>
      </w:r>
    </w:p>
    <w:p w14:paraId="031DEDB7" w14:textId="77777777" w:rsidR="00805BC7" w:rsidRPr="00805BC7" w:rsidRDefault="00805BC7" w:rsidP="00F25704">
      <w:pPr>
        <w:pStyle w:val="Heading3"/>
      </w:pPr>
      <w:r w:rsidRPr="00596617">
        <w:rPr>
          <w:color w:val="215868" w:themeColor="accent5" w:themeShade="80"/>
        </w:rPr>
        <w:lastRenderedPageBreak/>
        <w:t>Wellbeing</w:t>
      </w:r>
    </w:p>
    <w:p w14:paraId="2E3530DE" w14:textId="18E957D2" w:rsidR="00805BC7" w:rsidRDefault="00805BC7" w:rsidP="00805BC7">
      <w:pPr>
        <w:spacing w:before="120"/>
        <w:rPr>
          <w:rFonts w:cs="Arial"/>
        </w:rPr>
      </w:pPr>
      <w:r w:rsidRPr="006739C9">
        <w:rPr>
          <w:rFonts w:cs="Arial"/>
        </w:rPr>
        <w:t>Ongoing students were asked to rate their current overall level of life wellbeing on a scale from 0 to 10 (expressed here as an index score from 0 to 100), as well as their wellbeing in several life aspect</w:t>
      </w:r>
      <w:r w:rsidR="007F6A73">
        <w:rPr>
          <w:rFonts w:cs="Arial"/>
        </w:rPr>
        <w:t>s</w:t>
      </w:r>
      <w:r w:rsidRPr="006739C9">
        <w:rPr>
          <w:rFonts w:cs="Arial"/>
        </w:rPr>
        <w:t>, chosen so as to be comparable with Australia-wide baseline measures captured by Deakin University in 2018.</w:t>
      </w:r>
      <w:r>
        <w:rPr>
          <w:rFonts w:cs="Arial"/>
        </w:rPr>
        <w:t xml:space="preserve"> As shown below, students’ results were either in line with or above the Australia-wide, pre-COVID averages.</w:t>
      </w:r>
    </w:p>
    <w:p w14:paraId="49A06EA5" w14:textId="77777777" w:rsidR="00805BC7" w:rsidRDefault="00805BC7" w:rsidP="00805BC7">
      <w:pPr>
        <w:spacing w:before="120"/>
        <w:rPr>
          <w:rFonts w:cs="Arial"/>
        </w:rPr>
      </w:pPr>
      <w:r>
        <w:rPr>
          <w:rFonts w:cs="Arial"/>
        </w:rPr>
        <w:t>Students were most positive regarding their personal safety (85 out of 100, compared to the baseline result of 79), and least positive regarding community connectedness and future security (both 78, compared to a 71 baseline).</w:t>
      </w:r>
    </w:p>
    <w:p w14:paraId="2AC1910D" w14:textId="77777777" w:rsidR="00805BC7" w:rsidRDefault="00805BC7" w:rsidP="00805BC7">
      <w:pPr>
        <w:spacing w:before="120"/>
        <w:rPr>
          <w:rFonts w:cs="Arial"/>
        </w:rPr>
      </w:pPr>
      <w:r>
        <w:rPr>
          <w:rFonts w:cs="Arial"/>
        </w:rPr>
        <w:t>The youngest student cohort (25 and under) had the lowest level of global life satisfaction (74, compared to 81 for ongoing students overall). These younger students also had lower-than-average results regarding what they are achieving in life, their community connectedness, and their future security.</w:t>
      </w:r>
    </w:p>
    <w:p w14:paraId="5EE662C8" w14:textId="77777777" w:rsidR="00805BC7" w:rsidRPr="00F33C9C" w:rsidRDefault="00805BC7" w:rsidP="00805BC7">
      <w:pPr>
        <w:spacing w:before="120"/>
        <w:rPr>
          <w:rFonts w:cs="Arial"/>
        </w:rPr>
      </w:pPr>
      <w:r>
        <w:rPr>
          <w:rFonts w:cs="Arial"/>
        </w:rPr>
        <w:t xml:space="preserve">Ongoing students </w:t>
      </w:r>
      <w:r w:rsidRPr="00F33C9C">
        <w:rPr>
          <w:rFonts w:cs="Arial"/>
        </w:rPr>
        <w:t xml:space="preserve">were also asked to express their </w:t>
      </w:r>
      <w:r w:rsidRPr="00F33C9C">
        <w:rPr>
          <w:rFonts w:cs="Arial"/>
          <w:i/>
          <w:iCs/>
        </w:rPr>
        <w:t>degree of control</w:t>
      </w:r>
      <w:r w:rsidRPr="00F33C9C">
        <w:rPr>
          <w:rFonts w:cs="Arial"/>
        </w:rPr>
        <w:t xml:space="preserve"> over their life. Expressed on the same 0-100 scale, their average degree-of-control index was 75, stronger than an Australia-wide average of 62 (the April-November 2020 average of ORIMA Research’s COVID recovery tracker).</w:t>
      </w:r>
    </w:p>
    <w:p w14:paraId="4768824D" w14:textId="77777777" w:rsidR="00805BC7" w:rsidRPr="00F33C9C" w:rsidRDefault="00805BC7" w:rsidP="00805BC7">
      <w:pPr>
        <w:pStyle w:val="FigureHeading"/>
        <w:keepNext w:val="0"/>
      </w:pPr>
      <w:r w:rsidRPr="00F33C9C">
        <w:t>Wellbeing indices</w:t>
      </w:r>
      <w:r w:rsidRPr="00F33C9C">
        <w:rPr>
          <w:rStyle w:val="FootnoteReference"/>
        </w:rPr>
        <w:footnoteReference w:id="1"/>
      </w:r>
    </w:p>
    <w:p w14:paraId="049F3B20" w14:textId="36B4E96E" w:rsidR="00805BC7" w:rsidRPr="00F33C9C" w:rsidRDefault="00F33C9C" w:rsidP="00F33C9C">
      <w:pPr>
        <w:pStyle w:val="Image"/>
        <w:sectPr w:rsidR="00805BC7" w:rsidRPr="00F33C9C" w:rsidSect="009B0859">
          <w:headerReference w:type="default" r:id="rId24"/>
          <w:pgSz w:w="11906" w:h="16838"/>
          <w:pgMar w:top="1191" w:right="1440" w:bottom="454" w:left="1361" w:header="709" w:footer="709" w:gutter="0"/>
          <w:cols w:space="708"/>
          <w:docGrid w:linePitch="360"/>
        </w:sectPr>
      </w:pPr>
      <w:r w:rsidRPr="00F33C9C">
        <w:drawing>
          <wp:inline distT="0" distB="0" distL="0" distR="0" wp14:anchorId="0F904036" wp14:editId="00D01D8A">
            <wp:extent cx="5730875" cy="1901825"/>
            <wp:effectExtent l="0" t="0" r="0" b="3175"/>
            <wp:docPr id="34" name="Picture 34" descr="Chart, bar cha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875" cy="1901825"/>
                    </a:xfrm>
                    <a:prstGeom prst="rect">
                      <a:avLst/>
                    </a:prstGeom>
                    <a:noFill/>
                  </pic:spPr>
                </pic:pic>
              </a:graphicData>
            </a:graphic>
          </wp:inline>
        </w:drawing>
      </w:r>
    </w:p>
    <w:p w14:paraId="6E1C571B" w14:textId="77777777" w:rsidR="001D563E" w:rsidRPr="00E8776D" w:rsidRDefault="001D563E" w:rsidP="00CB5B7E">
      <w:pPr>
        <w:pStyle w:val="Image"/>
      </w:pPr>
      <w:bookmarkStart w:id="27" w:name="_Appendix_B:_Detailed"/>
      <w:bookmarkEnd w:id="27"/>
      <w:r w:rsidRPr="00E22EEC">
        <w:rPr>
          <w:highlight w:val="yellow"/>
        </w:rPr>
        <w:lastRenderedPageBreak/>
        <w:drawing>
          <wp:anchor distT="0" distB="0" distL="114300" distR="114300" simplePos="0" relativeHeight="251657728" behindDoc="1" locked="0" layoutInCell="1" allowOverlap="1" wp14:anchorId="71828DC1" wp14:editId="5F883F58">
            <wp:simplePos x="0" y="0"/>
            <wp:positionH relativeFrom="page">
              <wp:posOffset>13970</wp:posOffset>
            </wp:positionH>
            <wp:positionV relativeFrom="page">
              <wp:posOffset>-781050</wp:posOffset>
            </wp:positionV>
            <wp:extent cx="8702040" cy="11510645"/>
            <wp:effectExtent l="0" t="0" r="381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702040" cy="115106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D563E" w:rsidRPr="00E8776D" w:rsidSect="001D563E">
      <w:headerReference w:type="default" r:id="rId2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8B51" w14:textId="77777777" w:rsidR="001802CB" w:rsidRDefault="001802CB" w:rsidP="001C4803">
      <w:r>
        <w:separator/>
      </w:r>
    </w:p>
  </w:endnote>
  <w:endnote w:type="continuationSeparator" w:id="0">
    <w:p w14:paraId="7A13254D" w14:textId="77777777" w:rsidR="001802CB" w:rsidRDefault="001802CB" w:rsidP="001C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D73D" w14:textId="77777777" w:rsidR="001802CB" w:rsidRDefault="001802CB" w:rsidP="001C4803">
      <w:r>
        <w:separator/>
      </w:r>
    </w:p>
  </w:footnote>
  <w:footnote w:type="continuationSeparator" w:id="0">
    <w:p w14:paraId="73BF5B03" w14:textId="77777777" w:rsidR="001802CB" w:rsidRDefault="001802CB" w:rsidP="001C4803">
      <w:r>
        <w:continuationSeparator/>
      </w:r>
    </w:p>
  </w:footnote>
  <w:footnote w:id="1">
    <w:p w14:paraId="2BB9AD48" w14:textId="77777777" w:rsidR="00805BC7" w:rsidRDefault="00805BC7" w:rsidP="00805BC7">
      <w:pPr>
        <w:pStyle w:val="FootnoteText"/>
      </w:pPr>
      <w:r>
        <w:rPr>
          <w:rStyle w:val="FootnoteReference"/>
        </w:rPr>
        <w:footnoteRef/>
      </w:r>
      <w:r>
        <w:t xml:space="preserve"> </w:t>
      </w:r>
      <w:r>
        <w:tab/>
        <w:t xml:space="preserve">Overall Australian indices based on </w:t>
      </w:r>
      <w:r w:rsidRPr="009911E0">
        <w:t>Australian Unity Wellbeing Index (AUWI)</w:t>
      </w:r>
      <w:r>
        <w:t xml:space="preserve"> results (Deakin University, School of Psychology,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AFC5" w14:textId="77777777" w:rsidR="003B00D8" w:rsidRPr="00CB7965" w:rsidRDefault="003B00D8" w:rsidP="00CB7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65D4" w14:textId="41879A1B" w:rsidR="003B00D8" w:rsidRPr="00C12273" w:rsidRDefault="003B00D8" w:rsidP="000C7DBF">
    <w:pPr>
      <w:pStyle w:val="Header"/>
      <w:tabs>
        <w:tab w:val="clear" w:pos="4513"/>
        <w:tab w:val="center" w:pos="9072"/>
      </w:tabs>
      <w:jc w:val="right"/>
    </w:pPr>
    <w:r w:rsidRPr="00181D7C">
      <w:rPr>
        <w:rStyle w:val="PageNumber"/>
      </w:rPr>
      <w:fldChar w:fldCharType="begin"/>
    </w:r>
    <w:r w:rsidRPr="00181D7C">
      <w:rPr>
        <w:rStyle w:val="PageNumber"/>
      </w:rPr>
      <w:instrText xml:space="preserve"> PAGE  </w:instrText>
    </w:r>
    <w:r w:rsidRPr="00181D7C">
      <w:rPr>
        <w:rStyle w:val="PageNumber"/>
      </w:rPr>
      <w:fldChar w:fldCharType="separate"/>
    </w:r>
    <w:r>
      <w:rPr>
        <w:rStyle w:val="PageNumber"/>
        <w:noProof/>
      </w:rPr>
      <w:t>8</w:t>
    </w:r>
    <w:r w:rsidRPr="00181D7C">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702303"/>
      <w:docPartObj>
        <w:docPartGallery w:val="Page Numbers (Top of Page)"/>
        <w:docPartUnique/>
      </w:docPartObj>
    </w:sdtPr>
    <w:sdtEndPr>
      <w:rPr>
        <w:noProof/>
      </w:rPr>
    </w:sdtEndPr>
    <w:sdtContent>
      <w:p w14:paraId="6DF5C0B0" w14:textId="482640D6" w:rsidR="003B00D8" w:rsidRDefault="003B00D8">
        <w:pPr>
          <w:pStyle w:val="Header"/>
          <w:jc w:val="right"/>
        </w:pPr>
        <w:r>
          <w:t>A</w:t>
        </w:r>
        <w:r>
          <w:fldChar w:fldCharType="begin"/>
        </w:r>
        <w:r>
          <w:instrText xml:space="preserve"> PAGE   \* MERGEFORMAT </w:instrText>
        </w:r>
        <w:r>
          <w:fldChar w:fldCharType="separate"/>
        </w:r>
        <w:r>
          <w:rPr>
            <w:noProof/>
          </w:rPr>
          <w:t>4</w:t>
        </w:r>
        <w:r>
          <w:rPr>
            <w:noProof/>
          </w:rPr>
          <w:fldChar w:fldCharType="end"/>
        </w:r>
      </w:p>
    </w:sdtContent>
  </w:sdt>
  <w:p w14:paraId="500562C2" w14:textId="77777777" w:rsidR="003B00D8" w:rsidRPr="00C12273" w:rsidRDefault="003B00D8" w:rsidP="008A247A">
    <w:pPr>
      <w:pStyle w:val="Header"/>
      <w:tabs>
        <w:tab w:val="clear" w:pos="4513"/>
        <w:tab w:val="clear" w:pos="9026"/>
        <w:tab w:val="right" w:pos="9072"/>
      </w:tabs>
    </w:pPr>
  </w:p>
  <w:p w14:paraId="7C77AF5C" w14:textId="77777777" w:rsidR="00826A5A" w:rsidRDefault="00826A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124D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3C635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766455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8BE5D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58296A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608EE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978BA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8D5C1D"/>
    <w:multiLevelType w:val="hybridMultilevel"/>
    <w:tmpl w:val="24726ADE"/>
    <w:lvl w:ilvl="0" w:tplc="34002D30">
      <w:start w:val="1"/>
      <w:numFmt w:val="bullet"/>
      <w:pStyle w:val="BoxBullet2"/>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CD50A5"/>
    <w:multiLevelType w:val="multilevel"/>
    <w:tmpl w:val="38A8CCB8"/>
    <w:styleLink w:val="AppendixHeadings"/>
    <w:lvl w:ilvl="0">
      <w:start w:val="1"/>
      <w:numFmt w:val="upperRoman"/>
      <w:lvlText w:val="%1."/>
      <w:lvlJc w:val="left"/>
      <w:pPr>
        <w:ind w:left="0" w:firstLine="0"/>
      </w:pPr>
      <w:rPr>
        <w:rFonts w:ascii="Calibri" w:hAnsi="Calibri" w:hint="default"/>
        <w:color w:val="172983"/>
        <w:sz w:val="36"/>
      </w:rPr>
    </w:lvl>
    <w:lvl w:ilvl="1">
      <w:start w:val="1"/>
      <w:numFmt w:val="upperLetter"/>
      <w:lvlText w:val="%2."/>
      <w:lvlJc w:val="left"/>
      <w:pPr>
        <w:ind w:left="0" w:firstLine="0"/>
      </w:pPr>
      <w:rPr>
        <w:rFonts w:asciiTheme="minorHAnsi" w:hAnsiTheme="minorHAnsi" w:hint="default"/>
        <w:color w:val="172983"/>
        <w:sz w:val="32"/>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9" w15:restartNumberingAfterBreak="0">
    <w:nsid w:val="0EC37606"/>
    <w:multiLevelType w:val="hybridMultilevel"/>
    <w:tmpl w:val="DB7E2096"/>
    <w:lvl w:ilvl="0" w:tplc="A11C59F2">
      <w:start w:val="1"/>
      <w:numFmt w:val="bullet"/>
      <w:pStyle w:val="ListBullet2"/>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Courier New" w:hint="default"/>
      </w:rPr>
    </w:lvl>
    <w:lvl w:ilvl="2" w:tplc="FDEE5BDA">
      <w:numFmt w:val="bullet"/>
      <w:lvlText w:val="•"/>
      <w:lvlJc w:val="left"/>
      <w:pPr>
        <w:ind w:left="2443" w:hanging="720"/>
      </w:pPr>
      <w:rPr>
        <w:rFonts w:ascii="Arial" w:eastAsiaTheme="minorHAnsi" w:hAnsi="Arial" w:cs="Arial"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0" w15:restartNumberingAfterBreak="0">
    <w:nsid w:val="107D4038"/>
    <w:multiLevelType w:val="multilevel"/>
    <w:tmpl w:val="76B8EAF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C71BB7"/>
    <w:multiLevelType w:val="hybridMultilevel"/>
    <w:tmpl w:val="DE5CEA56"/>
    <w:lvl w:ilvl="0" w:tplc="D08AF202">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82EC26B8">
      <w:numFmt w:val="bullet"/>
      <w:lvlText w:val="•"/>
      <w:lvlJc w:val="left"/>
      <w:pPr>
        <w:ind w:left="2160" w:hanging="72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CB661F"/>
    <w:multiLevelType w:val="multilevel"/>
    <w:tmpl w:val="4CEC827C"/>
    <w:styleLink w:val="ReportHeadings"/>
    <w:lvl w:ilvl="0">
      <w:start w:val="1"/>
      <w:numFmt w:val="upperRoman"/>
      <w:lvlText w:val="%1."/>
      <w:lvlJc w:val="left"/>
      <w:pPr>
        <w:ind w:left="567" w:hanging="567"/>
      </w:pPr>
      <w:rPr>
        <w:rFonts w:asciiTheme="minorHAnsi" w:hAnsiTheme="minorHAnsi" w:hint="default"/>
        <w:b/>
        <w:i w:val="0"/>
        <w:strike w:val="0"/>
        <w:dstrike w:val="0"/>
        <w:vanish w:val="0"/>
        <w:color w:val="172983"/>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13" w15:restartNumberingAfterBreak="0">
    <w:nsid w:val="31EA2186"/>
    <w:multiLevelType w:val="multilevel"/>
    <w:tmpl w:val="483697B4"/>
    <w:lvl w:ilvl="0">
      <w:start w:val="1"/>
      <w:numFmt w:val="bullet"/>
      <w:pStyle w:val="DotPoints2"/>
      <w:lvlText w:val=""/>
      <w:lvlJc w:val="left"/>
      <w:pPr>
        <w:tabs>
          <w:tab w:val="num" w:pos="709"/>
        </w:tabs>
        <w:ind w:left="709" w:hanging="425"/>
      </w:pPr>
      <w:rPr>
        <w:rFonts w:ascii="Symbol" w:hAnsi="Symbol" w:hint="default"/>
        <w:color w:val="000000" w:themeColor="text1"/>
      </w:rPr>
    </w:lvl>
    <w:lvl w:ilvl="1">
      <w:start w:val="1"/>
      <w:numFmt w:val="bullet"/>
      <w:lvlRestart w:val="0"/>
      <w:pStyle w:val="Bullets2"/>
      <w:lvlText w:val=""/>
      <w:lvlJc w:val="left"/>
      <w:pPr>
        <w:tabs>
          <w:tab w:val="num" w:pos="993"/>
        </w:tabs>
        <w:ind w:left="993" w:hanging="426"/>
      </w:pPr>
      <w:rPr>
        <w:rFonts w:ascii="Wingdings" w:hAnsi="Wingdings" w:hint="default"/>
      </w:rPr>
    </w:lvl>
    <w:lvl w:ilvl="2">
      <w:start w:val="1"/>
      <w:numFmt w:val="bullet"/>
      <w:lvlRestart w:val="0"/>
      <w:lvlText w:val=""/>
      <w:lvlJc w:val="left"/>
      <w:pPr>
        <w:tabs>
          <w:tab w:val="num" w:pos="1276"/>
        </w:tabs>
        <w:ind w:left="1276" w:hanging="425"/>
      </w:pPr>
      <w:rPr>
        <w:rFonts w:ascii="Symbol" w:hAnsi="Symbol" w:hint="default"/>
      </w:rPr>
    </w:lvl>
    <w:lvl w:ilvl="3">
      <w:start w:val="1"/>
      <w:numFmt w:val="bullet"/>
      <w:lvlRestart w:val="0"/>
      <w:lvlText w:val=""/>
      <w:lvlJc w:val="left"/>
      <w:pPr>
        <w:tabs>
          <w:tab w:val="num" w:pos="1701"/>
        </w:tabs>
        <w:ind w:left="1701" w:hanging="425"/>
      </w:pPr>
      <w:rPr>
        <w:rFonts w:ascii="Wingdings" w:hAnsi="Wingding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394C458F"/>
    <w:multiLevelType w:val="hybridMultilevel"/>
    <w:tmpl w:val="D2C08734"/>
    <w:lvl w:ilvl="0" w:tplc="368CF85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761354"/>
    <w:multiLevelType w:val="hybridMultilevel"/>
    <w:tmpl w:val="882ED5B6"/>
    <w:lvl w:ilvl="0" w:tplc="3A706584">
      <w:start w:val="1"/>
      <w:numFmt w:val="bullet"/>
      <w:pStyle w:val="Box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305103"/>
    <w:multiLevelType w:val="hybridMultilevel"/>
    <w:tmpl w:val="EE68C278"/>
    <w:lvl w:ilvl="0" w:tplc="F79A6E66">
      <w:start w:val="1"/>
      <w:numFmt w:val="bullet"/>
      <w:pStyle w:val="BoxBullet3"/>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537508C1"/>
    <w:multiLevelType w:val="hybridMultilevel"/>
    <w:tmpl w:val="3CD412EE"/>
    <w:lvl w:ilvl="0" w:tplc="B9324248">
      <w:start w:val="1"/>
      <w:numFmt w:val="bullet"/>
      <w:pStyle w:val="Foot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2017BD"/>
    <w:multiLevelType w:val="hybridMultilevel"/>
    <w:tmpl w:val="A0C67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26364">
    <w:abstractNumId w:val="2"/>
  </w:num>
  <w:num w:numId="2" w16cid:durableId="630595113">
    <w:abstractNumId w:val="3"/>
  </w:num>
  <w:num w:numId="3" w16cid:durableId="2108453588">
    <w:abstractNumId w:val="4"/>
  </w:num>
  <w:num w:numId="4" w16cid:durableId="1242443049">
    <w:abstractNumId w:val="17"/>
  </w:num>
  <w:num w:numId="5" w16cid:durableId="1869099132">
    <w:abstractNumId w:val="11"/>
  </w:num>
  <w:num w:numId="6" w16cid:durableId="846290223">
    <w:abstractNumId w:val="9"/>
  </w:num>
  <w:num w:numId="7" w16cid:durableId="575096085">
    <w:abstractNumId w:val="10"/>
  </w:num>
  <w:num w:numId="8" w16cid:durableId="1386683981">
    <w:abstractNumId w:val="8"/>
  </w:num>
  <w:num w:numId="9" w16cid:durableId="2019117626">
    <w:abstractNumId w:val="12"/>
  </w:num>
  <w:num w:numId="10" w16cid:durableId="925963579">
    <w:abstractNumId w:val="15"/>
  </w:num>
  <w:num w:numId="11" w16cid:durableId="838735757">
    <w:abstractNumId w:val="7"/>
  </w:num>
  <w:num w:numId="12" w16cid:durableId="103621850">
    <w:abstractNumId w:val="16"/>
  </w:num>
  <w:num w:numId="13" w16cid:durableId="573978145">
    <w:abstractNumId w:val="13"/>
  </w:num>
  <w:num w:numId="14" w16cid:durableId="1401558261">
    <w:abstractNumId w:val="1"/>
  </w:num>
  <w:num w:numId="15" w16cid:durableId="694622114">
    <w:abstractNumId w:val="0"/>
  </w:num>
  <w:num w:numId="16" w16cid:durableId="862790435">
    <w:abstractNumId w:val="11"/>
  </w:num>
  <w:num w:numId="17" w16cid:durableId="2004042251">
    <w:abstractNumId w:val="11"/>
  </w:num>
  <w:num w:numId="18" w16cid:durableId="700858243">
    <w:abstractNumId w:val="11"/>
  </w:num>
  <w:num w:numId="19" w16cid:durableId="614556382">
    <w:abstractNumId w:val="11"/>
  </w:num>
  <w:num w:numId="20" w16cid:durableId="1820726410">
    <w:abstractNumId w:val="11"/>
  </w:num>
  <w:num w:numId="21" w16cid:durableId="379978797">
    <w:abstractNumId w:val="5"/>
  </w:num>
  <w:num w:numId="22" w16cid:durableId="689334345">
    <w:abstractNumId w:val="6"/>
  </w:num>
  <w:num w:numId="23" w16cid:durableId="92627518">
    <w:abstractNumId w:val="11"/>
  </w:num>
  <w:num w:numId="24" w16cid:durableId="1599292040">
    <w:abstractNumId w:val="11"/>
  </w:num>
  <w:num w:numId="25" w16cid:durableId="936056791">
    <w:abstractNumId w:val="11"/>
  </w:num>
  <w:num w:numId="26" w16cid:durableId="1052923052">
    <w:abstractNumId w:val="18"/>
  </w:num>
  <w:num w:numId="27" w16cid:durableId="815728169">
    <w:abstractNumId w:val="14"/>
  </w:num>
  <w:num w:numId="28" w16cid:durableId="66154558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BA"/>
    <w:rsid w:val="0000043D"/>
    <w:rsid w:val="00001C7C"/>
    <w:rsid w:val="00002D95"/>
    <w:rsid w:val="00002DDB"/>
    <w:rsid w:val="00003408"/>
    <w:rsid w:val="00003F10"/>
    <w:rsid w:val="00004634"/>
    <w:rsid w:val="00004F8E"/>
    <w:rsid w:val="0000560D"/>
    <w:rsid w:val="00006D9B"/>
    <w:rsid w:val="00007EB8"/>
    <w:rsid w:val="000103A9"/>
    <w:rsid w:val="00011BA3"/>
    <w:rsid w:val="00011BEA"/>
    <w:rsid w:val="00012621"/>
    <w:rsid w:val="000129E6"/>
    <w:rsid w:val="00014EF3"/>
    <w:rsid w:val="00015254"/>
    <w:rsid w:val="000159AB"/>
    <w:rsid w:val="00015CC5"/>
    <w:rsid w:val="00015D15"/>
    <w:rsid w:val="0001648F"/>
    <w:rsid w:val="00021223"/>
    <w:rsid w:val="000215C7"/>
    <w:rsid w:val="000228A5"/>
    <w:rsid w:val="00023FC7"/>
    <w:rsid w:val="00024683"/>
    <w:rsid w:val="00024C66"/>
    <w:rsid w:val="00024DB3"/>
    <w:rsid w:val="00025A8A"/>
    <w:rsid w:val="000264B2"/>
    <w:rsid w:val="00030FA1"/>
    <w:rsid w:val="00032928"/>
    <w:rsid w:val="0003324E"/>
    <w:rsid w:val="0003334F"/>
    <w:rsid w:val="0003361F"/>
    <w:rsid w:val="00035005"/>
    <w:rsid w:val="00035F10"/>
    <w:rsid w:val="00040760"/>
    <w:rsid w:val="00042F5D"/>
    <w:rsid w:val="00043875"/>
    <w:rsid w:val="0004455E"/>
    <w:rsid w:val="00044762"/>
    <w:rsid w:val="00046DC7"/>
    <w:rsid w:val="00047193"/>
    <w:rsid w:val="00050677"/>
    <w:rsid w:val="00050948"/>
    <w:rsid w:val="00050F1B"/>
    <w:rsid w:val="000516D5"/>
    <w:rsid w:val="0005187B"/>
    <w:rsid w:val="0005266C"/>
    <w:rsid w:val="0005353D"/>
    <w:rsid w:val="000568CB"/>
    <w:rsid w:val="00057942"/>
    <w:rsid w:val="00060215"/>
    <w:rsid w:val="000607B7"/>
    <w:rsid w:val="00061761"/>
    <w:rsid w:val="00061EF3"/>
    <w:rsid w:val="0006224D"/>
    <w:rsid w:val="00063374"/>
    <w:rsid w:val="000634FF"/>
    <w:rsid w:val="00064280"/>
    <w:rsid w:val="00066E6C"/>
    <w:rsid w:val="00067B95"/>
    <w:rsid w:val="00070458"/>
    <w:rsid w:val="00070A6C"/>
    <w:rsid w:val="00071D37"/>
    <w:rsid w:val="00072971"/>
    <w:rsid w:val="0007393A"/>
    <w:rsid w:val="00074EF2"/>
    <w:rsid w:val="00075610"/>
    <w:rsid w:val="00075CA0"/>
    <w:rsid w:val="000817C6"/>
    <w:rsid w:val="00082C78"/>
    <w:rsid w:val="00082DD8"/>
    <w:rsid w:val="00083656"/>
    <w:rsid w:val="00083A64"/>
    <w:rsid w:val="00083C39"/>
    <w:rsid w:val="00084305"/>
    <w:rsid w:val="00085635"/>
    <w:rsid w:val="00086108"/>
    <w:rsid w:val="000902CE"/>
    <w:rsid w:val="000902DA"/>
    <w:rsid w:val="000904EB"/>
    <w:rsid w:val="000916B0"/>
    <w:rsid w:val="000919E0"/>
    <w:rsid w:val="00091CDF"/>
    <w:rsid w:val="00092171"/>
    <w:rsid w:val="00092CC6"/>
    <w:rsid w:val="00092F78"/>
    <w:rsid w:val="00093AFF"/>
    <w:rsid w:val="0009476E"/>
    <w:rsid w:val="00094ACD"/>
    <w:rsid w:val="00094E0C"/>
    <w:rsid w:val="00095AE9"/>
    <w:rsid w:val="00096BC9"/>
    <w:rsid w:val="000A05E5"/>
    <w:rsid w:val="000A078B"/>
    <w:rsid w:val="000A0865"/>
    <w:rsid w:val="000A0899"/>
    <w:rsid w:val="000A30A4"/>
    <w:rsid w:val="000A3C53"/>
    <w:rsid w:val="000A3C76"/>
    <w:rsid w:val="000A4ADE"/>
    <w:rsid w:val="000A576F"/>
    <w:rsid w:val="000A6BAA"/>
    <w:rsid w:val="000A7709"/>
    <w:rsid w:val="000A7E5F"/>
    <w:rsid w:val="000B1D95"/>
    <w:rsid w:val="000B52B1"/>
    <w:rsid w:val="000B5C02"/>
    <w:rsid w:val="000C0AE8"/>
    <w:rsid w:val="000C1179"/>
    <w:rsid w:val="000C1362"/>
    <w:rsid w:val="000C1CB3"/>
    <w:rsid w:val="000C4726"/>
    <w:rsid w:val="000C4A9A"/>
    <w:rsid w:val="000C4B82"/>
    <w:rsid w:val="000C62BA"/>
    <w:rsid w:val="000C646D"/>
    <w:rsid w:val="000C6501"/>
    <w:rsid w:val="000C6663"/>
    <w:rsid w:val="000C6809"/>
    <w:rsid w:val="000C7DBF"/>
    <w:rsid w:val="000D10B9"/>
    <w:rsid w:val="000D2B2F"/>
    <w:rsid w:val="000D3956"/>
    <w:rsid w:val="000D3E74"/>
    <w:rsid w:val="000D3FDA"/>
    <w:rsid w:val="000D6C7C"/>
    <w:rsid w:val="000D6C7F"/>
    <w:rsid w:val="000D6D4C"/>
    <w:rsid w:val="000D7953"/>
    <w:rsid w:val="000E21DA"/>
    <w:rsid w:val="000E2725"/>
    <w:rsid w:val="000E297D"/>
    <w:rsid w:val="000E400F"/>
    <w:rsid w:val="000E4DFA"/>
    <w:rsid w:val="000E4F08"/>
    <w:rsid w:val="000E5F29"/>
    <w:rsid w:val="000E6E00"/>
    <w:rsid w:val="000F0820"/>
    <w:rsid w:val="000F2329"/>
    <w:rsid w:val="000F241C"/>
    <w:rsid w:val="000F2907"/>
    <w:rsid w:val="000F29C0"/>
    <w:rsid w:val="000F2B35"/>
    <w:rsid w:val="000F2CE5"/>
    <w:rsid w:val="000F5C46"/>
    <w:rsid w:val="000F6B90"/>
    <w:rsid w:val="000F6C85"/>
    <w:rsid w:val="000F74CB"/>
    <w:rsid w:val="001024A8"/>
    <w:rsid w:val="00103616"/>
    <w:rsid w:val="00103645"/>
    <w:rsid w:val="00103988"/>
    <w:rsid w:val="0010561A"/>
    <w:rsid w:val="00106A5C"/>
    <w:rsid w:val="00106ACF"/>
    <w:rsid w:val="00106FC4"/>
    <w:rsid w:val="00107802"/>
    <w:rsid w:val="00111202"/>
    <w:rsid w:val="001126D4"/>
    <w:rsid w:val="00115205"/>
    <w:rsid w:val="00117A97"/>
    <w:rsid w:val="00123EFE"/>
    <w:rsid w:val="00124554"/>
    <w:rsid w:val="0012576E"/>
    <w:rsid w:val="00125BE5"/>
    <w:rsid w:val="0012641D"/>
    <w:rsid w:val="00126493"/>
    <w:rsid w:val="00126CD2"/>
    <w:rsid w:val="00127369"/>
    <w:rsid w:val="00130248"/>
    <w:rsid w:val="00131ED5"/>
    <w:rsid w:val="0013286A"/>
    <w:rsid w:val="00133589"/>
    <w:rsid w:val="00133BEC"/>
    <w:rsid w:val="00140DFC"/>
    <w:rsid w:val="00142BC4"/>
    <w:rsid w:val="00142E50"/>
    <w:rsid w:val="001437DC"/>
    <w:rsid w:val="00143FA5"/>
    <w:rsid w:val="0014705B"/>
    <w:rsid w:val="001477CD"/>
    <w:rsid w:val="0014796F"/>
    <w:rsid w:val="00151876"/>
    <w:rsid w:val="00151920"/>
    <w:rsid w:val="0015345B"/>
    <w:rsid w:val="00153860"/>
    <w:rsid w:val="001540D9"/>
    <w:rsid w:val="00154D35"/>
    <w:rsid w:val="00155504"/>
    <w:rsid w:val="00160212"/>
    <w:rsid w:val="0016098B"/>
    <w:rsid w:val="00160A3A"/>
    <w:rsid w:val="00160FBC"/>
    <w:rsid w:val="001622F5"/>
    <w:rsid w:val="001625B7"/>
    <w:rsid w:val="001633B7"/>
    <w:rsid w:val="001648F9"/>
    <w:rsid w:val="00165BB9"/>
    <w:rsid w:val="001666B2"/>
    <w:rsid w:val="00170A59"/>
    <w:rsid w:val="001730DA"/>
    <w:rsid w:val="00173887"/>
    <w:rsid w:val="00173998"/>
    <w:rsid w:val="00173E33"/>
    <w:rsid w:val="00174E34"/>
    <w:rsid w:val="00176AB1"/>
    <w:rsid w:val="00177BBF"/>
    <w:rsid w:val="00177D5F"/>
    <w:rsid w:val="001802CB"/>
    <w:rsid w:val="00180EBE"/>
    <w:rsid w:val="0018109E"/>
    <w:rsid w:val="00181D7C"/>
    <w:rsid w:val="0018216B"/>
    <w:rsid w:val="00183A59"/>
    <w:rsid w:val="001841F4"/>
    <w:rsid w:val="00184D1F"/>
    <w:rsid w:val="00185003"/>
    <w:rsid w:val="001914CD"/>
    <w:rsid w:val="001934B8"/>
    <w:rsid w:val="00193C52"/>
    <w:rsid w:val="00196BAE"/>
    <w:rsid w:val="00197474"/>
    <w:rsid w:val="00197996"/>
    <w:rsid w:val="001A07D4"/>
    <w:rsid w:val="001A0858"/>
    <w:rsid w:val="001A1FE1"/>
    <w:rsid w:val="001A2B3D"/>
    <w:rsid w:val="001A2D7D"/>
    <w:rsid w:val="001A6B6F"/>
    <w:rsid w:val="001A6CED"/>
    <w:rsid w:val="001A7F32"/>
    <w:rsid w:val="001B087C"/>
    <w:rsid w:val="001B154F"/>
    <w:rsid w:val="001B1935"/>
    <w:rsid w:val="001B3DF9"/>
    <w:rsid w:val="001B3E88"/>
    <w:rsid w:val="001B5192"/>
    <w:rsid w:val="001B6A03"/>
    <w:rsid w:val="001B6E46"/>
    <w:rsid w:val="001C1908"/>
    <w:rsid w:val="001C22DC"/>
    <w:rsid w:val="001C22EE"/>
    <w:rsid w:val="001C2662"/>
    <w:rsid w:val="001C4803"/>
    <w:rsid w:val="001C56C4"/>
    <w:rsid w:val="001C6642"/>
    <w:rsid w:val="001C716E"/>
    <w:rsid w:val="001C769D"/>
    <w:rsid w:val="001C7ED1"/>
    <w:rsid w:val="001D1C09"/>
    <w:rsid w:val="001D259F"/>
    <w:rsid w:val="001D4837"/>
    <w:rsid w:val="001D55CE"/>
    <w:rsid w:val="001D563E"/>
    <w:rsid w:val="001D5665"/>
    <w:rsid w:val="001D6F61"/>
    <w:rsid w:val="001D70BD"/>
    <w:rsid w:val="001D72F9"/>
    <w:rsid w:val="001D7F8F"/>
    <w:rsid w:val="001E010D"/>
    <w:rsid w:val="001E0BDC"/>
    <w:rsid w:val="001E1E8F"/>
    <w:rsid w:val="001E1FE6"/>
    <w:rsid w:val="001E266D"/>
    <w:rsid w:val="001E27DD"/>
    <w:rsid w:val="001E3BF0"/>
    <w:rsid w:val="001E432A"/>
    <w:rsid w:val="001E4AD2"/>
    <w:rsid w:val="001E4BBD"/>
    <w:rsid w:val="001E5CA1"/>
    <w:rsid w:val="001E6F97"/>
    <w:rsid w:val="001E79B4"/>
    <w:rsid w:val="001F317B"/>
    <w:rsid w:val="001F4CF4"/>
    <w:rsid w:val="001F51ED"/>
    <w:rsid w:val="001F5555"/>
    <w:rsid w:val="001F5BE8"/>
    <w:rsid w:val="001F69CF"/>
    <w:rsid w:val="001F6B2D"/>
    <w:rsid w:val="001F746C"/>
    <w:rsid w:val="001F780F"/>
    <w:rsid w:val="001F7C9D"/>
    <w:rsid w:val="001F7D6C"/>
    <w:rsid w:val="00200AA9"/>
    <w:rsid w:val="00203885"/>
    <w:rsid w:val="0020454A"/>
    <w:rsid w:val="00204DD2"/>
    <w:rsid w:val="00205AB2"/>
    <w:rsid w:val="00205F98"/>
    <w:rsid w:val="00206078"/>
    <w:rsid w:val="002062E4"/>
    <w:rsid w:val="00207EB9"/>
    <w:rsid w:val="0021015F"/>
    <w:rsid w:val="00211AB3"/>
    <w:rsid w:val="0021210F"/>
    <w:rsid w:val="00213F43"/>
    <w:rsid w:val="002146B5"/>
    <w:rsid w:val="00214D4A"/>
    <w:rsid w:val="0021567F"/>
    <w:rsid w:val="00216165"/>
    <w:rsid w:val="00216E81"/>
    <w:rsid w:val="00217979"/>
    <w:rsid w:val="00221122"/>
    <w:rsid w:val="00221455"/>
    <w:rsid w:val="00222552"/>
    <w:rsid w:val="00222DA3"/>
    <w:rsid w:val="0022444C"/>
    <w:rsid w:val="00225639"/>
    <w:rsid w:val="00225824"/>
    <w:rsid w:val="00226744"/>
    <w:rsid w:val="002309B7"/>
    <w:rsid w:val="00230F14"/>
    <w:rsid w:val="00230F7B"/>
    <w:rsid w:val="002323CA"/>
    <w:rsid w:val="00232C26"/>
    <w:rsid w:val="00233EAB"/>
    <w:rsid w:val="00235FDA"/>
    <w:rsid w:val="00241339"/>
    <w:rsid w:val="00241613"/>
    <w:rsid w:val="002424CA"/>
    <w:rsid w:val="00243252"/>
    <w:rsid w:val="00243775"/>
    <w:rsid w:val="0024431A"/>
    <w:rsid w:val="002451C2"/>
    <w:rsid w:val="00246987"/>
    <w:rsid w:val="00247925"/>
    <w:rsid w:val="0025021E"/>
    <w:rsid w:val="00250753"/>
    <w:rsid w:val="00250D6E"/>
    <w:rsid w:val="00251D0F"/>
    <w:rsid w:val="00251E18"/>
    <w:rsid w:val="002532C6"/>
    <w:rsid w:val="00253701"/>
    <w:rsid w:val="002541FE"/>
    <w:rsid w:val="00255473"/>
    <w:rsid w:val="00255ECE"/>
    <w:rsid w:val="0025681A"/>
    <w:rsid w:val="002610C9"/>
    <w:rsid w:val="00261C5C"/>
    <w:rsid w:val="00261CE6"/>
    <w:rsid w:val="00262142"/>
    <w:rsid w:val="002642D1"/>
    <w:rsid w:val="0026557F"/>
    <w:rsid w:val="00265868"/>
    <w:rsid w:val="00265B76"/>
    <w:rsid w:val="00265E19"/>
    <w:rsid w:val="00270F88"/>
    <w:rsid w:val="002719AF"/>
    <w:rsid w:val="00271D70"/>
    <w:rsid w:val="002721BB"/>
    <w:rsid w:val="002721EC"/>
    <w:rsid w:val="002738DB"/>
    <w:rsid w:val="00274A2D"/>
    <w:rsid w:val="00275775"/>
    <w:rsid w:val="002770FC"/>
    <w:rsid w:val="00277165"/>
    <w:rsid w:val="002779A8"/>
    <w:rsid w:val="00282ADA"/>
    <w:rsid w:val="00282E3B"/>
    <w:rsid w:val="0028386B"/>
    <w:rsid w:val="002839C7"/>
    <w:rsid w:val="00284018"/>
    <w:rsid w:val="00284B51"/>
    <w:rsid w:val="00285D0C"/>
    <w:rsid w:val="00286E79"/>
    <w:rsid w:val="00287163"/>
    <w:rsid w:val="00287D20"/>
    <w:rsid w:val="002913FD"/>
    <w:rsid w:val="00291A97"/>
    <w:rsid w:val="002921B8"/>
    <w:rsid w:val="00293008"/>
    <w:rsid w:val="00293059"/>
    <w:rsid w:val="00295399"/>
    <w:rsid w:val="0029766E"/>
    <w:rsid w:val="00297B11"/>
    <w:rsid w:val="002A007C"/>
    <w:rsid w:val="002A0FCC"/>
    <w:rsid w:val="002A2089"/>
    <w:rsid w:val="002A6889"/>
    <w:rsid w:val="002A6D23"/>
    <w:rsid w:val="002A6D46"/>
    <w:rsid w:val="002B1D8F"/>
    <w:rsid w:val="002B2089"/>
    <w:rsid w:val="002B2F61"/>
    <w:rsid w:val="002B483C"/>
    <w:rsid w:val="002B4984"/>
    <w:rsid w:val="002B5E4C"/>
    <w:rsid w:val="002B6976"/>
    <w:rsid w:val="002B790E"/>
    <w:rsid w:val="002B7B67"/>
    <w:rsid w:val="002C283A"/>
    <w:rsid w:val="002C2FE3"/>
    <w:rsid w:val="002C3774"/>
    <w:rsid w:val="002C4921"/>
    <w:rsid w:val="002C5069"/>
    <w:rsid w:val="002C59A7"/>
    <w:rsid w:val="002C6585"/>
    <w:rsid w:val="002C6623"/>
    <w:rsid w:val="002C75B1"/>
    <w:rsid w:val="002C77DA"/>
    <w:rsid w:val="002C7B4F"/>
    <w:rsid w:val="002C7D93"/>
    <w:rsid w:val="002D1CD1"/>
    <w:rsid w:val="002D22AD"/>
    <w:rsid w:val="002D3D8A"/>
    <w:rsid w:val="002D4920"/>
    <w:rsid w:val="002D4DAD"/>
    <w:rsid w:val="002D57C4"/>
    <w:rsid w:val="002D5A47"/>
    <w:rsid w:val="002D5C31"/>
    <w:rsid w:val="002D651D"/>
    <w:rsid w:val="002D79C9"/>
    <w:rsid w:val="002D7A7E"/>
    <w:rsid w:val="002D7D5E"/>
    <w:rsid w:val="002E1C83"/>
    <w:rsid w:val="002E1DB8"/>
    <w:rsid w:val="002E2539"/>
    <w:rsid w:val="002E25B7"/>
    <w:rsid w:val="002E3253"/>
    <w:rsid w:val="002E598A"/>
    <w:rsid w:val="002E5E94"/>
    <w:rsid w:val="002E7867"/>
    <w:rsid w:val="002F08D4"/>
    <w:rsid w:val="002F3CEC"/>
    <w:rsid w:val="002F5B84"/>
    <w:rsid w:val="00302193"/>
    <w:rsid w:val="00302B86"/>
    <w:rsid w:val="003038EC"/>
    <w:rsid w:val="0030460E"/>
    <w:rsid w:val="00304D14"/>
    <w:rsid w:val="00305B87"/>
    <w:rsid w:val="0030681C"/>
    <w:rsid w:val="00307B32"/>
    <w:rsid w:val="00307B96"/>
    <w:rsid w:val="0031158B"/>
    <w:rsid w:val="003124A4"/>
    <w:rsid w:val="003126F4"/>
    <w:rsid w:val="003133EE"/>
    <w:rsid w:val="003142A7"/>
    <w:rsid w:val="003158B0"/>
    <w:rsid w:val="00315A55"/>
    <w:rsid w:val="00316C0D"/>
    <w:rsid w:val="00316F7C"/>
    <w:rsid w:val="00317D0E"/>
    <w:rsid w:val="003203F1"/>
    <w:rsid w:val="00320EF2"/>
    <w:rsid w:val="00321A51"/>
    <w:rsid w:val="003237FB"/>
    <w:rsid w:val="00323E92"/>
    <w:rsid w:val="0032529A"/>
    <w:rsid w:val="0032612F"/>
    <w:rsid w:val="003263A4"/>
    <w:rsid w:val="0032671B"/>
    <w:rsid w:val="00326DE8"/>
    <w:rsid w:val="00330704"/>
    <w:rsid w:val="00331304"/>
    <w:rsid w:val="00332F59"/>
    <w:rsid w:val="003347D7"/>
    <w:rsid w:val="003349C1"/>
    <w:rsid w:val="0033521D"/>
    <w:rsid w:val="00335891"/>
    <w:rsid w:val="00337553"/>
    <w:rsid w:val="003411D7"/>
    <w:rsid w:val="00341AC5"/>
    <w:rsid w:val="00342E9C"/>
    <w:rsid w:val="003437B3"/>
    <w:rsid w:val="00343E6F"/>
    <w:rsid w:val="00344331"/>
    <w:rsid w:val="00344FD7"/>
    <w:rsid w:val="003451E9"/>
    <w:rsid w:val="003453E3"/>
    <w:rsid w:val="003469F3"/>
    <w:rsid w:val="00346B19"/>
    <w:rsid w:val="00347F99"/>
    <w:rsid w:val="00350896"/>
    <w:rsid w:val="003510C1"/>
    <w:rsid w:val="00351A60"/>
    <w:rsid w:val="00351ACB"/>
    <w:rsid w:val="003521B6"/>
    <w:rsid w:val="003522F8"/>
    <w:rsid w:val="00352517"/>
    <w:rsid w:val="0035377D"/>
    <w:rsid w:val="00355022"/>
    <w:rsid w:val="00355920"/>
    <w:rsid w:val="00355927"/>
    <w:rsid w:val="00356FFC"/>
    <w:rsid w:val="00357E38"/>
    <w:rsid w:val="003602ED"/>
    <w:rsid w:val="00360B2E"/>
    <w:rsid w:val="00360E7E"/>
    <w:rsid w:val="00361978"/>
    <w:rsid w:val="00361F79"/>
    <w:rsid w:val="00362B06"/>
    <w:rsid w:val="00362F65"/>
    <w:rsid w:val="003633F0"/>
    <w:rsid w:val="00363D7E"/>
    <w:rsid w:val="0036504F"/>
    <w:rsid w:val="00366BA9"/>
    <w:rsid w:val="0036707A"/>
    <w:rsid w:val="003672DD"/>
    <w:rsid w:val="0037048A"/>
    <w:rsid w:val="00370B7A"/>
    <w:rsid w:val="00371409"/>
    <w:rsid w:val="003714FD"/>
    <w:rsid w:val="00372297"/>
    <w:rsid w:val="00372BEF"/>
    <w:rsid w:val="003746BC"/>
    <w:rsid w:val="003756EB"/>
    <w:rsid w:val="00375889"/>
    <w:rsid w:val="003758B5"/>
    <w:rsid w:val="00375CD7"/>
    <w:rsid w:val="003763F7"/>
    <w:rsid w:val="00380BAC"/>
    <w:rsid w:val="00383FA3"/>
    <w:rsid w:val="00384A50"/>
    <w:rsid w:val="003865B4"/>
    <w:rsid w:val="003875E6"/>
    <w:rsid w:val="0038768F"/>
    <w:rsid w:val="00391687"/>
    <w:rsid w:val="00392B69"/>
    <w:rsid w:val="00393723"/>
    <w:rsid w:val="00396684"/>
    <w:rsid w:val="003968B4"/>
    <w:rsid w:val="003A1009"/>
    <w:rsid w:val="003A193A"/>
    <w:rsid w:val="003A1F09"/>
    <w:rsid w:val="003A2D78"/>
    <w:rsid w:val="003A414C"/>
    <w:rsid w:val="003A434F"/>
    <w:rsid w:val="003A44DE"/>
    <w:rsid w:val="003A45BB"/>
    <w:rsid w:val="003A49DC"/>
    <w:rsid w:val="003A4CDA"/>
    <w:rsid w:val="003A4DB8"/>
    <w:rsid w:val="003A5139"/>
    <w:rsid w:val="003A5D8A"/>
    <w:rsid w:val="003A7F07"/>
    <w:rsid w:val="003B00D8"/>
    <w:rsid w:val="003B01B7"/>
    <w:rsid w:val="003B16B3"/>
    <w:rsid w:val="003B1A4C"/>
    <w:rsid w:val="003B274A"/>
    <w:rsid w:val="003B2C80"/>
    <w:rsid w:val="003B4FAB"/>
    <w:rsid w:val="003B52BD"/>
    <w:rsid w:val="003B6318"/>
    <w:rsid w:val="003B6802"/>
    <w:rsid w:val="003B70F3"/>
    <w:rsid w:val="003B7343"/>
    <w:rsid w:val="003C0640"/>
    <w:rsid w:val="003C2544"/>
    <w:rsid w:val="003C26D1"/>
    <w:rsid w:val="003C26F8"/>
    <w:rsid w:val="003C343C"/>
    <w:rsid w:val="003C5311"/>
    <w:rsid w:val="003C563C"/>
    <w:rsid w:val="003C5B6F"/>
    <w:rsid w:val="003C670B"/>
    <w:rsid w:val="003C6941"/>
    <w:rsid w:val="003C70D2"/>
    <w:rsid w:val="003C7404"/>
    <w:rsid w:val="003D0849"/>
    <w:rsid w:val="003D328F"/>
    <w:rsid w:val="003D42A1"/>
    <w:rsid w:val="003D4F61"/>
    <w:rsid w:val="003D54AE"/>
    <w:rsid w:val="003D6D95"/>
    <w:rsid w:val="003D7141"/>
    <w:rsid w:val="003D7171"/>
    <w:rsid w:val="003E026B"/>
    <w:rsid w:val="003E10AA"/>
    <w:rsid w:val="003E2456"/>
    <w:rsid w:val="003E3DE2"/>
    <w:rsid w:val="003E44CB"/>
    <w:rsid w:val="003E4606"/>
    <w:rsid w:val="003E492C"/>
    <w:rsid w:val="003E4F0A"/>
    <w:rsid w:val="003E5698"/>
    <w:rsid w:val="003E5B01"/>
    <w:rsid w:val="003E6FB9"/>
    <w:rsid w:val="003E7167"/>
    <w:rsid w:val="003F12D0"/>
    <w:rsid w:val="003F35AF"/>
    <w:rsid w:val="003F43B1"/>
    <w:rsid w:val="003F4AD5"/>
    <w:rsid w:val="003F4CF5"/>
    <w:rsid w:val="003F5AC1"/>
    <w:rsid w:val="003F5F9D"/>
    <w:rsid w:val="003F6455"/>
    <w:rsid w:val="003F7977"/>
    <w:rsid w:val="004013C4"/>
    <w:rsid w:val="00401A2E"/>
    <w:rsid w:val="004031E5"/>
    <w:rsid w:val="00403CA8"/>
    <w:rsid w:val="00405FE6"/>
    <w:rsid w:val="004064DD"/>
    <w:rsid w:val="004076B4"/>
    <w:rsid w:val="0040793E"/>
    <w:rsid w:val="00411FFC"/>
    <w:rsid w:val="00412050"/>
    <w:rsid w:val="00413C49"/>
    <w:rsid w:val="004152F8"/>
    <w:rsid w:val="00415A71"/>
    <w:rsid w:val="00415F64"/>
    <w:rsid w:val="00417908"/>
    <w:rsid w:val="004207B3"/>
    <w:rsid w:val="004209D0"/>
    <w:rsid w:val="0042224F"/>
    <w:rsid w:val="00423AC8"/>
    <w:rsid w:val="00425FE5"/>
    <w:rsid w:val="00431007"/>
    <w:rsid w:val="0043106C"/>
    <w:rsid w:val="00431A1F"/>
    <w:rsid w:val="00431A40"/>
    <w:rsid w:val="00432A82"/>
    <w:rsid w:val="004335E4"/>
    <w:rsid w:val="00436023"/>
    <w:rsid w:val="004368F2"/>
    <w:rsid w:val="00436902"/>
    <w:rsid w:val="00437BF2"/>
    <w:rsid w:val="0044355B"/>
    <w:rsid w:val="00444080"/>
    <w:rsid w:val="00446087"/>
    <w:rsid w:val="00447D9F"/>
    <w:rsid w:val="004518C9"/>
    <w:rsid w:val="00452AEA"/>
    <w:rsid w:val="00453583"/>
    <w:rsid w:val="004536BC"/>
    <w:rsid w:val="00453C5F"/>
    <w:rsid w:val="00457342"/>
    <w:rsid w:val="004575F1"/>
    <w:rsid w:val="0045772C"/>
    <w:rsid w:val="0046002F"/>
    <w:rsid w:val="004600E0"/>
    <w:rsid w:val="0046102B"/>
    <w:rsid w:val="00462B37"/>
    <w:rsid w:val="004647E0"/>
    <w:rsid w:val="00465321"/>
    <w:rsid w:val="0046727F"/>
    <w:rsid w:val="004673CA"/>
    <w:rsid w:val="0046744C"/>
    <w:rsid w:val="00467AEA"/>
    <w:rsid w:val="00470FF6"/>
    <w:rsid w:val="00471203"/>
    <w:rsid w:val="00471783"/>
    <w:rsid w:val="00471823"/>
    <w:rsid w:val="00471CC7"/>
    <w:rsid w:val="0047379F"/>
    <w:rsid w:val="00474632"/>
    <w:rsid w:val="00475296"/>
    <w:rsid w:val="00476253"/>
    <w:rsid w:val="004763A2"/>
    <w:rsid w:val="00477DFD"/>
    <w:rsid w:val="004809A2"/>
    <w:rsid w:val="00480BA0"/>
    <w:rsid w:val="004826BF"/>
    <w:rsid w:val="0048325B"/>
    <w:rsid w:val="0048420F"/>
    <w:rsid w:val="0048582C"/>
    <w:rsid w:val="00485F1A"/>
    <w:rsid w:val="004873A0"/>
    <w:rsid w:val="00487569"/>
    <w:rsid w:val="00487DC2"/>
    <w:rsid w:val="0049100B"/>
    <w:rsid w:val="00491881"/>
    <w:rsid w:val="00491F5F"/>
    <w:rsid w:val="004923A3"/>
    <w:rsid w:val="00492F97"/>
    <w:rsid w:val="00493AC1"/>
    <w:rsid w:val="0049507E"/>
    <w:rsid w:val="00495995"/>
    <w:rsid w:val="004964FE"/>
    <w:rsid w:val="0049652F"/>
    <w:rsid w:val="00496941"/>
    <w:rsid w:val="00497600"/>
    <w:rsid w:val="004A188C"/>
    <w:rsid w:val="004A1BE3"/>
    <w:rsid w:val="004A24AD"/>
    <w:rsid w:val="004A2D21"/>
    <w:rsid w:val="004A2F6A"/>
    <w:rsid w:val="004A35D4"/>
    <w:rsid w:val="004A3D9D"/>
    <w:rsid w:val="004A45F9"/>
    <w:rsid w:val="004A5A0C"/>
    <w:rsid w:val="004A6419"/>
    <w:rsid w:val="004A6A3B"/>
    <w:rsid w:val="004B0573"/>
    <w:rsid w:val="004B23BE"/>
    <w:rsid w:val="004B400A"/>
    <w:rsid w:val="004B4149"/>
    <w:rsid w:val="004B4487"/>
    <w:rsid w:val="004B4718"/>
    <w:rsid w:val="004B4DF4"/>
    <w:rsid w:val="004B5FCF"/>
    <w:rsid w:val="004B6B17"/>
    <w:rsid w:val="004B7212"/>
    <w:rsid w:val="004B770A"/>
    <w:rsid w:val="004B7B99"/>
    <w:rsid w:val="004C02CC"/>
    <w:rsid w:val="004C0DE3"/>
    <w:rsid w:val="004C1DE0"/>
    <w:rsid w:val="004C1E3F"/>
    <w:rsid w:val="004C23BD"/>
    <w:rsid w:val="004C280C"/>
    <w:rsid w:val="004C2D25"/>
    <w:rsid w:val="004C2D7B"/>
    <w:rsid w:val="004C3389"/>
    <w:rsid w:val="004C4203"/>
    <w:rsid w:val="004C46AE"/>
    <w:rsid w:val="004C5466"/>
    <w:rsid w:val="004C607A"/>
    <w:rsid w:val="004C60EC"/>
    <w:rsid w:val="004C7970"/>
    <w:rsid w:val="004D00F2"/>
    <w:rsid w:val="004D08A3"/>
    <w:rsid w:val="004D1426"/>
    <w:rsid w:val="004D1DA1"/>
    <w:rsid w:val="004D2BF9"/>
    <w:rsid w:val="004D2F38"/>
    <w:rsid w:val="004D3C65"/>
    <w:rsid w:val="004D3F7E"/>
    <w:rsid w:val="004D5171"/>
    <w:rsid w:val="004D52D1"/>
    <w:rsid w:val="004D5C37"/>
    <w:rsid w:val="004D797D"/>
    <w:rsid w:val="004E198D"/>
    <w:rsid w:val="004E2097"/>
    <w:rsid w:val="004E2321"/>
    <w:rsid w:val="004E241C"/>
    <w:rsid w:val="004E3036"/>
    <w:rsid w:val="004E38C7"/>
    <w:rsid w:val="004E619F"/>
    <w:rsid w:val="004E7015"/>
    <w:rsid w:val="004E7262"/>
    <w:rsid w:val="004F05ED"/>
    <w:rsid w:val="004F09C8"/>
    <w:rsid w:val="004F240C"/>
    <w:rsid w:val="004F3189"/>
    <w:rsid w:val="004F32B8"/>
    <w:rsid w:val="004F36E7"/>
    <w:rsid w:val="004F3D00"/>
    <w:rsid w:val="004F3F5C"/>
    <w:rsid w:val="004F4251"/>
    <w:rsid w:val="004F4763"/>
    <w:rsid w:val="004F4B70"/>
    <w:rsid w:val="004F64B3"/>
    <w:rsid w:val="004F7AD4"/>
    <w:rsid w:val="004F7C84"/>
    <w:rsid w:val="00500E81"/>
    <w:rsid w:val="00501AC2"/>
    <w:rsid w:val="00501B72"/>
    <w:rsid w:val="00501D0B"/>
    <w:rsid w:val="0050293B"/>
    <w:rsid w:val="0050320B"/>
    <w:rsid w:val="0050586D"/>
    <w:rsid w:val="00506C95"/>
    <w:rsid w:val="005073E4"/>
    <w:rsid w:val="00507472"/>
    <w:rsid w:val="005078C7"/>
    <w:rsid w:val="00507D19"/>
    <w:rsid w:val="0051081E"/>
    <w:rsid w:val="00511343"/>
    <w:rsid w:val="005116FA"/>
    <w:rsid w:val="0051201C"/>
    <w:rsid w:val="00515310"/>
    <w:rsid w:val="0051760A"/>
    <w:rsid w:val="005178FF"/>
    <w:rsid w:val="00517D8F"/>
    <w:rsid w:val="00521852"/>
    <w:rsid w:val="0052222A"/>
    <w:rsid w:val="00523898"/>
    <w:rsid w:val="0052437E"/>
    <w:rsid w:val="005247A2"/>
    <w:rsid w:val="00525EE9"/>
    <w:rsid w:val="0052643D"/>
    <w:rsid w:val="005308DC"/>
    <w:rsid w:val="005318EC"/>
    <w:rsid w:val="0053321F"/>
    <w:rsid w:val="005353E7"/>
    <w:rsid w:val="00536329"/>
    <w:rsid w:val="005367A4"/>
    <w:rsid w:val="00536851"/>
    <w:rsid w:val="00536A98"/>
    <w:rsid w:val="005373CD"/>
    <w:rsid w:val="005378AC"/>
    <w:rsid w:val="005379C8"/>
    <w:rsid w:val="0054010D"/>
    <w:rsid w:val="0054096F"/>
    <w:rsid w:val="00540E1C"/>
    <w:rsid w:val="00541035"/>
    <w:rsid w:val="0054190A"/>
    <w:rsid w:val="00541DA3"/>
    <w:rsid w:val="00542411"/>
    <w:rsid w:val="00543D5B"/>
    <w:rsid w:val="00545AC2"/>
    <w:rsid w:val="00545DC1"/>
    <w:rsid w:val="00547B73"/>
    <w:rsid w:val="005501AA"/>
    <w:rsid w:val="00552EAB"/>
    <w:rsid w:val="005541B7"/>
    <w:rsid w:val="0055450E"/>
    <w:rsid w:val="00554C69"/>
    <w:rsid w:val="00555BF3"/>
    <w:rsid w:val="00555EC5"/>
    <w:rsid w:val="00556322"/>
    <w:rsid w:val="00556BD9"/>
    <w:rsid w:val="0055723E"/>
    <w:rsid w:val="005575DF"/>
    <w:rsid w:val="00557B5E"/>
    <w:rsid w:val="0056130B"/>
    <w:rsid w:val="00561465"/>
    <w:rsid w:val="00561DE9"/>
    <w:rsid w:val="0056244A"/>
    <w:rsid w:val="005638B3"/>
    <w:rsid w:val="00564035"/>
    <w:rsid w:val="00564E32"/>
    <w:rsid w:val="005657F9"/>
    <w:rsid w:val="005663BE"/>
    <w:rsid w:val="005663FE"/>
    <w:rsid w:val="00566B4E"/>
    <w:rsid w:val="0057006B"/>
    <w:rsid w:val="0057034A"/>
    <w:rsid w:val="005703D4"/>
    <w:rsid w:val="00570EEC"/>
    <w:rsid w:val="0057193E"/>
    <w:rsid w:val="00572D27"/>
    <w:rsid w:val="00572FDE"/>
    <w:rsid w:val="0057456F"/>
    <w:rsid w:val="00575CC4"/>
    <w:rsid w:val="00576089"/>
    <w:rsid w:val="005817ED"/>
    <w:rsid w:val="0058310A"/>
    <w:rsid w:val="00583ECD"/>
    <w:rsid w:val="0058400B"/>
    <w:rsid w:val="00584275"/>
    <w:rsid w:val="005871AC"/>
    <w:rsid w:val="0059097D"/>
    <w:rsid w:val="00592DE8"/>
    <w:rsid w:val="0059540A"/>
    <w:rsid w:val="00595B37"/>
    <w:rsid w:val="005961E4"/>
    <w:rsid w:val="00596617"/>
    <w:rsid w:val="00596AED"/>
    <w:rsid w:val="005970DB"/>
    <w:rsid w:val="005A005F"/>
    <w:rsid w:val="005A01BB"/>
    <w:rsid w:val="005A1557"/>
    <w:rsid w:val="005A24AB"/>
    <w:rsid w:val="005A4634"/>
    <w:rsid w:val="005A580B"/>
    <w:rsid w:val="005A67AA"/>
    <w:rsid w:val="005A73E5"/>
    <w:rsid w:val="005B033B"/>
    <w:rsid w:val="005B1B2B"/>
    <w:rsid w:val="005B42DB"/>
    <w:rsid w:val="005B4E84"/>
    <w:rsid w:val="005B4EC0"/>
    <w:rsid w:val="005B5DB7"/>
    <w:rsid w:val="005B627D"/>
    <w:rsid w:val="005B6492"/>
    <w:rsid w:val="005B798B"/>
    <w:rsid w:val="005C15CC"/>
    <w:rsid w:val="005C1720"/>
    <w:rsid w:val="005C1A42"/>
    <w:rsid w:val="005C1BA2"/>
    <w:rsid w:val="005C326F"/>
    <w:rsid w:val="005C337E"/>
    <w:rsid w:val="005C4D82"/>
    <w:rsid w:val="005C6598"/>
    <w:rsid w:val="005C6773"/>
    <w:rsid w:val="005C6D55"/>
    <w:rsid w:val="005C6E25"/>
    <w:rsid w:val="005C7065"/>
    <w:rsid w:val="005D0B49"/>
    <w:rsid w:val="005D36A3"/>
    <w:rsid w:val="005D5A87"/>
    <w:rsid w:val="005D6E0B"/>
    <w:rsid w:val="005D6F38"/>
    <w:rsid w:val="005D7A8A"/>
    <w:rsid w:val="005E0EE8"/>
    <w:rsid w:val="005E10E9"/>
    <w:rsid w:val="005E1BA8"/>
    <w:rsid w:val="005E20AB"/>
    <w:rsid w:val="005E3D4F"/>
    <w:rsid w:val="005E42AB"/>
    <w:rsid w:val="005E48DF"/>
    <w:rsid w:val="005E624D"/>
    <w:rsid w:val="005F0245"/>
    <w:rsid w:val="005F0795"/>
    <w:rsid w:val="005F1BB8"/>
    <w:rsid w:val="005F21A3"/>
    <w:rsid w:val="005F2A33"/>
    <w:rsid w:val="005F2EB9"/>
    <w:rsid w:val="005F2F87"/>
    <w:rsid w:val="005F31A4"/>
    <w:rsid w:val="005F60F5"/>
    <w:rsid w:val="005F64A1"/>
    <w:rsid w:val="005F64B0"/>
    <w:rsid w:val="005F7299"/>
    <w:rsid w:val="00600AB1"/>
    <w:rsid w:val="00602F9B"/>
    <w:rsid w:val="00603670"/>
    <w:rsid w:val="00604323"/>
    <w:rsid w:val="00604340"/>
    <w:rsid w:val="00604D0C"/>
    <w:rsid w:val="0060725A"/>
    <w:rsid w:val="00607754"/>
    <w:rsid w:val="00607AD0"/>
    <w:rsid w:val="006103A1"/>
    <w:rsid w:val="00611E61"/>
    <w:rsid w:val="00612FB8"/>
    <w:rsid w:val="00612FEE"/>
    <w:rsid w:val="0061479F"/>
    <w:rsid w:val="00615275"/>
    <w:rsid w:val="00615A6C"/>
    <w:rsid w:val="00616037"/>
    <w:rsid w:val="00617414"/>
    <w:rsid w:val="00617816"/>
    <w:rsid w:val="006179F1"/>
    <w:rsid w:val="00623124"/>
    <w:rsid w:val="0062330B"/>
    <w:rsid w:val="00623CBE"/>
    <w:rsid w:val="00624757"/>
    <w:rsid w:val="00625362"/>
    <w:rsid w:val="00625C1C"/>
    <w:rsid w:val="00626E9E"/>
    <w:rsid w:val="006274D5"/>
    <w:rsid w:val="006309B6"/>
    <w:rsid w:val="006317C8"/>
    <w:rsid w:val="006318F2"/>
    <w:rsid w:val="00631911"/>
    <w:rsid w:val="00631D09"/>
    <w:rsid w:val="00632516"/>
    <w:rsid w:val="00632991"/>
    <w:rsid w:val="0063362A"/>
    <w:rsid w:val="006337EC"/>
    <w:rsid w:val="0063419E"/>
    <w:rsid w:val="00634866"/>
    <w:rsid w:val="00634DB9"/>
    <w:rsid w:val="00637089"/>
    <w:rsid w:val="00637364"/>
    <w:rsid w:val="00637D9B"/>
    <w:rsid w:val="00640E95"/>
    <w:rsid w:val="0064105E"/>
    <w:rsid w:val="00641808"/>
    <w:rsid w:val="00642AC4"/>
    <w:rsid w:val="00647D3F"/>
    <w:rsid w:val="00651373"/>
    <w:rsid w:val="00652431"/>
    <w:rsid w:val="006528BC"/>
    <w:rsid w:val="00655B99"/>
    <w:rsid w:val="00655BE6"/>
    <w:rsid w:val="00660572"/>
    <w:rsid w:val="006627DF"/>
    <w:rsid w:val="0066311D"/>
    <w:rsid w:val="00663238"/>
    <w:rsid w:val="00663B33"/>
    <w:rsid w:val="00664324"/>
    <w:rsid w:val="00664BAB"/>
    <w:rsid w:val="00665658"/>
    <w:rsid w:val="006659AF"/>
    <w:rsid w:val="006663B7"/>
    <w:rsid w:val="00667652"/>
    <w:rsid w:val="006679FF"/>
    <w:rsid w:val="0067121D"/>
    <w:rsid w:val="00671D1B"/>
    <w:rsid w:val="00672C44"/>
    <w:rsid w:val="00674077"/>
    <w:rsid w:val="00675393"/>
    <w:rsid w:val="00676F5D"/>
    <w:rsid w:val="00683A37"/>
    <w:rsid w:val="00684D30"/>
    <w:rsid w:val="00685692"/>
    <w:rsid w:val="006908B5"/>
    <w:rsid w:val="00690983"/>
    <w:rsid w:val="00690E0D"/>
    <w:rsid w:val="006915A0"/>
    <w:rsid w:val="006915DA"/>
    <w:rsid w:val="00692BF9"/>
    <w:rsid w:val="00695279"/>
    <w:rsid w:val="00696E74"/>
    <w:rsid w:val="006A223C"/>
    <w:rsid w:val="006A36D3"/>
    <w:rsid w:val="006A37E6"/>
    <w:rsid w:val="006A3999"/>
    <w:rsid w:val="006A4781"/>
    <w:rsid w:val="006A50EF"/>
    <w:rsid w:val="006A539C"/>
    <w:rsid w:val="006A5954"/>
    <w:rsid w:val="006A5CA6"/>
    <w:rsid w:val="006A5E7D"/>
    <w:rsid w:val="006A74B8"/>
    <w:rsid w:val="006A78EC"/>
    <w:rsid w:val="006A7CA8"/>
    <w:rsid w:val="006B067B"/>
    <w:rsid w:val="006B0C7A"/>
    <w:rsid w:val="006B134E"/>
    <w:rsid w:val="006B1C82"/>
    <w:rsid w:val="006B2B8D"/>
    <w:rsid w:val="006B3BD5"/>
    <w:rsid w:val="006B4550"/>
    <w:rsid w:val="006B47CD"/>
    <w:rsid w:val="006B4D3A"/>
    <w:rsid w:val="006B5A61"/>
    <w:rsid w:val="006B60ED"/>
    <w:rsid w:val="006C1B4C"/>
    <w:rsid w:val="006C1DBB"/>
    <w:rsid w:val="006C3D05"/>
    <w:rsid w:val="006C6872"/>
    <w:rsid w:val="006C70EF"/>
    <w:rsid w:val="006C7F7A"/>
    <w:rsid w:val="006D00FE"/>
    <w:rsid w:val="006D1632"/>
    <w:rsid w:val="006D2441"/>
    <w:rsid w:val="006D2792"/>
    <w:rsid w:val="006D37B6"/>
    <w:rsid w:val="006D3CED"/>
    <w:rsid w:val="006D4562"/>
    <w:rsid w:val="006D4B1C"/>
    <w:rsid w:val="006D58B0"/>
    <w:rsid w:val="006D5C4C"/>
    <w:rsid w:val="006D631D"/>
    <w:rsid w:val="006D68C4"/>
    <w:rsid w:val="006D6E15"/>
    <w:rsid w:val="006D7E7C"/>
    <w:rsid w:val="006E031A"/>
    <w:rsid w:val="006E062D"/>
    <w:rsid w:val="006E0C8E"/>
    <w:rsid w:val="006E2CAA"/>
    <w:rsid w:val="006E32A4"/>
    <w:rsid w:val="006E5DE3"/>
    <w:rsid w:val="006F0B65"/>
    <w:rsid w:val="006F11BF"/>
    <w:rsid w:val="006F2145"/>
    <w:rsid w:val="006F5C09"/>
    <w:rsid w:val="006F631C"/>
    <w:rsid w:val="0070116C"/>
    <w:rsid w:val="00701FA8"/>
    <w:rsid w:val="007026F1"/>
    <w:rsid w:val="00702D1D"/>
    <w:rsid w:val="00703396"/>
    <w:rsid w:val="0070365B"/>
    <w:rsid w:val="00703B58"/>
    <w:rsid w:val="00703D6A"/>
    <w:rsid w:val="00703EBD"/>
    <w:rsid w:val="00704432"/>
    <w:rsid w:val="00704A98"/>
    <w:rsid w:val="00705B68"/>
    <w:rsid w:val="00705F92"/>
    <w:rsid w:val="00710813"/>
    <w:rsid w:val="00711858"/>
    <w:rsid w:val="007122FA"/>
    <w:rsid w:val="00713A70"/>
    <w:rsid w:val="00713A78"/>
    <w:rsid w:val="00715455"/>
    <w:rsid w:val="00716694"/>
    <w:rsid w:val="00716D00"/>
    <w:rsid w:val="00720362"/>
    <w:rsid w:val="007214D2"/>
    <w:rsid w:val="00721C3E"/>
    <w:rsid w:val="00724A41"/>
    <w:rsid w:val="00724EA2"/>
    <w:rsid w:val="00726F45"/>
    <w:rsid w:val="00727363"/>
    <w:rsid w:val="0072739F"/>
    <w:rsid w:val="00730D68"/>
    <w:rsid w:val="00731C6B"/>
    <w:rsid w:val="00731D98"/>
    <w:rsid w:val="00732777"/>
    <w:rsid w:val="007328D1"/>
    <w:rsid w:val="007332DD"/>
    <w:rsid w:val="007341A8"/>
    <w:rsid w:val="0073432E"/>
    <w:rsid w:val="0073509A"/>
    <w:rsid w:val="00737DB3"/>
    <w:rsid w:val="00737EA3"/>
    <w:rsid w:val="007415CA"/>
    <w:rsid w:val="007431BA"/>
    <w:rsid w:val="00746571"/>
    <w:rsid w:val="00746B78"/>
    <w:rsid w:val="00750577"/>
    <w:rsid w:val="00750C42"/>
    <w:rsid w:val="007512A5"/>
    <w:rsid w:val="00751C2B"/>
    <w:rsid w:val="00753777"/>
    <w:rsid w:val="00754BC6"/>
    <w:rsid w:val="007562E1"/>
    <w:rsid w:val="007574AF"/>
    <w:rsid w:val="00762303"/>
    <w:rsid w:val="00762FF7"/>
    <w:rsid w:val="00763171"/>
    <w:rsid w:val="0076386E"/>
    <w:rsid w:val="00763E50"/>
    <w:rsid w:val="00764483"/>
    <w:rsid w:val="00767646"/>
    <w:rsid w:val="00767C04"/>
    <w:rsid w:val="00770E34"/>
    <w:rsid w:val="00774121"/>
    <w:rsid w:val="0077645F"/>
    <w:rsid w:val="00780069"/>
    <w:rsid w:val="0078165D"/>
    <w:rsid w:val="007833F1"/>
    <w:rsid w:val="00783A23"/>
    <w:rsid w:val="00783E12"/>
    <w:rsid w:val="00784433"/>
    <w:rsid w:val="00784903"/>
    <w:rsid w:val="00787298"/>
    <w:rsid w:val="0078739E"/>
    <w:rsid w:val="00787BFA"/>
    <w:rsid w:val="00790384"/>
    <w:rsid w:val="007909AB"/>
    <w:rsid w:val="00792660"/>
    <w:rsid w:val="007949E4"/>
    <w:rsid w:val="00794E56"/>
    <w:rsid w:val="007953FA"/>
    <w:rsid w:val="00797E97"/>
    <w:rsid w:val="007A0838"/>
    <w:rsid w:val="007A12DA"/>
    <w:rsid w:val="007A1C63"/>
    <w:rsid w:val="007A1DB6"/>
    <w:rsid w:val="007A2EE0"/>
    <w:rsid w:val="007A3879"/>
    <w:rsid w:val="007A46F6"/>
    <w:rsid w:val="007A491D"/>
    <w:rsid w:val="007A5A28"/>
    <w:rsid w:val="007A75B0"/>
    <w:rsid w:val="007B14DB"/>
    <w:rsid w:val="007B42AB"/>
    <w:rsid w:val="007B4DBE"/>
    <w:rsid w:val="007B5537"/>
    <w:rsid w:val="007C081A"/>
    <w:rsid w:val="007C09CB"/>
    <w:rsid w:val="007C1D45"/>
    <w:rsid w:val="007C236B"/>
    <w:rsid w:val="007C3D9D"/>
    <w:rsid w:val="007C5DF6"/>
    <w:rsid w:val="007C6026"/>
    <w:rsid w:val="007C6D53"/>
    <w:rsid w:val="007C720F"/>
    <w:rsid w:val="007C7860"/>
    <w:rsid w:val="007C795D"/>
    <w:rsid w:val="007C7DB1"/>
    <w:rsid w:val="007C7E90"/>
    <w:rsid w:val="007D062B"/>
    <w:rsid w:val="007D0DF3"/>
    <w:rsid w:val="007D11A4"/>
    <w:rsid w:val="007D11EC"/>
    <w:rsid w:val="007D1D01"/>
    <w:rsid w:val="007D32B3"/>
    <w:rsid w:val="007D4164"/>
    <w:rsid w:val="007D4191"/>
    <w:rsid w:val="007D52D6"/>
    <w:rsid w:val="007D7610"/>
    <w:rsid w:val="007E230E"/>
    <w:rsid w:val="007E29A2"/>
    <w:rsid w:val="007E5469"/>
    <w:rsid w:val="007E7FBD"/>
    <w:rsid w:val="007F181B"/>
    <w:rsid w:val="007F2735"/>
    <w:rsid w:val="007F2C8E"/>
    <w:rsid w:val="007F327C"/>
    <w:rsid w:val="007F50C9"/>
    <w:rsid w:val="007F62FF"/>
    <w:rsid w:val="007F6870"/>
    <w:rsid w:val="007F6A73"/>
    <w:rsid w:val="008008AA"/>
    <w:rsid w:val="0080122A"/>
    <w:rsid w:val="00801588"/>
    <w:rsid w:val="00801C49"/>
    <w:rsid w:val="008026C9"/>
    <w:rsid w:val="0080385E"/>
    <w:rsid w:val="00805099"/>
    <w:rsid w:val="00805BC7"/>
    <w:rsid w:val="0080667A"/>
    <w:rsid w:val="0080732A"/>
    <w:rsid w:val="008133C6"/>
    <w:rsid w:val="00813942"/>
    <w:rsid w:val="008139E7"/>
    <w:rsid w:val="0081500D"/>
    <w:rsid w:val="00815143"/>
    <w:rsid w:val="008169AB"/>
    <w:rsid w:val="008170BD"/>
    <w:rsid w:val="00817BD1"/>
    <w:rsid w:val="00817D68"/>
    <w:rsid w:val="008201D9"/>
    <w:rsid w:val="008207DA"/>
    <w:rsid w:val="00820C7F"/>
    <w:rsid w:val="00820DB9"/>
    <w:rsid w:val="008210C7"/>
    <w:rsid w:val="00821C64"/>
    <w:rsid w:val="008226EC"/>
    <w:rsid w:val="00823E30"/>
    <w:rsid w:val="00823F7C"/>
    <w:rsid w:val="008250A8"/>
    <w:rsid w:val="008260BE"/>
    <w:rsid w:val="00826479"/>
    <w:rsid w:val="00826A5A"/>
    <w:rsid w:val="00826E21"/>
    <w:rsid w:val="0082776D"/>
    <w:rsid w:val="00827D93"/>
    <w:rsid w:val="008306F3"/>
    <w:rsid w:val="00831888"/>
    <w:rsid w:val="00836199"/>
    <w:rsid w:val="00836B67"/>
    <w:rsid w:val="00840FCB"/>
    <w:rsid w:val="00841415"/>
    <w:rsid w:val="0084148C"/>
    <w:rsid w:val="008416A5"/>
    <w:rsid w:val="008429E4"/>
    <w:rsid w:val="00842A93"/>
    <w:rsid w:val="00843D24"/>
    <w:rsid w:val="0084462E"/>
    <w:rsid w:val="008448ED"/>
    <w:rsid w:val="008474EC"/>
    <w:rsid w:val="00853D77"/>
    <w:rsid w:val="00853ED3"/>
    <w:rsid w:val="008546F3"/>
    <w:rsid w:val="00855142"/>
    <w:rsid w:val="00856542"/>
    <w:rsid w:val="00856DDB"/>
    <w:rsid w:val="00857896"/>
    <w:rsid w:val="00860D10"/>
    <w:rsid w:val="00862003"/>
    <w:rsid w:val="00862AA7"/>
    <w:rsid w:val="00862CD3"/>
    <w:rsid w:val="00863A0D"/>
    <w:rsid w:val="00863FD9"/>
    <w:rsid w:val="008650A6"/>
    <w:rsid w:val="008650C7"/>
    <w:rsid w:val="0086596C"/>
    <w:rsid w:val="00865EF0"/>
    <w:rsid w:val="00866AA4"/>
    <w:rsid w:val="00867FA3"/>
    <w:rsid w:val="00870286"/>
    <w:rsid w:val="0087034B"/>
    <w:rsid w:val="00870728"/>
    <w:rsid w:val="008713B2"/>
    <w:rsid w:val="00872909"/>
    <w:rsid w:val="00872986"/>
    <w:rsid w:val="00873232"/>
    <w:rsid w:val="00873BF4"/>
    <w:rsid w:val="00873CD8"/>
    <w:rsid w:val="00874543"/>
    <w:rsid w:val="00874A26"/>
    <w:rsid w:val="00874A4A"/>
    <w:rsid w:val="00875EB3"/>
    <w:rsid w:val="008762A4"/>
    <w:rsid w:val="00876DAB"/>
    <w:rsid w:val="00877BD2"/>
    <w:rsid w:val="00881688"/>
    <w:rsid w:val="008818B1"/>
    <w:rsid w:val="0088481C"/>
    <w:rsid w:val="008871D3"/>
    <w:rsid w:val="0088744C"/>
    <w:rsid w:val="00890592"/>
    <w:rsid w:val="00890735"/>
    <w:rsid w:val="00891644"/>
    <w:rsid w:val="00891B5A"/>
    <w:rsid w:val="00891C7C"/>
    <w:rsid w:val="00893815"/>
    <w:rsid w:val="008944B1"/>
    <w:rsid w:val="00894F4E"/>
    <w:rsid w:val="00896CC5"/>
    <w:rsid w:val="008A0AEA"/>
    <w:rsid w:val="008A0B4A"/>
    <w:rsid w:val="008A146B"/>
    <w:rsid w:val="008A168D"/>
    <w:rsid w:val="008A247A"/>
    <w:rsid w:val="008A270E"/>
    <w:rsid w:val="008A3425"/>
    <w:rsid w:val="008A43F2"/>
    <w:rsid w:val="008A480D"/>
    <w:rsid w:val="008A4DB3"/>
    <w:rsid w:val="008A4F1C"/>
    <w:rsid w:val="008A5340"/>
    <w:rsid w:val="008A5F1C"/>
    <w:rsid w:val="008A6C8D"/>
    <w:rsid w:val="008B06DD"/>
    <w:rsid w:val="008B13DC"/>
    <w:rsid w:val="008B3CEE"/>
    <w:rsid w:val="008B5BA3"/>
    <w:rsid w:val="008B6C16"/>
    <w:rsid w:val="008C0DFF"/>
    <w:rsid w:val="008C1A66"/>
    <w:rsid w:val="008C2327"/>
    <w:rsid w:val="008C3BAB"/>
    <w:rsid w:val="008C42AD"/>
    <w:rsid w:val="008C494E"/>
    <w:rsid w:val="008C577C"/>
    <w:rsid w:val="008C59C7"/>
    <w:rsid w:val="008C5A22"/>
    <w:rsid w:val="008C5CDD"/>
    <w:rsid w:val="008C729B"/>
    <w:rsid w:val="008D0516"/>
    <w:rsid w:val="008D12BA"/>
    <w:rsid w:val="008D1D0E"/>
    <w:rsid w:val="008D212C"/>
    <w:rsid w:val="008D286B"/>
    <w:rsid w:val="008D36D7"/>
    <w:rsid w:val="008D4B12"/>
    <w:rsid w:val="008D64EF"/>
    <w:rsid w:val="008D6B00"/>
    <w:rsid w:val="008D6E8E"/>
    <w:rsid w:val="008D7A7B"/>
    <w:rsid w:val="008E0F74"/>
    <w:rsid w:val="008E154F"/>
    <w:rsid w:val="008E2830"/>
    <w:rsid w:val="008E29B4"/>
    <w:rsid w:val="008E47D8"/>
    <w:rsid w:val="008E4D87"/>
    <w:rsid w:val="008E4EDB"/>
    <w:rsid w:val="008E63F8"/>
    <w:rsid w:val="008E68F4"/>
    <w:rsid w:val="008E7688"/>
    <w:rsid w:val="008F03C6"/>
    <w:rsid w:val="008F20E4"/>
    <w:rsid w:val="008F33F1"/>
    <w:rsid w:val="008F436B"/>
    <w:rsid w:val="008F4410"/>
    <w:rsid w:val="008F7813"/>
    <w:rsid w:val="008F7A29"/>
    <w:rsid w:val="00900139"/>
    <w:rsid w:val="009009C0"/>
    <w:rsid w:val="00901088"/>
    <w:rsid w:val="009028C5"/>
    <w:rsid w:val="009035FC"/>
    <w:rsid w:val="00903958"/>
    <w:rsid w:val="00904158"/>
    <w:rsid w:val="0090417C"/>
    <w:rsid w:val="009045B3"/>
    <w:rsid w:val="009100CC"/>
    <w:rsid w:val="0091099D"/>
    <w:rsid w:val="0091135C"/>
    <w:rsid w:val="0091261B"/>
    <w:rsid w:val="00916481"/>
    <w:rsid w:val="0091664F"/>
    <w:rsid w:val="009215A8"/>
    <w:rsid w:val="00921E14"/>
    <w:rsid w:val="0092201C"/>
    <w:rsid w:val="009248E4"/>
    <w:rsid w:val="00924D01"/>
    <w:rsid w:val="00925EDF"/>
    <w:rsid w:val="0092656B"/>
    <w:rsid w:val="009275EF"/>
    <w:rsid w:val="0093002E"/>
    <w:rsid w:val="009310FB"/>
    <w:rsid w:val="009321DD"/>
    <w:rsid w:val="00933493"/>
    <w:rsid w:val="0093411D"/>
    <w:rsid w:val="009341AC"/>
    <w:rsid w:val="0093428E"/>
    <w:rsid w:val="00935DD6"/>
    <w:rsid w:val="009402D9"/>
    <w:rsid w:val="0094077F"/>
    <w:rsid w:val="0094233B"/>
    <w:rsid w:val="0094288F"/>
    <w:rsid w:val="009428DB"/>
    <w:rsid w:val="0094361C"/>
    <w:rsid w:val="00945489"/>
    <w:rsid w:val="00945526"/>
    <w:rsid w:val="00945996"/>
    <w:rsid w:val="00945D21"/>
    <w:rsid w:val="00946366"/>
    <w:rsid w:val="00946E6F"/>
    <w:rsid w:val="00951314"/>
    <w:rsid w:val="00952761"/>
    <w:rsid w:val="009534C4"/>
    <w:rsid w:val="0095451E"/>
    <w:rsid w:val="00956336"/>
    <w:rsid w:val="00957E4C"/>
    <w:rsid w:val="00960D41"/>
    <w:rsid w:val="009612FE"/>
    <w:rsid w:val="00961BE5"/>
    <w:rsid w:val="00963212"/>
    <w:rsid w:val="009639A5"/>
    <w:rsid w:val="00963AC4"/>
    <w:rsid w:val="00964B93"/>
    <w:rsid w:val="00966BAD"/>
    <w:rsid w:val="00966D68"/>
    <w:rsid w:val="0096757F"/>
    <w:rsid w:val="00967B6C"/>
    <w:rsid w:val="00971335"/>
    <w:rsid w:val="009717AA"/>
    <w:rsid w:val="00973257"/>
    <w:rsid w:val="0097373A"/>
    <w:rsid w:val="00973945"/>
    <w:rsid w:val="0097578F"/>
    <w:rsid w:val="00976253"/>
    <w:rsid w:val="00977B3C"/>
    <w:rsid w:val="009850B4"/>
    <w:rsid w:val="00985EFE"/>
    <w:rsid w:val="009864EB"/>
    <w:rsid w:val="009920BA"/>
    <w:rsid w:val="009921FE"/>
    <w:rsid w:val="00992536"/>
    <w:rsid w:val="0099269D"/>
    <w:rsid w:val="00994078"/>
    <w:rsid w:val="00995A03"/>
    <w:rsid w:val="00996657"/>
    <w:rsid w:val="00996A89"/>
    <w:rsid w:val="00996C63"/>
    <w:rsid w:val="00997136"/>
    <w:rsid w:val="00997319"/>
    <w:rsid w:val="00997FDB"/>
    <w:rsid w:val="009A0463"/>
    <w:rsid w:val="009A0621"/>
    <w:rsid w:val="009A07D2"/>
    <w:rsid w:val="009A0A00"/>
    <w:rsid w:val="009A0CDC"/>
    <w:rsid w:val="009A0D1E"/>
    <w:rsid w:val="009A12A4"/>
    <w:rsid w:val="009A498B"/>
    <w:rsid w:val="009A49FE"/>
    <w:rsid w:val="009A4FB2"/>
    <w:rsid w:val="009A62D3"/>
    <w:rsid w:val="009A6305"/>
    <w:rsid w:val="009A642E"/>
    <w:rsid w:val="009B0859"/>
    <w:rsid w:val="009B0C19"/>
    <w:rsid w:val="009B12E4"/>
    <w:rsid w:val="009B2579"/>
    <w:rsid w:val="009B316D"/>
    <w:rsid w:val="009B3873"/>
    <w:rsid w:val="009B3BA6"/>
    <w:rsid w:val="009B3ECD"/>
    <w:rsid w:val="009B4F0A"/>
    <w:rsid w:val="009C1613"/>
    <w:rsid w:val="009C29DF"/>
    <w:rsid w:val="009C3125"/>
    <w:rsid w:val="009C33D2"/>
    <w:rsid w:val="009C3F70"/>
    <w:rsid w:val="009C4CEA"/>
    <w:rsid w:val="009C4DE7"/>
    <w:rsid w:val="009C4F02"/>
    <w:rsid w:val="009C5C15"/>
    <w:rsid w:val="009C6DBF"/>
    <w:rsid w:val="009C7058"/>
    <w:rsid w:val="009C7583"/>
    <w:rsid w:val="009C76E0"/>
    <w:rsid w:val="009D0343"/>
    <w:rsid w:val="009D1DF5"/>
    <w:rsid w:val="009D3F65"/>
    <w:rsid w:val="009D4512"/>
    <w:rsid w:val="009D5FA0"/>
    <w:rsid w:val="009D633E"/>
    <w:rsid w:val="009D7205"/>
    <w:rsid w:val="009D759C"/>
    <w:rsid w:val="009D776C"/>
    <w:rsid w:val="009E0AFC"/>
    <w:rsid w:val="009E1350"/>
    <w:rsid w:val="009E149A"/>
    <w:rsid w:val="009E1C1A"/>
    <w:rsid w:val="009E1DC4"/>
    <w:rsid w:val="009E232F"/>
    <w:rsid w:val="009E285A"/>
    <w:rsid w:val="009E3FE1"/>
    <w:rsid w:val="009E4546"/>
    <w:rsid w:val="009E462E"/>
    <w:rsid w:val="009E5336"/>
    <w:rsid w:val="009E59FF"/>
    <w:rsid w:val="009E736C"/>
    <w:rsid w:val="009E7883"/>
    <w:rsid w:val="009E7EC2"/>
    <w:rsid w:val="009F0622"/>
    <w:rsid w:val="009F0C82"/>
    <w:rsid w:val="009F1C63"/>
    <w:rsid w:val="009F3E93"/>
    <w:rsid w:val="009F4088"/>
    <w:rsid w:val="009F4107"/>
    <w:rsid w:val="009F490B"/>
    <w:rsid w:val="009F5025"/>
    <w:rsid w:val="009F5AF7"/>
    <w:rsid w:val="009F7953"/>
    <w:rsid w:val="00A00117"/>
    <w:rsid w:val="00A00147"/>
    <w:rsid w:val="00A01D16"/>
    <w:rsid w:val="00A01E45"/>
    <w:rsid w:val="00A02E90"/>
    <w:rsid w:val="00A02E93"/>
    <w:rsid w:val="00A02F52"/>
    <w:rsid w:val="00A04B2C"/>
    <w:rsid w:val="00A0556A"/>
    <w:rsid w:val="00A066C4"/>
    <w:rsid w:val="00A1010C"/>
    <w:rsid w:val="00A109AF"/>
    <w:rsid w:val="00A10D22"/>
    <w:rsid w:val="00A11044"/>
    <w:rsid w:val="00A11330"/>
    <w:rsid w:val="00A12A3D"/>
    <w:rsid w:val="00A12BE6"/>
    <w:rsid w:val="00A134EC"/>
    <w:rsid w:val="00A14E10"/>
    <w:rsid w:val="00A17ECA"/>
    <w:rsid w:val="00A210E7"/>
    <w:rsid w:val="00A217BA"/>
    <w:rsid w:val="00A22ED8"/>
    <w:rsid w:val="00A22F23"/>
    <w:rsid w:val="00A23ADE"/>
    <w:rsid w:val="00A25C09"/>
    <w:rsid w:val="00A26EDF"/>
    <w:rsid w:val="00A271EB"/>
    <w:rsid w:val="00A272A7"/>
    <w:rsid w:val="00A30241"/>
    <w:rsid w:val="00A3245F"/>
    <w:rsid w:val="00A32748"/>
    <w:rsid w:val="00A33BD8"/>
    <w:rsid w:val="00A33F9C"/>
    <w:rsid w:val="00A34E5B"/>
    <w:rsid w:val="00A34FD7"/>
    <w:rsid w:val="00A3575D"/>
    <w:rsid w:val="00A36DFE"/>
    <w:rsid w:val="00A3739C"/>
    <w:rsid w:val="00A41143"/>
    <w:rsid w:val="00A41A28"/>
    <w:rsid w:val="00A43C6B"/>
    <w:rsid w:val="00A4566D"/>
    <w:rsid w:val="00A471CE"/>
    <w:rsid w:val="00A479AB"/>
    <w:rsid w:val="00A47EDA"/>
    <w:rsid w:val="00A47F1F"/>
    <w:rsid w:val="00A52107"/>
    <w:rsid w:val="00A5342F"/>
    <w:rsid w:val="00A5399C"/>
    <w:rsid w:val="00A53C59"/>
    <w:rsid w:val="00A548F9"/>
    <w:rsid w:val="00A60480"/>
    <w:rsid w:val="00A606C5"/>
    <w:rsid w:val="00A610A4"/>
    <w:rsid w:val="00A610D8"/>
    <w:rsid w:val="00A61235"/>
    <w:rsid w:val="00A61257"/>
    <w:rsid w:val="00A61EFD"/>
    <w:rsid w:val="00A62FCF"/>
    <w:rsid w:val="00A64D91"/>
    <w:rsid w:val="00A6693A"/>
    <w:rsid w:val="00A6698A"/>
    <w:rsid w:val="00A70247"/>
    <w:rsid w:val="00A710F5"/>
    <w:rsid w:val="00A71748"/>
    <w:rsid w:val="00A7256B"/>
    <w:rsid w:val="00A72963"/>
    <w:rsid w:val="00A73CF5"/>
    <w:rsid w:val="00A74026"/>
    <w:rsid w:val="00A74CAD"/>
    <w:rsid w:val="00A74CDF"/>
    <w:rsid w:val="00A759E5"/>
    <w:rsid w:val="00A77C9C"/>
    <w:rsid w:val="00A77D3D"/>
    <w:rsid w:val="00A80908"/>
    <w:rsid w:val="00A81690"/>
    <w:rsid w:val="00A83422"/>
    <w:rsid w:val="00A84508"/>
    <w:rsid w:val="00A84A70"/>
    <w:rsid w:val="00A86350"/>
    <w:rsid w:val="00A86AE2"/>
    <w:rsid w:val="00A86BC5"/>
    <w:rsid w:val="00A922B3"/>
    <w:rsid w:val="00A935CE"/>
    <w:rsid w:val="00A94C86"/>
    <w:rsid w:val="00A955BC"/>
    <w:rsid w:val="00A95E43"/>
    <w:rsid w:val="00A971E0"/>
    <w:rsid w:val="00A97D5A"/>
    <w:rsid w:val="00AA0E20"/>
    <w:rsid w:val="00AA1011"/>
    <w:rsid w:val="00AA218C"/>
    <w:rsid w:val="00AA29EA"/>
    <w:rsid w:val="00AA3204"/>
    <w:rsid w:val="00AA32B7"/>
    <w:rsid w:val="00AA5249"/>
    <w:rsid w:val="00AA66AF"/>
    <w:rsid w:val="00AB12A5"/>
    <w:rsid w:val="00AB1982"/>
    <w:rsid w:val="00AB3043"/>
    <w:rsid w:val="00AB3483"/>
    <w:rsid w:val="00AB4651"/>
    <w:rsid w:val="00AB4F0A"/>
    <w:rsid w:val="00AB6597"/>
    <w:rsid w:val="00AB7535"/>
    <w:rsid w:val="00AB76B2"/>
    <w:rsid w:val="00AB7ACC"/>
    <w:rsid w:val="00AC0B19"/>
    <w:rsid w:val="00AC0BE4"/>
    <w:rsid w:val="00AC1277"/>
    <w:rsid w:val="00AC1524"/>
    <w:rsid w:val="00AC219D"/>
    <w:rsid w:val="00AC2DB3"/>
    <w:rsid w:val="00AC3093"/>
    <w:rsid w:val="00AC39BF"/>
    <w:rsid w:val="00AC41CF"/>
    <w:rsid w:val="00AC5F4F"/>
    <w:rsid w:val="00AD01F3"/>
    <w:rsid w:val="00AD10F3"/>
    <w:rsid w:val="00AD16D4"/>
    <w:rsid w:val="00AD1CC5"/>
    <w:rsid w:val="00AD20DE"/>
    <w:rsid w:val="00AD2EE2"/>
    <w:rsid w:val="00AD3047"/>
    <w:rsid w:val="00AD3E54"/>
    <w:rsid w:val="00AD4210"/>
    <w:rsid w:val="00AD55BB"/>
    <w:rsid w:val="00AD5CC8"/>
    <w:rsid w:val="00AD751C"/>
    <w:rsid w:val="00AD7BA9"/>
    <w:rsid w:val="00AE0DBC"/>
    <w:rsid w:val="00AE0EBB"/>
    <w:rsid w:val="00AE0F46"/>
    <w:rsid w:val="00AE18DF"/>
    <w:rsid w:val="00AE2834"/>
    <w:rsid w:val="00AE2A98"/>
    <w:rsid w:val="00AE33C7"/>
    <w:rsid w:val="00AE384C"/>
    <w:rsid w:val="00AE3E07"/>
    <w:rsid w:val="00AE3F5A"/>
    <w:rsid w:val="00AE6BA9"/>
    <w:rsid w:val="00AE7249"/>
    <w:rsid w:val="00AE7A43"/>
    <w:rsid w:val="00AF19F3"/>
    <w:rsid w:val="00AF3479"/>
    <w:rsid w:val="00AF38C7"/>
    <w:rsid w:val="00AF4636"/>
    <w:rsid w:val="00AF700B"/>
    <w:rsid w:val="00B00615"/>
    <w:rsid w:val="00B017E4"/>
    <w:rsid w:val="00B01A5B"/>
    <w:rsid w:val="00B03DF2"/>
    <w:rsid w:val="00B0564E"/>
    <w:rsid w:val="00B05FAC"/>
    <w:rsid w:val="00B0613B"/>
    <w:rsid w:val="00B06443"/>
    <w:rsid w:val="00B10FE4"/>
    <w:rsid w:val="00B110EF"/>
    <w:rsid w:val="00B117B7"/>
    <w:rsid w:val="00B121FB"/>
    <w:rsid w:val="00B1290F"/>
    <w:rsid w:val="00B12BB3"/>
    <w:rsid w:val="00B146A7"/>
    <w:rsid w:val="00B167A7"/>
    <w:rsid w:val="00B16B92"/>
    <w:rsid w:val="00B20035"/>
    <w:rsid w:val="00B20869"/>
    <w:rsid w:val="00B227FE"/>
    <w:rsid w:val="00B23497"/>
    <w:rsid w:val="00B23523"/>
    <w:rsid w:val="00B23F4F"/>
    <w:rsid w:val="00B240C1"/>
    <w:rsid w:val="00B2533F"/>
    <w:rsid w:val="00B2556B"/>
    <w:rsid w:val="00B27E73"/>
    <w:rsid w:val="00B301F1"/>
    <w:rsid w:val="00B3041A"/>
    <w:rsid w:val="00B30B9A"/>
    <w:rsid w:val="00B30BC2"/>
    <w:rsid w:val="00B31FA9"/>
    <w:rsid w:val="00B32FAC"/>
    <w:rsid w:val="00B333DE"/>
    <w:rsid w:val="00B34A30"/>
    <w:rsid w:val="00B35553"/>
    <w:rsid w:val="00B35664"/>
    <w:rsid w:val="00B35F6F"/>
    <w:rsid w:val="00B36433"/>
    <w:rsid w:val="00B364FF"/>
    <w:rsid w:val="00B4068F"/>
    <w:rsid w:val="00B406A7"/>
    <w:rsid w:val="00B40F23"/>
    <w:rsid w:val="00B41C30"/>
    <w:rsid w:val="00B41F6B"/>
    <w:rsid w:val="00B4221E"/>
    <w:rsid w:val="00B4258F"/>
    <w:rsid w:val="00B430F6"/>
    <w:rsid w:val="00B44296"/>
    <w:rsid w:val="00B45FCD"/>
    <w:rsid w:val="00B47712"/>
    <w:rsid w:val="00B50E30"/>
    <w:rsid w:val="00B51013"/>
    <w:rsid w:val="00B52C2A"/>
    <w:rsid w:val="00B52F46"/>
    <w:rsid w:val="00B531FD"/>
    <w:rsid w:val="00B5341D"/>
    <w:rsid w:val="00B53E08"/>
    <w:rsid w:val="00B54C41"/>
    <w:rsid w:val="00B54FA1"/>
    <w:rsid w:val="00B550F9"/>
    <w:rsid w:val="00B55EC5"/>
    <w:rsid w:val="00B560BC"/>
    <w:rsid w:val="00B56EEB"/>
    <w:rsid w:val="00B57CE6"/>
    <w:rsid w:val="00B6144E"/>
    <w:rsid w:val="00B619E6"/>
    <w:rsid w:val="00B6204B"/>
    <w:rsid w:val="00B64852"/>
    <w:rsid w:val="00B6560E"/>
    <w:rsid w:val="00B662B9"/>
    <w:rsid w:val="00B66E7A"/>
    <w:rsid w:val="00B67CC2"/>
    <w:rsid w:val="00B67E9A"/>
    <w:rsid w:val="00B70050"/>
    <w:rsid w:val="00B70E05"/>
    <w:rsid w:val="00B715CC"/>
    <w:rsid w:val="00B71EF0"/>
    <w:rsid w:val="00B72247"/>
    <w:rsid w:val="00B72B3F"/>
    <w:rsid w:val="00B74E7B"/>
    <w:rsid w:val="00B7506C"/>
    <w:rsid w:val="00B77A31"/>
    <w:rsid w:val="00B77DDD"/>
    <w:rsid w:val="00B813BA"/>
    <w:rsid w:val="00B83CBB"/>
    <w:rsid w:val="00B84B5E"/>
    <w:rsid w:val="00B85AA1"/>
    <w:rsid w:val="00B85F46"/>
    <w:rsid w:val="00B85FD1"/>
    <w:rsid w:val="00B9016F"/>
    <w:rsid w:val="00B90867"/>
    <w:rsid w:val="00B91413"/>
    <w:rsid w:val="00B917BE"/>
    <w:rsid w:val="00B91FA9"/>
    <w:rsid w:val="00B92223"/>
    <w:rsid w:val="00B92440"/>
    <w:rsid w:val="00B93570"/>
    <w:rsid w:val="00B936AB"/>
    <w:rsid w:val="00B95798"/>
    <w:rsid w:val="00BA0B52"/>
    <w:rsid w:val="00BA2A35"/>
    <w:rsid w:val="00BA3D80"/>
    <w:rsid w:val="00BA451D"/>
    <w:rsid w:val="00BA4A03"/>
    <w:rsid w:val="00BA4A18"/>
    <w:rsid w:val="00BA4AA8"/>
    <w:rsid w:val="00BA4D59"/>
    <w:rsid w:val="00BA52DC"/>
    <w:rsid w:val="00BB09F5"/>
    <w:rsid w:val="00BB0B5E"/>
    <w:rsid w:val="00BB0B67"/>
    <w:rsid w:val="00BB2E85"/>
    <w:rsid w:val="00BB34DA"/>
    <w:rsid w:val="00BB49D3"/>
    <w:rsid w:val="00BB7479"/>
    <w:rsid w:val="00BB75BA"/>
    <w:rsid w:val="00BB7D07"/>
    <w:rsid w:val="00BC00C9"/>
    <w:rsid w:val="00BC044A"/>
    <w:rsid w:val="00BC0ED6"/>
    <w:rsid w:val="00BC17F9"/>
    <w:rsid w:val="00BC2503"/>
    <w:rsid w:val="00BC3322"/>
    <w:rsid w:val="00BC373D"/>
    <w:rsid w:val="00BC391E"/>
    <w:rsid w:val="00BC3B6F"/>
    <w:rsid w:val="00BC3B98"/>
    <w:rsid w:val="00BC3C8B"/>
    <w:rsid w:val="00BC4F73"/>
    <w:rsid w:val="00BC5A6D"/>
    <w:rsid w:val="00BC669C"/>
    <w:rsid w:val="00BC6EC4"/>
    <w:rsid w:val="00BD13E7"/>
    <w:rsid w:val="00BD2718"/>
    <w:rsid w:val="00BD281D"/>
    <w:rsid w:val="00BE3046"/>
    <w:rsid w:val="00BE30E4"/>
    <w:rsid w:val="00BE38EE"/>
    <w:rsid w:val="00BF1326"/>
    <w:rsid w:val="00BF24EF"/>
    <w:rsid w:val="00BF254E"/>
    <w:rsid w:val="00BF255C"/>
    <w:rsid w:val="00BF297E"/>
    <w:rsid w:val="00BF3DDD"/>
    <w:rsid w:val="00BF3F4F"/>
    <w:rsid w:val="00BF4026"/>
    <w:rsid w:val="00BF4CF8"/>
    <w:rsid w:val="00BF5B04"/>
    <w:rsid w:val="00BF6530"/>
    <w:rsid w:val="00BF6780"/>
    <w:rsid w:val="00BF7452"/>
    <w:rsid w:val="00BF77C2"/>
    <w:rsid w:val="00C00144"/>
    <w:rsid w:val="00C01AE2"/>
    <w:rsid w:val="00C01DEA"/>
    <w:rsid w:val="00C04260"/>
    <w:rsid w:val="00C07038"/>
    <w:rsid w:val="00C07FA2"/>
    <w:rsid w:val="00C10891"/>
    <w:rsid w:val="00C11D24"/>
    <w:rsid w:val="00C120A0"/>
    <w:rsid w:val="00C12273"/>
    <w:rsid w:val="00C12D14"/>
    <w:rsid w:val="00C13B80"/>
    <w:rsid w:val="00C16BDF"/>
    <w:rsid w:val="00C17FD0"/>
    <w:rsid w:val="00C208CD"/>
    <w:rsid w:val="00C2127E"/>
    <w:rsid w:val="00C21947"/>
    <w:rsid w:val="00C21BE0"/>
    <w:rsid w:val="00C21EE4"/>
    <w:rsid w:val="00C2207E"/>
    <w:rsid w:val="00C23C32"/>
    <w:rsid w:val="00C2687D"/>
    <w:rsid w:val="00C277A8"/>
    <w:rsid w:val="00C30B22"/>
    <w:rsid w:val="00C328A8"/>
    <w:rsid w:val="00C329E7"/>
    <w:rsid w:val="00C334A7"/>
    <w:rsid w:val="00C33F18"/>
    <w:rsid w:val="00C347F5"/>
    <w:rsid w:val="00C34990"/>
    <w:rsid w:val="00C35F24"/>
    <w:rsid w:val="00C365CA"/>
    <w:rsid w:val="00C36A0A"/>
    <w:rsid w:val="00C37583"/>
    <w:rsid w:val="00C3792F"/>
    <w:rsid w:val="00C408E4"/>
    <w:rsid w:val="00C417AB"/>
    <w:rsid w:val="00C439BF"/>
    <w:rsid w:val="00C43DD3"/>
    <w:rsid w:val="00C45850"/>
    <w:rsid w:val="00C466B2"/>
    <w:rsid w:val="00C46AC9"/>
    <w:rsid w:val="00C47547"/>
    <w:rsid w:val="00C47D78"/>
    <w:rsid w:val="00C503A5"/>
    <w:rsid w:val="00C503EA"/>
    <w:rsid w:val="00C510D5"/>
    <w:rsid w:val="00C523DB"/>
    <w:rsid w:val="00C56ED3"/>
    <w:rsid w:val="00C570DF"/>
    <w:rsid w:val="00C61450"/>
    <w:rsid w:val="00C61A11"/>
    <w:rsid w:val="00C62AE8"/>
    <w:rsid w:val="00C64154"/>
    <w:rsid w:val="00C65523"/>
    <w:rsid w:val="00C66E52"/>
    <w:rsid w:val="00C7010C"/>
    <w:rsid w:val="00C71A7B"/>
    <w:rsid w:val="00C71E4D"/>
    <w:rsid w:val="00C72A42"/>
    <w:rsid w:val="00C735EC"/>
    <w:rsid w:val="00C73860"/>
    <w:rsid w:val="00C739F0"/>
    <w:rsid w:val="00C74B5E"/>
    <w:rsid w:val="00C75789"/>
    <w:rsid w:val="00C75B4E"/>
    <w:rsid w:val="00C75FFB"/>
    <w:rsid w:val="00C7622A"/>
    <w:rsid w:val="00C771E3"/>
    <w:rsid w:val="00C779F8"/>
    <w:rsid w:val="00C80F89"/>
    <w:rsid w:val="00C824E1"/>
    <w:rsid w:val="00C8385C"/>
    <w:rsid w:val="00C86AF1"/>
    <w:rsid w:val="00C86FA2"/>
    <w:rsid w:val="00C8750B"/>
    <w:rsid w:val="00C878B9"/>
    <w:rsid w:val="00C91B7F"/>
    <w:rsid w:val="00C923D0"/>
    <w:rsid w:val="00C93CFF"/>
    <w:rsid w:val="00C95E38"/>
    <w:rsid w:val="00C9666A"/>
    <w:rsid w:val="00C971BA"/>
    <w:rsid w:val="00C97454"/>
    <w:rsid w:val="00C97691"/>
    <w:rsid w:val="00CA09D4"/>
    <w:rsid w:val="00CA0BFE"/>
    <w:rsid w:val="00CA1276"/>
    <w:rsid w:val="00CA1897"/>
    <w:rsid w:val="00CA1A9D"/>
    <w:rsid w:val="00CA1C02"/>
    <w:rsid w:val="00CA1DF6"/>
    <w:rsid w:val="00CA223D"/>
    <w:rsid w:val="00CA2F16"/>
    <w:rsid w:val="00CA3E08"/>
    <w:rsid w:val="00CA5E13"/>
    <w:rsid w:val="00CA718A"/>
    <w:rsid w:val="00CB0328"/>
    <w:rsid w:val="00CB0779"/>
    <w:rsid w:val="00CB0CDC"/>
    <w:rsid w:val="00CB2955"/>
    <w:rsid w:val="00CB2DFC"/>
    <w:rsid w:val="00CB4970"/>
    <w:rsid w:val="00CB4B51"/>
    <w:rsid w:val="00CB5B7E"/>
    <w:rsid w:val="00CB6205"/>
    <w:rsid w:val="00CB653C"/>
    <w:rsid w:val="00CB65E7"/>
    <w:rsid w:val="00CB6746"/>
    <w:rsid w:val="00CB7965"/>
    <w:rsid w:val="00CB79D9"/>
    <w:rsid w:val="00CC08F6"/>
    <w:rsid w:val="00CC0E21"/>
    <w:rsid w:val="00CC19C0"/>
    <w:rsid w:val="00CC1CA7"/>
    <w:rsid w:val="00CC3D41"/>
    <w:rsid w:val="00CC3E43"/>
    <w:rsid w:val="00CC45ED"/>
    <w:rsid w:val="00CC4D7F"/>
    <w:rsid w:val="00CC53CD"/>
    <w:rsid w:val="00CC559F"/>
    <w:rsid w:val="00CC55B8"/>
    <w:rsid w:val="00CC5A2A"/>
    <w:rsid w:val="00CC6676"/>
    <w:rsid w:val="00CC6909"/>
    <w:rsid w:val="00CC6CC9"/>
    <w:rsid w:val="00CC6D24"/>
    <w:rsid w:val="00CD0810"/>
    <w:rsid w:val="00CD15B1"/>
    <w:rsid w:val="00CD1E21"/>
    <w:rsid w:val="00CD46B5"/>
    <w:rsid w:val="00CD4EDC"/>
    <w:rsid w:val="00CD7C1D"/>
    <w:rsid w:val="00CE0089"/>
    <w:rsid w:val="00CE0B40"/>
    <w:rsid w:val="00CE2602"/>
    <w:rsid w:val="00CE2DB3"/>
    <w:rsid w:val="00CE37CB"/>
    <w:rsid w:val="00CE423D"/>
    <w:rsid w:val="00CE4288"/>
    <w:rsid w:val="00CE5F58"/>
    <w:rsid w:val="00CE6191"/>
    <w:rsid w:val="00CE635C"/>
    <w:rsid w:val="00CE6FDA"/>
    <w:rsid w:val="00CE7323"/>
    <w:rsid w:val="00CE7945"/>
    <w:rsid w:val="00CF0B12"/>
    <w:rsid w:val="00CF0E6A"/>
    <w:rsid w:val="00CF108B"/>
    <w:rsid w:val="00CF1488"/>
    <w:rsid w:val="00CF1948"/>
    <w:rsid w:val="00CF297E"/>
    <w:rsid w:val="00CF33C1"/>
    <w:rsid w:val="00CF5CB3"/>
    <w:rsid w:val="00CF6B47"/>
    <w:rsid w:val="00D00157"/>
    <w:rsid w:val="00D00C61"/>
    <w:rsid w:val="00D00D61"/>
    <w:rsid w:val="00D010CC"/>
    <w:rsid w:val="00D017E4"/>
    <w:rsid w:val="00D01F94"/>
    <w:rsid w:val="00D030DD"/>
    <w:rsid w:val="00D0656C"/>
    <w:rsid w:val="00D10B28"/>
    <w:rsid w:val="00D10BA3"/>
    <w:rsid w:val="00D117FB"/>
    <w:rsid w:val="00D12C1B"/>
    <w:rsid w:val="00D131B8"/>
    <w:rsid w:val="00D13B31"/>
    <w:rsid w:val="00D141FF"/>
    <w:rsid w:val="00D16226"/>
    <w:rsid w:val="00D16740"/>
    <w:rsid w:val="00D16B21"/>
    <w:rsid w:val="00D16D97"/>
    <w:rsid w:val="00D204F7"/>
    <w:rsid w:val="00D209E8"/>
    <w:rsid w:val="00D211E1"/>
    <w:rsid w:val="00D22CA3"/>
    <w:rsid w:val="00D23088"/>
    <w:rsid w:val="00D24A72"/>
    <w:rsid w:val="00D24D51"/>
    <w:rsid w:val="00D25158"/>
    <w:rsid w:val="00D251B4"/>
    <w:rsid w:val="00D252C4"/>
    <w:rsid w:val="00D25B02"/>
    <w:rsid w:val="00D26DD2"/>
    <w:rsid w:val="00D30D86"/>
    <w:rsid w:val="00D313BE"/>
    <w:rsid w:val="00D315F3"/>
    <w:rsid w:val="00D31BBD"/>
    <w:rsid w:val="00D32DEF"/>
    <w:rsid w:val="00D32EE7"/>
    <w:rsid w:val="00D33369"/>
    <w:rsid w:val="00D33C50"/>
    <w:rsid w:val="00D33E7F"/>
    <w:rsid w:val="00D36D8A"/>
    <w:rsid w:val="00D37867"/>
    <w:rsid w:val="00D37AD7"/>
    <w:rsid w:val="00D37EFC"/>
    <w:rsid w:val="00D40468"/>
    <w:rsid w:val="00D4361C"/>
    <w:rsid w:val="00D43E91"/>
    <w:rsid w:val="00D45329"/>
    <w:rsid w:val="00D455CA"/>
    <w:rsid w:val="00D4609C"/>
    <w:rsid w:val="00D471E0"/>
    <w:rsid w:val="00D50115"/>
    <w:rsid w:val="00D53994"/>
    <w:rsid w:val="00D5439D"/>
    <w:rsid w:val="00D55FF2"/>
    <w:rsid w:val="00D55FFC"/>
    <w:rsid w:val="00D560FE"/>
    <w:rsid w:val="00D604EE"/>
    <w:rsid w:val="00D61433"/>
    <w:rsid w:val="00D61FE7"/>
    <w:rsid w:val="00D63962"/>
    <w:rsid w:val="00D64C6A"/>
    <w:rsid w:val="00D71F44"/>
    <w:rsid w:val="00D73E55"/>
    <w:rsid w:val="00D7568E"/>
    <w:rsid w:val="00D81E89"/>
    <w:rsid w:val="00D824C1"/>
    <w:rsid w:val="00D82759"/>
    <w:rsid w:val="00D835C8"/>
    <w:rsid w:val="00D83A64"/>
    <w:rsid w:val="00D83BC2"/>
    <w:rsid w:val="00D8573B"/>
    <w:rsid w:val="00D858BF"/>
    <w:rsid w:val="00D858DD"/>
    <w:rsid w:val="00D8732F"/>
    <w:rsid w:val="00D87C46"/>
    <w:rsid w:val="00D90A9D"/>
    <w:rsid w:val="00D92C7A"/>
    <w:rsid w:val="00D93010"/>
    <w:rsid w:val="00D93D46"/>
    <w:rsid w:val="00D955E2"/>
    <w:rsid w:val="00D95BB6"/>
    <w:rsid w:val="00D96D80"/>
    <w:rsid w:val="00D97195"/>
    <w:rsid w:val="00D97FBC"/>
    <w:rsid w:val="00DA0CF7"/>
    <w:rsid w:val="00DA1E53"/>
    <w:rsid w:val="00DA2294"/>
    <w:rsid w:val="00DA2F30"/>
    <w:rsid w:val="00DA42C3"/>
    <w:rsid w:val="00DA4627"/>
    <w:rsid w:val="00DA575E"/>
    <w:rsid w:val="00DA5998"/>
    <w:rsid w:val="00DA5F00"/>
    <w:rsid w:val="00DA668A"/>
    <w:rsid w:val="00DA7B4D"/>
    <w:rsid w:val="00DB0806"/>
    <w:rsid w:val="00DB0A64"/>
    <w:rsid w:val="00DB0D3D"/>
    <w:rsid w:val="00DB1E1B"/>
    <w:rsid w:val="00DB2EBE"/>
    <w:rsid w:val="00DB3DC4"/>
    <w:rsid w:val="00DB4860"/>
    <w:rsid w:val="00DB4B41"/>
    <w:rsid w:val="00DB5861"/>
    <w:rsid w:val="00DB5BEC"/>
    <w:rsid w:val="00DB6307"/>
    <w:rsid w:val="00DC0697"/>
    <w:rsid w:val="00DC11B2"/>
    <w:rsid w:val="00DC13A2"/>
    <w:rsid w:val="00DC23AC"/>
    <w:rsid w:val="00DC38A8"/>
    <w:rsid w:val="00DC48DB"/>
    <w:rsid w:val="00DC5CB1"/>
    <w:rsid w:val="00DC6AAF"/>
    <w:rsid w:val="00DC6F74"/>
    <w:rsid w:val="00DC70D0"/>
    <w:rsid w:val="00DD0996"/>
    <w:rsid w:val="00DD19AD"/>
    <w:rsid w:val="00DD22ED"/>
    <w:rsid w:val="00DD3D24"/>
    <w:rsid w:val="00DD3E8B"/>
    <w:rsid w:val="00DD3F48"/>
    <w:rsid w:val="00DD5C54"/>
    <w:rsid w:val="00DD5E31"/>
    <w:rsid w:val="00DD7FDC"/>
    <w:rsid w:val="00DE1188"/>
    <w:rsid w:val="00DE3FBA"/>
    <w:rsid w:val="00DE5A6A"/>
    <w:rsid w:val="00DE65AA"/>
    <w:rsid w:val="00DE737F"/>
    <w:rsid w:val="00DE7D60"/>
    <w:rsid w:val="00DF0521"/>
    <w:rsid w:val="00DF07AC"/>
    <w:rsid w:val="00DF0C01"/>
    <w:rsid w:val="00DF12C2"/>
    <w:rsid w:val="00DF2947"/>
    <w:rsid w:val="00DF3B3B"/>
    <w:rsid w:val="00DF4D24"/>
    <w:rsid w:val="00DF4E6B"/>
    <w:rsid w:val="00DF5A65"/>
    <w:rsid w:val="00DF5FDD"/>
    <w:rsid w:val="00DF6745"/>
    <w:rsid w:val="00E0000E"/>
    <w:rsid w:val="00E005BD"/>
    <w:rsid w:val="00E00AC3"/>
    <w:rsid w:val="00E00B49"/>
    <w:rsid w:val="00E01D46"/>
    <w:rsid w:val="00E02F46"/>
    <w:rsid w:val="00E0386D"/>
    <w:rsid w:val="00E04C4B"/>
    <w:rsid w:val="00E04D25"/>
    <w:rsid w:val="00E0530A"/>
    <w:rsid w:val="00E059BF"/>
    <w:rsid w:val="00E06842"/>
    <w:rsid w:val="00E068F2"/>
    <w:rsid w:val="00E0745D"/>
    <w:rsid w:val="00E07684"/>
    <w:rsid w:val="00E113BE"/>
    <w:rsid w:val="00E116E4"/>
    <w:rsid w:val="00E119F0"/>
    <w:rsid w:val="00E11CAE"/>
    <w:rsid w:val="00E13F06"/>
    <w:rsid w:val="00E15AFE"/>
    <w:rsid w:val="00E15F0A"/>
    <w:rsid w:val="00E166EA"/>
    <w:rsid w:val="00E1763E"/>
    <w:rsid w:val="00E22052"/>
    <w:rsid w:val="00E22E02"/>
    <w:rsid w:val="00E22EEC"/>
    <w:rsid w:val="00E23A80"/>
    <w:rsid w:val="00E24347"/>
    <w:rsid w:val="00E24787"/>
    <w:rsid w:val="00E247B5"/>
    <w:rsid w:val="00E25291"/>
    <w:rsid w:val="00E26059"/>
    <w:rsid w:val="00E265B2"/>
    <w:rsid w:val="00E26FED"/>
    <w:rsid w:val="00E27034"/>
    <w:rsid w:val="00E2725D"/>
    <w:rsid w:val="00E346FA"/>
    <w:rsid w:val="00E36AA8"/>
    <w:rsid w:val="00E40097"/>
    <w:rsid w:val="00E40513"/>
    <w:rsid w:val="00E41700"/>
    <w:rsid w:val="00E41A0D"/>
    <w:rsid w:val="00E41ED7"/>
    <w:rsid w:val="00E42765"/>
    <w:rsid w:val="00E42A28"/>
    <w:rsid w:val="00E42B09"/>
    <w:rsid w:val="00E440C3"/>
    <w:rsid w:val="00E4465A"/>
    <w:rsid w:val="00E4476C"/>
    <w:rsid w:val="00E448DE"/>
    <w:rsid w:val="00E44956"/>
    <w:rsid w:val="00E51B43"/>
    <w:rsid w:val="00E51E0B"/>
    <w:rsid w:val="00E52470"/>
    <w:rsid w:val="00E5306C"/>
    <w:rsid w:val="00E530F1"/>
    <w:rsid w:val="00E54C60"/>
    <w:rsid w:val="00E550DF"/>
    <w:rsid w:val="00E56DDB"/>
    <w:rsid w:val="00E5781B"/>
    <w:rsid w:val="00E60DA0"/>
    <w:rsid w:val="00E61BA1"/>
    <w:rsid w:val="00E640E5"/>
    <w:rsid w:val="00E65AAA"/>
    <w:rsid w:val="00E6627F"/>
    <w:rsid w:val="00E66B9C"/>
    <w:rsid w:val="00E67756"/>
    <w:rsid w:val="00E67EA4"/>
    <w:rsid w:val="00E71A2F"/>
    <w:rsid w:val="00E71DCB"/>
    <w:rsid w:val="00E7244E"/>
    <w:rsid w:val="00E72F66"/>
    <w:rsid w:val="00E73175"/>
    <w:rsid w:val="00E74659"/>
    <w:rsid w:val="00E77C11"/>
    <w:rsid w:val="00E8031C"/>
    <w:rsid w:val="00E807CC"/>
    <w:rsid w:val="00E825E8"/>
    <w:rsid w:val="00E850E0"/>
    <w:rsid w:val="00E852E3"/>
    <w:rsid w:val="00E85401"/>
    <w:rsid w:val="00E8776D"/>
    <w:rsid w:val="00E90BD3"/>
    <w:rsid w:val="00E943D2"/>
    <w:rsid w:val="00E9546B"/>
    <w:rsid w:val="00E976E2"/>
    <w:rsid w:val="00E977FF"/>
    <w:rsid w:val="00EA0883"/>
    <w:rsid w:val="00EA09E0"/>
    <w:rsid w:val="00EA0A8D"/>
    <w:rsid w:val="00EA19E3"/>
    <w:rsid w:val="00EA1B3E"/>
    <w:rsid w:val="00EA21B5"/>
    <w:rsid w:val="00EA21D0"/>
    <w:rsid w:val="00EA2EF7"/>
    <w:rsid w:val="00EA3D0F"/>
    <w:rsid w:val="00EA3E19"/>
    <w:rsid w:val="00EA3E1D"/>
    <w:rsid w:val="00EA4200"/>
    <w:rsid w:val="00EA6A46"/>
    <w:rsid w:val="00EB0F65"/>
    <w:rsid w:val="00EB23DD"/>
    <w:rsid w:val="00EB4D31"/>
    <w:rsid w:val="00EB55DD"/>
    <w:rsid w:val="00EB68EB"/>
    <w:rsid w:val="00EB70FE"/>
    <w:rsid w:val="00EB7A6E"/>
    <w:rsid w:val="00EC02FC"/>
    <w:rsid w:val="00EC0FE9"/>
    <w:rsid w:val="00EC1688"/>
    <w:rsid w:val="00EC16A4"/>
    <w:rsid w:val="00EC1CDE"/>
    <w:rsid w:val="00EC1EC9"/>
    <w:rsid w:val="00EC384E"/>
    <w:rsid w:val="00EC5C74"/>
    <w:rsid w:val="00EC73FA"/>
    <w:rsid w:val="00ED0563"/>
    <w:rsid w:val="00ED1FCE"/>
    <w:rsid w:val="00ED2C7F"/>
    <w:rsid w:val="00ED42BF"/>
    <w:rsid w:val="00ED487E"/>
    <w:rsid w:val="00ED53A2"/>
    <w:rsid w:val="00EE039C"/>
    <w:rsid w:val="00EE1991"/>
    <w:rsid w:val="00EE19CB"/>
    <w:rsid w:val="00EE1CB0"/>
    <w:rsid w:val="00EE25CE"/>
    <w:rsid w:val="00EE5D7F"/>
    <w:rsid w:val="00EE6C7F"/>
    <w:rsid w:val="00EE6CBF"/>
    <w:rsid w:val="00EE78BA"/>
    <w:rsid w:val="00EF02A5"/>
    <w:rsid w:val="00EF2F66"/>
    <w:rsid w:val="00EF3118"/>
    <w:rsid w:val="00EF3400"/>
    <w:rsid w:val="00EF3EDC"/>
    <w:rsid w:val="00EF4863"/>
    <w:rsid w:val="00EF572C"/>
    <w:rsid w:val="00EF65C3"/>
    <w:rsid w:val="00EF6C27"/>
    <w:rsid w:val="00EF6DF1"/>
    <w:rsid w:val="00EF7CA8"/>
    <w:rsid w:val="00F0100D"/>
    <w:rsid w:val="00F02C9E"/>
    <w:rsid w:val="00F03EDC"/>
    <w:rsid w:val="00F03FE1"/>
    <w:rsid w:val="00F0452E"/>
    <w:rsid w:val="00F05350"/>
    <w:rsid w:val="00F06886"/>
    <w:rsid w:val="00F10B79"/>
    <w:rsid w:val="00F11E0F"/>
    <w:rsid w:val="00F122CF"/>
    <w:rsid w:val="00F12D4B"/>
    <w:rsid w:val="00F130C7"/>
    <w:rsid w:val="00F1357C"/>
    <w:rsid w:val="00F14CBB"/>
    <w:rsid w:val="00F1566B"/>
    <w:rsid w:val="00F172F1"/>
    <w:rsid w:val="00F202E6"/>
    <w:rsid w:val="00F20626"/>
    <w:rsid w:val="00F20709"/>
    <w:rsid w:val="00F24723"/>
    <w:rsid w:val="00F25704"/>
    <w:rsid w:val="00F25D48"/>
    <w:rsid w:val="00F267B4"/>
    <w:rsid w:val="00F26F47"/>
    <w:rsid w:val="00F27711"/>
    <w:rsid w:val="00F309C5"/>
    <w:rsid w:val="00F31479"/>
    <w:rsid w:val="00F32E62"/>
    <w:rsid w:val="00F33C9C"/>
    <w:rsid w:val="00F347C8"/>
    <w:rsid w:val="00F34A57"/>
    <w:rsid w:val="00F34F38"/>
    <w:rsid w:val="00F35197"/>
    <w:rsid w:val="00F36840"/>
    <w:rsid w:val="00F36FEE"/>
    <w:rsid w:val="00F371C9"/>
    <w:rsid w:val="00F41028"/>
    <w:rsid w:val="00F41FFB"/>
    <w:rsid w:val="00F43E34"/>
    <w:rsid w:val="00F44669"/>
    <w:rsid w:val="00F44952"/>
    <w:rsid w:val="00F44BF6"/>
    <w:rsid w:val="00F44F45"/>
    <w:rsid w:val="00F45227"/>
    <w:rsid w:val="00F45476"/>
    <w:rsid w:val="00F45BCC"/>
    <w:rsid w:val="00F46106"/>
    <w:rsid w:val="00F46690"/>
    <w:rsid w:val="00F4714B"/>
    <w:rsid w:val="00F47A8B"/>
    <w:rsid w:val="00F504AA"/>
    <w:rsid w:val="00F508C7"/>
    <w:rsid w:val="00F50BDF"/>
    <w:rsid w:val="00F515C2"/>
    <w:rsid w:val="00F516E8"/>
    <w:rsid w:val="00F51ECC"/>
    <w:rsid w:val="00F521E3"/>
    <w:rsid w:val="00F53068"/>
    <w:rsid w:val="00F5422F"/>
    <w:rsid w:val="00F55651"/>
    <w:rsid w:val="00F559DC"/>
    <w:rsid w:val="00F55A99"/>
    <w:rsid w:val="00F56FA5"/>
    <w:rsid w:val="00F60717"/>
    <w:rsid w:val="00F61F94"/>
    <w:rsid w:val="00F6225D"/>
    <w:rsid w:val="00F646F6"/>
    <w:rsid w:val="00F64DE6"/>
    <w:rsid w:val="00F64F07"/>
    <w:rsid w:val="00F66BD0"/>
    <w:rsid w:val="00F725E9"/>
    <w:rsid w:val="00F72C6B"/>
    <w:rsid w:val="00F7318B"/>
    <w:rsid w:val="00F748D8"/>
    <w:rsid w:val="00F74DF3"/>
    <w:rsid w:val="00F74FBD"/>
    <w:rsid w:val="00F756A3"/>
    <w:rsid w:val="00F76B18"/>
    <w:rsid w:val="00F77EAC"/>
    <w:rsid w:val="00F81A12"/>
    <w:rsid w:val="00F82855"/>
    <w:rsid w:val="00F82A3C"/>
    <w:rsid w:val="00F82BC7"/>
    <w:rsid w:val="00F82C9C"/>
    <w:rsid w:val="00F83019"/>
    <w:rsid w:val="00F832B9"/>
    <w:rsid w:val="00F835DC"/>
    <w:rsid w:val="00F8429F"/>
    <w:rsid w:val="00F86C97"/>
    <w:rsid w:val="00F90A0A"/>
    <w:rsid w:val="00F90DB6"/>
    <w:rsid w:val="00F90F80"/>
    <w:rsid w:val="00F91821"/>
    <w:rsid w:val="00F91C24"/>
    <w:rsid w:val="00F91D9A"/>
    <w:rsid w:val="00F9337E"/>
    <w:rsid w:val="00F94454"/>
    <w:rsid w:val="00F95185"/>
    <w:rsid w:val="00F9567B"/>
    <w:rsid w:val="00F95AA9"/>
    <w:rsid w:val="00F9666D"/>
    <w:rsid w:val="00F967AF"/>
    <w:rsid w:val="00F974D6"/>
    <w:rsid w:val="00FA087D"/>
    <w:rsid w:val="00FA1C84"/>
    <w:rsid w:val="00FA2200"/>
    <w:rsid w:val="00FA2ABD"/>
    <w:rsid w:val="00FA2FE9"/>
    <w:rsid w:val="00FA4A3C"/>
    <w:rsid w:val="00FA5D89"/>
    <w:rsid w:val="00FA6B15"/>
    <w:rsid w:val="00FA7479"/>
    <w:rsid w:val="00FB0388"/>
    <w:rsid w:val="00FB0491"/>
    <w:rsid w:val="00FB0F01"/>
    <w:rsid w:val="00FB143F"/>
    <w:rsid w:val="00FB198F"/>
    <w:rsid w:val="00FB25CB"/>
    <w:rsid w:val="00FB2CC8"/>
    <w:rsid w:val="00FB324F"/>
    <w:rsid w:val="00FB353A"/>
    <w:rsid w:val="00FB3D07"/>
    <w:rsid w:val="00FB4414"/>
    <w:rsid w:val="00FB44B0"/>
    <w:rsid w:val="00FB4C66"/>
    <w:rsid w:val="00FB5F30"/>
    <w:rsid w:val="00FB68F4"/>
    <w:rsid w:val="00FB6B67"/>
    <w:rsid w:val="00FB7BDB"/>
    <w:rsid w:val="00FC0127"/>
    <w:rsid w:val="00FC1B02"/>
    <w:rsid w:val="00FC1FE3"/>
    <w:rsid w:val="00FC28DB"/>
    <w:rsid w:val="00FC2A8E"/>
    <w:rsid w:val="00FC3001"/>
    <w:rsid w:val="00FC3F33"/>
    <w:rsid w:val="00FC445E"/>
    <w:rsid w:val="00FC47AC"/>
    <w:rsid w:val="00FC4E3C"/>
    <w:rsid w:val="00FC5993"/>
    <w:rsid w:val="00FD24ED"/>
    <w:rsid w:val="00FD510E"/>
    <w:rsid w:val="00FD5864"/>
    <w:rsid w:val="00FD5CF3"/>
    <w:rsid w:val="00FD6A6D"/>
    <w:rsid w:val="00FD72D6"/>
    <w:rsid w:val="00FD779B"/>
    <w:rsid w:val="00FE0FA4"/>
    <w:rsid w:val="00FE25A9"/>
    <w:rsid w:val="00FE33FA"/>
    <w:rsid w:val="00FE3B5C"/>
    <w:rsid w:val="00FE6DF1"/>
    <w:rsid w:val="00FF042F"/>
    <w:rsid w:val="00FF18DB"/>
    <w:rsid w:val="00FF25A1"/>
    <w:rsid w:val="00FF31C9"/>
    <w:rsid w:val="00FF3DEB"/>
    <w:rsid w:val="00FF3FF6"/>
    <w:rsid w:val="00FF4622"/>
    <w:rsid w:val="00FF533D"/>
    <w:rsid w:val="00FF5CF6"/>
    <w:rsid w:val="00FF73F7"/>
    <w:rsid w:val="00FF79BE"/>
    <w:rsid w:val="00FF7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5D7A1B"/>
  <w15:docId w15:val="{CF12C6DE-3391-4F81-A95F-9DDA696F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AU" w:eastAsia="en-AU" w:bidi="ar-SA"/>
      </w:rPr>
    </w:rPrDefault>
    <w:pPrDefault>
      <w:pPr>
        <w:spacing w:before="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6B4"/>
    <w:rPr>
      <w:rFonts w:ascii="Arial" w:hAnsi="Arial"/>
    </w:rPr>
  </w:style>
  <w:style w:type="paragraph" w:styleId="Heading1">
    <w:name w:val="heading 1"/>
    <w:basedOn w:val="Normal"/>
    <w:next w:val="Normal"/>
    <w:link w:val="Heading1Char"/>
    <w:qFormat/>
    <w:rsid w:val="00774121"/>
    <w:pPr>
      <w:keepNext/>
      <w:pageBreakBefore/>
      <w:spacing w:before="0" w:after="240"/>
      <w:outlineLvl w:val="0"/>
    </w:pPr>
    <w:rPr>
      <w:rFonts w:ascii="Times New Roman" w:eastAsia="Calibri" w:hAnsi="Times New Roman" w:cstheme="majorBidi"/>
      <w:b/>
      <w:color w:val="172983"/>
      <w:sz w:val="40"/>
      <w:szCs w:val="40"/>
    </w:rPr>
  </w:style>
  <w:style w:type="paragraph" w:styleId="Heading2">
    <w:name w:val="heading 2"/>
    <w:basedOn w:val="Heading7"/>
    <w:next w:val="Normal"/>
    <w:link w:val="Heading2Char"/>
    <w:qFormat/>
    <w:rsid w:val="00F25704"/>
    <w:pPr>
      <w:pageBreakBefore/>
      <w:outlineLvl w:val="1"/>
    </w:pPr>
    <w:rPr>
      <w:rFonts w:ascii="Times New Roman" w:hAnsi="Times New Roman"/>
    </w:rPr>
  </w:style>
  <w:style w:type="paragraph" w:styleId="Heading3">
    <w:name w:val="heading 3"/>
    <w:basedOn w:val="Normal"/>
    <w:next w:val="Normal"/>
    <w:link w:val="Heading3Char"/>
    <w:qFormat/>
    <w:rsid w:val="009920BA"/>
    <w:pPr>
      <w:keepNext/>
      <w:overflowPunct w:val="0"/>
      <w:adjustRightInd w:val="0"/>
      <w:spacing w:before="360"/>
      <w:textAlignment w:val="baseline"/>
      <w:outlineLvl w:val="2"/>
    </w:pPr>
    <w:rPr>
      <w:i/>
      <w:color w:val="31849B" w:themeColor="accent5" w:themeShade="BF"/>
      <w:sz w:val="28"/>
      <w:szCs w:val="32"/>
    </w:rPr>
  </w:style>
  <w:style w:type="paragraph" w:styleId="Heading4">
    <w:name w:val="heading 4"/>
    <w:basedOn w:val="Normal"/>
    <w:next w:val="Normal"/>
    <w:link w:val="Heading4Char"/>
    <w:qFormat/>
    <w:rsid w:val="004076B4"/>
    <w:pPr>
      <w:keepNext/>
      <w:spacing w:before="360"/>
      <w:outlineLvl w:val="3"/>
    </w:pPr>
    <w:rPr>
      <w:bCs/>
      <w:color w:val="31849B" w:themeColor="accent5" w:themeShade="BF"/>
      <w:sz w:val="24"/>
      <w:szCs w:val="28"/>
    </w:rPr>
  </w:style>
  <w:style w:type="paragraph" w:styleId="Heading5">
    <w:name w:val="heading 5"/>
    <w:basedOn w:val="Normal"/>
    <w:next w:val="Normal"/>
    <w:link w:val="Heading5Char"/>
    <w:qFormat/>
    <w:rsid w:val="005C4D82"/>
    <w:pPr>
      <w:spacing w:before="360" w:after="240"/>
      <w:outlineLvl w:val="4"/>
    </w:pPr>
    <w:rPr>
      <w:i/>
      <w:color w:val="172983"/>
      <w:sz w:val="26"/>
      <w:szCs w:val="26"/>
    </w:rPr>
  </w:style>
  <w:style w:type="paragraph" w:styleId="Heading6">
    <w:name w:val="heading 6"/>
    <w:basedOn w:val="Normal"/>
    <w:next w:val="Normal"/>
    <w:link w:val="Heading6Char"/>
    <w:uiPriority w:val="9"/>
    <w:qFormat/>
    <w:rsid w:val="007D4191"/>
    <w:pPr>
      <w:tabs>
        <w:tab w:val="left" w:pos="0"/>
      </w:tabs>
      <w:spacing w:before="0"/>
      <w:outlineLvl w:val="5"/>
    </w:pPr>
    <w:rPr>
      <w:b/>
      <w:color w:val="172983"/>
      <w:sz w:val="40"/>
      <w:szCs w:val="40"/>
    </w:rPr>
  </w:style>
  <w:style w:type="paragraph" w:styleId="Heading7">
    <w:name w:val="heading 7"/>
    <w:basedOn w:val="ListParagraph"/>
    <w:next w:val="Normal"/>
    <w:link w:val="Heading7Char"/>
    <w:uiPriority w:val="9"/>
    <w:qFormat/>
    <w:rsid w:val="004F7AD4"/>
    <w:pPr>
      <w:spacing w:before="0" w:after="240"/>
      <w:ind w:left="0"/>
      <w:outlineLvl w:val="6"/>
    </w:pPr>
    <w:rPr>
      <w:b/>
      <w:color w:val="172983"/>
      <w:sz w:val="36"/>
      <w:szCs w:val="36"/>
    </w:rPr>
  </w:style>
  <w:style w:type="paragraph" w:styleId="Heading8">
    <w:name w:val="heading 8"/>
    <w:basedOn w:val="ListParagraph"/>
    <w:next w:val="Normal"/>
    <w:link w:val="Heading8Char"/>
    <w:uiPriority w:val="9"/>
    <w:qFormat/>
    <w:rsid w:val="004F7AD4"/>
    <w:pPr>
      <w:spacing w:before="480" w:after="240"/>
      <w:ind w:left="0"/>
      <w:outlineLvl w:val="7"/>
    </w:pPr>
    <w:rPr>
      <w:b/>
      <w:color w:val="172983"/>
      <w:sz w:val="28"/>
      <w:szCs w:val="28"/>
    </w:rPr>
  </w:style>
  <w:style w:type="paragraph" w:styleId="Heading9">
    <w:name w:val="heading 9"/>
    <w:basedOn w:val="Normal"/>
    <w:next w:val="Normal"/>
    <w:link w:val="Heading9Char"/>
    <w:qFormat/>
    <w:rsid w:val="004F7AD4"/>
    <w:pPr>
      <w:spacing w:before="360" w:after="240"/>
      <w:outlineLvl w:val="8"/>
    </w:pPr>
    <w:rPr>
      <w:i/>
      <w:color w:val="17298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C12273"/>
    <w:pPr>
      <w:tabs>
        <w:tab w:val="center" w:pos="4513"/>
        <w:tab w:val="right" w:pos="9026"/>
      </w:tabs>
      <w:spacing w:before="0"/>
    </w:pPr>
  </w:style>
  <w:style w:type="character" w:customStyle="1" w:styleId="HeaderChar">
    <w:name w:val="Header Char"/>
    <w:basedOn w:val="DefaultParagraphFont"/>
    <w:link w:val="Header"/>
    <w:rsid w:val="00C12273"/>
  </w:style>
  <w:style w:type="character" w:customStyle="1" w:styleId="Heading2Char">
    <w:name w:val="Heading 2 Char"/>
    <w:link w:val="Heading2"/>
    <w:rsid w:val="00F25704"/>
    <w:rPr>
      <w:rFonts w:ascii="Times New Roman" w:hAnsi="Times New Roman"/>
      <w:b/>
      <w:color w:val="172983"/>
      <w:sz w:val="36"/>
      <w:szCs w:val="36"/>
    </w:rPr>
  </w:style>
  <w:style w:type="character" w:customStyle="1" w:styleId="Heading1Char">
    <w:name w:val="Heading 1 Char"/>
    <w:link w:val="Heading1"/>
    <w:rsid w:val="00774121"/>
    <w:rPr>
      <w:rFonts w:ascii="Times New Roman" w:eastAsia="Calibri" w:hAnsi="Times New Roman" w:cstheme="majorBidi"/>
      <w:b/>
      <w:color w:val="172983"/>
      <w:sz w:val="40"/>
      <w:szCs w:val="40"/>
    </w:rPr>
  </w:style>
  <w:style w:type="paragraph" w:styleId="FootnoteText">
    <w:name w:val="footnote text"/>
    <w:basedOn w:val="Normal"/>
    <w:link w:val="FootnoteTextChar"/>
    <w:uiPriority w:val="99"/>
    <w:unhideWhenUsed/>
    <w:qFormat/>
    <w:rsid w:val="00413C49"/>
    <w:pPr>
      <w:tabs>
        <w:tab w:val="left" w:pos="426"/>
      </w:tabs>
      <w:spacing w:before="120"/>
      <w:ind w:left="425" w:hanging="425"/>
    </w:pPr>
    <w:rPr>
      <w:sz w:val="20"/>
    </w:rPr>
  </w:style>
  <w:style w:type="character" w:customStyle="1" w:styleId="FootnoteTextChar">
    <w:name w:val="Footnote Text Char"/>
    <w:basedOn w:val="DefaultParagraphFont"/>
    <w:link w:val="FootnoteText"/>
    <w:uiPriority w:val="99"/>
    <w:rsid w:val="00413C49"/>
    <w:rPr>
      <w:sz w:val="20"/>
    </w:rPr>
  </w:style>
  <w:style w:type="character" w:customStyle="1" w:styleId="Heading6Char">
    <w:name w:val="Heading 6 Char"/>
    <w:link w:val="Heading6"/>
    <w:uiPriority w:val="9"/>
    <w:rsid w:val="007D4191"/>
    <w:rPr>
      <w:rFonts w:ascii="Arial" w:hAnsi="Arial"/>
      <w:b/>
      <w:color w:val="172983"/>
      <w:sz w:val="40"/>
      <w:szCs w:val="40"/>
    </w:rPr>
  </w:style>
  <w:style w:type="character" w:customStyle="1" w:styleId="Heading7Char">
    <w:name w:val="Heading 7 Char"/>
    <w:link w:val="Heading7"/>
    <w:uiPriority w:val="9"/>
    <w:rsid w:val="004F7AD4"/>
    <w:rPr>
      <w:b/>
      <w:color w:val="172983"/>
      <w:sz w:val="36"/>
      <w:szCs w:val="36"/>
      <w:lang w:val="en-US"/>
    </w:rPr>
  </w:style>
  <w:style w:type="character" w:customStyle="1" w:styleId="Heading3Char">
    <w:name w:val="Heading 3 Char"/>
    <w:link w:val="Heading3"/>
    <w:rsid w:val="009920BA"/>
    <w:rPr>
      <w:rFonts w:ascii="Arial" w:hAnsi="Arial"/>
      <w:i/>
      <w:color w:val="31849B" w:themeColor="accent5" w:themeShade="BF"/>
      <w:sz w:val="28"/>
      <w:szCs w:val="32"/>
    </w:rPr>
  </w:style>
  <w:style w:type="character" w:customStyle="1" w:styleId="Heading4Char">
    <w:name w:val="Heading 4 Char"/>
    <w:link w:val="Heading4"/>
    <w:rsid w:val="004076B4"/>
    <w:rPr>
      <w:rFonts w:ascii="Arial" w:hAnsi="Arial"/>
      <w:bCs/>
      <w:color w:val="31849B" w:themeColor="accent5" w:themeShade="BF"/>
      <w:sz w:val="24"/>
      <w:szCs w:val="28"/>
    </w:rPr>
  </w:style>
  <w:style w:type="character" w:customStyle="1" w:styleId="Heading5Char">
    <w:name w:val="Heading 5 Char"/>
    <w:basedOn w:val="DefaultParagraphFont"/>
    <w:link w:val="Heading5"/>
    <w:rsid w:val="005C4D82"/>
    <w:rPr>
      <w:i/>
      <w:color w:val="172983"/>
      <w:sz w:val="26"/>
      <w:szCs w:val="26"/>
    </w:rPr>
  </w:style>
  <w:style w:type="character" w:customStyle="1" w:styleId="Heading8Char">
    <w:name w:val="Heading 8 Char"/>
    <w:basedOn w:val="DefaultParagraphFont"/>
    <w:link w:val="Heading8"/>
    <w:uiPriority w:val="9"/>
    <w:rsid w:val="004F7AD4"/>
    <w:rPr>
      <w:b/>
      <w:color w:val="172983"/>
      <w:sz w:val="28"/>
      <w:szCs w:val="28"/>
      <w:lang w:val="en-US"/>
    </w:rPr>
  </w:style>
  <w:style w:type="character" w:styleId="FootnoteReference">
    <w:name w:val="footnote reference"/>
    <w:uiPriority w:val="99"/>
    <w:semiHidden/>
    <w:qFormat/>
    <w:rsid w:val="00E61BA1"/>
    <w:rPr>
      <w:vertAlign w:val="superscript"/>
    </w:rPr>
  </w:style>
  <w:style w:type="paragraph" w:styleId="NormalWeb">
    <w:name w:val="Normal (Web)"/>
    <w:basedOn w:val="Normal"/>
    <w:uiPriority w:val="99"/>
    <w:unhideWhenUsed/>
    <w:rsid w:val="00AD7BA9"/>
    <w:rPr>
      <w:rFonts w:ascii="Times New Roman" w:hAnsi="Times New Roman"/>
      <w:sz w:val="24"/>
      <w:szCs w:val="24"/>
    </w:rPr>
  </w:style>
  <w:style w:type="paragraph" w:styleId="ListBullet2">
    <w:name w:val="List Bullet 2"/>
    <w:basedOn w:val="Normal"/>
    <w:unhideWhenUsed/>
    <w:qFormat/>
    <w:rsid w:val="00493AC1"/>
    <w:pPr>
      <w:numPr>
        <w:numId w:val="6"/>
      </w:numPr>
      <w:tabs>
        <w:tab w:val="left" w:pos="851"/>
      </w:tabs>
      <w:spacing w:before="120"/>
      <w:ind w:left="709"/>
    </w:pPr>
  </w:style>
  <w:style w:type="paragraph" w:styleId="ListBullet">
    <w:name w:val="List Bullet"/>
    <w:basedOn w:val="Normal"/>
    <w:unhideWhenUsed/>
    <w:qFormat/>
    <w:rsid w:val="00A34FD7"/>
    <w:pPr>
      <w:numPr>
        <w:numId w:val="5"/>
      </w:numPr>
      <w:tabs>
        <w:tab w:val="left" w:pos="426"/>
      </w:tabs>
      <w:spacing w:before="120"/>
    </w:pPr>
  </w:style>
  <w:style w:type="paragraph" w:styleId="ListBullet3">
    <w:name w:val="List Bullet 3"/>
    <w:basedOn w:val="Normal"/>
    <w:qFormat/>
    <w:rsid w:val="005C6D55"/>
    <w:pPr>
      <w:numPr>
        <w:numId w:val="3"/>
      </w:numPr>
      <w:tabs>
        <w:tab w:val="clear" w:pos="926"/>
        <w:tab w:val="num" w:pos="1276"/>
      </w:tabs>
      <w:spacing w:before="120"/>
      <w:ind w:left="1276" w:hanging="425"/>
    </w:pPr>
  </w:style>
  <w:style w:type="paragraph" w:styleId="ListBullet4">
    <w:name w:val="List Bullet 4"/>
    <w:basedOn w:val="Normal"/>
    <w:rsid w:val="00AD7BA9"/>
    <w:pPr>
      <w:numPr>
        <w:numId w:val="2"/>
      </w:numPr>
      <w:contextualSpacing/>
    </w:pPr>
  </w:style>
  <w:style w:type="paragraph" w:styleId="ListBullet5">
    <w:name w:val="List Bullet 5"/>
    <w:basedOn w:val="Normal"/>
    <w:rsid w:val="00AD7BA9"/>
    <w:pPr>
      <w:numPr>
        <w:numId w:val="1"/>
      </w:numPr>
      <w:contextualSpacing/>
    </w:pPr>
  </w:style>
  <w:style w:type="paragraph" w:styleId="BodyText2">
    <w:name w:val="Body Text 2"/>
    <w:basedOn w:val="Normal"/>
    <w:link w:val="BodyText2Char"/>
    <w:rsid w:val="00AD7BA9"/>
    <w:pPr>
      <w:spacing w:after="120" w:line="480" w:lineRule="auto"/>
    </w:pPr>
  </w:style>
  <w:style w:type="character" w:customStyle="1" w:styleId="BodyText2Char">
    <w:name w:val="Body Text 2 Char"/>
    <w:basedOn w:val="DefaultParagraphFont"/>
    <w:link w:val="BodyText2"/>
    <w:rsid w:val="00AD7BA9"/>
  </w:style>
  <w:style w:type="paragraph" w:styleId="BodyText">
    <w:name w:val="Body Text"/>
    <w:basedOn w:val="Normal"/>
    <w:link w:val="BodyTextChar"/>
    <w:rsid w:val="00AD7BA9"/>
    <w:pPr>
      <w:spacing w:after="120"/>
    </w:pPr>
  </w:style>
  <w:style w:type="character" w:customStyle="1" w:styleId="BodyTextChar">
    <w:name w:val="Body Text Char"/>
    <w:basedOn w:val="DefaultParagraphFont"/>
    <w:link w:val="BodyText"/>
    <w:rsid w:val="00AD7BA9"/>
  </w:style>
  <w:style w:type="paragraph" w:styleId="BodyTextFirstIndent">
    <w:name w:val="Body Text First Indent"/>
    <w:basedOn w:val="BodyText"/>
    <w:link w:val="BodyTextFirstIndentChar"/>
    <w:rsid w:val="00AD7BA9"/>
    <w:pPr>
      <w:spacing w:after="0"/>
      <w:ind w:firstLine="360"/>
    </w:pPr>
  </w:style>
  <w:style w:type="character" w:customStyle="1" w:styleId="BodyTextFirstIndentChar">
    <w:name w:val="Body Text First Indent Char"/>
    <w:basedOn w:val="BodyTextChar"/>
    <w:link w:val="BodyTextFirstIndent"/>
    <w:rsid w:val="00AD7BA9"/>
  </w:style>
  <w:style w:type="paragraph" w:styleId="BodyText3">
    <w:name w:val="Body Text 3"/>
    <w:basedOn w:val="Normal"/>
    <w:link w:val="BodyText3Char"/>
    <w:rsid w:val="00AD7BA9"/>
    <w:pPr>
      <w:spacing w:after="120"/>
    </w:pPr>
    <w:rPr>
      <w:sz w:val="16"/>
      <w:szCs w:val="16"/>
    </w:rPr>
  </w:style>
  <w:style w:type="character" w:customStyle="1" w:styleId="BodyText3Char">
    <w:name w:val="Body Text 3 Char"/>
    <w:basedOn w:val="DefaultParagraphFont"/>
    <w:link w:val="BodyText3"/>
    <w:rsid w:val="00AD7BA9"/>
    <w:rPr>
      <w:sz w:val="16"/>
      <w:szCs w:val="16"/>
    </w:rPr>
  </w:style>
  <w:style w:type="paragraph" w:styleId="BlockText">
    <w:name w:val="Block Text"/>
    <w:basedOn w:val="Normal"/>
    <w:rsid w:val="00AD7BA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Footer">
    <w:name w:val="footer"/>
    <w:basedOn w:val="Normal"/>
    <w:link w:val="FooterChar"/>
    <w:unhideWhenUsed/>
    <w:qFormat/>
    <w:rsid w:val="00133589"/>
    <w:pPr>
      <w:tabs>
        <w:tab w:val="right" w:pos="9072"/>
      </w:tabs>
      <w:spacing w:before="0"/>
    </w:pPr>
  </w:style>
  <w:style w:type="character" w:customStyle="1" w:styleId="FooterChar">
    <w:name w:val="Footer Char"/>
    <w:basedOn w:val="DefaultParagraphFont"/>
    <w:link w:val="Footer"/>
    <w:rsid w:val="00133589"/>
  </w:style>
  <w:style w:type="character" w:styleId="Emphasis">
    <w:name w:val="Emphasis"/>
    <w:basedOn w:val="DefaultParagraphFont"/>
    <w:qFormat/>
    <w:rsid w:val="00A3245F"/>
    <w:rPr>
      <w:i/>
      <w:iCs/>
    </w:rPr>
  </w:style>
  <w:style w:type="paragraph" w:customStyle="1" w:styleId="Cover-ClientName">
    <w:name w:val="Cover - Client Name"/>
    <w:basedOn w:val="Normal"/>
    <w:qFormat/>
    <w:rsid w:val="00CC3D41"/>
    <w:pPr>
      <w:spacing w:before="4800"/>
      <w:ind w:firstLine="2835"/>
      <w:jc w:val="right"/>
    </w:pPr>
    <w:rPr>
      <w:b/>
      <w:color w:val="FFFFFF" w:themeColor="background1"/>
      <w:spacing w:val="10"/>
      <w:sz w:val="80"/>
      <w:szCs w:val="80"/>
    </w:rPr>
  </w:style>
  <w:style w:type="paragraph" w:customStyle="1" w:styleId="Cover-ProjectName">
    <w:name w:val="Cover - Project Name"/>
    <w:basedOn w:val="Normal"/>
    <w:qFormat/>
    <w:rsid w:val="006D4B1C"/>
    <w:pPr>
      <w:spacing w:before="1320"/>
    </w:pPr>
    <w:rPr>
      <w:b/>
      <w:color w:val="172983"/>
      <w:sz w:val="44"/>
      <w:szCs w:val="44"/>
    </w:rPr>
  </w:style>
  <w:style w:type="paragraph" w:styleId="BalloonText">
    <w:name w:val="Balloon Text"/>
    <w:basedOn w:val="Normal"/>
    <w:link w:val="BalloonTextChar"/>
    <w:uiPriority w:val="99"/>
    <w:semiHidden/>
    <w:unhideWhenUsed/>
    <w:rsid w:val="004E24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1C"/>
    <w:rPr>
      <w:rFonts w:ascii="Tahoma" w:hAnsi="Tahoma" w:cs="Tahoma"/>
      <w:sz w:val="16"/>
      <w:szCs w:val="16"/>
    </w:rPr>
  </w:style>
  <w:style w:type="character" w:styleId="Hyperlink">
    <w:name w:val="Hyperlink"/>
    <w:basedOn w:val="DefaultParagraphFont"/>
    <w:uiPriority w:val="99"/>
    <w:unhideWhenUsed/>
    <w:rsid w:val="004E241C"/>
    <w:rPr>
      <w:color w:val="0000FF" w:themeColor="hyperlink"/>
      <w:u w:val="single"/>
    </w:rPr>
  </w:style>
  <w:style w:type="paragraph" w:customStyle="1" w:styleId="Footnotebullet">
    <w:name w:val="Footnote bullet"/>
    <w:basedOn w:val="Normal"/>
    <w:qFormat/>
    <w:rsid w:val="00413C49"/>
    <w:pPr>
      <w:numPr>
        <w:numId w:val="4"/>
      </w:numPr>
      <w:tabs>
        <w:tab w:val="left" w:pos="851"/>
      </w:tabs>
      <w:spacing w:before="120"/>
      <w:ind w:left="851" w:hanging="425"/>
    </w:pPr>
    <w:rPr>
      <w:sz w:val="20"/>
      <w:szCs w:val="20"/>
    </w:rPr>
  </w:style>
  <w:style w:type="paragraph" w:styleId="TOC2">
    <w:name w:val="toc 2"/>
    <w:basedOn w:val="Normal"/>
    <w:next w:val="Normal"/>
    <w:autoRedefine/>
    <w:uiPriority w:val="39"/>
    <w:unhideWhenUsed/>
    <w:qFormat/>
    <w:rsid w:val="007D4191"/>
    <w:pPr>
      <w:tabs>
        <w:tab w:val="left" w:pos="851"/>
        <w:tab w:val="right" w:leader="dot" w:pos="8789"/>
      </w:tabs>
      <w:spacing w:before="120"/>
      <w:ind w:left="850" w:right="-329" w:hanging="425"/>
    </w:pPr>
    <w:rPr>
      <w:noProof/>
      <w:color w:val="172983"/>
      <w:szCs w:val="24"/>
    </w:rPr>
  </w:style>
  <w:style w:type="character" w:styleId="Strong">
    <w:name w:val="Strong"/>
    <w:basedOn w:val="DefaultParagraphFont"/>
    <w:uiPriority w:val="22"/>
    <w:qFormat/>
    <w:rsid w:val="001C56C4"/>
    <w:rPr>
      <w:b/>
      <w:bCs/>
    </w:rPr>
  </w:style>
  <w:style w:type="character" w:styleId="BookTitle">
    <w:name w:val="Book Title"/>
    <w:basedOn w:val="DefaultParagraphFont"/>
    <w:qFormat/>
    <w:rsid w:val="00783A23"/>
    <w:rPr>
      <w:rFonts w:ascii="Times New Roman" w:hAnsi="Times New Roman"/>
      <w:bCs/>
      <w:caps w:val="0"/>
      <w:smallCaps/>
      <w:spacing w:val="10"/>
    </w:rPr>
  </w:style>
  <w:style w:type="paragraph" w:customStyle="1" w:styleId="FigureHeading">
    <w:name w:val="Figure Heading"/>
    <w:basedOn w:val="Normal"/>
    <w:qFormat/>
    <w:rsid w:val="00074EF2"/>
    <w:pPr>
      <w:keepNext/>
      <w:jc w:val="center"/>
    </w:pPr>
    <w:rPr>
      <w:b/>
    </w:rPr>
  </w:style>
  <w:style w:type="paragraph" w:customStyle="1" w:styleId="FigureHeading2">
    <w:name w:val="Figure Heading 2"/>
    <w:basedOn w:val="Normal"/>
    <w:qFormat/>
    <w:rsid w:val="009B2579"/>
    <w:pPr>
      <w:keepNext/>
      <w:spacing w:before="60"/>
      <w:jc w:val="center"/>
    </w:pPr>
    <w:rPr>
      <w:sz w:val="20"/>
      <w:szCs w:val="20"/>
    </w:rPr>
  </w:style>
  <w:style w:type="paragraph" w:customStyle="1" w:styleId="Image">
    <w:name w:val="Image"/>
    <w:basedOn w:val="Normal"/>
    <w:next w:val="Note"/>
    <w:link w:val="ImageChar"/>
    <w:qFormat/>
    <w:rsid w:val="000215C7"/>
    <w:pPr>
      <w:spacing w:before="120" w:after="360"/>
    </w:pPr>
    <w:rPr>
      <w:noProof/>
      <w:sz w:val="20"/>
      <w:szCs w:val="20"/>
    </w:rPr>
  </w:style>
  <w:style w:type="paragraph" w:customStyle="1" w:styleId="Note">
    <w:name w:val="Note"/>
    <w:basedOn w:val="Normal"/>
    <w:next w:val="Normal"/>
    <w:qFormat/>
    <w:rsid w:val="00181D7C"/>
    <w:pPr>
      <w:spacing w:before="120" w:after="480"/>
    </w:pPr>
    <w:rPr>
      <w:sz w:val="20"/>
      <w:szCs w:val="20"/>
    </w:rPr>
  </w:style>
  <w:style w:type="character" w:styleId="PageNumber">
    <w:name w:val="page number"/>
    <w:basedOn w:val="DefaultParagraphFont"/>
    <w:qFormat/>
    <w:rsid w:val="00181D7C"/>
  </w:style>
  <w:style w:type="paragraph" w:styleId="Quote">
    <w:name w:val="Quote"/>
    <w:basedOn w:val="Normal"/>
    <w:link w:val="QuoteChar"/>
    <w:uiPriority w:val="29"/>
    <w:qFormat/>
    <w:rsid w:val="00BF7452"/>
    <w:pPr>
      <w:tabs>
        <w:tab w:val="left" w:pos="426"/>
      </w:tabs>
      <w:ind w:left="426"/>
    </w:pPr>
    <w:rPr>
      <w:i/>
      <w:iCs/>
      <w:color w:val="000000" w:themeColor="text1"/>
    </w:rPr>
  </w:style>
  <w:style w:type="character" w:customStyle="1" w:styleId="QuoteChar">
    <w:name w:val="Quote Char"/>
    <w:basedOn w:val="DefaultParagraphFont"/>
    <w:link w:val="Quote"/>
    <w:uiPriority w:val="29"/>
    <w:rsid w:val="00BF7452"/>
    <w:rPr>
      <w:i/>
      <w:iCs/>
      <w:color w:val="000000" w:themeColor="text1"/>
      <w:lang w:val="en-US"/>
    </w:rPr>
  </w:style>
  <w:style w:type="paragraph" w:styleId="ListNumber">
    <w:name w:val="List Number"/>
    <w:basedOn w:val="Normal"/>
    <w:qFormat/>
    <w:rsid w:val="00C503EA"/>
    <w:pPr>
      <w:numPr>
        <w:numId w:val="7"/>
      </w:numPr>
      <w:tabs>
        <w:tab w:val="left" w:pos="426"/>
      </w:tabs>
      <w:ind w:left="426" w:hanging="426"/>
    </w:pPr>
  </w:style>
  <w:style w:type="paragraph" w:styleId="ListNumber2">
    <w:name w:val="List Number 2"/>
    <w:basedOn w:val="ListNumber"/>
    <w:qFormat/>
    <w:rsid w:val="00AA29EA"/>
    <w:pPr>
      <w:numPr>
        <w:ilvl w:val="1"/>
      </w:numPr>
      <w:tabs>
        <w:tab w:val="clear" w:pos="426"/>
        <w:tab w:val="left" w:pos="851"/>
      </w:tabs>
      <w:spacing w:before="120"/>
      <w:ind w:left="851" w:hanging="425"/>
    </w:pPr>
  </w:style>
  <w:style w:type="paragraph" w:styleId="ListNumber3">
    <w:name w:val="List Number 3"/>
    <w:basedOn w:val="ListNumber"/>
    <w:qFormat/>
    <w:rsid w:val="00330704"/>
    <w:pPr>
      <w:numPr>
        <w:ilvl w:val="2"/>
      </w:numPr>
    </w:pPr>
  </w:style>
  <w:style w:type="paragraph" w:customStyle="1" w:styleId="Footnote">
    <w:name w:val="Footnote"/>
    <w:basedOn w:val="Normal"/>
    <w:qFormat/>
    <w:rsid w:val="00413C49"/>
    <w:pPr>
      <w:tabs>
        <w:tab w:val="left" w:pos="426"/>
      </w:tabs>
      <w:ind w:left="426" w:hanging="426"/>
    </w:pPr>
    <w:rPr>
      <w:sz w:val="20"/>
      <w:szCs w:val="20"/>
    </w:rPr>
  </w:style>
  <w:style w:type="paragraph" w:customStyle="1" w:styleId="BoxHeading">
    <w:name w:val="Box Heading"/>
    <w:basedOn w:val="Normal"/>
    <w:next w:val="BoxText"/>
    <w:qForma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rPr>
      <w:b/>
    </w:rPr>
  </w:style>
  <w:style w:type="paragraph" w:customStyle="1" w:styleId="BoxText">
    <w:name w:val="Box Text"/>
    <w:basedOn w:val="Normal"/>
    <w:qForma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style>
  <w:style w:type="paragraph" w:customStyle="1" w:styleId="BoxBullet">
    <w:name w:val="Box Bullet"/>
    <w:basedOn w:val="Normal"/>
    <w:qFormat/>
    <w:rsid w:val="001730DA"/>
    <w:pPr>
      <w:numPr>
        <w:numId w:val="1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426"/>
      </w:tabs>
      <w:spacing w:before="120"/>
      <w:ind w:left="425" w:hanging="425"/>
    </w:pPr>
  </w:style>
  <w:style w:type="table" w:styleId="TableGrid">
    <w:name w:val="Table Grid"/>
    <w:basedOn w:val="TableNormal"/>
    <w:rsid w:val="009B257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ing">
    <w:name w:val="Column Heading"/>
    <w:basedOn w:val="Normal"/>
    <w:qFormat/>
    <w:rsid w:val="009B2579"/>
    <w:pPr>
      <w:spacing w:before="0"/>
      <w:jc w:val="center"/>
    </w:pPr>
    <w:rPr>
      <w:b/>
    </w:rPr>
  </w:style>
  <w:style w:type="table" w:styleId="TableColumns1">
    <w:name w:val="Table Columns 1"/>
    <w:basedOn w:val="TableNormal"/>
    <w:rsid w:val="009B257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AB4651"/>
    <w:pPr>
      <w:spacing w:before="0"/>
    </w:pPr>
  </w:style>
  <w:style w:type="paragraph" w:customStyle="1" w:styleId="RowHeading">
    <w:name w:val="Row Heading"/>
    <w:basedOn w:val="Normal"/>
    <w:qFormat/>
    <w:rsid w:val="00BF254E"/>
    <w:pPr>
      <w:spacing w:before="0"/>
    </w:pPr>
    <w:rPr>
      <w:b/>
    </w:rPr>
  </w:style>
  <w:style w:type="paragraph" w:customStyle="1" w:styleId="TableHeading">
    <w:name w:val="Table Heading"/>
    <w:basedOn w:val="Normal"/>
    <w:next w:val="Normal"/>
    <w:qFormat/>
    <w:rsid w:val="009B2579"/>
    <w:pPr>
      <w:spacing w:after="120"/>
      <w:jc w:val="center"/>
    </w:pPr>
    <w:rPr>
      <w:b/>
    </w:rPr>
  </w:style>
  <w:style w:type="paragraph" w:customStyle="1" w:styleId="CoverDate">
    <w:name w:val="Cover Date"/>
    <w:basedOn w:val="Cover-ProjectName"/>
    <w:qFormat/>
    <w:rsid w:val="00AB4651"/>
    <w:rPr>
      <w:i/>
      <w:color w:val="FF0000"/>
    </w:rPr>
  </w:style>
  <w:style w:type="paragraph" w:customStyle="1" w:styleId="Cover-OtherDescription">
    <w:name w:val="Cover - Other Description"/>
    <w:basedOn w:val="Cover-ProjectName"/>
    <w:qFormat/>
    <w:rsid w:val="006D4B1C"/>
    <w:pPr>
      <w:spacing w:before="3840"/>
    </w:pPr>
  </w:style>
  <w:style w:type="character" w:customStyle="1" w:styleId="Heading9Char">
    <w:name w:val="Heading 9 Char"/>
    <w:basedOn w:val="DefaultParagraphFont"/>
    <w:link w:val="Heading9"/>
    <w:rsid w:val="004F7AD4"/>
    <w:rPr>
      <w:i/>
      <w:color w:val="172983"/>
      <w:sz w:val="26"/>
      <w:szCs w:val="26"/>
    </w:rPr>
  </w:style>
  <w:style w:type="numbering" w:customStyle="1" w:styleId="AppendixHeadings">
    <w:name w:val="Appendix Headings"/>
    <w:uiPriority w:val="99"/>
    <w:rsid w:val="00B66E7A"/>
    <w:pPr>
      <w:numPr>
        <w:numId w:val="8"/>
      </w:numPr>
    </w:pPr>
  </w:style>
  <w:style w:type="paragraph" w:styleId="TOCHeading">
    <w:name w:val="TOC Heading"/>
    <w:basedOn w:val="Normal"/>
    <w:next w:val="Normal"/>
    <w:uiPriority w:val="39"/>
    <w:unhideWhenUsed/>
    <w:qFormat/>
    <w:rsid w:val="00783A23"/>
    <w:pPr>
      <w:keepLines/>
      <w:spacing w:before="720"/>
      <w:jc w:val="center"/>
    </w:pPr>
    <w:rPr>
      <w:rFonts w:ascii="Times New Roman" w:hAnsi="Times New Roman"/>
      <w:b/>
      <w:noProof/>
      <w:color w:val="172983"/>
      <w:sz w:val="36"/>
      <w:szCs w:val="36"/>
    </w:rPr>
  </w:style>
  <w:style w:type="paragraph" w:styleId="TOC1">
    <w:name w:val="toc 1"/>
    <w:basedOn w:val="Normal"/>
    <w:next w:val="Normal"/>
    <w:autoRedefine/>
    <w:uiPriority w:val="39"/>
    <w:unhideWhenUsed/>
    <w:qFormat/>
    <w:rsid w:val="002B2F61"/>
    <w:pPr>
      <w:tabs>
        <w:tab w:val="left" w:pos="426"/>
        <w:tab w:val="right" w:leader="dot" w:pos="8789"/>
      </w:tabs>
      <w:spacing w:after="120"/>
      <w:ind w:right="-329"/>
    </w:pPr>
    <w:rPr>
      <w:noProof/>
      <w:color w:val="172983"/>
      <w:sz w:val="24"/>
      <w:szCs w:val="24"/>
    </w:rPr>
  </w:style>
  <w:style w:type="paragraph" w:styleId="TOC3">
    <w:name w:val="toc 3"/>
    <w:basedOn w:val="Normal"/>
    <w:next w:val="Normal"/>
    <w:autoRedefine/>
    <w:uiPriority w:val="39"/>
    <w:unhideWhenUsed/>
    <w:qFormat/>
    <w:rsid w:val="00133589"/>
    <w:pPr>
      <w:tabs>
        <w:tab w:val="left" w:pos="1276"/>
        <w:tab w:val="right" w:leader="dot" w:pos="8789"/>
      </w:tabs>
      <w:spacing w:before="120"/>
      <w:ind w:left="1276" w:right="-330" w:hanging="425"/>
    </w:pPr>
    <w:rPr>
      <w:noProof/>
      <w:color w:val="172983"/>
    </w:rPr>
  </w:style>
  <w:style w:type="numbering" w:customStyle="1" w:styleId="ReportHeadings">
    <w:name w:val="Report Headings"/>
    <w:uiPriority w:val="99"/>
    <w:rsid w:val="00213F43"/>
    <w:pPr>
      <w:numPr>
        <w:numId w:val="9"/>
      </w:numPr>
    </w:pPr>
  </w:style>
  <w:style w:type="paragraph" w:customStyle="1" w:styleId="TableofContentHeading">
    <w:name w:val="TableofContentHeading"/>
    <w:basedOn w:val="Normal"/>
    <w:qFormat/>
    <w:rsid w:val="004335E4"/>
    <w:pPr>
      <w:spacing w:before="360" w:after="240"/>
      <w:jc w:val="center"/>
    </w:pPr>
    <w:rPr>
      <w:rFonts w:cstheme="minorHAnsi"/>
      <w:b/>
      <w:color w:val="172983"/>
      <w:sz w:val="32"/>
      <w:szCs w:val="32"/>
    </w:rPr>
  </w:style>
  <w:style w:type="paragraph" w:styleId="TOC4">
    <w:name w:val="toc 4"/>
    <w:basedOn w:val="Normal"/>
    <w:next w:val="Normal"/>
    <w:autoRedefine/>
    <w:uiPriority w:val="39"/>
    <w:qFormat/>
    <w:rsid w:val="00133589"/>
    <w:pPr>
      <w:tabs>
        <w:tab w:val="left" w:pos="8647"/>
        <w:tab w:val="right" w:leader="dot" w:pos="9016"/>
      </w:tabs>
      <w:spacing w:after="100"/>
      <w:ind w:right="-330"/>
    </w:pPr>
    <w:rPr>
      <w:noProof/>
      <w:color w:val="172983"/>
      <w:sz w:val="28"/>
      <w:szCs w:val="26"/>
    </w:rPr>
  </w:style>
  <w:style w:type="paragraph" w:styleId="ListParagraph">
    <w:name w:val="List Paragraph"/>
    <w:basedOn w:val="Normal"/>
    <w:uiPriority w:val="34"/>
    <w:qFormat/>
    <w:rsid w:val="00B66E7A"/>
    <w:pPr>
      <w:ind w:left="720"/>
      <w:contextualSpacing/>
    </w:pPr>
  </w:style>
  <w:style w:type="character" w:styleId="CommentReference">
    <w:name w:val="annotation reference"/>
    <w:basedOn w:val="DefaultParagraphFont"/>
    <w:rsid w:val="001C4803"/>
    <w:rPr>
      <w:sz w:val="16"/>
      <w:szCs w:val="16"/>
    </w:rPr>
  </w:style>
  <w:style w:type="paragraph" w:styleId="CommentText">
    <w:name w:val="annotation text"/>
    <w:basedOn w:val="Normal"/>
    <w:link w:val="CommentTextChar"/>
    <w:rsid w:val="001C4803"/>
    <w:rPr>
      <w:sz w:val="20"/>
      <w:szCs w:val="20"/>
    </w:rPr>
  </w:style>
  <w:style w:type="character" w:customStyle="1" w:styleId="CommentTextChar">
    <w:name w:val="Comment Text Char"/>
    <w:basedOn w:val="DefaultParagraphFont"/>
    <w:link w:val="CommentText"/>
    <w:rsid w:val="001C4803"/>
    <w:rPr>
      <w:sz w:val="20"/>
      <w:szCs w:val="20"/>
      <w:lang w:val="en-US"/>
    </w:rPr>
  </w:style>
  <w:style w:type="paragraph" w:styleId="CommentSubject">
    <w:name w:val="annotation subject"/>
    <w:basedOn w:val="CommentText"/>
    <w:next w:val="CommentText"/>
    <w:link w:val="CommentSubjectChar"/>
    <w:semiHidden/>
    <w:unhideWhenUsed/>
    <w:rsid w:val="001C4803"/>
    <w:rPr>
      <w:b/>
      <w:bCs/>
    </w:rPr>
  </w:style>
  <w:style w:type="character" w:customStyle="1" w:styleId="CommentSubjectChar">
    <w:name w:val="Comment Subject Char"/>
    <w:basedOn w:val="CommentTextChar"/>
    <w:link w:val="CommentSubject"/>
    <w:semiHidden/>
    <w:rsid w:val="001C4803"/>
    <w:rPr>
      <w:b/>
      <w:bCs/>
      <w:sz w:val="20"/>
      <w:szCs w:val="20"/>
      <w:lang w:val="en-US"/>
    </w:rPr>
  </w:style>
  <w:style w:type="paragraph" w:customStyle="1" w:styleId="BoxBullet2">
    <w:name w:val="Box Bullet 2"/>
    <w:basedOn w:val="BoxBullet"/>
    <w:qFormat/>
    <w:rsid w:val="001730DA"/>
    <w:pPr>
      <w:numPr>
        <w:numId w:val="11"/>
      </w:numPr>
      <w:tabs>
        <w:tab w:val="clear" w:pos="426"/>
        <w:tab w:val="left" w:pos="851"/>
      </w:tabs>
      <w:ind w:left="0" w:firstLine="426"/>
    </w:pPr>
  </w:style>
  <w:style w:type="paragraph" w:customStyle="1" w:styleId="BoxBullet22">
    <w:name w:val="Box Bullet 2 (2+)"/>
    <w:basedOn w:val="BoxBullet2"/>
    <w:qFormat/>
    <w:rsid w:val="001730DA"/>
    <w:pPr>
      <w:numPr>
        <w:numId w:val="0"/>
      </w:numPr>
      <w:spacing w:before="0"/>
      <w:ind w:firstLine="851"/>
    </w:pPr>
  </w:style>
  <w:style w:type="paragraph" w:customStyle="1" w:styleId="TableNumber">
    <w:name w:val="Table Number"/>
    <w:basedOn w:val="Normal"/>
    <w:qFormat/>
    <w:rsid w:val="00B813BA"/>
    <w:pPr>
      <w:spacing w:before="0"/>
      <w:jc w:val="center"/>
    </w:pPr>
  </w:style>
  <w:style w:type="paragraph" w:customStyle="1" w:styleId="BoxBullet3">
    <w:name w:val="Box Bullet 3"/>
    <w:basedOn w:val="Normal"/>
    <w:qFormat/>
    <w:rsid w:val="000159AB"/>
    <w:pPr>
      <w:numPr>
        <w:numId w:val="12"/>
      </w:num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tabs>
        <w:tab w:val="left" w:pos="1276"/>
      </w:tabs>
      <w:spacing w:before="120"/>
      <w:ind w:left="0" w:firstLine="851"/>
    </w:pPr>
  </w:style>
  <w:style w:type="paragraph" w:customStyle="1" w:styleId="BoxBullet32">
    <w:name w:val="Box Bullet 3 (2+)"/>
    <w:basedOn w:val="Normal"/>
    <w:link w:val="BoxBullet32Char"/>
    <w:qFormat/>
    <w:rsid w:val="000159A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spacing w:before="0"/>
      <w:ind w:firstLine="1276"/>
    </w:pPr>
  </w:style>
  <w:style w:type="paragraph" w:customStyle="1" w:styleId="DotPoints2">
    <w:name w:val="Dot Points 2"/>
    <w:basedOn w:val="Normal"/>
    <w:rsid w:val="00873BF4"/>
    <w:pPr>
      <w:numPr>
        <w:numId w:val="13"/>
      </w:numPr>
    </w:pPr>
    <w:rPr>
      <w:rFonts w:asciiTheme="minorHAnsi" w:eastAsia="PMingLiU" w:hAnsiTheme="minorHAnsi"/>
      <w:sz w:val="24"/>
      <w:szCs w:val="24"/>
      <w:lang w:eastAsia="en-US"/>
    </w:rPr>
  </w:style>
  <w:style w:type="paragraph" w:customStyle="1" w:styleId="Bullets">
    <w:name w:val="Bullets"/>
    <w:basedOn w:val="DotPoints2"/>
    <w:link w:val="BulletsChar1"/>
    <w:rsid w:val="00873BF4"/>
    <w:pPr>
      <w:tabs>
        <w:tab w:val="clear" w:pos="709"/>
        <w:tab w:val="num" w:pos="426"/>
      </w:tabs>
      <w:spacing w:before="120"/>
      <w:ind w:left="426" w:hanging="426"/>
    </w:pPr>
  </w:style>
  <w:style w:type="paragraph" w:customStyle="1" w:styleId="Bullets2">
    <w:name w:val="Bullets 2"/>
    <w:basedOn w:val="Bullets"/>
    <w:link w:val="Bullets2Char"/>
    <w:rsid w:val="00873BF4"/>
    <w:pPr>
      <w:numPr>
        <w:ilvl w:val="1"/>
      </w:numPr>
      <w:tabs>
        <w:tab w:val="clear" w:pos="993"/>
        <w:tab w:val="num" w:pos="851"/>
        <w:tab w:val="num" w:pos="1492"/>
      </w:tabs>
      <w:ind w:left="851" w:hanging="425"/>
    </w:pPr>
    <w:rPr>
      <w:lang w:val="en-US"/>
    </w:rPr>
  </w:style>
  <w:style w:type="character" w:customStyle="1" w:styleId="BulletsChar1">
    <w:name w:val="Bullets Char1"/>
    <w:basedOn w:val="DefaultParagraphFont"/>
    <w:link w:val="Bullets"/>
    <w:rsid w:val="00873BF4"/>
    <w:rPr>
      <w:rFonts w:asciiTheme="minorHAnsi" w:eastAsia="PMingLiU" w:hAnsiTheme="minorHAnsi"/>
      <w:sz w:val="24"/>
      <w:szCs w:val="24"/>
      <w:lang w:eastAsia="en-US"/>
    </w:rPr>
  </w:style>
  <w:style w:type="character" w:customStyle="1" w:styleId="Bullets2Char">
    <w:name w:val="Bullets 2 Char"/>
    <w:basedOn w:val="BulletsChar1"/>
    <w:link w:val="Bullets2"/>
    <w:rsid w:val="002146B5"/>
    <w:rPr>
      <w:rFonts w:asciiTheme="minorHAnsi" w:eastAsia="PMingLiU" w:hAnsiTheme="minorHAnsi"/>
      <w:sz w:val="24"/>
      <w:szCs w:val="24"/>
      <w:lang w:val="en-US" w:eastAsia="en-US"/>
    </w:rPr>
  </w:style>
  <w:style w:type="table" w:customStyle="1" w:styleId="TableGrid1">
    <w:name w:val="Table Grid1"/>
    <w:basedOn w:val="TableNormal"/>
    <w:next w:val="TableGrid"/>
    <w:rsid w:val="00061EF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37DB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531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Bullet32Char">
    <w:name w:val="Box Bullet 3 (2+) Char"/>
    <w:basedOn w:val="DefaultParagraphFont"/>
    <w:link w:val="BoxBullet32"/>
    <w:rsid w:val="00096BC9"/>
    <w:rPr>
      <w:shd w:val="clear" w:color="auto" w:fill="DBE5F1"/>
      <w:lang w:val="en-US"/>
    </w:rPr>
  </w:style>
  <w:style w:type="character" w:customStyle="1" w:styleId="ImageChar">
    <w:name w:val="Image Char"/>
    <w:basedOn w:val="DefaultParagraphFont"/>
    <w:link w:val="Image"/>
    <w:rsid w:val="00F94454"/>
    <w:rPr>
      <w:noProof/>
      <w:sz w:val="20"/>
      <w:szCs w:val="20"/>
    </w:rPr>
  </w:style>
  <w:style w:type="paragraph" w:styleId="Revision">
    <w:name w:val="Revision"/>
    <w:hidden/>
    <w:uiPriority w:val="99"/>
    <w:semiHidden/>
    <w:rsid w:val="00F20626"/>
    <w:pPr>
      <w:spacing w:before="0"/>
    </w:pPr>
    <w:rPr>
      <w:rFonts w:ascii="Arial" w:hAnsi="Arial"/>
    </w:rPr>
  </w:style>
  <w:style w:type="paragraph" w:customStyle="1" w:styleId="Default">
    <w:name w:val="Default"/>
    <w:rsid w:val="009B0859"/>
    <w:pPr>
      <w:autoSpaceDE w:val="0"/>
      <w:autoSpaceDN w:val="0"/>
      <w:adjustRightInd w:val="0"/>
      <w:spacing w:before="0"/>
    </w:pPr>
    <w:rPr>
      <w:rFonts w:cs="Calibri"/>
      <w:color w:val="000000"/>
      <w:sz w:val="24"/>
      <w:szCs w:val="24"/>
    </w:rPr>
  </w:style>
  <w:style w:type="character" w:styleId="FollowedHyperlink">
    <w:name w:val="FollowedHyperlink"/>
    <w:basedOn w:val="DefaultParagraphFont"/>
    <w:semiHidden/>
    <w:unhideWhenUsed/>
    <w:rsid w:val="009B0859"/>
    <w:rPr>
      <w:color w:val="800080" w:themeColor="followedHyperlink"/>
      <w:u w:val="single"/>
    </w:rPr>
  </w:style>
  <w:style w:type="paragraph" w:styleId="TOC9">
    <w:name w:val="toc 9"/>
    <w:basedOn w:val="Normal"/>
    <w:next w:val="Normal"/>
    <w:autoRedefine/>
    <w:rsid w:val="009B0859"/>
    <w:pPr>
      <w:spacing w:after="100"/>
      <w:ind w:left="1760"/>
    </w:pPr>
  </w:style>
  <w:style w:type="character" w:customStyle="1" w:styleId="UnresolvedMention1">
    <w:name w:val="Unresolved Mention1"/>
    <w:basedOn w:val="DefaultParagraphFont"/>
    <w:uiPriority w:val="99"/>
    <w:semiHidden/>
    <w:unhideWhenUsed/>
    <w:rsid w:val="009B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9618">
      <w:bodyDiv w:val="1"/>
      <w:marLeft w:val="0"/>
      <w:marRight w:val="0"/>
      <w:marTop w:val="0"/>
      <w:marBottom w:val="0"/>
      <w:divBdr>
        <w:top w:val="none" w:sz="0" w:space="0" w:color="auto"/>
        <w:left w:val="none" w:sz="0" w:space="0" w:color="auto"/>
        <w:bottom w:val="none" w:sz="0" w:space="0" w:color="auto"/>
        <w:right w:val="none" w:sz="0" w:space="0" w:color="auto"/>
      </w:divBdr>
    </w:div>
    <w:div w:id="66651111">
      <w:bodyDiv w:val="1"/>
      <w:marLeft w:val="0"/>
      <w:marRight w:val="0"/>
      <w:marTop w:val="0"/>
      <w:marBottom w:val="0"/>
      <w:divBdr>
        <w:top w:val="none" w:sz="0" w:space="0" w:color="auto"/>
        <w:left w:val="none" w:sz="0" w:space="0" w:color="auto"/>
        <w:bottom w:val="none" w:sz="0" w:space="0" w:color="auto"/>
        <w:right w:val="none" w:sz="0" w:space="0" w:color="auto"/>
      </w:divBdr>
    </w:div>
    <w:div w:id="137693662">
      <w:bodyDiv w:val="1"/>
      <w:marLeft w:val="0"/>
      <w:marRight w:val="0"/>
      <w:marTop w:val="0"/>
      <w:marBottom w:val="0"/>
      <w:divBdr>
        <w:top w:val="none" w:sz="0" w:space="0" w:color="auto"/>
        <w:left w:val="none" w:sz="0" w:space="0" w:color="auto"/>
        <w:bottom w:val="none" w:sz="0" w:space="0" w:color="auto"/>
        <w:right w:val="none" w:sz="0" w:space="0" w:color="auto"/>
      </w:divBdr>
    </w:div>
    <w:div w:id="219823902">
      <w:bodyDiv w:val="1"/>
      <w:marLeft w:val="0"/>
      <w:marRight w:val="0"/>
      <w:marTop w:val="0"/>
      <w:marBottom w:val="0"/>
      <w:divBdr>
        <w:top w:val="none" w:sz="0" w:space="0" w:color="auto"/>
        <w:left w:val="none" w:sz="0" w:space="0" w:color="auto"/>
        <w:bottom w:val="none" w:sz="0" w:space="0" w:color="auto"/>
        <w:right w:val="none" w:sz="0" w:space="0" w:color="auto"/>
      </w:divBdr>
      <w:divsChild>
        <w:div w:id="1321687860">
          <w:marLeft w:val="446"/>
          <w:marRight w:val="0"/>
          <w:marTop w:val="240"/>
          <w:marBottom w:val="240"/>
          <w:divBdr>
            <w:top w:val="none" w:sz="0" w:space="0" w:color="auto"/>
            <w:left w:val="none" w:sz="0" w:space="0" w:color="auto"/>
            <w:bottom w:val="none" w:sz="0" w:space="0" w:color="auto"/>
            <w:right w:val="none" w:sz="0" w:space="0" w:color="auto"/>
          </w:divBdr>
        </w:div>
      </w:divsChild>
    </w:div>
    <w:div w:id="227039332">
      <w:bodyDiv w:val="1"/>
      <w:marLeft w:val="0"/>
      <w:marRight w:val="0"/>
      <w:marTop w:val="0"/>
      <w:marBottom w:val="0"/>
      <w:divBdr>
        <w:top w:val="none" w:sz="0" w:space="0" w:color="auto"/>
        <w:left w:val="none" w:sz="0" w:space="0" w:color="auto"/>
        <w:bottom w:val="none" w:sz="0" w:space="0" w:color="auto"/>
        <w:right w:val="none" w:sz="0" w:space="0" w:color="auto"/>
      </w:divBdr>
    </w:div>
    <w:div w:id="298267117">
      <w:bodyDiv w:val="1"/>
      <w:marLeft w:val="0"/>
      <w:marRight w:val="0"/>
      <w:marTop w:val="0"/>
      <w:marBottom w:val="0"/>
      <w:divBdr>
        <w:top w:val="none" w:sz="0" w:space="0" w:color="auto"/>
        <w:left w:val="none" w:sz="0" w:space="0" w:color="auto"/>
        <w:bottom w:val="none" w:sz="0" w:space="0" w:color="auto"/>
        <w:right w:val="none" w:sz="0" w:space="0" w:color="auto"/>
      </w:divBdr>
    </w:div>
    <w:div w:id="339770848">
      <w:bodyDiv w:val="1"/>
      <w:marLeft w:val="0"/>
      <w:marRight w:val="0"/>
      <w:marTop w:val="0"/>
      <w:marBottom w:val="0"/>
      <w:divBdr>
        <w:top w:val="none" w:sz="0" w:space="0" w:color="auto"/>
        <w:left w:val="none" w:sz="0" w:space="0" w:color="auto"/>
        <w:bottom w:val="none" w:sz="0" w:space="0" w:color="auto"/>
        <w:right w:val="none" w:sz="0" w:space="0" w:color="auto"/>
      </w:divBdr>
      <w:divsChild>
        <w:div w:id="1154565369">
          <w:marLeft w:val="446"/>
          <w:marRight w:val="0"/>
          <w:marTop w:val="240"/>
          <w:marBottom w:val="240"/>
          <w:divBdr>
            <w:top w:val="none" w:sz="0" w:space="0" w:color="auto"/>
            <w:left w:val="none" w:sz="0" w:space="0" w:color="auto"/>
            <w:bottom w:val="none" w:sz="0" w:space="0" w:color="auto"/>
            <w:right w:val="none" w:sz="0" w:space="0" w:color="auto"/>
          </w:divBdr>
        </w:div>
      </w:divsChild>
    </w:div>
    <w:div w:id="381247181">
      <w:bodyDiv w:val="1"/>
      <w:marLeft w:val="0"/>
      <w:marRight w:val="0"/>
      <w:marTop w:val="0"/>
      <w:marBottom w:val="0"/>
      <w:divBdr>
        <w:top w:val="none" w:sz="0" w:space="0" w:color="auto"/>
        <w:left w:val="none" w:sz="0" w:space="0" w:color="auto"/>
        <w:bottom w:val="none" w:sz="0" w:space="0" w:color="auto"/>
        <w:right w:val="none" w:sz="0" w:space="0" w:color="auto"/>
      </w:divBdr>
    </w:div>
    <w:div w:id="453787499">
      <w:bodyDiv w:val="1"/>
      <w:marLeft w:val="0"/>
      <w:marRight w:val="0"/>
      <w:marTop w:val="0"/>
      <w:marBottom w:val="0"/>
      <w:divBdr>
        <w:top w:val="none" w:sz="0" w:space="0" w:color="auto"/>
        <w:left w:val="none" w:sz="0" w:space="0" w:color="auto"/>
        <w:bottom w:val="none" w:sz="0" w:space="0" w:color="auto"/>
        <w:right w:val="none" w:sz="0" w:space="0" w:color="auto"/>
      </w:divBdr>
    </w:div>
    <w:div w:id="522092397">
      <w:bodyDiv w:val="1"/>
      <w:marLeft w:val="0"/>
      <w:marRight w:val="0"/>
      <w:marTop w:val="0"/>
      <w:marBottom w:val="0"/>
      <w:divBdr>
        <w:top w:val="none" w:sz="0" w:space="0" w:color="auto"/>
        <w:left w:val="none" w:sz="0" w:space="0" w:color="auto"/>
        <w:bottom w:val="none" w:sz="0" w:space="0" w:color="auto"/>
        <w:right w:val="none" w:sz="0" w:space="0" w:color="auto"/>
      </w:divBdr>
    </w:div>
    <w:div w:id="573777318">
      <w:bodyDiv w:val="1"/>
      <w:marLeft w:val="0"/>
      <w:marRight w:val="0"/>
      <w:marTop w:val="0"/>
      <w:marBottom w:val="0"/>
      <w:divBdr>
        <w:top w:val="none" w:sz="0" w:space="0" w:color="auto"/>
        <w:left w:val="none" w:sz="0" w:space="0" w:color="auto"/>
        <w:bottom w:val="none" w:sz="0" w:space="0" w:color="auto"/>
        <w:right w:val="none" w:sz="0" w:space="0" w:color="auto"/>
      </w:divBdr>
    </w:div>
    <w:div w:id="586501726">
      <w:bodyDiv w:val="1"/>
      <w:marLeft w:val="0"/>
      <w:marRight w:val="0"/>
      <w:marTop w:val="0"/>
      <w:marBottom w:val="0"/>
      <w:divBdr>
        <w:top w:val="none" w:sz="0" w:space="0" w:color="auto"/>
        <w:left w:val="none" w:sz="0" w:space="0" w:color="auto"/>
        <w:bottom w:val="none" w:sz="0" w:space="0" w:color="auto"/>
        <w:right w:val="none" w:sz="0" w:space="0" w:color="auto"/>
      </w:divBdr>
      <w:divsChild>
        <w:div w:id="473642295">
          <w:marLeft w:val="446"/>
          <w:marRight w:val="0"/>
          <w:marTop w:val="240"/>
          <w:marBottom w:val="240"/>
          <w:divBdr>
            <w:top w:val="none" w:sz="0" w:space="0" w:color="auto"/>
            <w:left w:val="none" w:sz="0" w:space="0" w:color="auto"/>
            <w:bottom w:val="none" w:sz="0" w:space="0" w:color="auto"/>
            <w:right w:val="none" w:sz="0" w:space="0" w:color="auto"/>
          </w:divBdr>
        </w:div>
      </w:divsChild>
    </w:div>
    <w:div w:id="678628215">
      <w:bodyDiv w:val="1"/>
      <w:marLeft w:val="0"/>
      <w:marRight w:val="0"/>
      <w:marTop w:val="0"/>
      <w:marBottom w:val="0"/>
      <w:divBdr>
        <w:top w:val="none" w:sz="0" w:space="0" w:color="auto"/>
        <w:left w:val="none" w:sz="0" w:space="0" w:color="auto"/>
        <w:bottom w:val="none" w:sz="0" w:space="0" w:color="auto"/>
        <w:right w:val="none" w:sz="0" w:space="0" w:color="auto"/>
      </w:divBdr>
    </w:div>
    <w:div w:id="853495727">
      <w:bodyDiv w:val="1"/>
      <w:marLeft w:val="0"/>
      <w:marRight w:val="0"/>
      <w:marTop w:val="0"/>
      <w:marBottom w:val="0"/>
      <w:divBdr>
        <w:top w:val="none" w:sz="0" w:space="0" w:color="auto"/>
        <w:left w:val="none" w:sz="0" w:space="0" w:color="auto"/>
        <w:bottom w:val="none" w:sz="0" w:space="0" w:color="auto"/>
        <w:right w:val="none" w:sz="0" w:space="0" w:color="auto"/>
      </w:divBdr>
    </w:div>
    <w:div w:id="956837684">
      <w:bodyDiv w:val="1"/>
      <w:marLeft w:val="0"/>
      <w:marRight w:val="0"/>
      <w:marTop w:val="0"/>
      <w:marBottom w:val="0"/>
      <w:divBdr>
        <w:top w:val="none" w:sz="0" w:space="0" w:color="auto"/>
        <w:left w:val="none" w:sz="0" w:space="0" w:color="auto"/>
        <w:bottom w:val="none" w:sz="0" w:space="0" w:color="auto"/>
        <w:right w:val="none" w:sz="0" w:space="0" w:color="auto"/>
      </w:divBdr>
      <w:divsChild>
        <w:div w:id="1343817757">
          <w:marLeft w:val="446"/>
          <w:marRight w:val="0"/>
          <w:marTop w:val="240"/>
          <w:marBottom w:val="240"/>
          <w:divBdr>
            <w:top w:val="none" w:sz="0" w:space="0" w:color="auto"/>
            <w:left w:val="none" w:sz="0" w:space="0" w:color="auto"/>
            <w:bottom w:val="none" w:sz="0" w:space="0" w:color="auto"/>
            <w:right w:val="none" w:sz="0" w:space="0" w:color="auto"/>
          </w:divBdr>
        </w:div>
      </w:divsChild>
    </w:div>
    <w:div w:id="1074088374">
      <w:bodyDiv w:val="1"/>
      <w:marLeft w:val="0"/>
      <w:marRight w:val="0"/>
      <w:marTop w:val="0"/>
      <w:marBottom w:val="0"/>
      <w:divBdr>
        <w:top w:val="none" w:sz="0" w:space="0" w:color="auto"/>
        <w:left w:val="none" w:sz="0" w:space="0" w:color="auto"/>
        <w:bottom w:val="none" w:sz="0" w:space="0" w:color="auto"/>
        <w:right w:val="none" w:sz="0" w:space="0" w:color="auto"/>
      </w:divBdr>
    </w:div>
    <w:div w:id="1304651636">
      <w:bodyDiv w:val="1"/>
      <w:marLeft w:val="0"/>
      <w:marRight w:val="0"/>
      <w:marTop w:val="0"/>
      <w:marBottom w:val="0"/>
      <w:divBdr>
        <w:top w:val="none" w:sz="0" w:space="0" w:color="auto"/>
        <w:left w:val="none" w:sz="0" w:space="0" w:color="auto"/>
        <w:bottom w:val="none" w:sz="0" w:space="0" w:color="auto"/>
        <w:right w:val="none" w:sz="0" w:space="0" w:color="auto"/>
      </w:divBdr>
    </w:div>
    <w:div w:id="1409617791">
      <w:bodyDiv w:val="1"/>
      <w:marLeft w:val="0"/>
      <w:marRight w:val="0"/>
      <w:marTop w:val="0"/>
      <w:marBottom w:val="0"/>
      <w:divBdr>
        <w:top w:val="none" w:sz="0" w:space="0" w:color="auto"/>
        <w:left w:val="none" w:sz="0" w:space="0" w:color="auto"/>
        <w:bottom w:val="none" w:sz="0" w:space="0" w:color="auto"/>
        <w:right w:val="none" w:sz="0" w:space="0" w:color="auto"/>
      </w:divBdr>
    </w:div>
    <w:div w:id="1580015759">
      <w:bodyDiv w:val="1"/>
      <w:marLeft w:val="0"/>
      <w:marRight w:val="0"/>
      <w:marTop w:val="0"/>
      <w:marBottom w:val="0"/>
      <w:divBdr>
        <w:top w:val="none" w:sz="0" w:space="0" w:color="auto"/>
        <w:left w:val="none" w:sz="0" w:space="0" w:color="auto"/>
        <w:bottom w:val="none" w:sz="0" w:space="0" w:color="auto"/>
        <w:right w:val="none" w:sz="0" w:space="0" w:color="auto"/>
      </w:divBdr>
    </w:div>
    <w:div w:id="1698004936">
      <w:bodyDiv w:val="1"/>
      <w:marLeft w:val="0"/>
      <w:marRight w:val="0"/>
      <w:marTop w:val="0"/>
      <w:marBottom w:val="0"/>
      <w:divBdr>
        <w:top w:val="none" w:sz="0" w:space="0" w:color="auto"/>
        <w:left w:val="none" w:sz="0" w:space="0" w:color="auto"/>
        <w:bottom w:val="none" w:sz="0" w:space="0" w:color="auto"/>
        <w:right w:val="none" w:sz="0" w:space="0" w:color="auto"/>
      </w:divBdr>
    </w:div>
    <w:div w:id="1702899540">
      <w:bodyDiv w:val="1"/>
      <w:marLeft w:val="0"/>
      <w:marRight w:val="0"/>
      <w:marTop w:val="0"/>
      <w:marBottom w:val="0"/>
      <w:divBdr>
        <w:top w:val="none" w:sz="0" w:space="0" w:color="auto"/>
        <w:left w:val="none" w:sz="0" w:space="0" w:color="auto"/>
        <w:bottom w:val="none" w:sz="0" w:space="0" w:color="auto"/>
        <w:right w:val="none" w:sz="0" w:space="0" w:color="auto"/>
      </w:divBdr>
    </w:div>
    <w:div w:id="1815684560">
      <w:bodyDiv w:val="1"/>
      <w:marLeft w:val="0"/>
      <w:marRight w:val="0"/>
      <w:marTop w:val="0"/>
      <w:marBottom w:val="0"/>
      <w:divBdr>
        <w:top w:val="none" w:sz="0" w:space="0" w:color="auto"/>
        <w:left w:val="none" w:sz="0" w:space="0" w:color="auto"/>
        <w:bottom w:val="none" w:sz="0" w:space="0" w:color="auto"/>
        <w:right w:val="none" w:sz="0" w:space="0" w:color="auto"/>
      </w:divBdr>
    </w:div>
    <w:div w:id="2042975206">
      <w:bodyDiv w:val="1"/>
      <w:marLeft w:val="0"/>
      <w:marRight w:val="0"/>
      <w:marTop w:val="0"/>
      <w:marBottom w:val="0"/>
      <w:divBdr>
        <w:top w:val="none" w:sz="0" w:space="0" w:color="auto"/>
        <w:left w:val="none" w:sz="0" w:space="0" w:color="auto"/>
        <w:bottom w:val="none" w:sz="0" w:space="0" w:color="auto"/>
        <w:right w:val="none" w:sz="0" w:space="0" w:color="auto"/>
      </w:divBdr>
    </w:div>
    <w:div w:id="2072850369">
      <w:bodyDiv w:val="1"/>
      <w:marLeft w:val="0"/>
      <w:marRight w:val="0"/>
      <w:marTop w:val="0"/>
      <w:marBottom w:val="0"/>
      <w:divBdr>
        <w:top w:val="none" w:sz="0" w:space="0" w:color="auto"/>
        <w:left w:val="none" w:sz="0" w:space="0" w:color="auto"/>
        <w:bottom w:val="none" w:sz="0" w:space="0" w:color="auto"/>
        <w:right w:val="none" w:sz="0" w:space="0" w:color="auto"/>
      </w:divBdr>
      <w:divsChild>
        <w:div w:id="1905605479">
          <w:marLeft w:val="446"/>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166E6-294A-423E-8707-F2B90738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6141</Words>
  <Characters>34552</Characters>
  <Application>Microsoft Office Word</Application>
  <DocSecurity>0</DocSecurity>
  <Lines>662</Lines>
  <Paragraphs>293</Paragraphs>
  <ScaleCrop>false</ScaleCrop>
  <HeadingPairs>
    <vt:vector size="2" baseType="variant">
      <vt:variant>
        <vt:lpstr>Title</vt:lpstr>
      </vt:variant>
      <vt:variant>
        <vt:i4>1</vt:i4>
      </vt:variant>
    </vt:vector>
  </HeadingPairs>
  <TitlesOfParts>
    <vt:vector size="1" baseType="lpstr">
      <vt:lpstr>Australia Awards Scholarship Surveys</vt:lpstr>
    </vt:vector>
  </TitlesOfParts>
  <Company>Microsoft</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 Surveys</dc:title>
  <dc:subject>2017 Executive Summary Report</dc:subject>
  <dc:creator>ORIMA Research</dc:creator>
  <cp:keywords>[SEC=OFFICIAL]</cp:keywords>
  <cp:lastModifiedBy>Gabrielle Kneipp</cp:lastModifiedBy>
  <cp:revision>8</cp:revision>
  <cp:lastPrinted>2021-03-17T22:12:00Z</cp:lastPrinted>
  <dcterms:created xsi:type="dcterms:W3CDTF">2021-03-17T05:49:00Z</dcterms:created>
  <dcterms:modified xsi:type="dcterms:W3CDTF">2024-10-30T05:02:00Z</dcterms:modified>
  <cp:category>Report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c4598130-2ff9-40de-ad9f-a30408ebced0</vt:lpwstr>
  </property>
  <property fmtid="{D5CDD505-2E9C-101B-9397-08002B2CF9AE}" pid="3" name="SEC">
    <vt:lpwstr>OFFICIAL</vt:lpwstr>
  </property>
  <property fmtid="{D5CDD505-2E9C-101B-9397-08002B2CF9AE}" pid="4" name="DLM">
    <vt:lpwstr>No DLM</vt:lpwstr>
  </property>
  <property fmtid="{D5CDD505-2E9C-101B-9397-08002B2CF9AE}" pid="5" name="MSIP_Label_255a2228-21e6-4321-8159-2aecc625ba09_Enabled">
    <vt:lpwstr>true</vt:lpwstr>
  </property>
  <property fmtid="{D5CDD505-2E9C-101B-9397-08002B2CF9AE}" pid="6" name="MSIP_Label_255a2228-21e6-4321-8159-2aecc625ba09_SetDate">
    <vt:lpwstr>2020-12-09T06:14:36Z</vt:lpwstr>
  </property>
  <property fmtid="{D5CDD505-2E9C-101B-9397-08002B2CF9AE}" pid="7" name="MSIP_Label_255a2228-21e6-4321-8159-2aecc625ba09_Method">
    <vt:lpwstr>Standard</vt:lpwstr>
  </property>
  <property fmtid="{D5CDD505-2E9C-101B-9397-08002B2CF9AE}" pid="8" name="MSIP_Label_255a2228-21e6-4321-8159-2aecc625ba09_Name">
    <vt:lpwstr>CONFIDENTIAL_0</vt:lpwstr>
  </property>
  <property fmtid="{D5CDD505-2E9C-101B-9397-08002B2CF9AE}" pid="9" name="MSIP_Label_255a2228-21e6-4321-8159-2aecc625ba09_SiteId">
    <vt:lpwstr>d42cc95a-d436-45e3-bfe6-1192d0ece130</vt:lpwstr>
  </property>
  <property fmtid="{D5CDD505-2E9C-101B-9397-08002B2CF9AE}" pid="10" name="MSIP_Label_255a2228-21e6-4321-8159-2aecc625ba09_ActionId">
    <vt:lpwstr>33301a67-83a9-4e02-a97a-15798b71b430</vt:lpwstr>
  </property>
  <property fmtid="{D5CDD505-2E9C-101B-9397-08002B2CF9AE}" pid="11" name="MSIP_Label_255a2228-21e6-4321-8159-2aecc625ba09_ContentBits">
    <vt:lpwstr>0</vt:lpwstr>
  </property>
  <property fmtid="{D5CDD505-2E9C-101B-9397-08002B2CF9AE}" pid="12" name="PM_Namespace">
    <vt:lpwstr>gov.au</vt:lpwstr>
  </property>
  <property fmtid="{D5CDD505-2E9C-101B-9397-08002B2CF9AE}" pid="13" name="PM_Caveats_Count">
    <vt:lpwstr>0</vt:lpwstr>
  </property>
  <property fmtid="{D5CDD505-2E9C-101B-9397-08002B2CF9AE}" pid="14" name="PM_Version">
    <vt:lpwstr>2018.4</vt:lpwstr>
  </property>
  <property fmtid="{D5CDD505-2E9C-101B-9397-08002B2CF9AE}" pid="15" name="PM_Note">
    <vt:lpwstr/>
  </property>
  <property fmtid="{D5CDD505-2E9C-101B-9397-08002B2CF9AE}" pid="16" name="PMHMAC">
    <vt:lpwstr>v=2022.1;a=SHA256;h=7B35B54BAED4B7E8371A9B9CE7812140FA79C274DDBC23B497B627F62FE621A0</vt:lpwstr>
  </property>
  <property fmtid="{D5CDD505-2E9C-101B-9397-08002B2CF9AE}" pid="17" name="PM_Qualifier">
    <vt:lpwstr/>
  </property>
  <property fmtid="{D5CDD505-2E9C-101B-9397-08002B2CF9AE}" pid="18" name="PM_SecurityClassification">
    <vt:lpwstr>OFFICIAL</vt:lpwstr>
  </property>
  <property fmtid="{D5CDD505-2E9C-101B-9397-08002B2CF9AE}" pid="19" name="PM_ProtectiveMarkingValue_Header">
    <vt:lpwstr>OFFICIAL</vt:lpwstr>
  </property>
  <property fmtid="{D5CDD505-2E9C-101B-9397-08002B2CF9AE}" pid="20" name="PM_OriginationTimeStamp">
    <vt:lpwstr>2024-10-30T04:16:01Z</vt:lpwstr>
  </property>
  <property fmtid="{D5CDD505-2E9C-101B-9397-08002B2CF9AE}" pid="21" name="PM_Markers">
    <vt:lpwstr/>
  </property>
  <property fmtid="{D5CDD505-2E9C-101B-9397-08002B2CF9AE}" pid="22" name="PM_InsertionValue">
    <vt:lpwstr>OFFICIAL</vt:lpwstr>
  </property>
  <property fmtid="{D5CDD505-2E9C-101B-9397-08002B2CF9AE}" pid="23" name="PM_Originator_Hash_SHA1">
    <vt:lpwstr>260D391A355C0F7895D53005377AC1700003BFA9</vt:lpwstr>
  </property>
  <property fmtid="{D5CDD505-2E9C-101B-9397-08002B2CF9AE}" pid="24" name="PM_DisplayValueSecClassificationWithQualifier">
    <vt:lpwstr>OFFICIAL</vt:lpwstr>
  </property>
  <property fmtid="{D5CDD505-2E9C-101B-9397-08002B2CF9AE}" pid="25" name="PM_Originating_FileId">
    <vt:lpwstr>8BBE88482DEB491CBE3C27CADFFCB546</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ProtectiveMarkingImage_Footer">
    <vt:lpwstr>C:\Program Files (x86)\Common Files\janusNET Shared\janusSEAL\Images\DocumentSlashBlue.png</vt:lpwstr>
  </property>
  <property fmtid="{D5CDD505-2E9C-101B-9397-08002B2CF9AE}" pid="29" name="PM_Display">
    <vt:lpwstr>OFFICIAL</vt:lpwstr>
  </property>
  <property fmtid="{D5CDD505-2E9C-101B-9397-08002B2CF9AE}" pid="30" name="PM_OriginatorUserAccountName_SHA256">
    <vt:lpwstr>3F6D732A650B4EC715B623E0D837FB2B96AB69551124ACFE30889A7938FDE719</vt:lpwstr>
  </property>
  <property fmtid="{D5CDD505-2E9C-101B-9397-08002B2CF9AE}" pid="31" name="PM_OriginatorDomainName_SHA256">
    <vt:lpwstr>6F3591835F3B2A8A025B00B5BA6418010DA3A17C9C26EA9C049FFD28039489A2</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Hash_Salt_Prev">
    <vt:lpwstr>0EEB2A246857891726A3435F1C38B3E8</vt:lpwstr>
  </property>
  <property fmtid="{D5CDD505-2E9C-101B-9397-08002B2CF9AE}" pid="35" name="PM_Hash_Salt">
    <vt:lpwstr>27B44CA9D786266576F51E76B7D724EA</vt:lpwstr>
  </property>
  <property fmtid="{D5CDD505-2E9C-101B-9397-08002B2CF9AE}" pid="36" name="PM_Hash_SHA1">
    <vt:lpwstr>16B8790BC9DFCF54C4B528CADCD462085EDE95B4</vt:lpwstr>
  </property>
  <property fmtid="{D5CDD505-2E9C-101B-9397-08002B2CF9AE}" pid="37" name="PM_MinimumSecurityClassification">
    <vt:lpwstr>OFFICIAL</vt:lpwstr>
  </property>
</Properties>
</file>