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BA489" w14:textId="77777777" w:rsidR="007C7814" w:rsidRPr="007A72E0" w:rsidRDefault="007C7814" w:rsidP="007C7814">
      <w:r w:rsidRPr="007A72E0">
        <w:rPr>
          <w:noProof/>
          <w:lang w:val="en-AU" w:eastAsia="zh-CN"/>
        </w:rPr>
        <mc:AlternateContent>
          <mc:Choice Requires="wps">
            <w:drawing>
              <wp:anchor distT="0" distB="0" distL="114300" distR="114300" simplePos="0" relativeHeight="251661312" behindDoc="0" locked="0" layoutInCell="1" allowOverlap="1" wp14:anchorId="1E7C3BE1" wp14:editId="1F11FC29">
                <wp:simplePos x="0" y="0"/>
                <wp:positionH relativeFrom="column">
                  <wp:posOffset>3990975</wp:posOffset>
                </wp:positionH>
                <wp:positionV relativeFrom="paragraph">
                  <wp:posOffset>-9525</wp:posOffset>
                </wp:positionV>
                <wp:extent cx="1701165" cy="951230"/>
                <wp:effectExtent l="0" t="0" r="0" b="127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95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6DC4C" w14:textId="77777777" w:rsidR="00AD67D3" w:rsidRPr="000F5EAC" w:rsidRDefault="00AD67D3" w:rsidP="007C7814">
                            <w:pPr>
                              <w:jc w:val="right"/>
                              <w:rPr>
                                <w:rFonts w:ascii="Trebuchet MS" w:hAnsi="Trebuchet MS"/>
                                <w:b/>
                                <w:color w:val="993300"/>
                                <w:sz w:val="48"/>
                                <w:szCs w:val="48"/>
                              </w:rPr>
                            </w:pPr>
                            <w:r w:rsidRPr="000F5EAC">
                              <w:rPr>
                                <w:rFonts w:ascii="Trebuchet MS" w:hAnsi="Trebuchet MS"/>
                                <w:b/>
                                <w:color w:val="993300"/>
                                <w:sz w:val="48"/>
                                <w:szCs w:val="48"/>
                              </w:rPr>
                              <w:t>Agulhas</w:t>
                            </w:r>
                          </w:p>
                          <w:p w14:paraId="144E385D" w14:textId="77777777" w:rsidR="00AD67D3" w:rsidRPr="00743B6A" w:rsidRDefault="00AD67D3" w:rsidP="007C7814">
                            <w:pPr>
                              <w:jc w:val="right"/>
                              <w:rPr>
                                <w:rFonts w:ascii="Trebuchet MS" w:hAnsi="Trebuchet MS"/>
                                <w:sz w:val="26"/>
                                <w:szCs w:val="26"/>
                              </w:rPr>
                            </w:pPr>
                            <w:r w:rsidRPr="00743B6A">
                              <w:rPr>
                                <w:rFonts w:ascii="Trebuchet MS" w:hAnsi="Trebuchet MS"/>
                                <w:sz w:val="26"/>
                                <w:szCs w:val="26"/>
                              </w:rPr>
                              <w:t>Applied Knowledge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7C3BE1" id="_x0000_t202" coordsize="21600,21600" o:spt="202" path="m,l,21600r21600,l21600,xe">
                <v:stroke joinstyle="miter"/>
                <v:path gradientshapeok="t" o:connecttype="rect"/>
              </v:shapetype>
              <v:shape id="Text Box 6" o:spid="_x0000_s1026" type="#_x0000_t202" style="position:absolute;margin-left:314.25pt;margin-top:-.75pt;width:133.95pt;height:7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A5NtQIAALk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" filled="f" stroked="f">
                <v:textbox>
                  <w:txbxContent>
                    <w:p w14:paraId="7956DC4C" w14:textId="77777777" w:rsidR="00AD67D3" w:rsidRPr="000F5EAC" w:rsidRDefault="00AD67D3" w:rsidP="007C7814">
                      <w:pPr>
                        <w:jc w:val="right"/>
                        <w:rPr>
                          <w:rFonts w:ascii="Trebuchet MS" w:hAnsi="Trebuchet MS"/>
                          <w:b/>
                          <w:color w:val="993300"/>
                          <w:sz w:val="48"/>
                          <w:szCs w:val="48"/>
                        </w:rPr>
                      </w:pPr>
                      <w:r w:rsidRPr="000F5EAC">
                        <w:rPr>
                          <w:rFonts w:ascii="Trebuchet MS" w:hAnsi="Trebuchet MS"/>
                          <w:b/>
                          <w:color w:val="993300"/>
                          <w:sz w:val="48"/>
                          <w:szCs w:val="48"/>
                        </w:rPr>
                        <w:t>Agulhas</w:t>
                      </w:r>
                    </w:p>
                    <w:p w14:paraId="144E385D" w14:textId="77777777" w:rsidR="00AD67D3" w:rsidRPr="00743B6A" w:rsidRDefault="00AD67D3" w:rsidP="007C7814">
                      <w:pPr>
                        <w:jc w:val="right"/>
                        <w:rPr>
                          <w:rFonts w:ascii="Trebuchet MS" w:hAnsi="Trebuchet MS"/>
                          <w:sz w:val="26"/>
                          <w:szCs w:val="26"/>
                        </w:rPr>
                      </w:pPr>
                      <w:r w:rsidRPr="00743B6A">
                        <w:rPr>
                          <w:rFonts w:ascii="Trebuchet MS" w:hAnsi="Trebuchet MS"/>
                          <w:sz w:val="26"/>
                          <w:szCs w:val="26"/>
                        </w:rPr>
                        <w:t>Applied Knowledge</w:t>
                      </w:r>
                    </w:p>
                  </w:txbxContent>
                </v:textbox>
              </v:shape>
            </w:pict>
          </mc:Fallback>
        </mc:AlternateContent>
      </w:r>
    </w:p>
    <w:p w14:paraId="0B6418D4" w14:textId="77777777" w:rsidR="007C7814" w:rsidRPr="007A72E0" w:rsidRDefault="007C7814" w:rsidP="007C7814"/>
    <w:p w14:paraId="1A1936A3" w14:textId="77777777" w:rsidR="007C7814" w:rsidRPr="007A72E0" w:rsidRDefault="007C7814" w:rsidP="007C7814"/>
    <w:p w14:paraId="5451D8D7" w14:textId="77777777" w:rsidR="007C7814" w:rsidRPr="007A72E0" w:rsidRDefault="007C7814" w:rsidP="007C7814"/>
    <w:p w14:paraId="62F890D6" w14:textId="77777777" w:rsidR="007C7814" w:rsidRPr="007A72E0" w:rsidRDefault="007C7814" w:rsidP="007C7814"/>
    <w:p w14:paraId="74D94EAF" w14:textId="77777777" w:rsidR="007C7814" w:rsidRPr="007A72E0" w:rsidRDefault="007C7814" w:rsidP="007C7814"/>
    <w:p w14:paraId="4FAC93D2" w14:textId="77777777" w:rsidR="007C7814" w:rsidRPr="007A72E0" w:rsidRDefault="007C7814" w:rsidP="007C7814">
      <w:pPr>
        <w:jc w:val="center"/>
        <w:rPr>
          <w:b/>
          <w:sz w:val="32"/>
        </w:rPr>
      </w:pPr>
    </w:p>
    <w:p w14:paraId="2AAFD00F" w14:textId="77777777" w:rsidR="007C7814" w:rsidRPr="007A72E0" w:rsidRDefault="007C7814" w:rsidP="007C7814">
      <w:pPr>
        <w:jc w:val="center"/>
        <w:rPr>
          <w:b/>
          <w:sz w:val="32"/>
        </w:rPr>
      </w:pPr>
    </w:p>
    <w:p w14:paraId="35CD9116" w14:textId="77777777" w:rsidR="006B6A71" w:rsidRPr="007A72E0" w:rsidRDefault="006B6A71" w:rsidP="007C7814">
      <w:pPr>
        <w:jc w:val="center"/>
        <w:rPr>
          <w:b/>
          <w:sz w:val="32"/>
        </w:rPr>
      </w:pPr>
    </w:p>
    <w:p w14:paraId="2A43D754" w14:textId="77777777" w:rsidR="006B6A71" w:rsidRPr="007A72E0" w:rsidRDefault="006B6A71" w:rsidP="007C7814">
      <w:pPr>
        <w:jc w:val="center"/>
        <w:rPr>
          <w:b/>
          <w:sz w:val="32"/>
        </w:rPr>
      </w:pPr>
    </w:p>
    <w:p w14:paraId="07A87F4C" w14:textId="77777777" w:rsidR="006B6A71" w:rsidRPr="007A72E0" w:rsidRDefault="006B6A71" w:rsidP="007C7814">
      <w:pPr>
        <w:jc w:val="center"/>
        <w:rPr>
          <w:b/>
          <w:sz w:val="32"/>
        </w:rPr>
      </w:pPr>
    </w:p>
    <w:p w14:paraId="6628288D" w14:textId="77777777" w:rsidR="006B6A71" w:rsidRPr="007A72E0" w:rsidRDefault="006B6A71" w:rsidP="007C7814">
      <w:pPr>
        <w:jc w:val="center"/>
        <w:rPr>
          <w:b/>
          <w:sz w:val="32"/>
        </w:rPr>
      </w:pPr>
    </w:p>
    <w:p w14:paraId="2DA88DED" w14:textId="77777777" w:rsidR="007C7814" w:rsidRPr="007A72E0" w:rsidRDefault="007C7814" w:rsidP="007C7814">
      <w:pPr>
        <w:jc w:val="center"/>
        <w:rPr>
          <w:b/>
          <w:sz w:val="36"/>
        </w:rPr>
      </w:pPr>
      <w:r w:rsidRPr="007A72E0">
        <w:rPr>
          <w:b/>
          <w:sz w:val="36"/>
        </w:rPr>
        <w:t xml:space="preserve">Australia-Asia Program to Combat </w:t>
      </w:r>
    </w:p>
    <w:p w14:paraId="36599BBC" w14:textId="77777777" w:rsidR="007C7814" w:rsidRPr="007A72E0" w:rsidRDefault="007C7814" w:rsidP="007C7814">
      <w:pPr>
        <w:jc w:val="center"/>
        <w:rPr>
          <w:b/>
          <w:sz w:val="36"/>
        </w:rPr>
      </w:pPr>
      <w:r w:rsidRPr="007A72E0">
        <w:rPr>
          <w:b/>
          <w:sz w:val="36"/>
        </w:rPr>
        <w:t>Trafficking in Persons (AAPTIP)</w:t>
      </w:r>
    </w:p>
    <w:p w14:paraId="26B83E96" w14:textId="77777777" w:rsidR="007C7814" w:rsidRPr="007A72E0" w:rsidRDefault="007C7814" w:rsidP="007C7814">
      <w:pPr>
        <w:jc w:val="center"/>
        <w:rPr>
          <w:b/>
          <w:sz w:val="32"/>
        </w:rPr>
      </w:pPr>
    </w:p>
    <w:p w14:paraId="778D5D61" w14:textId="77777777" w:rsidR="00FF1D01" w:rsidRDefault="007C7814" w:rsidP="007C7814">
      <w:pPr>
        <w:jc w:val="center"/>
        <w:rPr>
          <w:b/>
          <w:sz w:val="32"/>
        </w:rPr>
      </w:pPr>
      <w:r w:rsidRPr="007A72E0">
        <w:rPr>
          <w:b/>
          <w:sz w:val="32"/>
        </w:rPr>
        <w:t>Independent Mid-Term Review</w:t>
      </w:r>
    </w:p>
    <w:p w14:paraId="0545B851" w14:textId="10D207D3" w:rsidR="007C7814" w:rsidRPr="007A72E0" w:rsidRDefault="00C22A63" w:rsidP="007C7814">
      <w:pPr>
        <w:jc w:val="center"/>
        <w:rPr>
          <w:b/>
          <w:sz w:val="32"/>
        </w:rPr>
      </w:pPr>
      <w:r>
        <w:rPr>
          <w:b/>
          <w:sz w:val="32"/>
        </w:rPr>
        <w:t>Final</w:t>
      </w:r>
      <w:r w:rsidR="00FF1D01">
        <w:rPr>
          <w:b/>
          <w:sz w:val="32"/>
        </w:rPr>
        <w:t xml:space="preserve"> </w:t>
      </w:r>
      <w:r w:rsidR="00C813FE">
        <w:rPr>
          <w:b/>
          <w:sz w:val="32"/>
        </w:rPr>
        <w:t>Report</w:t>
      </w:r>
    </w:p>
    <w:p w14:paraId="5EBCBB43" w14:textId="1E04BD0B" w:rsidR="007C7814" w:rsidRDefault="007C7814" w:rsidP="007C7814">
      <w:pPr>
        <w:jc w:val="center"/>
        <w:rPr>
          <w:b/>
          <w:sz w:val="32"/>
        </w:rPr>
      </w:pPr>
    </w:p>
    <w:p w14:paraId="1ED9C73C" w14:textId="77777777" w:rsidR="0034330C" w:rsidRPr="00802EFE" w:rsidRDefault="0034330C" w:rsidP="007C7814">
      <w:pPr>
        <w:jc w:val="center"/>
        <w:rPr>
          <w:b/>
          <w:sz w:val="28"/>
        </w:rPr>
      </w:pPr>
    </w:p>
    <w:p w14:paraId="36D522B1" w14:textId="3867F28A" w:rsidR="0034330C" w:rsidRPr="00802EFE" w:rsidRDefault="0034330C" w:rsidP="007C7814">
      <w:pPr>
        <w:jc w:val="center"/>
        <w:rPr>
          <w:sz w:val="28"/>
        </w:rPr>
      </w:pPr>
      <w:r w:rsidRPr="00802EFE">
        <w:rPr>
          <w:sz w:val="28"/>
        </w:rPr>
        <w:t>Shaun Hext</w:t>
      </w:r>
    </w:p>
    <w:p w14:paraId="06D06ED4" w14:textId="09BA9B2D" w:rsidR="0034330C" w:rsidRPr="00802EFE" w:rsidRDefault="0034330C" w:rsidP="007C7814">
      <w:pPr>
        <w:jc w:val="center"/>
        <w:rPr>
          <w:sz w:val="28"/>
        </w:rPr>
      </w:pPr>
      <w:r w:rsidRPr="00802EFE">
        <w:rPr>
          <w:sz w:val="28"/>
        </w:rPr>
        <w:t>Eric Scheye</w:t>
      </w:r>
    </w:p>
    <w:p w14:paraId="56DFB7E8" w14:textId="21633A09" w:rsidR="0034330C" w:rsidRPr="00802EFE" w:rsidRDefault="0034330C" w:rsidP="007C7814">
      <w:pPr>
        <w:jc w:val="center"/>
        <w:rPr>
          <w:sz w:val="28"/>
        </w:rPr>
      </w:pPr>
      <w:r w:rsidRPr="00802EFE">
        <w:rPr>
          <w:sz w:val="28"/>
        </w:rPr>
        <w:t>Marcus Cox</w:t>
      </w:r>
    </w:p>
    <w:p w14:paraId="65B8DB76" w14:textId="77777777" w:rsidR="0034330C" w:rsidRPr="007A72E0" w:rsidRDefault="0034330C" w:rsidP="007C7814">
      <w:pPr>
        <w:jc w:val="center"/>
        <w:rPr>
          <w:b/>
          <w:sz w:val="32"/>
        </w:rPr>
      </w:pPr>
    </w:p>
    <w:p w14:paraId="0968F041" w14:textId="77777777" w:rsidR="0028042F" w:rsidRPr="007A72E0" w:rsidRDefault="0028042F" w:rsidP="007C7814">
      <w:pPr>
        <w:jc w:val="center"/>
        <w:rPr>
          <w:b/>
          <w:sz w:val="32"/>
        </w:rPr>
      </w:pPr>
    </w:p>
    <w:p w14:paraId="3515CF92" w14:textId="31609687" w:rsidR="007C7814" w:rsidRPr="007A72E0" w:rsidRDefault="00601416" w:rsidP="007C7814">
      <w:pPr>
        <w:jc w:val="center"/>
        <w:rPr>
          <w:i/>
        </w:rPr>
      </w:pPr>
      <w:r>
        <w:rPr>
          <w:i/>
        </w:rPr>
        <w:t>October</w:t>
      </w:r>
      <w:r w:rsidRPr="007A72E0">
        <w:rPr>
          <w:i/>
        </w:rPr>
        <w:t xml:space="preserve"> </w:t>
      </w:r>
      <w:r w:rsidR="007C7814" w:rsidRPr="007A72E0">
        <w:rPr>
          <w:i/>
        </w:rPr>
        <w:t>2016</w:t>
      </w:r>
    </w:p>
    <w:p w14:paraId="20C8DA2D" w14:textId="77777777" w:rsidR="007C7814" w:rsidRPr="007A72E0" w:rsidRDefault="007C7814" w:rsidP="007C7814">
      <w:pPr>
        <w:jc w:val="center"/>
      </w:pPr>
    </w:p>
    <w:p w14:paraId="0771F74F" w14:textId="77777777" w:rsidR="0095021E" w:rsidRPr="007A72E0" w:rsidRDefault="0095021E"/>
    <w:p w14:paraId="5A8525A5" w14:textId="77777777" w:rsidR="0095021E" w:rsidRPr="007A72E0" w:rsidRDefault="0095021E"/>
    <w:p w14:paraId="41021CAF" w14:textId="77777777" w:rsidR="0095021E" w:rsidRPr="007A72E0" w:rsidRDefault="0095021E"/>
    <w:p w14:paraId="09133514" w14:textId="77777777" w:rsidR="0095021E" w:rsidRPr="007A72E0" w:rsidRDefault="0095021E"/>
    <w:p w14:paraId="40E7E907" w14:textId="77777777" w:rsidR="0095021E" w:rsidRPr="007A72E0" w:rsidRDefault="0095021E"/>
    <w:p w14:paraId="1BE38431" w14:textId="77777777" w:rsidR="0095021E" w:rsidRPr="007A72E0" w:rsidRDefault="0095021E"/>
    <w:p w14:paraId="47706282" w14:textId="40510F89" w:rsidR="00802EFE" w:rsidRPr="007A72E0" w:rsidRDefault="00802EFE"/>
    <w:p w14:paraId="471AA151" w14:textId="77777777" w:rsidR="0095021E" w:rsidRPr="007A72E0" w:rsidRDefault="0095021E"/>
    <w:p w14:paraId="63AB710D" w14:textId="77777777" w:rsidR="0095021E" w:rsidRPr="007A72E0" w:rsidRDefault="0095021E"/>
    <w:p w14:paraId="431CDB49" w14:textId="77777777" w:rsidR="0095021E" w:rsidRPr="007A72E0" w:rsidRDefault="0095021E"/>
    <w:p w14:paraId="45155803" w14:textId="77777777" w:rsidR="0095021E" w:rsidRPr="007A72E0" w:rsidRDefault="0095021E"/>
    <w:p w14:paraId="5EDE326C" w14:textId="77777777" w:rsidR="0095021E" w:rsidRPr="007A72E0" w:rsidRDefault="0095021E"/>
    <w:p w14:paraId="0D413014" w14:textId="77777777" w:rsidR="0095021E" w:rsidRPr="007A72E0" w:rsidRDefault="0095021E"/>
    <w:p w14:paraId="18DE36C0" w14:textId="77777777" w:rsidR="0095021E" w:rsidRPr="007A72E0" w:rsidRDefault="0095021E"/>
    <w:p w14:paraId="639554BD" w14:textId="77777777" w:rsidR="00D34F38" w:rsidRDefault="00F74D39" w:rsidP="0095021E">
      <w:pPr>
        <w:jc w:val="center"/>
        <w:rPr>
          <w:rStyle w:val="Hyperlink"/>
          <w:b/>
          <w:color w:val="984806" w:themeColor="accent6" w:themeShade="80"/>
          <w:sz w:val="28"/>
          <w:u w:val="none"/>
        </w:rPr>
        <w:sectPr w:rsidR="00D34F38" w:rsidSect="007C7814">
          <w:footerReference w:type="even" r:id="rId8"/>
          <w:footerReference w:type="default" r:id="rId9"/>
          <w:footerReference w:type="first" r:id="rId10"/>
          <w:pgSz w:w="11900" w:h="16840"/>
          <w:pgMar w:top="1440" w:right="1800" w:bottom="1440" w:left="1800" w:header="708" w:footer="708" w:gutter="0"/>
          <w:cols w:space="708"/>
          <w:titlePg/>
          <w:docGrid w:linePitch="360"/>
        </w:sectPr>
      </w:pPr>
      <w:hyperlink r:id="rId11" w:history="1">
        <w:r w:rsidR="0095021E" w:rsidRPr="007A72E0">
          <w:rPr>
            <w:rStyle w:val="Hyperlink"/>
            <w:b/>
            <w:color w:val="984806" w:themeColor="accent6" w:themeShade="80"/>
            <w:sz w:val="28"/>
            <w:u w:val="none"/>
          </w:rPr>
          <w:t>www.agulhas.co.uk</w:t>
        </w:r>
      </w:hyperlink>
    </w:p>
    <w:sdt>
      <w:sdtPr>
        <w:rPr>
          <w:rFonts w:ascii="Calibri" w:eastAsiaTheme="minorEastAsia" w:hAnsi="Calibri" w:cstheme="minorBidi"/>
          <w:color w:val="auto"/>
          <w:sz w:val="24"/>
          <w:szCs w:val="24"/>
        </w:rPr>
        <w:id w:val="1862628620"/>
        <w:docPartObj>
          <w:docPartGallery w:val="Table of Contents"/>
          <w:docPartUnique/>
        </w:docPartObj>
      </w:sdtPr>
      <w:sdtEndPr>
        <w:rPr>
          <w:b/>
          <w:bCs/>
          <w:noProof/>
        </w:rPr>
      </w:sdtEndPr>
      <w:sdtContent>
        <w:p w14:paraId="58D9FF73" w14:textId="77777777" w:rsidR="0095021E" w:rsidRPr="00FA12F8" w:rsidRDefault="0095021E" w:rsidP="00FA12F8">
          <w:pPr>
            <w:pStyle w:val="TOCHeading"/>
            <w:jc w:val="center"/>
            <w:rPr>
              <w:rFonts w:ascii="Calibri" w:hAnsi="Calibri"/>
            </w:rPr>
          </w:pPr>
          <w:r w:rsidRPr="00FA12F8">
            <w:rPr>
              <w:rFonts w:ascii="Calibri" w:hAnsi="Calibri"/>
            </w:rPr>
            <w:t>Contents</w:t>
          </w:r>
        </w:p>
        <w:p w14:paraId="30BCCCD5" w14:textId="559CE6D3" w:rsidR="009B2C00" w:rsidRDefault="0095021E">
          <w:pPr>
            <w:pStyle w:val="TOC1"/>
            <w:rPr>
              <w:rFonts w:asciiTheme="minorHAnsi" w:hAnsiTheme="minorHAnsi"/>
              <w:b w:val="0"/>
              <w:sz w:val="22"/>
              <w:szCs w:val="22"/>
              <w:lang w:eastAsia="en-GB"/>
            </w:rPr>
          </w:pPr>
          <w:r w:rsidRPr="007A72E0">
            <w:fldChar w:fldCharType="begin"/>
          </w:r>
          <w:r w:rsidRPr="007A72E0">
            <w:instrText xml:space="preserve"> TOC \o "1-3" \h \z \u </w:instrText>
          </w:r>
          <w:r w:rsidRPr="007A72E0">
            <w:fldChar w:fldCharType="separate"/>
          </w:r>
          <w:hyperlink w:anchor="_Toc465687839" w:history="1">
            <w:r w:rsidR="009B2C00" w:rsidRPr="00036384">
              <w:rPr>
                <w:rStyle w:val="Hyperlink"/>
              </w:rPr>
              <w:t>1.</w:t>
            </w:r>
            <w:r w:rsidR="009B2C00">
              <w:rPr>
                <w:rFonts w:asciiTheme="minorHAnsi" w:hAnsiTheme="minorHAnsi"/>
                <w:b w:val="0"/>
                <w:sz w:val="22"/>
                <w:szCs w:val="22"/>
                <w:lang w:eastAsia="en-GB"/>
              </w:rPr>
              <w:tab/>
            </w:r>
            <w:r w:rsidR="009B2C00" w:rsidRPr="00036384">
              <w:rPr>
                <w:rStyle w:val="Hyperlink"/>
              </w:rPr>
              <w:t>Introduction</w:t>
            </w:r>
            <w:r w:rsidR="009B2C00">
              <w:rPr>
                <w:webHidden/>
              </w:rPr>
              <w:tab/>
            </w:r>
            <w:r w:rsidR="009B2C00">
              <w:rPr>
                <w:webHidden/>
              </w:rPr>
              <w:fldChar w:fldCharType="begin"/>
            </w:r>
            <w:r w:rsidR="009B2C00">
              <w:rPr>
                <w:webHidden/>
              </w:rPr>
              <w:instrText xml:space="preserve"> PAGEREF _Toc465687839 \h </w:instrText>
            </w:r>
            <w:r w:rsidR="009B2C00">
              <w:rPr>
                <w:webHidden/>
              </w:rPr>
            </w:r>
            <w:r w:rsidR="009B2C00">
              <w:rPr>
                <w:webHidden/>
              </w:rPr>
              <w:fldChar w:fldCharType="separate"/>
            </w:r>
            <w:r w:rsidR="009B2C00">
              <w:rPr>
                <w:webHidden/>
              </w:rPr>
              <w:t>1</w:t>
            </w:r>
            <w:r w:rsidR="009B2C00">
              <w:rPr>
                <w:webHidden/>
              </w:rPr>
              <w:fldChar w:fldCharType="end"/>
            </w:r>
          </w:hyperlink>
        </w:p>
        <w:p w14:paraId="560AE2A4" w14:textId="0DCBE811" w:rsidR="009B2C00" w:rsidRDefault="00F74D39">
          <w:pPr>
            <w:pStyle w:val="TOC2"/>
            <w:tabs>
              <w:tab w:val="left" w:pos="880"/>
            </w:tabs>
            <w:rPr>
              <w:rFonts w:asciiTheme="minorHAnsi" w:hAnsiTheme="minorHAnsi"/>
              <w:noProof/>
              <w:sz w:val="22"/>
              <w:szCs w:val="22"/>
              <w:lang w:eastAsia="en-GB"/>
            </w:rPr>
          </w:pPr>
          <w:hyperlink w:anchor="_Toc465687840" w:history="1">
            <w:r w:rsidR="009B2C00" w:rsidRPr="00036384">
              <w:rPr>
                <w:rStyle w:val="Hyperlink"/>
                <w:noProof/>
              </w:rPr>
              <w:t>1.1</w:t>
            </w:r>
            <w:r w:rsidR="009B2C00">
              <w:rPr>
                <w:rFonts w:asciiTheme="minorHAnsi" w:hAnsiTheme="minorHAnsi"/>
                <w:noProof/>
                <w:sz w:val="22"/>
                <w:szCs w:val="22"/>
                <w:lang w:eastAsia="en-GB"/>
              </w:rPr>
              <w:tab/>
            </w:r>
            <w:r w:rsidR="009B2C00" w:rsidRPr="00036384">
              <w:rPr>
                <w:rStyle w:val="Hyperlink"/>
                <w:noProof/>
              </w:rPr>
              <w:t>Trafficking context</w:t>
            </w:r>
            <w:r w:rsidR="009B2C00">
              <w:rPr>
                <w:noProof/>
                <w:webHidden/>
              </w:rPr>
              <w:tab/>
            </w:r>
            <w:r w:rsidR="009B2C00">
              <w:rPr>
                <w:noProof/>
                <w:webHidden/>
              </w:rPr>
              <w:fldChar w:fldCharType="begin"/>
            </w:r>
            <w:r w:rsidR="009B2C00">
              <w:rPr>
                <w:noProof/>
                <w:webHidden/>
              </w:rPr>
              <w:instrText xml:space="preserve"> PAGEREF _Toc465687840 \h </w:instrText>
            </w:r>
            <w:r w:rsidR="009B2C00">
              <w:rPr>
                <w:noProof/>
                <w:webHidden/>
              </w:rPr>
            </w:r>
            <w:r w:rsidR="009B2C00">
              <w:rPr>
                <w:noProof/>
                <w:webHidden/>
              </w:rPr>
              <w:fldChar w:fldCharType="separate"/>
            </w:r>
            <w:r w:rsidR="009B2C00">
              <w:rPr>
                <w:noProof/>
                <w:webHidden/>
              </w:rPr>
              <w:t>1</w:t>
            </w:r>
            <w:r w:rsidR="009B2C00">
              <w:rPr>
                <w:noProof/>
                <w:webHidden/>
              </w:rPr>
              <w:fldChar w:fldCharType="end"/>
            </w:r>
          </w:hyperlink>
        </w:p>
        <w:p w14:paraId="7AA5908E" w14:textId="6489D694" w:rsidR="009B2C00" w:rsidRDefault="00F74D39">
          <w:pPr>
            <w:pStyle w:val="TOC2"/>
            <w:tabs>
              <w:tab w:val="left" w:pos="880"/>
            </w:tabs>
            <w:rPr>
              <w:rFonts w:asciiTheme="minorHAnsi" w:hAnsiTheme="minorHAnsi"/>
              <w:noProof/>
              <w:sz w:val="22"/>
              <w:szCs w:val="22"/>
              <w:lang w:eastAsia="en-GB"/>
            </w:rPr>
          </w:pPr>
          <w:hyperlink w:anchor="_Toc465687841" w:history="1">
            <w:r w:rsidR="009B2C00" w:rsidRPr="00036384">
              <w:rPr>
                <w:rStyle w:val="Hyperlink"/>
                <w:noProof/>
              </w:rPr>
              <w:t>1.2</w:t>
            </w:r>
            <w:r w:rsidR="009B2C00">
              <w:rPr>
                <w:rFonts w:asciiTheme="minorHAnsi" w:hAnsiTheme="minorHAnsi"/>
                <w:noProof/>
                <w:sz w:val="22"/>
                <w:szCs w:val="22"/>
                <w:lang w:eastAsia="en-GB"/>
              </w:rPr>
              <w:tab/>
            </w:r>
            <w:r w:rsidR="009B2C00" w:rsidRPr="00036384">
              <w:rPr>
                <w:rStyle w:val="Hyperlink"/>
                <w:noProof/>
              </w:rPr>
              <w:t>Australia’s investment in anti-trafficking programs</w:t>
            </w:r>
            <w:r w:rsidR="009B2C00">
              <w:rPr>
                <w:noProof/>
                <w:webHidden/>
              </w:rPr>
              <w:tab/>
            </w:r>
            <w:r w:rsidR="009B2C00">
              <w:rPr>
                <w:noProof/>
                <w:webHidden/>
              </w:rPr>
              <w:fldChar w:fldCharType="begin"/>
            </w:r>
            <w:r w:rsidR="009B2C00">
              <w:rPr>
                <w:noProof/>
                <w:webHidden/>
              </w:rPr>
              <w:instrText xml:space="preserve"> PAGEREF _Toc465687841 \h </w:instrText>
            </w:r>
            <w:r w:rsidR="009B2C00">
              <w:rPr>
                <w:noProof/>
                <w:webHidden/>
              </w:rPr>
            </w:r>
            <w:r w:rsidR="009B2C00">
              <w:rPr>
                <w:noProof/>
                <w:webHidden/>
              </w:rPr>
              <w:fldChar w:fldCharType="separate"/>
            </w:r>
            <w:r w:rsidR="009B2C00">
              <w:rPr>
                <w:noProof/>
                <w:webHidden/>
              </w:rPr>
              <w:t>2</w:t>
            </w:r>
            <w:r w:rsidR="009B2C00">
              <w:rPr>
                <w:noProof/>
                <w:webHidden/>
              </w:rPr>
              <w:fldChar w:fldCharType="end"/>
            </w:r>
          </w:hyperlink>
        </w:p>
        <w:p w14:paraId="3CA795C4" w14:textId="49815638" w:rsidR="009B2C00" w:rsidRDefault="00F74D39">
          <w:pPr>
            <w:pStyle w:val="TOC2"/>
            <w:tabs>
              <w:tab w:val="left" w:pos="880"/>
            </w:tabs>
            <w:rPr>
              <w:rFonts w:asciiTheme="minorHAnsi" w:hAnsiTheme="minorHAnsi"/>
              <w:noProof/>
              <w:sz w:val="22"/>
              <w:szCs w:val="22"/>
              <w:lang w:eastAsia="en-GB"/>
            </w:rPr>
          </w:pPr>
          <w:hyperlink w:anchor="_Toc465687842" w:history="1">
            <w:r w:rsidR="009B2C00" w:rsidRPr="00036384">
              <w:rPr>
                <w:rStyle w:val="Hyperlink"/>
                <w:noProof/>
              </w:rPr>
              <w:t>1.3</w:t>
            </w:r>
            <w:r w:rsidR="009B2C00">
              <w:rPr>
                <w:rFonts w:asciiTheme="minorHAnsi" w:hAnsiTheme="minorHAnsi"/>
                <w:noProof/>
                <w:sz w:val="22"/>
                <w:szCs w:val="22"/>
                <w:lang w:eastAsia="en-GB"/>
              </w:rPr>
              <w:tab/>
            </w:r>
            <w:r w:rsidR="009B2C00" w:rsidRPr="00036384">
              <w:rPr>
                <w:rStyle w:val="Hyperlink"/>
                <w:noProof/>
              </w:rPr>
              <w:t>Methodology</w:t>
            </w:r>
            <w:r w:rsidR="009B2C00">
              <w:rPr>
                <w:noProof/>
                <w:webHidden/>
              </w:rPr>
              <w:tab/>
            </w:r>
            <w:r w:rsidR="009B2C00">
              <w:rPr>
                <w:noProof/>
                <w:webHidden/>
              </w:rPr>
              <w:fldChar w:fldCharType="begin"/>
            </w:r>
            <w:r w:rsidR="009B2C00">
              <w:rPr>
                <w:noProof/>
                <w:webHidden/>
              </w:rPr>
              <w:instrText xml:space="preserve"> PAGEREF _Toc465687842 \h </w:instrText>
            </w:r>
            <w:r w:rsidR="009B2C00">
              <w:rPr>
                <w:noProof/>
                <w:webHidden/>
              </w:rPr>
            </w:r>
            <w:r w:rsidR="009B2C00">
              <w:rPr>
                <w:noProof/>
                <w:webHidden/>
              </w:rPr>
              <w:fldChar w:fldCharType="separate"/>
            </w:r>
            <w:r w:rsidR="009B2C00">
              <w:rPr>
                <w:noProof/>
                <w:webHidden/>
              </w:rPr>
              <w:t>3</w:t>
            </w:r>
            <w:r w:rsidR="009B2C00">
              <w:rPr>
                <w:noProof/>
                <w:webHidden/>
              </w:rPr>
              <w:fldChar w:fldCharType="end"/>
            </w:r>
          </w:hyperlink>
        </w:p>
        <w:p w14:paraId="0429558D" w14:textId="46FFA0B3" w:rsidR="009B2C00" w:rsidRDefault="00F74D39">
          <w:pPr>
            <w:pStyle w:val="TOC1"/>
            <w:rPr>
              <w:rFonts w:asciiTheme="minorHAnsi" w:hAnsiTheme="minorHAnsi"/>
              <w:b w:val="0"/>
              <w:sz w:val="22"/>
              <w:szCs w:val="22"/>
              <w:lang w:eastAsia="en-GB"/>
            </w:rPr>
          </w:pPr>
          <w:hyperlink w:anchor="_Toc465687843" w:history="1">
            <w:r w:rsidR="009B2C00" w:rsidRPr="00036384">
              <w:rPr>
                <w:rStyle w:val="Hyperlink"/>
              </w:rPr>
              <w:t>2.</w:t>
            </w:r>
            <w:r w:rsidR="009B2C00">
              <w:rPr>
                <w:rFonts w:asciiTheme="minorHAnsi" w:hAnsiTheme="minorHAnsi"/>
                <w:b w:val="0"/>
                <w:sz w:val="22"/>
                <w:szCs w:val="22"/>
                <w:lang w:eastAsia="en-GB"/>
              </w:rPr>
              <w:tab/>
            </w:r>
            <w:r w:rsidR="009B2C00" w:rsidRPr="00036384">
              <w:rPr>
                <w:rStyle w:val="Hyperlink"/>
              </w:rPr>
              <w:t>Relevance</w:t>
            </w:r>
            <w:r w:rsidR="009B2C00">
              <w:rPr>
                <w:webHidden/>
              </w:rPr>
              <w:tab/>
            </w:r>
            <w:r w:rsidR="009B2C00">
              <w:rPr>
                <w:webHidden/>
              </w:rPr>
              <w:fldChar w:fldCharType="begin"/>
            </w:r>
            <w:r w:rsidR="009B2C00">
              <w:rPr>
                <w:webHidden/>
              </w:rPr>
              <w:instrText xml:space="preserve"> PAGEREF _Toc465687843 \h </w:instrText>
            </w:r>
            <w:r w:rsidR="009B2C00">
              <w:rPr>
                <w:webHidden/>
              </w:rPr>
            </w:r>
            <w:r w:rsidR="009B2C00">
              <w:rPr>
                <w:webHidden/>
              </w:rPr>
              <w:fldChar w:fldCharType="separate"/>
            </w:r>
            <w:r w:rsidR="009B2C00">
              <w:rPr>
                <w:webHidden/>
              </w:rPr>
              <w:t>4</w:t>
            </w:r>
            <w:r w:rsidR="009B2C00">
              <w:rPr>
                <w:webHidden/>
              </w:rPr>
              <w:fldChar w:fldCharType="end"/>
            </w:r>
          </w:hyperlink>
        </w:p>
        <w:p w14:paraId="40C3B16E" w14:textId="4B49AC5B" w:rsidR="009B2C00" w:rsidRDefault="00F74D39">
          <w:pPr>
            <w:pStyle w:val="TOC2"/>
            <w:tabs>
              <w:tab w:val="left" w:pos="880"/>
            </w:tabs>
            <w:rPr>
              <w:rFonts w:asciiTheme="minorHAnsi" w:hAnsiTheme="minorHAnsi"/>
              <w:noProof/>
              <w:sz w:val="22"/>
              <w:szCs w:val="22"/>
              <w:lang w:eastAsia="en-GB"/>
            </w:rPr>
          </w:pPr>
          <w:hyperlink w:anchor="_Toc465687844" w:history="1">
            <w:r w:rsidR="009B2C00" w:rsidRPr="00036384">
              <w:rPr>
                <w:rStyle w:val="Hyperlink"/>
                <w:noProof/>
              </w:rPr>
              <w:t>2.1</w:t>
            </w:r>
            <w:r w:rsidR="009B2C00">
              <w:rPr>
                <w:rFonts w:asciiTheme="minorHAnsi" w:hAnsiTheme="minorHAnsi"/>
                <w:noProof/>
                <w:sz w:val="22"/>
                <w:szCs w:val="22"/>
                <w:lang w:eastAsia="en-GB"/>
              </w:rPr>
              <w:tab/>
            </w:r>
            <w:r w:rsidR="009B2C00" w:rsidRPr="00036384">
              <w:rPr>
                <w:rStyle w:val="Hyperlink"/>
                <w:noProof/>
              </w:rPr>
              <w:t>Fit with Australian priorities</w:t>
            </w:r>
            <w:r w:rsidR="009B2C00">
              <w:rPr>
                <w:noProof/>
                <w:webHidden/>
              </w:rPr>
              <w:tab/>
            </w:r>
            <w:r w:rsidR="009B2C00">
              <w:rPr>
                <w:noProof/>
                <w:webHidden/>
              </w:rPr>
              <w:fldChar w:fldCharType="begin"/>
            </w:r>
            <w:r w:rsidR="009B2C00">
              <w:rPr>
                <w:noProof/>
                <w:webHidden/>
              </w:rPr>
              <w:instrText xml:space="preserve"> PAGEREF _Toc465687844 \h </w:instrText>
            </w:r>
            <w:r w:rsidR="009B2C00">
              <w:rPr>
                <w:noProof/>
                <w:webHidden/>
              </w:rPr>
            </w:r>
            <w:r w:rsidR="009B2C00">
              <w:rPr>
                <w:noProof/>
                <w:webHidden/>
              </w:rPr>
              <w:fldChar w:fldCharType="separate"/>
            </w:r>
            <w:r w:rsidR="009B2C00">
              <w:rPr>
                <w:noProof/>
                <w:webHidden/>
              </w:rPr>
              <w:t>5</w:t>
            </w:r>
            <w:r w:rsidR="009B2C00">
              <w:rPr>
                <w:noProof/>
                <w:webHidden/>
              </w:rPr>
              <w:fldChar w:fldCharType="end"/>
            </w:r>
          </w:hyperlink>
        </w:p>
        <w:p w14:paraId="2E7A8D12" w14:textId="185338D9" w:rsidR="009B2C00" w:rsidRDefault="00F74D39">
          <w:pPr>
            <w:pStyle w:val="TOC2"/>
            <w:tabs>
              <w:tab w:val="left" w:pos="880"/>
            </w:tabs>
            <w:rPr>
              <w:rFonts w:asciiTheme="minorHAnsi" w:hAnsiTheme="minorHAnsi"/>
              <w:noProof/>
              <w:sz w:val="22"/>
              <w:szCs w:val="22"/>
              <w:lang w:eastAsia="en-GB"/>
            </w:rPr>
          </w:pPr>
          <w:hyperlink w:anchor="_Toc465687845" w:history="1">
            <w:r w:rsidR="009B2C00" w:rsidRPr="00036384">
              <w:rPr>
                <w:rStyle w:val="Hyperlink"/>
                <w:noProof/>
              </w:rPr>
              <w:t>2.2</w:t>
            </w:r>
            <w:r w:rsidR="009B2C00">
              <w:rPr>
                <w:rFonts w:asciiTheme="minorHAnsi" w:hAnsiTheme="minorHAnsi"/>
                <w:noProof/>
                <w:sz w:val="22"/>
                <w:szCs w:val="22"/>
                <w:lang w:eastAsia="en-GB"/>
              </w:rPr>
              <w:tab/>
            </w:r>
            <w:r w:rsidR="009B2C00" w:rsidRPr="00036384">
              <w:rPr>
                <w:rStyle w:val="Hyperlink"/>
                <w:noProof/>
              </w:rPr>
              <w:t>Relevance to partner country and counterpart priorities</w:t>
            </w:r>
            <w:r w:rsidR="009B2C00">
              <w:rPr>
                <w:noProof/>
                <w:webHidden/>
              </w:rPr>
              <w:tab/>
            </w:r>
            <w:r w:rsidR="009B2C00">
              <w:rPr>
                <w:noProof/>
                <w:webHidden/>
              </w:rPr>
              <w:fldChar w:fldCharType="begin"/>
            </w:r>
            <w:r w:rsidR="009B2C00">
              <w:rPr>
                <w:noProof/>
                <w:webHidden/>
              </w:rPr>
              <w:instrText xml:space="preserve"> PAGEREF _Toc465687845 \h </w:instrText>
            </w:r>
            <w:r w:rsidR="009B2C00">
              <w:rPr>
                <w:noProof/>
                <w:webHidden/>
              </w:rPr>
            </w:r>
            <w:r w:rsidR="009B2C00">
              <w:rPr>
                <w:noProof/>
                <w:webHidden/>
              </w:rPr>
              <w:fldChar w:fldCharType="separate"/>
            </w:r>
            <w:r w:rsidR="009B2C00">
              <w:rPr>
                <w:noProof/>
                <w:webHidden/>
              </w:rPr>
              <w:t>6</w:t>
            </w:r>
            <w:r w:rsidR="009B2C00">
              <w:rPr>
                <w:noProof/>
                <w:webHidden/>
              </w:rPr>
              <w:fldChar w:fldCharType="end"/>
            </w:r>
          </w:hyperlink>
        </w:p>
        <w:p w14:paraId="2E82C9A6" w14:textId="33D02186" w:rsidR="009B2C00" w:rsidRDefault="00F74D39">
          <w:pPr>
            <w:pStyle w:val="TOC2"/>
            <w:tabs>
              <w:tab w:val="left" w:pos="880"/>
            </w:tabs>
            <w:rPr>
              <w:rFonts w:asciiTheme="minorHAnsi" w:hAnsiTheme="minorHAnsi"/>
              <w:noProof/>
              <w:sz w:val="22"/>
              <w:szCs w:val="22"/>
              <w:lang w:eastAsia="en-GB"/>
            </w:rPr>
          </w:pPr>
          <w:hyperlink w:anchor="_Toc465687846" w:history="1">
            <w:r w:rsidR="009B2C00" w:rsidRPr="00036384">
              <w:rPr>
                <w:rStyle w:val="Hyperlink"/>
                <w:noProof/>
              </w:rPr>
              <w:t>2.3</w:t>
            </w:r>
            <w:r w:rsidR="009B2C00">
              <w:rPr>
                <w:rFonts w:asciiTheme="minorHAnsi" w:hAnsiTheme="minorHAnsi"/>
                <w:noProof/>
                <w:sz w:val="22"/>
                <w:szCs w:val="22"/>
                <w:lang w:eastAsia="en-GB"/>
              </w:rPr>
              <w:tab/>
            </w:r>
            <w:r w:rsidR="009B2C00" w:rsidRPr="00036384">
              <w:rPr>
                <w:rStyle w:val="Hyperlink"/>
                <w:noProof/>
              </w:rPr>
              <w:t>Strategic coherence and plausibility</w:t>
            </w:r>
            <w:r w:rsidR="009B2C00">
              <w:rPr>
                <w:noProof/>
                <w:webHidden/>
              </w:rPr>
              <w:tab/>
            </w:r>
            <w:r w:rsidR="009B2C00">
              <w:rPr>
                <w:noProof/>
                <w:webHidden/>
              </w:rPr>
              <w:fldChar w:fldCharType="begin"/>
            </w:r>
            <w:r w:rsidR="009B2C00">
              <w:rPr>
                <w:noProof/>
                <w:webHidden/>
              </w:rPr>
              <w:instrText xml:space="preserve"> PAGEREF _Toc465687846 \h </w:instrText>
            </w:r>
            <w:r w:rsidR="009B2C00">
              <w:rPr>
                <w:noProof/>
                <w:webHidden/>
              </w:rPr>
            </w:r>
            <w:r w:rsidR="009B2C00">
              <w:rPr>
                <w:noProof/>
                <w:webHidden/>
              </w:rPr>
              <w:fldChar w:fldCharType="separate"/>
            </w:r>
            <w:r w:rsidR="009B2C00">
              <w:rPr>
                <w:noProof/>
                <w:webHidden/>
              </w:rPr>
              <w:t>7</w:t>
            </w:r>
            <w:r w:rsidR="009B2C00">
              <w:rPr>
                <w:noProof/>
                <w:webHidden/>
              </w:rPr>
              <w:fldChar w:fldCharType="end"/>
            </w:r>
          </w:hyperlink>
        </w:p>
        <w:p w14:paraId="6A7EC489" w14:textId="234E8096" w:rsidR="009B2C00" w:rsidRDefault="00F74D39">
          <w:pPr>
            <w:pStyle w:val="TOC1"/>
            <w:rPr>
              <w:rFonts w:asciiTheme="minorHAnsi" w:hAnsiTheme="minorHAnsi"/>
              <w:b w:val="0"/>
              <w:sz w:val="22"/>
              <w:szCs w:val="22"/>
              <w:lang w:eastAsia="en-GB"/>
            </w:rPr>
          </w:pPr>
          <w:hyperlink w:anchor="_Toc465687847" w:history="1">
            <w:r w:rsidR="009B2C00" w:rsidRPr="00036384">
              <w:rPr>
                <w:rStyle w:val="Hyperlink"/>
              </w:rPr>
              <w:t>3.</w:t>
            </w:r>
            <w:r w:rsidR="009B2C00">
              <w:rPr>
                <w:rFonts w:asciiTheme="minorHAnsi" w:hAnsiTheme="minorHAnsi"/>
                <w:b w:val="0"/>
                <w:sz w:val="22"/>
                <w:szCs w:val="22"/>
                <w:lang w:eastAsia="en-GB"/>
              </w:rPr>
              <w:tab/>
            </w:r>
            <w:r w:rsidR="009B2C00" w:rsidRPr="00036384">
              <w:rPr>
                <w:rStyle w:val="Hyperlink"/>
              </w:rPr>
              <w:t>Delivery</w:t>
            </w:r>
            <w:r w:rsidR="009B2C00">
              <w:rPr>
                <w:webHidden/>
              </w:rPr>
              <w:tab/>
            </w:r>
            <w:r w:rsidR="009B2C00">
              <w:rPr>
                <w:webHidden/>
              </w:rPr>
              <w:fldChar w:fldCharType="begin"/>
            </w:r>
            <w:r w:rsidR="009B2C00">
              <w:rPr>
                <w:webHidden/>
              </w:rPr>
              <w:instrText xml:space="preserve"> PAGEREF _Toc465687847 \h </w:instrText>
            </w:r>
            <w:r w:rsidR="009B2C00">
              <w:rPr>
                <w:webHidden/>
              </w:rPr>
            </w:r>
            <w:r w:rsidR="009B2C00">
              <w:rPr>
                <w:webHidden/>
              </w:rPr>
              <w:fldChar w:fldCharType="separate"/>
            </w:r>
            <w:r w:rsidR="009B2C00">
              <w:rPr>
                <w:webHidden/>
              </w:rPr>
              <w:t>8</w:t>
            </w:r>
            <w:r w:rsidR="009B2C00">
              <w:rPr>
                <w:webHidden/>
              </w:rPr>
              <w:fldChar w:fldCharType="end"/>
            </w:r>
          </w:hyperlink>
        </w:p>
        <w:p w14:paraId="1C46B6CE" w14:textId="2A459412" w:rsidR="009B2C00" w:rsidRDefault="00F74D39">
          <w:pPr>
            <w:pStyle w:val="TOC1"/>
            <w:rPr>
              <w:rFonts w:asciiTheme="minorHAnsi" w:hAnsiTheme="minorHAnsi"/>
              <w:b w:val="0"/>
              <w:sz w:val="22"/>
              <w:szCs w:val="22"/>
              <w:lang w:eastAsia="en-GB"/>
            </w:rPr>
          </w:pPr>
          <w:hyperlink w:anchor="_Toc465687848" w:history="1">
            <w:r w:rsidR="009B2C00" w:rsidRPr="00036384">
              <w:rPr>
                <w:rStyle w:val="Hyperlink"/>
              </w:rPr>
              <w:t>4.</w:t>
            </w:r>
            <w:r w:rsidR="009B2C00">
              <w:rPr>
                <w:rFonts w:asciiTheme="minorHAnsi" w:hAnsiTheme="minorHAnsi"/>
                <w:b w:val="0"/>
                <w:sz w:val="22"/>
                <w:szCs w:val="22"/>
                <w:lang w:eastAsia="en-GB"/>
              </w:rPr>
              <w:tab/>
            </w:r>
            <w:r w:rsidR="009B2C00" w:rsidRPr="00036384">
              <w:rPr>
                <w:rStyle w:val="Hyperlink"/>
              </w:rPr>
              <w:t>Effectiveness</w:t>
            </w:r>
            <w:r w:rsidR="009B2C00">
              <w:rPr>
                <w:webHidden/>
              </w:rPr>
              <w:tab/>
            </w:r>
            <w:r w:rsidR="009B2C00">
              <w:rPr>
                <w:webHidden/>
              </w:rPr>
              <w:fldChar w:fldCharType="begin"/>
            </w:r>
            <w:r w:rsidR="009B2C00">
              <w:rPr>
                <w:webHidden/>
              </w:rPr>
              <w:instrText xml:space="preserve"> PAGEREF _Toc465687848 \h </w:instrText>
            </w:r>
            <w:r w:rsidR="009B2C00">
              <w:rPr>
                <w:webHidden/>
              </w:rPr>
            </w:r>
            <w:r w:rsidR="009B2C00">
              <w:rPr>
                <w:webHidden/>
              </w:rPr>
              <w:fldChar w:fldCharType="separate"/>
            </w:r>
            <w:r w:rsidR="009B2C00">
              <w:rPr>
                <w:webHidden/>
              </w:rPr>
              <w:t>11</w:t>
            </w:r>
            <w:r w:rsidR="009B2C00">
              <w:rPr>
                <w:webHidden/>
              </w:rPr>
              <w:fldChar w:fldCharType="end"/>
            </w:r>
          </w:hyperlink>
        </w:p>
        <w:p w14:paraId="5FDFBA0D" w14:textId="404F25BF" w:rsidR="009B2C00" w:rsidRDefault="00F74D39">
          <w:pPr>
            <w:pStyle w:val="TOC2"/>
            <w:tabs>
              <w:tab w:val="left" w:pos="880"/>
            </w:tabs>
            <w:rPr>
              <w:rFonts w:asciiTheme="minorHAnsi" w:hAnsiTheme="minorHAnsi"/>
              <w:noProof/>
              <w:sz w:val="22"/>
              <w:szCs w:val="22"/>
              <w:lang w:eastAsia="en-GB"/>
            </w:rPr>
          </w:pPr>
          <w:hyperlink w:anchor="_Toc465687849" w:history="1">
            <w:r w:rsidR="009B2C00" w:rsidRPr="00036384">
              <w:rPr>
                <w:rStyle w:val="Hyperlink"/>
                <w:noProof/>
              </w:rPr>
              <w:t>4.1</w:t>
            </w:r>
            <w:r w:rsidR="009B2C00">
              <w:rPr>
                <w:rFonts w:asciiTheme="minorHAnsi" w:hAnsiTheme="minorHAnsi"/>
                <w:noProof/>
                <w:sz w:val="22"/>
                <w:szCs w:val="22"/>
                <w:lang w:eastAsia="en-GB"/>
              </w:rPr>
              <w:tab/>
            </w:r>
            <w:r w:rsidR="009B2C00" w:rsidRPr="00036384">
              <w:rPr>
                <w:rStyle w:val="Hyperlink"/>
                <w:noProof/>
              </w:rPr>
              <w:t>Approach to capacity building</w:t>
            </w:r>
            <w:r w:rsidR="009B2C00">
              <w:rPr>
                <w:noProof/>
                <w:webHidden/>
              </w:rPr>
              <w:tab/>
            </w:r>
            <w:r w:rsidR="009B2C00">
              <w:rPr>
                <w:noProof/>
                <w:webHidden/>
              </w:rPr>
              <w:fldChar w:fldCharType="begin"/>
            </w:r>
            <w:r w:rsidR="009B2C00">
              <w:rPr>
                <w:noProof/>
                <w:webHidden/>
              </w:rPr>
              <w:instrText xml:space="preserve"> PAGEREF _Toc465687849 \h </w:instrText>
            </w:r>
            <w:r w:rsidR="009B2C00">
              <w:rPr>
                <w:noProof/>
                <w:webHidden/>
              </w:rPr>
            </w:r>
            <w:r w:rsidR="009B2C00">
              <w:rPr>
                <w:noProof/>
                <w:webHidden/>
              </w:rPr>
              <w:fldChar w:fldCharType="separate"/>
            </w:r>
            <w:r w:rsidR="009B2C00">
              <w:rPr>
                <w:noProof/>
                <w:webHidden/>
              </w:rPr>
              <w:t>11</w:t>
            </w:r>
            <w:r w:rsidR="009B2C00">
              <w:rPr>
                <w:noProof/>
                <w:webHidden/>
              </w:rPr>
              <w:fldChar w:fldCharType="end"/>
            </w:r>
          </w:hyperlink>
        </w:p>
        <w:p w14:paraId="24F16DED" w14:textId="289B5773" w:rsidR="009B2C00" w:rsidRDefault="00F74D39">
          <w:pPr>
            <w:pStyle w:val="TOC2"/>
            <w:tabs>
              <w:tab w:val="left" w:pos="880"/>
            </w:tabs>
            <w:rPr>
              <w:rFonts w:asciiTheme="minorHAnsi" w:hAnsiTheme="minorHAnsi"/>
              <w:noProof/>
              <w:sz w:val="22"/>
              <w:szCs w:val="22"/>
              <w:lang w:eastAsia="en-GB"/>
            </w:rPr>
          </w:pPr>
          <w:hyperlink w:anchor="_Toc465687850" w:history="1">
            <w:r w:rsidR="009B2C00" w:rsidRPr="00036384">
              <w:rPr>
                <w:rStyle w:val="Hyperlink"/>
                <w:noProof/>
              </w:rPr>
              <w:t>4.2</w:t>
            </w:r>
            <w:r w:rsidR="009B2C00">
              <w:rPr>
                <w:rFonts w:asciiTheme="minorHAnsi" w:hAnsiTheme="minorHAnsi"/>
                <w:noProof/>
                <w:sz w:val="22"/>
                <w:szCs w:val="22"/>
                <w:lang w:eastAsia="en-GB"/>
              </w:rPr>
              <w:tab/>
            </w:r>
            <w:r w:rsidR="009B2C00" w:rsidRPr="00036384">
              <w:rPr>
                <w:rStyle w:val="Hyperlink"/>
                <w:noProof/>
              </w:rPr>
              <w:t>Transnational investigation co-operation (TIC)</w:t>
            </w:r>
            <w:r w:rsidR="009B2C00">
              <w:rPr>
                <w:noProof/>
                <w:webHidden/>
              </w:rPr>
              <w:tab/>
            </w:r>
            <w:r w:rsidR="009B2C00">
              <w:rPr>
                <w:noProof/>
                <w:webHidden/>
              </w:rPr>
              <w:fldChar w:fldCharType="begin"/>
            </w:r>
            <w:r w:rsidR="009B2C00">
              <w:rPr>
                <w:noProof/>
                <w:webHidden/>
              </w:rPr>
              <w:instrText xml:space="preserve"> PAGEREF _Toc465687850 \h </w:instrText>
            </w:r>
            <w:r w:rsidR="009B2C00">
              <w:rPr>
                <w:noProof/>
                <w:webHidden/>
              </w:rPr>
            </w:r>
            <w:r w:rsidR="009B2C00">
              <w:rPr>
                <w:noProof/>
                <w:webHidden/>
              </w:rPr>
              <w:fldChar w:fldCharType="separate"/>
            </w:r>
            <w:r w:rsidR="009B2C00">
              <w:rPr>
                <w:noProof/>
                <w:webHidden/>
              </w:rPr>
              <w:t>12</w:t>
            </w:r>
            <w:r w:rsidR="009B2C00">
              <w:rPr>
                <w:noProof/>
                <w:webHidden/>
              </w:rPr>
              <w:fldChar w:fldCharType="end"/>
            </w:r>
          </w:hyperlink>
        </w:p>
        <w:p w14:paraId="5D12D179" w14:textId="032A19AC" w:rsidR="009B2C00" w:rsidRDefault="00F74D39">
          <w:pPr>
            <w:pStyle w:val="TOC2"/>
            <w:tabs>
              <w:tab w:val="left" w:pos="880"/>
            </w:tabs>
            <w:rPr>
              <w:rFonts w:asciiTheme="minorHAnsi" w:hAnsiTheme="minorHAnsi"/>
              <w:noProof/>
              <w:sz w:val="22"/>
              <w:szCs w:val="22"/>
              <w:lang w:eastAsia="en-GB"/>
            </w:rPr>
          </w:pPr>
          <w:hyperlink w:anchor="_Toc465687851" w:history="1">
            <w:r w:rsidR="009B2C00" w:rsidRPr="00036384">
              <w:rPr>
                <w:rStyle w:val="Hyperlink"/>
                <w:noProof/>
              </w:rPr>
              <w:t>4.3</w:t>
            </w:r>
            <w:r w:rsidR="009B2C00">
              <w:rPr>
                <w:rFonts w:asciiTheme="minorHAnsi" w:hAnsiTheme="minorHAnsi"/>
                <w:noProof/>
                <w:sz w:val="22"/>
                <w:szCs w:val="22"/>
                <w:lang w:eastAsia="en-GB"/>
              </w:rPr>
              <w:tab/>
            </w:r>
            <w:r w:rsidR="009B2C00" w:rsidRPr="00036384">
              <w:rPr>
                <w:rStyle w:val="Hyperlink"/>
                <w:noProof/>
              </w:rPr>
              <w:t>Victim-witness support</w:t>
            </w:r>
            <w:r w:rsidR="009B2C00">
              <w:rPr>
                <w:noProof/>
                <w:webHidden/>
              </w:rPr>
              <w:tab/>
            </w:r>
            <w:r w:rsidR="009B2C00">
              <w:rPr>
                <w:noProof/>
                <w:webHidden/>
              </w:rPr>
              <w:fldChar w:fldCharType="begin"/>
            </w:r>
            <w:r w:rsidR="009B2C00">
              <w:rPr>
                <w:noProof/>
                <w:webHidden/>
              </w:rPr>
              <w:instrText xml:space="preserve"> PAGEREF _Toc465687851 \h </w:instrText>
            </w:r>
            <w:r w:rsidR="009B2C00">
              <w:rPr>
                <w:noProof/>
                <w:webHidden/>
              </w:rPr>
            </w:r>
            <w:r w:rsidR="009B2C00">
              <w:rPr>
                <w:noProof/>
                <w:webHidden/>
              </w:rPr>
              <w:fldChar w:fldCharType="separate"/>
            </w:r>
            <w:r w:rsidR="009B2C00">
              <w:rPr>
                <w:noProof/>
                <w:webHidden/>
              </w:rPr>
              <w:t>13</w:t>
            </w:r>
            <w:r w:rsidR="009B2C00">
              <w:rPr>
                <w:noProof/>
                <w:webHidden/>
              </w:rPr>
              <w:fldChar w:fldCharType="end"/>
            </w:r>
          </w:hyperlink>
        </w:p>
        <w:p w14:paraId="35FAE786" w14:textId="416E4763" w:rsidR="009B2C00" w:rsidRDefault="00F74D39">
          <w:pPr>
            <w:pStyle w:val="TOC2"/>
            <w:tabs>
              <w:tab w:val="left" w:pos="880"/>
            </w:tabs>
            <w:rPr>
              <w:rFonts w:asciiTheme="minorHAnsi" w:hAnsiTheme="minorHAnsi"/>
              <w:noProof/>
              <w:sz w:val="22"/>
              <w:szCs w:val="22"/>
              <w:lang w:eastAsia="en-GB"/>
            </w:rPr>
          </w:pPr>
          <w:hyperlink w:anchor="_Toc465687852" w:history="1">
            <w:r w:rsidR="009B2C00" w:rsidRPr="00036384">
              <w:rPr>
                <w:rStyle w:val="Hyperlink"/>
                <w:noProof/>
              </w:rPr>
              <w:t>4.4</w:t>
            </w:r>
            <w:r w:rsidR="009B2C00">
              <w:rPr>
                <w:rFonts w:asciiTheme="minorHAnsi" w:hAnsiTheme="minorHAnsi"/>
                <w:noProof/>
                <w:sz w:val="22"/>
                <w:szCs w:val="22"/>
                <w:lang w:eastAsia="en-GB"/>
              </w:rPr>
              <w:tab/>
            </w:r>
            <w:r w:rsidR="009B2C00" w:rsidRPr="00036384">
              <w:rPr>
                <w:rStyle w:val="Hyperlink"/>
                <w:noProof/>
              </w:rPr>
              <w:t>Regional programming</w:t>
            </w:r>
            <w:r w:rsidR="009B2C00">
              <w:rPr>
                <w:noProof/>
                <w:webHidden/>
              </w:rPr>
              <w:tab/>
            </w:r>
            <w:r w:rsidR="009B2C00">
              <w:rPr>
                <w:noProof/>
                <w:webHidden/>
              </w:rPr>
              <w:fldChar w:fldCharType="begin"/>
            </w:r>
            <w:r w:rsidR="009B2C00">
              <w:rPr>
                <w:noProof/>
                <w:webHidden/>
              </w:rPr>
              <w:instrText xml:space="preserve"> PAGEREF _Toc465687852 \h </w:instrText>
            </w:r>
            <w:r w:rsidR="009B2C00">
              <w:rPr>
                <w:noProof/>
                <w:webHidden/>
              </w:rPr>
            </w:r>
            <w:r w:rsidR="009B2C00">
              <w:rPr>
                <w:noProof/>
                <w:webHidden/>
              </w:rPr>
              <w:fldChar w:fldCharType="separate"/>
            </w:r>
            <w:r w:rsidR="009B2C00">
              <w:rPr>
                <w:noProof/>
                <w:webHidden/>
              </w:rPr>
              <w:t>14</w:t>
            </w:r>
            <w:r w:rsidR="009B2C00">
              <w:rPr>
                <w:noProof/>
                <w:webHidden/>
              </w:rPr>
              <w:fldChar w:fldCharType="end"/>
            </w:r>
          </w:hyperlink>
        </w:p>
        <w:p w14:paraId="7590CDFA" w14:textId="1F7AD39B" w:rsidR="009B2C00" w:rsidRDefault="00F74D39">
          <w:pPr>
            <w:pStyle w:val="TOC1"/>
            <w:rPr>
              <w:rFonts w:asciiTheme="minorHAnsi" w:hAnsiTheme="minorHAnsi"/>
              <w:b w:val="0"/>
              <w:sz w:val="22"/>
              <w:szCs w:val="22"/>
              <w:lang w:eastAsia="en-GB"/>
            </w:rPr>
          </w:pPr>
          <w:hyperlink w:anchor="_Toc465687853" w:history="1">
            <w:r w:rsidR="009B2C00" w:rsidRPr="00036384">
              <w:rPr>
                <w:rStyle w:val="Hyperlink"/>
              </w:rPr>
              <w:t>5.</w:t>
            </w:r>
            <w:r w:rsidR="009B2C00">
              <w:rPr>
                <w:rFonts w:asciiTheme="minorHAnsi" w:hAnsiTheme="minorHAnsi"/>
                <w:b w:val="0"/>
                <w:sz w:val="22"/>
                <w:szCs w:val="22"/>
                <w:lang w:eastAsia="en-GB"/>
              </w:rPr>
              <w:tab/>
            </w:r>
            <w:r w:rsidR="009B2C00" w:rsidRPr="00036384">
              <w:rPr>
                <w:rStyle w:val="Hyperlink"/>
              </w:rPr>
              <w:t>Sustainable impact</w:t>
            </w:r>
            <w:r w:rsidR="009B2C00">
              <w:rPr>
                <w:webHidden/>
              </w:rPr>
              <w:tab/>
            </w:r>
            <w:r w:rsidR="009B2C00">
              <w:rPr>
                <w:webHidden/>
              </w:rPr>
              <w:fldChar w:fldCharType="begin"/>
            </w:r>
            <w:r w:rsidR="009B2C00">
              <w:rPr>
                <w:webHidden/>
              </w:rPr>
              <w:instrText xml:space="preserve"> PAGEREF _Toc465687853 \h </w:instrText>
            </w:r>
            <w:r w:rsidR="009B2C00">
              <w:rPr>
                <w:webHidden/>
              </w:rPr>
            </w:r>
            <w:r w:rsidR="009B2C00">
              <w:rPr>
                <w:webHidden/>
              </w:rPr>
              <w:fldChar w:fldCharType="separate"/>
            </w:r>
            <w:r w:rsidR="009B2C00">
              <w:rPr>
                <w:webHidden/>
              </w:rPr>
              <w:t>14</w:t>
            </w:r>
            <w:r w:rsidR="009B2C00">
              <w:rPr>
                <w:webHidden/>
              </w:rPr>
              <w:fldChar w:fldCharType="end"/>
            </w:r>
          </w:hyperlink>
        </w:p>
        <w:p w14:paraId="4F3AE8E7" w14:textId="39D8AA47" w:rsidR="009B2C00" w:rsidRDefault="00F74D39">
          <w:pPr>
            <w:pStyle w:val="TOC1"/>
            <w:rPr>
              <w:rFonts w:asciiTheme="minorHAnsi" w:hAnsiTheme="minorHAnsi"/>
              <w:b w:val="0"/>
              <w:sz w:val="22"/>
              <w:szCs w:val="22"/>
              <w:lang w:eastAsia="en-GB"/>
            </w:rPr>
          </w:pPr>
          <w:hyperlink w:anchor="_Toc465687854" w:history="1">
            <w:r w:rsidR="009B2C00" w:rsidRPr="00036384">
              <w:rPr>
                <w:rStyle w:val="Hyperlink"/>
              </w:rPr>
              <w:t>6.</w:t>
            </w:r>
            <w:r w:rsidR="009B2C00">
              <w:rPr>
                <w:rFonts w:asciiTheme="minorHAnsi" w:hAnsiTheme="minorHAnsi"/>
                <w:b w:val="0"/>
                <w:sz w:val="22"/>
                <w:szCs w:val="22"/>
                <w:lang w:eastAsia="en-GB"/>
              </w:rPr>
              <w:tab/>
            </w:r>
            <w:r w:rsidR="009B2C00" w:rsidRPr="00036384">
              <w:rPr>
                <w:rStyle w:val="Hyperlink"/>
              </w:rPr>
              <w:t>Conclusions and recommendations</w:t>
            </w:r>
            <w:r w:rsidR="009B2C00">
              <w:rPr>
                <w:webHidden/>
              </w:rPr>
              <w:tab/>
            </w:r>
            <w:r w:rsidR="009B2C00">
              <w:rPr>
                <w:webHidden/>
              </w:rPr>
              <w:fldChar w:fldCharType="begin"/>
            </w:r>
            <w:r w:rsidR="009B2C00">
              <w:rPr>
                <w:webHidden/>
              </w:rPr>
              <w:instrText xml:space="preserve"> PAGEREF _Toc465687854 \h </w:instrText>
            </w:r>
            <w:r w:rsidR="009B2C00">
              <w:rPr>
                <w:webHidden/>
              </w:rPr>
            </w:r>
            <w:r w:rsidR="009B2C00">
              <w:rPr>
                <w:webHidden/>
              </w:rPr>
              <w:fldChar w:fldCharType="separate"/>
            </w:r>
            <w:r w:rsidR="009B2C00">
              <w:rPr>
                <w:webHidden/>
              </w:rPr>
              <w:t>16</w:t>
            </w:r>
            <w:r w:rsidR="009B2C00">
              <w:rPr>
                <w:webHidden/>
              </w:rPr>
              <w:fldChar w:fldCharType="end"/>
            </w:r>
          </w:hyperlink>
        </w:p>
        <w:p w14:paraId="65E14BFF" w14:textId="265F4A94" w:rsidR="0095021E" w:rsidRPr="007A72E0" w:rsidRDefault="0095021E">
          <w:r w:rsidRPr="007A72E0">
            <w:rPr>
              <w:b/>
              <w:bCs/>
              <w:noProof/>
            </w:rPr>
            <w:fldChar w:fldCharType="end"/>
          </w:r>
        </w:p>
      </w:sdtContent>
    </w:sdt>
    <w:p w14:paraId="5DE92C75" w14:textId="77777777" w:rsidR="0095021E" w:rsidRPr="007A72E0" w:rsidRDefault="0095021E" w:rsidP="0095021E">
      <w:pPr>
        <w:jc w:val="both"/>
      </w:pPr>
    </w:p>
    <w:p w14:paraId="555B6D1A" w14:textId="77777777" w:rsidR="007C7814" w:rsidRPr="007A72E0" w:rsidRDefault="007C7814" w:rsidP="007C7814">
      <w:pPr>
        <w:jc w:val="center"/>
        <w:sectPr w:rsidR="007C7814" w:rsidRPr="007A72E0" w:rsidSect="007C7814">
          <w:footerReference w:type="first" r:id="rId12"/>
          <w:pgSz w:w="11900" w:h="16840"/>
          <w:pgMar w:top="1440" w:right="1800" w:bottom="1440" w:left="1800" w:header="708" w:footer="708" w:gutter="0"/>
          <w:cols w:space="708"/>
          <w:titlePg/>
          <w:docGrid w:linePitch="360"/>
        </w:sectPr>
      </w:pPr>
    </w:p>
    <w:p w14:paraId="2F756E2A" w14:textId="77777777" w:rsidR="0028042F" w:rsidRPr="007A72E0" w:rsidRDefault="00CA4BC4" w:rsidP="006D44D8">
      <w:pPr>
        <w:pStyle w:val="Heading1"/>
      </w:pPr>
      <w:bookmarkStart w:id="0" w:name="_Toc465687839"/>
      <w:r w:rsidRPr="007A72E0">
        <w:lastRenderedPageBreak/>
        <w:t>Introduction</w:t>
      </w:r>
      <w:bookmarkEnd w:id="0"/>
      <w:r w:rsidRPr="007A72E0">
        <w:t xml:space="preserve"> </w:t>
      </w:r>
    </w:p>
    <w:p w14:paraId="1E0BED17" w14:textId="2F9E055B" w:rsidR="00FF1D01" w:rsidRDefault="00FF1D01" w:rsidP="00FF1D01">
      <w:r w:rsidRPr="007A72E0">
        <w:t xml:space="preserve">This mid-term review (MTR) of the Australia-Asia Program to Combat Trafficking in Persons (AAPTIP) assesses </w:t>
      </w:r>
      <w:r w:rsidR="006C5A80">
        <w:t xml:space="preserve">the program’s </w:t>
      </w:r>
      <w:r w:rsidRPr="007A72E0">
        <w:t xml:space="preserve">progress to date and </w:t>
      </w:r>
      <w:r w:rsidR="006C5A80">
        <w:t xml:space="preserve">its </w:t>
      </w:r>
      <w:r w:rsidRPr="007A72E0">
        <w:t>prospects of achieving its intended results.</w:t>
      </w:r>
      <w:r>
        <w:t xml:space="preserve"> It aims to identify lessons for the remainder of the program, as well as contribute to </w:t>
      </w:r>
      <w:r w:rsidR="00DB7F90">
        <w:t>the Department of Foreign Affairs and Trade (</w:t>
      </w:r>
      <w:r>
        <w:t>DFAT</w:t>
      </w:r>
      <w:r w:rsidR="00DB7F90">
        <w:t>)</w:t>
      </w:r>
      <w:r>
        <w:t xml:space="preserve"> thinking on possible future interve</w:t>
      </w:r>
      <w:r w:rsidR="0083577E">
        <w:t>ntions in the trafficking area.</w:t>
      </w:r>
    </w:p>
    <w:p w14:paraId="2ABC690B" w14:textId="77777777" w:rsidR="0028042F" w:rsidRPr="007A72E0" w:rsidRDefault="0028042F" w:rsidP="008E66A5">
      <w:pPr>
        <w:pStyle w:val="Heading2"/>
      </w:pPr>
      <w:bookmarkStart w:id="1" w:name="_Toc465687840"/>
      <w:r w:rsidRPr="007A72E0">
        <w:t>Trafficking context</w:t>
      </w:r>
      <w:bookmarkEnd w:id="1"/>
      <w:r w:rsidRPr="007A72E0">
        <w:t xml:space="preserve"> </w:t>
      </w:r>
    </w:p>
    <w:p w14:paraId="139C247B" w14:textId="172E570F" w:rsidR="00076ECF" w:rsidRDefault="0028042F" w:rsidP="008E66A5">
      <w:r w:rsidRPr="007A72E0">
        <w:t xml:space="preserve">Human trafficking and the exploitation of migrant workers </w:t>
      </w:r>
      <w:r w:rsidR="008E66A5" w:rsidRPr="007A72E0">
        <w:t xml:space="preserve">is </w:t>
      </w:r>
      <w:r w:rsidRPr="007A72E0">
        <w:t xml:space="preserve">a </w:t>
      </w:r>
      <w:r w:rsidR="006C5A80">
        <w:t xml:space="preserve">growing problem in </w:t>
      </w:r>
      <w:r w:rsidR="00DB7F90">
        <w:t>Southeast Asia</w:t>
      </w:r>
      <w:r w:rsidR="006C5A80">
        <w:t xml:space="preserve"> and a </w:t>
      </w:r>
      <w:r w:rsidRPr="007A72E0">
        <w:t xml:space="preserve">significant </w:t>
      </w:r>
      <w:r w:rsidR="008E66A5" w:rsidRPr="007A72E0">
        <w:t>constraint on economic and social d</w:t>
      </w:r>
      <w:r w:rsidRPr="007A72E0">
        <w:t>evelopment.</w:t>
      </w:r>
      <w:r w:rsidR="00506F87" w:rsidRPr="00506F87">
        <w:rPr>
          <w:rStyle w:val="FootnoteReference"/>
          <w:sz w:val="22"/>
          <w:szCs w:val="22"/>
        </w:rPr>
        <w:t xml:space="preserve"> </w:t>
      </w:r>
      <w:r w:rsidR="00506F87" w:rsidRPr="00987976">
        <w:rPr>
          <w:rStyle w:val="FootnoteReference"/>
        </w:rPr>
        <w:footnoteReference w:id="1"/>
      </w:r>
      <w:r w:rsidRPr="007A72E0">
        <w:t xml:space="preserve"> United Nations agencies report that exploitation exists in many employment sectors, including prostitution, domestic service, fisheries, agriculture, mining and construction.</w:t>
      </w:r>
      <w:r w:rsidR="00227106" w:rsidRPr="007A72E0">
        <w:t xml:space="preserve"> While sexual exploitation of women and children is widespread, forced labour </w:t>
      </w:r>
      <w:r w:rsidR="0057766E" w:rsidRPr="007A72E0">
        <w:t xml:space="preserve">is </w:t>
      </w:r>
      <w:r w:rsidR="00227106" w:rsidRPr="007A72E0">
        <w:t xml:space="preserve">thought to be more prevalent. </w:t>
      </w:r>
    </w:p>
    <w:p w14:paraId="30E2644F" w14:textId="77777777" w:rsidR="006C5A80" w:rsidRPr="007A72E0" w:rsidRDefault="006C5A80" w:rsidP="008E66A5"/>
    <w:p w14:paraId="68302FF0" w14:textId="4F015EBC" w:rsidR="0028042F" w:rsidRPr="007A72E0" w:rsidRDefault="00076ECF" w:rsidP="00227106">
      <w:r w:rsidRPr="007A72E0">
        <w:t xml:space="preserve">The </w:t>
      </w:r>
      <w:r w:rsidR="00FF1D01">
        <w:t xml:space="preserve">available data </w:t>
      </w:r>
      <w:r w:rsidRPr="007A72E0">
        <w:t xml:space="preserve">suggests that </w:t>
      </w:r>
      <w:r w:rsidR="00FF1D01">
        <w:t>trafficking is a diverse phenomenon</w:t>
      </w:r>
      <w:r w:rsidR="006C5A80">
        <w:t xml:space="preserve">, varying </w:t>
      </w:r>
      <w:r w:rsidR="00F142E9" w:rsidRPr="007A72E0">
        <w:t xml:space="preserve">by </w:t>
      </w:r>
      <w:r w:rsidR="00227106" w:rsidRPr="007A72E0">
        <w:t>geographic area</w:t>
      </w:r>
      <w:r w:rsidR="0014230C" w:rsidRPr="007A72E0">
        <w:t xml:space="preserve"> (</w:t>
      </w:r>
      <w:r w:rsidRPr="007A72E0">
        <w:t>including within countries, across national borders and to other regions</w:t>
      </w:r>
      <w:r w:rsidR="00227106" w:rsidRPr="007A72E0">
        <w:t>), industry</w:t>
      </w:r>
      <w:r w:rsidR="0014230C" w:rsidRPr="007A72E0">
        <w:t>, age and gender</w:t>
      </w:r>
      <w:r w:rsidRPr="007A72E0">
        <w:t>.</w:t>
      </w:r>
      <w:r w:rsidR="00227106" w:rsidRPr="00987976">
        <w:rPr>
          <w:rFonts w:asciiTheme="majorHAnsi" w:hAnsiTheme="majorHAnsi" w:cs="Times New Roman"/>
          <w:vertAlign w:val="superscript"/>
        </w:rPr>
        <w:footnoteReference w:id="2"/>
      </w:r>
      <w:r w:rsidR="0014230C" w:rsidRPr="007A72E0">
        <w:t xml:space="preserve"> </w:t>
      </w:r>
      <w:r w:rsidR="00227106" w:rsidRPr="007A72E0">
        <w:t xml:space="preserve">There are </w:t>
      </w:r>
      <w:r w:rsidR="006C5A80">
        <w:t xml:space="preserve">thought </w:t>
      </w:r>
      <w:r w:rsidR="00227106" w:rsidRPr="007A72E0">
        <w:t>to be substantial variations in the nature of the criminal actors</w:t>
      </w:r>
      <w:r w:rsidR="0057766E" w:rsidRPr="007A72E0">
        <w:t xml:space="preserve"> involved</w:t>
      </w:r>
      <w:r w:rsidR="00227106" w:rsidRPr="007A72E0">
        <w:t xml:space="preserve">, from organised crime structures to loose networks of individuals. </w:t>
      </w:r>
    </w:p>
    <w:p w14:paraId="1BABFF4E" w14:textId="77777777" w:rsidR="00B217D6" w:rsidRPr="007A72E0" w:rsidRDefault="00B217D6" w:rsidP="00B217D6"/>
    <w:p w14:paraId="306E0324" w14:textId="006F537C" w:rsidR="00B217D6" w:rsidRPr="007A72E0" w:rsidRDefault="00612359" w:rsidP="00B217D6">
      <w:r>
        <w:t>Leaders of the Association of Southeast Asian Nations (</w:t>
      </w:r>
      <w:r w:rsidR="00B217D6" w:rsidRPr="007A72E0">
        <w:t>ASEAN</w:t>
      </w:r>
      <w:r>
        <w:t>)</w:t>
      </w:r>
      <w:r w:rsidR="00B217D6" w:rsidRPr="007A72E0">
        <w:t xml:space="preserve"> ha</w:t>
      </w:r>
      <w:r>
        <w:t>ve</w:t>
      </w:r>
      <w:r w:rsidR="00B217D6" w:rsidRPr="007A72E0">
        <w:t xml:space="preserve"> committed to combatting sexual and labour exploitation, in accordance with international protocols.</w:t>
      </w:r>
      <w:r w:rsidR="00B217D6" w:rsidRPr="00987976">
        <w:rPr>
          <w:rStyle w:val="FootnoteReference"/>
          <w:szCs w:val="22"/>
        </w:rPr>
        <w:footnoteReference w:id="3"/>
      </w:r>
      <w:r w:rsidR="00B217D6" w:rsidRPr="007A72E0">
        <w:t xml:space="preserve"> Yet with migrant labour </w:t>
      </w:r>
      <w:r w:rsidR="00506F87">
        <w:t xml:space="preserve">and the resulting remittances </w:t>
      </w:r>
      <w:r w:rsidR="00B217D6" w:rsidRPr="007A72E0">
        <w:t xml:space="preserve">such a significant feature of the regional economy, the fight against labour trafficking is not always recognised as a high priority. Some countries have only recently begun to criminalise debt bondage and forced labour. </w:t>
      </w:r>
    </w:p>
    <w:p w14:paraId="20F5318C" w14:textId="2165DC71" w:rsidR="004B660E" w:rsidRPr="00FF1D01" w:rsidRDefault="004B660E" w:rsidP="00FF1D01">
      <w:pPr>
        <w:rPr>
          <w:b/>
          <w:sz w:val="22"/>
          <w:szCs w:val="22"/>
        </w:rPr>
      </w:pPr>
    </w:p>
    <w:p w14:paraId="797A83B9" w14:textId="77777777" w:rsidR="0028042F" w:rsidRPr="007A72E0" w:rsidRDefault="0028042F" w:rsidP="0028042F">
      <w:pPr>
        <w:pStyle w:val="ListParagraph"/>
        <w:rPr>
          <w:sz w:val="22"/>
          <w:szCs w:val="22"/>
        </w:rPr>
      </w:pPr>
    </w:p>
    <w:tbl>
      <w:tblPr>
        <w:tblStyle w:val="TableGrid"/>
        <w:tblW w:w="0" w:type="auto"/>
        <w:jc w:val="center"/>
        <w:tblLook w:val="04A0" w:firstRow="1" w:lastRow="0" w:firstColumn="1" w:lastColumn="0" w:noHBand="0" w:noVBand="1"/>
      </w:tblPr>
      <w:tblGrid>
        <w:gridCol w:w="6799"/>
      </w:tblGrid>
      <w:tr w:rsidR="0028042F" w:rsidRPr="007A72E0" w14:paraId="0737AACF" w14:textId="77777777" w:rsidTr="00995DC5">
        <w:trPr>
          <w:jc w:val="center"/>
        </w:trPr>
        <w:tc>
          <w:tcPr>
            <w:tcW w:w="6799" w:type="dxa"/>
            <w:shd w:val="clear" w:color="auto" w:fill="DBE5F1" w:themeFill="accent1" w:themeFillTint="33"/>
          </w:tcPr>
          <w:p w14:paraId="6C1C556D" w14:textId="77777777" w:rsidR="00995DC5" w:rsidRPr="000D0602" w:rsidRDefault="00995DC5" w:rsidP="00995DC5">
            <w:pPr>
              <w:pStyle w:val="ListParagraph"/>
              <w:spacing w:before="120" w:after="120"/>
              <w:ind w:left="0"/>
              <w:contextualSpacing w:val="0"/>
              <w:rPr>
                <w:b/>
                <w:color w:val="365F91" w:themeColor="accent1" w:themeShade="BF"/>
                <w:sz w:val="22"/>
                <w:szCs w:val="22"/>
              </w:rPr>
            </w:pPr>
            <w:r w:rsidRPr="000D0602">
              <w:rPr>
                <w:b/>
                <w:color w:val="365F91" w:themeColor="accent1" w:themeShade="BF"/>
                <w:sz w:val="22"/>
                <w:szCs w:val="22"/>
              </w:rPr>
              <w:t>Figure 1: Palermo Protocol definition of trafficking</w:t>
            </w:r>
          </w:p>
          <w:p w14:paraId="1606354E" w14:textId="77777777" w:rsidR="0028042F" w:rsidRPr="007A72E0" w:rsidRDefault="0028042F" w:rsidP="00995DC5">
            <w:pPr>
              <w:pStyle w:val="ListParagraph"/>
              <w:spacing w:after="120"/>
              <w:ind w:left="0"/>
              <w:rPr>
                <w:sz w:val="22"/>
                <w:szCs w:val="22"/>
              </w:rPr>
            </w:pPr>
            <w:r w:rsidRPr="007A72E0">
              <w:rPr>
                <w:sz w:val="22"/>
                <w:szCs w:val="22"/>
              </w:rPr>
              <w:t>‘</w:t>
            </w:r>
            <w:r w:rsidR="0014230C" w:rsidRPr="007A72E0">
              <w:rPr>
                <w:sz w:val="22"/>
                <w:szCs w:val="22"/>
              </w:rPr>
              <w:t>t</w:t>
            </w:r>
            <w:r w:rsidRPr="007A72E0">
              <w:rPr>
                <w:sz w:val="22"/>
                <w:szCs w:val="22"/>
              </w:rPr>
              <w:t>he recruitment, transportation, transfer, harbouring or receipt of persons, by means of the threat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w:t>
            </w:r>
            <w:r w:rsidRPr="00987976">
              <w:rPr>
                <w:rStyle w:val="FootnoteReference"/>
              </w:rPr>
              <w:footnoteReference w:id="4"/>
            </w:r>
          </w:p>
        </w:tc>
      </w:tr>
    </w:tbl>
    <w:p w14:paraId="7DA086E3" w14:textId="77777777" w:rsidR="0038792F" w:rsidRPr="007A72E0" w:rsidRDefault="0038792F" w:rsidP="0028042F"/>
    <w:p w14:paraId="3EE1C517" w14:textId="77777777" w:rsidR="00FF1D01" w:rsidRDefault="00FF1D01" w:rsidP="004B660E"/>
    <w:p w14:paraId="12639B71" w14:textId="0F8F68A4" w:rsidR="004B660E" w:rsidRPr="007A72E0" w:rsidRDefault="0038792F" w:rsidP="004B660E">
      <w:r w:rsidRPr="007A72E0">
        <w:t>The U</w:t>
      </w:r>
      <w:r w:rsidR="00612359">
        <w:t xml:space="preserve">nited </w:t>
      </w:r>
      <w:r w:rsidRPr="007A72E0">
        <w:t>S</w:t>
      </w:r>
      <w:r w:rsidR="00612359">
        <w:t>tates</w:t>
      </w:r>
      <w:r w:rsidRPr="007A72E0">
        <w:t xml:space="preserve"> Department</w:t>
      </w:r>
      <w:r w:rsidR="00612359">
        <w:t xml:space="preserve"> of State</w:t>
      </w:r>
      <w:r w:rsidRPr="007A72E0">
        <w:t xml:space="preserve"> publishes an annual report on trafficking in persons</w:t>
      </w:r>
      <w:r w:rsidR="00F575C7">
        <w:t xml:space="preserve"> (TIP</w:t>
      </w:r>
      <w:r w:rsidR="000E5259">
        <w:t xml:space="preserve"> Report</w:t>
      </w:r>
      <w:r w:rsidR="00F575C7">
        <w:t>)</w:t>
      </w:r>
      <w:r w:rsidRPr="007A72E0">
        <w:t xml:space="preserve">, classifying countries according to their performance against international anti-trafficking standards. </w:t>
      </w:r>
      <w:r w:rsidR="004B660E" w:rsidRPr="007A72E0">
        <w:t xml:space="preserve">Within </w:t>
      </w:r>
      <w:r w:rsidR="00DB7F90">
        <w:t>Southeast</w:t>
      </w:r>
      <w:r w:rsidR="004B660E" w:rsidRPr="007A72E0">
        <w:t xml:space="preserve"> Asia, </w:t>
      </w:r>
      <w:r w:rsidR="004D5DB2" w:rsidRPr="007A72E0">
        <w:t xml:space="preserve">Myanmar </w:t>
      </w:r>
      <w:r w:rsidR="0057766E" w:rsidRPr="007A72E0">
        <w:t>is current</w:t>
      </w:r>
      <w:r w:rsidR="00F260A7">
        <w:t>ly</w:t>
      </w:r>
      <w:r w:rsidR="0057766E" w:rsidRPr="007A72E0">
        <w:t xml:space="preserve"> ranked as Tier 3</w:t>
      </w:r>
      <w:r w:rsidR="004B660E" w:rsidRPr="007A72E0">
        <w:t xml:space="preserve"> (not complying with minimum standards nor making significant efforts to do so), while Malaysia, Lao PDR</w:t>
      </w:r>
      <w:r w:rsidR="00612359">
        <w:t>,</w:t>
      </w:r>
      <w:r w:rsidR="00F260A7">
        <w:t xml:space="preserve"> </w:t>
      </w:r>
      <w:r w:rsidR="004D5DB2" w:rsidRPr="007A72E0">
        <w:t xml:space="preserve">Thailand </w:t>
      </w:r>
      <w:r w:rsidR="004B660E" w:rsidRPr="007A72E0">
        <w:t xml:space="preserve">and Cambodia are on the </w:t>
      </w:r>
      <w:r w:rsidR="0057766E" w:rsidRPr="007A72E0">
        <w:t xml:space="preserve">Tier 2 </w:t>
      </w:r>
      <w:r w:rsidR="004B660E" w:rsidRPr="007A72E0">
        <w:t>‘watch list’.</w:t>
      </w:r>
      <w:r w:rsidR="004B660E" w:rsidRPr="007A72E0">
        <w:rPr>
          <w:rStyle w:val="FootnoteReference"/>
        </w:rPr>
        <w:footnoteReference w:id="5"/>
      </w:r>
      <w:r w:rsidR="004B660E" w:rsidRPr="007A72E0">
        <w:t xml:space="preserve"> </w:t>
      </w:r>
      <w:r w:rsidR="00861A04">
        <w:t>In addition, the E</w:t>
      </w:r>
      <w:r w:rsidR="00612359">
        <w:t xml:space="preserve">uropean </w:t>
      </w:r>
      <w:r w:rsidR="00861A04">
        <w:t>U</w:t>
      </w:r>
      <w:r w:rsidR="00612359">
        <w:t>nion</w:t>
      </w:r>
      <w:r w:rsidR="00861A04">
        <w:t xml:space="preserve"> has imposed ‘yellow card’ sanctions on Thailand’s seafood industry, due partly to trafficking and poor labour practices. </w:t>
      </w:r>
    </w:p>
    <w:p w14:paraId="124F03F6" w14:textId="48A3B241" w:rsidR="0028042F" w:rsidRPr="007A72E0" w:rsidRDefault="0057766E" w:rsidP="00995DC5">
      <w:pPr>
        <w:pStyle w:val="Heading2"/>
      </w:pPr>
      <w:bookmarkStart w:id="2" w:name="_Toc465687841"/>
      <w:r w:rsidRPr="007A72E0">
        <w:t>Australia’s investment in anti-trafficking programs</w:t>
      </w:r>
      <w:bookmarkEnd w:id="2"/>
    </w:p>
    <w:p w14:paraId="7C57B9E6" w14:textId="7818A7A3" w:rsidR="0057766E" w:rsidRPr="007A72E0" w:rsidRDefault="00612359" w:rsidP="0057766E">
      <w:r>
        <w:t xml:space="preserve">Since 2003, Australia has invested more than $80 million </w:t>
      </w:r>
      <w:r w:rsidRPr="007A72E0">
        <w:t xml:space="preserve">(all figures in AUD) </w:t>
      </w:r>
      <w:r>
        <w:t>on programs that aim to combat</w:t>
      </w:r>
      <w:r w:rsidR="0028042F" w:rsidRPr="007A72E0">
        <w:t xml:space="preserve"> human trafficking in the region</w:t>
      </w:r>
      <w:r w:rsidR="00AD67D3">
        <w:t xml:space="preserve"> (Figure 2)</w:t>
      </w:r>
      <w:r>
        <w:t>.</w:t>
      </w:r>
      <w:r w:rsidRPr="007A72E0">
        <w:t xml:space="preserve"> </w:t>
      </w:r>
      <w:r>
        <w:t xml:space="preserve">This has given Australia </w:t>
      </w:r>
      <w:r w:rsidRPr="007A72E0">
        <w:t>substantial accumulated expertise and high visibility among regional partners</w:t>
      </w:r>
      <w:r w:rsidR="0028042F" w:rsidRPr="007A72E0">
        <w:t xml:space="preserve">. </w:t>
      </w:r>
      <w:r>
        <w:t xml:space="preserve">Programs have focused on </w:t>
      </w:r>
      <w:r w:rsidR="0028042F" w:rsidRPr="007A72E0">
        <w:t>strengthen</w:t>
      </w:r>
      <w:r w:rsidR="00995DC5" w:rsidRPr="007A72E0">
        <w:t>ing mechanisms for</w:t>
      </w:r>
      <w:r w:rsidR="0028042F" w:rsidRPr="007A72E0">
        <w:t xml:space="preserve"> </w:t>
      </w:r>
      <w:r w:rsidR="0057766E" w:rsidRPr="007A72E0">
        <w:t>criminal prosecution</w:t>
      </w:r>
      <w:r>
        <w:t xml:space="preserve"> and labour migration</w:t>
      </w:r>
      <w:r w:rsidR="00FC5A89">
        <w:t xml:space="preserve"> regulation</w:t>
      </w:r>
      <w:r w:rsidR="0028042F" w:rsidRPr="007A72E0">
        <w:t xml:space="preserve">. </w:t>
      </w:r>
    </w:p>
    <w:p w14:paraId="4C839BF9" w14:textId="77777777" w:rsidR="0028042F" w:rsidRPr="007A72E0" w:rsidRDefault="0028042F" w:rsidP="0028042F">
      <w:pPr>
        <w:pStyle w:val="ListParagraph"/>
        <w:rPr>
          <w:b/>
          <w:sz w:val="22"/>
          <w:szCs w:val="22"/>
        </w:rPr>
      </w:pPr>
    </w:p>
    <w:p w14:paraId="70037D31" w14:textId="64E41DBC" w:rsidR="0028042F" w:rsidRPr="000D0602" w:rsidRDefault="0028042F" w:rsidP="0028042F">
      <w:pPr>
        <w:pStyle w:val="ListParagraph"/>
        <w:rPr>
          <w:b/>
          <w:color w:val="365F91" w:themeColor="accent1" w:themeShade="BF"/>
          <w:sz w:val="22"/>
          <w:szCs w:val="22"/>
        </w:rPr>
      </w:pPr>
      <w:r w:rsidRPr="000D0602">
        <w:rPr>
          <w:b/>
          <w:color w:val="365F91" w:themeColor="accent1" w:themeShade="BF"/>
          <w:sz w:val="22"/>
          <w:szCs w:val="22"/>
        </w:rPr>
        <w:t>Figure 2</w:t>
      </w:r>
      <w:r w:rsidR="00995DC5" w:rsidRPr="000D0602">
        <w:rPr>
          <w:b/>
          <w:color w:val="365F91" w:themeColor="accent1" w:themeShade="BF"/>
          <w:sz w:val="22"/>
          <w:szCs w:val="22"/>
        </w:rPr>
        <w:t>: A</w:t>
      </w:r>
      <w:r w:rsidR="00305C87" w:rsidRPr="000D0602">
        <w:rPr>
          <w:b/>
          <w:color w:val="365F91" w:themeColor="accent1" w:themeShade="BF"/>
          <w:sz w:val="22"/>
          <w:szCs w:val="22"/>
        </w:rPr>
        <w:t>ustralian a</w:t>
      </w:r>
      <w:r w:rsidR="00995DC5" w:rsidRPr="000D0602">
        <w:rPr>
          <w:b/>
          <w:color w:val="365F91" w:themeColor="accent1" w:themeShade="BF"/>
          <w:sz w:val="22"/>
          <w:szCs w:val="22"/>
        </w:rPr>
        <w:t>nti-t</w:t>
      </w:r>
      <w:r w:rsidRPr="000D0602">
        <w:rPr>
          <w:b/>
          <w:color w:val="365F91" w:themeColor="accent1" w:themeShade="BF"/>
          <w:sz w:val="22"/>
          <w:szCs w:val="22"/>
        </w:rPr>
        <w:t>rafficking program</w:t>
      </w:r>
      <w:r w:rsidR="00305C87" w:rsidRPr="000D0602">
        <w:rPr>
          <w:b/>
          <w:color w:val="365F91" w:themeColor="accent1" w:themeShade="BF"/>
          <w:sz w:val="22"/>
          <w:szCs w:val="22"/>
        </w:rPr>
        <w:t>s</w:t>
      </w:r>
      <w:r w:rsidRPr="000D0602">
        <w:rPr>
          <w:b/>
          <w:color w:val="365F91" w:themeColor="accent1" w:themeShade="BF"/>
          <w:sz w:val="22"/>
          <w:szCs w:val="22"/>
        </w:rPr>
        <w:t xml:space="preserve"> </w:t>
      </w:r>
      <w:r w:rsidR="00305C87" w:rsidRPr="000D0602">
        <w:rPr>
          <w:b/>
          <w:color w:val="365F91" w:themeColor="accent1" w:themeShade="BF"/>
          <w:sz w:val="22"/>
          <w:szCs w:val="22"/>
        </w:rPr>
        <w:t xml:space="preserve">in </w:t>
      </w:r>
      <w:r w:rsidR="00DB7F90">
        <w:rPr>
          <w:b/>
          <w:color w:val="365F91" w:themeColor="accent1" w:themeShade="BF"/>
          <w:sz w:val="22"/>
          <w:szCs w:val="22"/>
        </w:rPr>
        <w:t>Southeast</w:t>
      </w:r>
      <w:r w:rsidR="00305C87" w:rsidRPr="000D0602">
        <w:rPr>
          <w:b/>
          <w:color w:val="365F91" w:themeColor="accent1" w:themeShade="BF"/>
          <w:sz w:val="22"/>
          <w:szCs w:val="22"/>
        </w:rPr>
        <w:t xml:space="preserve"> Asia</w:t>
      </w:r>
    </w:p>
    <w:tbl>
      <w:tblPr>
        <w:tblStyle w:val="TableGrid"/>
        <w:tblW w:w="0" w:type="auto"/>
        <w:tblInd w:w="170" w:type="dxa"/>
        <w:tblLook w:val="04A0" w:firstRow="1" w:lastRow="0" w:firstColumn="1" w:lastColumn="0" w:noHBand="0" w:noVBand="1"/>
      </w:tblPr>
      <w:tblGrid>
        <w:gridCol w:w="1626"/>
        <w:gridCol w:w="2022"/>
        <w:gridCol w:w="1941"/>
        <w:gridCol w:w="1981"/>
      </w:tblGrid>
      <w:tr w:rsidR="00995DC5" w:rsidRPr="007A72E0" w14:paraId="16AD47FB" w14:textId="77777777" w:rsidTr="00987976">
        <w:tc>
          <w:tcPr>
            <w:tcW w:w="1626" w:type="dxa"/>
            <w:shd w:val="clear" w:color="auto" w:fill="DBE5F1" w:themeFill="accent1" w:themeFillTint="33"/>
            <w:vAlign w:val="center"/>
          </w:tcPr>
          <w:p w14:paraId="50E6A38E" w14:textId="77777777" w:rsidR="00995DC5" w:rsidRPr="007A72E0" w:rsidRDefault="00995DC5" w:rsidP="00B217D6">
            <w:pPr>
              <w:pStyle w:val="ListParagraph"/>
              <w:spacing w:before="60" w:after="60"/>
              <w:ind w:left="0"/>
              <w:rPr>
                <w:b/>
                <w:sz w:val="22"/>
                <w:szCs w:val="22"/>
              </w:rPr>
            </w:pPr>
            <w:r w:rsidRPr="007A72E0">
              <w:rPr>
                <w:b/>
                <w:sz w:val="22"/>
                <w:szCs w:val="22"/>
              </w:rPr>
              <w:t>Program</w:t>
            </w:r>
          </w:p>
        </w:tc>
        <w:tc>
          <w:tcPr>
            <w:tcW w:w="2022" w:type="dxa"/>
            <w:shd w:val="clear" w:color="auto" w:fill="auto"/>
            <w:vAlign w:val="center"/>
          </w:tcPr>
          <w:p w14:paraId="3B1D6803" w14:textId="77777777" w:rsidR="00995DC5" w:rsidRPr="007A72E0" w:rsidRDefault="00995DC5" w:rsidP="00B217D6">
            <w:pPr>
              <w:pStyle w:val="ListParagraph"/>
              <w:spacing w:before="60" w:after="60"/>
              <w:ind w:left="0"/>
              <w:jc w:val="center"/>
              <w:rPr>
                <w:sz w:val="22"/>
                <w:szCs w:val="22"/>
              </w:rPr>
            </w:pPr>
            <w:r w:rsidRPr="007A72E0">
              <w:rPr>
                <w:sz w:val="22"/>
                <w:szCs w:val="22"/>
              </w:rPr>
              <w:t>Asia Regional Cooperation to Prevent People Trafficking (ARCPPT)</w:t>
            </w:r>
          </w:p>
        </w:tc>
        <w:tc>
          <w:tcPr>
            <w:tcW w:w="1941" w:type="dxa"/>
            <w:shd w:val="clear" w:color="auto" w:fill="auto"/>
            <w:vAlign w:val="center"/>
          </w:tcPr>
          <w:p w14:paraId="722C045E" w14:textId="0D64DD8D" w:rsidR="00995DC5" w:rsidRPr="007A72E0" w:rsidRDefault="00995DC5" w:rsidP="00B217D6">
            <w:pPr>
              <w:pStyle w:val="ListParagraph"/>
              <w:spacing w:before="60" w:after="60"/>
              <w:ind w:left="0"/>
              <w:jc w:val="center"/>
              <w:rPr>
                <w:sz w:val="22"/>
                <w:szCs w:val="22"/>
              </w:rPr>
            </w:pPr>
            <w:r w:rsidRPr="007A72E0">
              <w:rPr>
                <w:sz w:val="22"/>
                <w:szCs w:val="22"/>
              </w:rPr>
              <w:t xml:space="preserve">Asia Regional Trafficking in Persons </w:t>
            </w:r>
            <w:r w:rsidR="00FC5A89">
              <w:rPr>
                <w:sz w:val="22"/>
                <w:szCs w:val="22"/>
              </w:rPr>
              <w:t xml:space="preserve">Project </w:t>
            </w:r>
            <w:r w:rsidRPr="007A72E0">
              <w:rPr>
                <w:sz w:val="22"/>
                <w:szCs w:val="22"/>
              </w:rPr>
              <w:t>(ARTIP)</w:t>
            </w:r>
          </w:p>
        </w:tc>
        <w:tc>
          <w:tcPr>
            <w:tcW w:w="1981" w:type="dxa"/>
            <w:shd w:val="clear" w:color="auto" w:fill="auto"/>
            <w:vAlign w:val="center"/>
          </w:tcPr>
          <w:p w14:paraId="1DB07CB7" w14:textId="77777777" w:rsidR="00995DC5" w:rsidRPr="007A72E0" w:rsidRDefault="00995DC5" w:rsidP="00B217D6">
            <w:pPr>
              <w:pStyle w:val="ListParagraph"/>
              <w:spacing w:before="60" w:after="60"/>
              <w:ind w:left="0"/>
              <w:jc w:val="center"/>
              <w:rPr>
                <w:sz w:val="22"/>
                <w:szCs w:val="22"/>
              </w:rPr>
            </w:pPr>
            <w:r w:rsidRPr="007A72E0">
              <w:rPr>
                <w:sz w:val="22"/>
                <w:szCs w:val="22"/>
              </w:rPr>
              <w:t>Australia-Asia Program to Combat Trafficking in Persons (AAPTIP)</w:t>
            </w:r>
          </w:p>
        </w:tc>
      </w:tr>
      <w:tr w:rsidR="00995DC5" w:rsidRPr="007A72E0" w14:paraId="62E151D4" w14:textId="77777777" w:rsidTr="00987976">
        <w:tc>
          <w:tcPr>
            <w:tcW w:w="1626" w:type="dxa"/>
            <w:tcBorders>
              <w:bottom w:val="single" w:sz="4" w:space="0" w:color="auto"/>
            </w:tcBorders>
            <w:shd w:val="clear" w:color="auto" w:fill="DBE5F1" w:themeFill="accent1" w:themeFillTint="33"/>
            <w:vAlign w:val="center"/>
          </w:tcPr>
          <w:p w14:paraId="10AF3750" w14:textId="77777777" w:rsidR="00995DC5" w:rsidRPr="007A72E0" w:rsidRDefault="00995DC5" w:rsidP="00B217D6">
            <w:pPr>
              <w:pStyle w:val="ListParagraph"/>
              <w:spacing w:before="60" w:after="60"/>
              <w:ind w:left="0"/>
              <w:rPr>
                <w:b/>
                <w:sz w:val="22"/>
                <w:szCs w:val="22"/>
              </w:rPr>
            </w:pPr>
            <w:r w:rsidRPr="007A72E0">
              <w:rPr>
                <w:b/>
                <w:sz w:val="22"/>
                <w:szCs w:val="22"/>
              </w:rPr>
              <w:t>Duration</w:t>
            </w:r>
          </w:p>
        </w:tc>
        <w:tc>
          <w:tcPr>
            <w:tcW w:w="2022" w:type="dxa"/>
            <w:tcBorders>
              <w:bottom w:val="single" w:sz="4" w:space="0" w:color="auto"/>
            </w:tcBorders>
            <w:shd w:val="clear" w:color="auto" w:fill="auto"/>
            <w:vAlign w:val="center"/>
          </w:tcPr>
          <w:p w14:paraId="2CE9A459" w14:textId="77777777" w:rsidR="00995DC5" w:rsidRPr="007A72E0" w:rsidRDefault="00995DC5" w:rsidP="00B217D6">
            <w:pPr>
              <w:pStyle w:val="ListParagraph"/>
              <w:spacing w:before="60" w:after="60"/>
              <w:ind w:left="0"/>
              <w:jc w:val="center"/>
              <w:rPr>
                <w:sz w:val="22"/>
                <w:szCs w:val="22"/>
              </w:rPr>
            </w:pPr>
            <w:r w:rsidRPr="007A72E0">
              <w:rPr>
                <w:sz w:val="22"/>
                <w:szCs w:val="22"/>
              </w:rPr>
              <w:t>2003-2006</w:t>
            </w:r>
          </w:p>
        </w:tc>
        <w:tc>
          <w:tcPr>
            <w:tcW w:w="1941" w:type="dxa"/>
            <w:tcBorders>
              <w:bottom w:val="single" w:sz="4" w:space="0" w:color="auto"/>
            </w:tcBorders>
            <w:shd w:val="clear" w:color="auto" w:fill="auto"/>
            <w:vAlign w:val="center"/>
          </w:tcPr>
          <w:p w14:paraId="1A52AB39" w14:textId="77777777" w:rsidR="00995DC5" w:rsidRPr="007A72E0" w:rsidRDefault="00775759" w:rsidP="00B217D6">
            <w:pPr>
              <w:pStyle w:val="ListParagraph"/>
              <w:spacing w:before="60" w:after="60"/>
              <w:ind w:left="0"/>
              <w:jc w:val="center"/>
              <w:rPr>
                <w:sz w:val="22"/>
                <w:szCs w:val="22"/>
              </w:rPr>
            </w:pPr>
            <w:r w:rsidRPr="007A72E0">
              <w:rPr>
                <w:sz w:val="22"/>
                <w:szCs w:val="22"/>
              </w:rPr>
              <w:t>2006-12</w:t>
            </w:r>
          </w:p>
        </w:tc>
        <w:tc>
          <w:tcPr>
            <w:tcW w:w="1981" w:type="dxa"/>
            <w:tcBorders>
              <w:bottom w:val="single" w:sz="4" w:space="0" w:color="auto"/>
            </w:tcBorders>
            <w:shd w:val="clear" w:color="auto" w:fill="auto"/>
            <w:vAlign w:val="center"/>
          </w:tcPr>
          <w:p w14:paraId="707F68B8" w14:textId="77777777" w:rsidR="00995DC5" w:rsidRPr="007A72E0" w:rsidRDefault="00995DC5" w:rsidP="00B217D6">
            <w:pPr>
              <w:pStyle w:val="ListParagraph"/>
              <w:spacing w:before="60" w:after="60"/>
              <w:ind w:left="0"/>
              <w:jc w:val="center"/>
              <w:rPr>
                <w:sz w:val="22"/>
                <w:szCs w:val="22"/>
              </w:rPr>
            </w:pPr>
            <w:r w:rsidRPr="007A72E0">
              <w:rPr>
                <w:sz w:val="22"/>
                <w:szCs w:val="22"/>
              </w:rPr>
              <w:t>2013-18</w:t>
            </w:r>
          </w:p>
        </w:tc>
      </w:tr>
      <w:tr w:rsidR="00995DC5" w:rsidRPr="007A72E0" w14:paraId="686CBD67" w14:textId="77777777" w:rsidTr="00987976">
        <w:tc>
          <w:tcPr>
            <w:tcW w:w="1626" w:type="dxa"/>
            <w:tcBorders>
              <w:bottom w:val="single" w:sz="4" w:space="0" w:color="auto"/>
            </w:tcBorders>
            <w:shd w:val="clear" w:color="auto" w:fill="DBE5F1" w:themeFill="accent1" w:themeFillTint="33"/>
            <w:vAlign w:val="center"/>
          </w:tcPr>
          <w:p w14:paraId="790D1CEF" w14:textId="77777777" w:rsidR="00995DC5" w:rsidRPr="007A72E0" w:rsidRDefault="00995DC5" w:rsidP="00B217D6">
            <w:pPr>
              <w:pStyle w:val="ListParagraph"/>
              <w:spacing w:before="60" w:after="60"/>
              <w:ind w:left="0"/>
              <w:rPr>
                <w:b/>
                <w:sz w:val="22"/>
                <w:szCs w:val="22"/>
              </w:rPr>
            </w:pPr>
            <w:r w:rsidRPr="007A72E0">
              <w:rPr>
                <w:b/>
                <w:sz w:val="22"/>
                <w:szCs w:val="22"/>
              </w:rPr>
              <w:t>Budget</w:t>
            </w:r>
          </w:p>
        </w:tc>
        <w:tc>
          <w:tcPr>
            <w:tcW w:w="2022" w:type="dxa"/>
            <w:tcBorders>
              <w:bottom w:val="single" w:sz="4" w:space="0" w:color="auto"/>
            </w:tcBorders>
            <w:shd w:val="clear" w:color="auto" w:fill="auto"/>
            <w:vAlign w:val="center"/>
          </w:tcPr>
          <w:p w14:paraId="071C04BF" w14:textId="77777777" w:rsidR="00995DC5" w:rsidRPr="007A72E0" w:rsidRDefault="00995DC5" w:rsidP="00B217D6">
            <w:pPr>
              <w:pStyle w:val="ListParagraph"/>
              <w:spacing w:before="60" w:after="60"/>
              <w:ind w:left="0"/>
              <w:jc w:val="center"/>
              <w:rPr>
                <w:sz w:val="22"/>
                <w:szCs w:val="22"/>
              </w:rPr>
            </w:pPr>
            <w:r w:rsidRPr="007A72E0">
              <w:rPr>
                <w:sz w:val="22"/>
                <w:szCs w:val="22"/>
              </w:rPr>
              <w:t>$12.43m</w:t>
            </w:r>
          </w:p>
        </w:tc>
        <w:tc>
          <w:tcPr>
            <w:tcW w:w="1941" w:type="dxa"/>
            <w:tcBorders>
              <w:bottom w:val="single" w:sz="4" w:space="0" w:color="auto"/>
            </w:tcBorders>
            <w:shd w:val="clear" w:color="auto" w:fill="auto"/>
            <w:vAlign w:val="center"/>
          </w:tcPr>
          <w:p w14:paraId="58EEDA0B" w14:textId="77777777" w:rsidR="00995DC5" w:rsidRPr="007A72E0" w:rsidRDefault="00995DC5" w:rsidP="00B217D6">
            <w:pPr>
              <w:pStyle w:val="ListParagraph"/>
              <w:spacing w:before="60" w:after="60"/>
              <w:ind w:left="0"/>
              <w:jc w:val="center"/>
              <w:rPr>
                <w:sz w:val="22"/>
                <w:szCs w:val="22"/>
              </w:rPr>
            </w:pPr>
            <w:r w:rsidRPr="007A72E0">
              <w:rPr>
                <w:sz w:val="22"/>
                <w:szCs w:val="22"/>
              </w:rPr>
              <w:t>$21m</w:t>
            </w:r>
          </w:p>
        </w:tc>
        <w:tc>
          <w:tcPr>
            <w:tcW w:w="1981" w:type="dxa"/>
            <w:tcBorders>
              <w:bottom w:val="single" w:sz="4" w:space="0" w:color="auto"/>
            </w:tcBorders>
            <w:shd w:val="clear" w:color="auto" w:fill="auto"/>
            <w:vAlign w:val="center"/>
          </w:tcPr>
          <w:p w14:paraId="5E2FBCD9" w14:textId="77777777" w:rsidR="00995DC5" w:rsidRPr="007A72E0" w:rsidRDefault="00995DC5" w:rsidP="00B217D6">
            <w:pPr>
              <w:pStyle w:val="ListParagraph"/>
              <w:spacing w:before="60" w:after="60"/>
              <w:ind w:left="0"/>
              <w:jc w:val="center"/>
              <w:rPr>
                <w:sz w:val="22"/>
                <w:szCs w:val="22"/>
              </w:rPr>
            </w:pPr>
            <w:r w:rsidRPr="007A72E0">
              <w:rPr>
                <w:sz w:val="22"/>
                <w:szCs w:val="22"/>
              </w:rPr>
              <w:t>$50m</w:t>
            </w:r>
          </w:p>
        </w:tc>
      </w:tr>
    </w:tbl>
    <w:p w14:paraId="2EAAF9D3" w14:textId="77777777" w:rsidR="0028042F" w:rsidRPr="007A72E0" w:rsidRDefault="0028042F" w:rsidP="0028042F">
      <w:pPr>
        <w:rPr>
          <w:b/>
          <w:sz w:val="22"/>
          <w:szCs w:val="22"/>
        </w:rPr>
      </w:pPr>
    </w:p>
    <w:p w14:paraId="703EF295" w14:textId="6C73A6A8" w:rsidR="0028042F" w:rsidRPr="007A72E0" w:rsidRDefault="0028042F" w:rsidP="002D2E0D">
      <w:pPr>
        <w:rPr>
          <w:b/>
        </w:rPr>
      </w:pPr>
      <w:r w:rsidRPr="007A72E0">
        <w:t xml:space="preserve">AAPTIP is </w:t>
      </w:r>
      <w:r w:rsidR="002D2E0D" w:rsidRPr="007A72E0">
        <w:t xml:space="preserve">intended </w:t>
      </w:r>
      <w:r w:rsidRPr="007A72E0">
        <w:t xml:space="preserve">to strengthen the capacity of </w:t>
      </w:r>
      <w:r w:rsidR="002D2E0D" w:rsidRPr="007A72E0">
        <w:t xml:space="preserve">criminal justice systems in </w:t>
      </w:r>
      <w:r w:rsidRPr="007A72E0">
        <w:t xml:space="preserve">ASEAN </w:t>
      </w:r>
      <w:r w:rsidR="00F575C7">
        <w:t>m</w:t>
      </w:r>
      <w:r w:rsidRPr="007A72E0">
        <w:t xml:space="preserve">ember </w:t>
      </w:r>
      <w:r w:rsidR="00F575C7">
        <w:t>countries</w:t>
      </w:r>
      <w:r w:rsidRPr="007A72E0">
        <w:t xml:space="preserve"> to prosecute traffickers. </w:t>
      </w:r>
      <w:r w:rsidR="00775759" w:rsidRPr="007A72E0">
        <w:t xml:space="preserve">It has </w:t>
      </w:r>
      <w:r w:rsidRPr="007A72E0">
        <w:t>a budget of $50</w:t>
      </w:r>
      <w:r w:rsidR="002D2E0D" w:rsidRPr="007A72E0">
        <w:t xml:space="preserve"> </w:t>
      </w:r>
      <w:r w:rsidRPr="007A72E0">
        <w:t>m</w:t>
      </w:r>
      <w:r w:rsidR="002D2E0D" w:rsidRPr="007A72E0">
        <w:t>illion</w:t>
      </w:r>
      <w:r w:rsidRPr="007A72E0">
        <w:t xml:space="preserve"> over </w:t>
      </w:r>
      <w:r w:rsidR="00775759" w:rsidRPr="007A72E0">
        <w:t xml:space="preserve">a </w:t>
      </w:r>
      <w:r w:rsidRPr="007A72E0">
        <w:t>five-year period (</w:t>
      </w:r>
      <w:r w:rsidR="00775759" w:rsidRPr="007A72E0">
        <w:t>2013-18</w:t>
      </w:r>
      <w:r w:rsidRPr="007A72E0">
        <w:t>)</w:t>
      </w:r>
      <w:r w:rsidR="00AD67D3">
        <w:t xml:space="preserve"> (Figure 3)</w:t>
      </w:r>
      <w:r w:rsidRPr="007A72E0">
        <w:t xml:space="preserve">. </w:t>
      </w:r>
      <w:r w:rsidR="00775759" w:rsidRPr="007A72E0">
        <w:t xml:space="preserve">It </w:t>
      </w:r>
      <w:r w:rsidRPr="007A72E0">
        <w:t>builds on the experience of two earlier programs: the Asia Regional Cooperation to Prev</w:t>
      </w:r>
      <w:r w:rsidR="00775759" w:rsidRPr="007A72E0">
        <w:t>ent People Trafficking (2003-</w:t>
      </w:r>
      <w:r w:rsidR="00FC5A89">
        <w:t>0</w:t>
      </w:r>
      <w:r w:rsidR="00775759" w:rsidRPr="007A72E0">
        <w:t>6)</w:t>
      </w:r>
      <w:r w:rsidRPr="007A72E0">
        <w:t xml:space="preserve"> and the Asia Regional Traf</w:t>
      </w:r>
      <w:r w:rsidR="00775759" w:rsidRPr="007A72E0">
        <w:t xml:space="preserve">ficking in Persons </w:t>
      </w:r>
      <w:r w:rsidR="00FC5A89">
        <w:t>P</w:t>
      </w:r>
      <w:r w:rsidR="00775759" w:rsidRPr="007A72E0">
        <w:t>roject (200</w:t>
      </w:r>
      <w:r w:rsidRPr="007A72E0">
        <w:t xml:space="preserve">6-12). </w:t>
      </w:r>
    </w:p>
    <w:p w14:paraId="39ED43A7" w14:textId="77777777" w:rsidR="0028042F" w:rsidRPr="007A72E0" w:rsidRDefault="0028042F" w:rsidP="0028042F">
      <w:pPr>
        <w:pStyle w:val="ListParagraph"/>
        <w:rPr>
          <w:sz w:val="22"/>
          <w:szCs w:val="22"/>
        </w:rPr>
      </w:pPr>
    </w:p>
    <w:p w14:paraId="5E492B84" w14:textId="77777777" w:rsidR="0028042F" w:rsidRPr="000D0602" w:rsidRDefault="0028042F" w:rsidP="0028042F">
      <w:pPr>
        <w:pStyle w:val="ListParagraph"/>
        <w:rPr>
          <w:b/>
          <w:color w:val="365F91" w:themeColor="accent1" w:themeShade="BF"/>
          <w:sz w:val="22"/>
          <w:szCs w:val="22"/>
        </w:rPr>
      </w:pPr>
      <w:r w:rsidRPr="000D0602">
        <w:rPr>
          <w:b/>
          <w:color w:val="365F91" w:themeColor="accent1" w:themeShade="BF"/>
          <w:sz w:val="22"/>
          <w:szCs w:val="22"/>
        </w:rPr>
        <w:t xml:space="preserve">Figure 3: </w:t>
      </w:r>
      <w:r w:rsidR="00775759" w:rsidRPr="000D0602">
        <w:rPr>
          <w:b/>
          <w:color w:val="365F91" w:themeColor="accent1" w:themeShade="BF"/>
          <w:sz w:val="22"/>
          <w:szCs w:val="22"/>
        </w:rPr>
        <w:t>AAPTIP b</w:t>
      </w:r>
      <w:r w:rsidRPr="000D0602">
        <w:rPr>
          <w:b/>
          <w:color w:val="365F91" w:themeColor="accent1" w:themeShade="BF"/>
          <w:sz w:val="22"/>
          <w:szCs w:val="22"/>
        </w:rPr>
        <w:t>udget allocation</w:t>
      </w:r>
    </w:p>
    <w:tbl>
      <w:tblPr>
        <w:tblStyle w:val="TableGrid"/>
        <w:tblW w:w="0" w:type="auto"/>
        <w:tblInd w:w="170" w:type="dxa"/>
        <w:tblLook w:val="04A0" w:firstRow="1" w:lastRow="0" w:firstColumn="1" w:lastColumn="0" w:noHBand="0" w:noVBand="1"/>
      </w:tblPr>
      <w:tblGrid>
        <w:gridCol w:w="1064"/>
        <w:gridCol w:w="1301"/>
        <w:gridCol w:w="1301"/>
        <w:gridCol w:w="1301"/>
        <w:gridCol w:w="1301"/>
        <w:gridCol w:w="1302"/>
      </w:tblGrid>
      <w:tr w:rsidR="00775759" w:rsidRPr="007A72E0" w14:paraId="5746C55F" w14:textId="77777777" w:rsidTr="00987976">
        <w:tc>
          <w:tcPr>
            <w:tcW w:w="1064" w:type="dxa"/>
            <w:shd w:val="clear" w:color="auto" w:fill="DBE5F1" w:themeFill="accent1" w:themeFillTint="33"/>
          </w:tcPr>
          <w:p w14:paraId="38175C97" w14:textId="77777777" w:rsidR="00775759" w:rsidRPr="007A72E0" w:rsidRDefault="00775759" w:rsidP="00D62EC2">
            <w:pPr>
              <w:pStyle w:val="ListParagraph"/>
              <w:ind w:left="0"/>
              <w:rPr>
                <w:b/>
                <w:sz w:val="22"/>
                <w:szCs w:val="20"/>
              </w:rPr>
            </w:pPr>
            <w:r w:rsidRPr="007A72E0">
              <w:rPr>
                <w:b/>
                <w:sz w:val="22"/>
                <w:szCs w:val="20"/>
              </w:rPr>
              <w:t>Year</w:t>
            </w:r>
          </w:p>
        </w:tc>
        <w:tc>
          <w:tcPr>
            <w:tcW w:w="1301" w:type="dxa"/>
            <w:shd w:val="clear" w:color="auto" w:fill="auto"/>
          </w:tcPr>
          <w:p w14:paraId="7347ED6F" w14:textId="77777777" w:rsidR="00775759" w:rsidRPr="007A72E0" w:rsidRDefault="00775759" w:rsidP="00775759">
            <w:pPr>
              <w:pStyle w:val="ListParagraph"/>
              <w:ind w:left="0"/>
              <w:jc w:val="center"/>
              <w:rPr>
                <w:sz w:val="22"/>
                <w:szCs w:val="20"/>
              </w:rPr>
            </w:pPr>
            <w:r w:rsidRPr="007A72E0">
              <w:rPr>
                <w:sz w:val="22"/>
                <w:szCs w:val="20"/>
              </w:rPr>
              <w:t>2013/14</w:t>
            </w:r>
          </w:p>
        </w:tc>
        <w:tc>
          <w:tcPr>
            <w:tcW w:w="1301" w:type="dxa"/>
            <w:shd w:val="clear" w:color="auto" w:fill="auto"/>
          </w:tcPr>
          <w:p w14:paraId="296CC0B3" w14:textId="77777777" w:rsidR="00775759" w:rsidRPr="007A72E0" w:rsidRDefault="00775759" w:rsidP="00775759">
            <w:pPr>
              <w:pStyle w:val="ListParagraph"/>
              <w:ind w:left="0"/>
              <w:jc w:val="center"/>
              <w:rPr>
                <w:sz w:val="22"/>
                <w:szCs w:val="20"/>
              </w:rPr>
            </w:pPr>
            <w:r w:rsidRPr="007A72E0">
              <w:rPr>
                <w:sz w:val="22"/>
                <w:szCs w:val="20"/>
              </w:rPr>
              <w:t>2014/15</w:t>
            </w:r>
          </w:p>
        </w:tc>
        <w:tc>
          <w:tcPr>
            <w:tcW w:w="1301" w:type="dxa"/>
            <w:shd w:val="clear" w:color="auto" w:fill="auto"/>
          </w:tcPr>
          <w:p w14:paraId="4C2952CA" w14:textId="77777777" w:rsidR="00775759" w:rsidRPr="007A72E0" w:rsidRDefault="00775759" w:rsidP="00775759">
            <w:pPr>
              <w:pStyle w:val="ListParagraph"/>
              <w:ind w:left="0"/>
              <w:jc w:val="center"/>
              <w:rPr>
                <w:sz w:val="22"/>
                <w:szCs w:val="20"/>
              </w:rPr>
            </w:pPr>
            <w:r w:rsidRPr="007A72E0">
              <w:rPr>
                <w:sz w:val="22"/>
                <w:szCs w:val="20"/>
              </w:rPr>
              <w:t>2015/16</w:t>
            </w:r>
          </w:p>
        </w:tc>
        <w:tc>
          <w:tcPr>
            <w:tcW w:w="1301" w:type="dxa"/>
            <w:shd w:val="clear" w:color="auto" w:fill="auto"/>
          </w:tcPr>
          <w:p w14:paraId="6859FF53" w14:textId="77777777" w:rsidR="00775759" w:rsidRPr="007A72E0" w:rsidRDefault="00775759" w:rsidP="00775759">
            <w:pPr>
              <w:pStyle w:val="ListParagraph"/>
              <w:ind w:left="0"/>
              <w:jc w:val="center"/>
              <w:rPr>
                <w:sz w:val="22"/>
                <w:szCs w:val="20"/>
              </w:rPr>
            </w:pPr>
            <w:r w:rsidRPr="007A72E0">
              <w:rPr>
                <w:sz w:val="22"/>
                <w:szCs w:val="20"/>
              </w:rPr>
              <w:t>2016/17</w:t>
            </w:r>
          </w:p>
        </w:tc>
        <w:tc>
          <w:tcPr>
            <w:tcW w:w="1302" w:type="dxa"/>
            <w:shd w:val="clear" w:color="auto" w:fill="auto"/>
          </w:tcPr>
          <w:p w14:paraId="5FA4FB3A" w14:textId="77777777" w:rsidR="00775759" w:rsidRPr="007A72E0" w:rsidRDefault="00775759" w:rsidP="00775759">
            <w:pPr>
              <w:pStyle w:val="ListParagraph"/>
              <w:ind w:left="0"/>
              <w:jc w:val="center"/>
              <w:rPr>
                <w:sz w:val="22"/>
                <w:szCs w:val="20"/>
              </w:rPr>
            </w:pPr>
            <w:r w:rsidRPr="007A72E0">
              <w:rPr>
                <w:sz w:val="22"/>
                <w:szCs w:val="20"/>
              </w:rPr>
              <w:t>2017/18</w:t>
            </w:r>
          </w:p>
        </w:tc>
      </w:tr>
      <w:tr w:rsidR="00775759" w:rsidRPr="007A72E0" w14:paraId="77FAADC0" w14:textId="77777777" w:rsidTr="00987976">
        <w:tc>
          <w:tcPr>
            <w:tcW w:w="1064" w:type="dxa"/>
            <w:shd w:val="clear" w:color="auto" w:fill="DBE5F1" w:themeFill="accent1" w:themeFillTint="33"/>
          </w:tcPr>
          <w:p w14:paraId="510EBD87" w14:textId="77777777" w:rsidR="00775759" w:rsidRPr="007A72E0" w:rsidRDefault="00775759" w:rsidP="00D62EC2">
            <w:pPr>
              <w:pStyle w:val="ListParagraph"/>
              <w:ind w:left="0"/>
              <w:rPr>
                <w:b/>
                <w:sz w:val="22"/>
                <w:szCs w:val="20"/>
              </w:rPr>
            </w:pPr>
            <w:r w:rsidRPr="007A72E0">
              <w:rPr>
                <w:b/>
                <w:sz w:val="22"/>
                <w:szCs w:val="20"/>
              </w:rPr>
              <w:t>Budget</w:t>
            </w:r>
          </w:p>
        </w:tc>
        <w:tc>
          <w:tcPr>
            <w:tcW w:w="1301" w:type="dxa"/>
            <w:shd w:val="clear" w:color="auto" w:fill="auto"/>
          </w:tcPr>
          <w:p w14:paraId="3D89D316" w14:textId="77777777" w:rsidR="00775759" w:rsidRPr="007A72E0" w:rsidRDefault="00775759" w:rsidP="00775759">
            <w:pPr>
              <w:pStyle w:val="ListParagraph"/>
              <w:ind w:left="0"/>
              <w:jc w:val="center"/>
              <w:rPr>
                <w:sz w:val="22"/>
                <w:szCs w:val="20"/>
              </w:rPr>
            </w:pPr>
            <w:r w:rsidRPr="007A72E0">
              <w:rPr>
                <w:sz w:val="22"/>
                <w:szCs w:val="20"/>
              </w:rPr>
              <w:t>$5 million</w:t>
            </w:r>
          </w:p>
        </w:tc>
        <w:tc>
          <w:tcPr>
            <w:tcW w:w="1301" w:type="dxa"/>
            <w:shd w:val="clear" w:color="auto" w:fill="auto"/>
          </w:tcPr>
          <w:p w14:paraId="6B73D42C" w14:textId="77777777" w:rsidR="00775759" w:rsidRPr="007A72E0" w:rsidRDefault="00775759" w:rsidP="00775759">
            <w:pPr>
              <w:pStyle w:val="ListParagraph"/>
              <w:ind w:left="0"/>
              <w:jc w:val="center"/>
              <w:rPr>
                <w:sz w:val="22"/>
                <w:szCs w:val="20"/>
              </w:rPr>
            </w:pPr>
            <w:r w:rsidRPr="007A72E0">
              <w:rPr>
                <w:sz w:val="22"/>
                <w:szCs w:val="20"/>
              </w:rPr>
              <w:t>$10 million</w:t>
            </w:r>
          </w:p>
        </w:tc>
        <w:tc>
          <w:tcPr>
            <w:tcW w:w="1301" w:type="dxa"/>
            <w:shd w:val="clear" w:color="auto" w:fill="auto"/>
          </w:tcPr>
          <w:p w14:paraId="559F8C60" w14:textId="77777777" w:rsidR="00775759" w:rsidRPr="007A72E0" w:rsidRDefault="00775759" w:rsidP="00775759">
            <w:pPr>
              <w:pStyle w:val="ListParagraph"/>
              <w:ind w:left="0"/>
              <w:jc w:val="center"/>
              <w:rPr>
                <w:sz w:val="22"/>
                <w:szCs w:val="20"/>
              </w:rPr>
            </w:pPr>
            <w:r w:rsidRPr="007A72E0">
              <w:rPr>
                <w:sz w:val="22"/>
                <w:szCs w:val="20"/>
              </w:rPr>
              <w:t>$14 million</w:t>
            </w:r>
          </w:p>
        </w:tc>
        <w:tc>
          <w:tcPr>
            <w:tcW w:w="1301" w:type="dxa"/>
            <w:shd w:val="clear" w:color="auto" w:fill="auto"/>
          </w:tcPr>
          <w:p w14:paraId="64D92A65" w14:textId="77777777" w:rsidR="00775759" w:rsidRPr="007A72E0" w:rsidRDefault="00775759" w:rsidP="00775759">
            <w:pPr>
              <w:pStyle w:val="ListParagraph"/>
              <w:ind w:left="0"/>
              <w:jc w:val="center"/>
              <w:rPr>
                <w:sz w:val="22"/>
                <w:szCs w:val="20"/>
              </w:rPr>
            </w:pPr>
            <w:r w:rsidRPr="007A72E0">
              <w:rPr>
                <w:sz w:val="22"/>
                <w:szCs w:val="20"/>
              </w:rPr>
              <w:t>$13 million</w:t>
            </w:r>
          </w:p>
        </w:tc>
        <w:tc>
          <w:tcPr>
            <w:tcW w:w="1302" w:type="dxa"/>
            <w:shd w:val="clear" w:color="auto" w:fill="auto"/>
          </w:tcPr>
          <w:p w14:paraId="7A3C57A1" w14:textId="77777777" w:rsidR="00775759" w:rsidRPr="007A72E0" w:rsidRDefault="00775759" w:rsidP="00775759">
            <w:pPr>
              <w:pStyle w:val="ListParagraph"/>
              <w:ind w:left="0"/>
              <w:jc w:val="center"/>
              <w:rPr>
                <w:sz w:val="22"/>
                <w:szCs w:val="20"/>
              </w:rPr>
            </w:pPr>
            <w:r w:rsidRPr="007A72E0">
              <w:rPr>
                <w:sz w:val="22"/>
                <w:szCs w:val="20"/>
              </w:rPr>
              <w:t>$8 million</w:t>
            </w:r>
          </w:p>
        </w:tc>
      </w:tr>
    </w:tbl>
    <w:p w14:paraId="66E89F1A" w14:textId="77777777" w:rsidR="0028042F" w:rsidRPr="007A72E0" w:rsidRDefault="0028042F" w:rsidP="0028042F">
      <w:pPr>
        <w:pStyle w:val="ListParagraph"/>
        <w:rPr>
          <w:sz w:val="22"/>
          <w:szCs w:val="22"/>
        </w:rPr>
      </w:pPr>
    </w:p>
    <w:p w14:paraId="052C8822" w14:textId="01152B8E" w:rsidR="0028042F" w:rsidRPr="007A72E0" w:rsidRDefault="00F142E9" w:rsidP="00992316">
      <w:r w:rsidRPr="007A72E0">
        <w:t xml:space="preserve">AAPTIP </w:t>
      </w:r>
      <w:r w:rsidR="006C5A80">
        <w:t xml:space="preserve">is attempting to </w:t>
      </w:r>
      <w:r w:rsidR="0028042F" w:rsidRPr="007A72E0">
        <w:t xml:space="preserve">close ‘capacity gaps’ in criminal justice systems, </w:t>
      </w:r>
      <w:r w:rsidR="00775759" w:rsidRPr="007A72E0">
        <w:t>covering law enforcement, prosecutors and judges, anchored in enhanced regional cooperation</w:t>
      </w:r>
      <w:r w:rsidR="0028042F" w:rsidRPr="007A72E0">
        <w:t>.</w:t>
      </w:r>
      <w:r w:rsidR="0028042F" w:rsidRPr="00987976">
        <w:rPr>
          <w:rStyle w:val="FootnoteReference"/>
          <w:szCs w:val="22"/>
        </w:rPr>
        <w:footnoteReference w:id="6"/>
      </w:r>
      <w:r w:rsidR="0028042F" w:rsidRPr="007A72E0">
        <w:t xml:space="preserve"> The </w:t>
      </w:r>
      <w:r w:rsidR="00775759" w:rsidRPr="007A72E0">
        <w:t xml:space="preserve">design is premised on the theory </w:t>
      </w:r>
      <w:r w:rsidR="0028042F" w:rsidRPr="007A72E0">
        <w:t xml:space="preserve">that if </w:t>
      </w:r>
      <w:r w:rsidRPr="007A72E0">
        <w:t xml:space="preserve">the program </w:t>
      </w:r>
      <w:r w:rsidR="0028042F" w:rsidRPr="007A72E0">
        <w:t xml:space="preserve">can </w:t>
      </w:r>
      <w:r w:rsidR="00775759" w:rsidRPr="007A72E0">
        <w:t xml:space="preserve">help to </w:t>
      </w:r>
      <w:r w:rsidR="0057766E" w:rsidRPr="007A72E0">
        <w:t xml:space="preserve">strengthen </w:t>
      </w:r>
      <w:r w:rsidR="0028042F" w:rsidRPr="007A72E0">
        <w:t xml:space="preserve">anti-trafficking </w:t>
      </w:r>
      <w:r w:rsidR="0028042F" w:rsidRPr="007A72E0">
        <w:rPr>
          <w:u w:val="single"/>
        </w:rPr>
        <w:t>structures</w:t>
      </w:r>
      <w:r w:rsidR="0028042F" w:rsidRPr="007A72E0">
        <w:t xml:space="preserve"> (e.g. </w:t>
      </w:r>
      <w:r w:rsidR="0057766E" w:rsidRPr="007A72E0">
        <w:t xml:space="preserve">by establishing </w:t>
      </w:r>
      <w:r w:rsidR="0028042F" w:rsidRPr="007A72E0">
        <w:t xml:space="preserve">specialist anti-trafficking units), individual </w:t>
      </w:r>
      <w:r w:rsidR="0028042F" w:rsidRPr="007A72E0">
        <w:rPr>
          <w:u w:val="single"/>
        </w:rPr>
        <w:t>skills</w:t>
      </w:r>
      <w:r w:rsidR="0028042F" w:rsidRPr="007A72E0">
        <w:t xml:space="preserve"> of criminal justice officials (e.g. victim interview techniques) and criminal justice </w:t>
      </w:r>
      <w:r w:rsidR="0028042F" w:rsidRPr="007A72E0">
        <w:rPr>
          <w:u w:val="single"/>
        </w:rPr>
        <w:t>processes</w:t>
      </w:r>
      <w:r w:rsidR="0028042F" w:rsidRPr="007A72E0">
        <w:t xml:space="preserve"> (e.g. inter-agency referral mechanisms, victim management procedures)</w:t>
      </w:r>
      <w:r w:rsidR="0057766E" w:rsidRPr="007A72E0">
        <w:t>,</w:t>
      </w:r>
      <w:r w:rsidR="0028042F" w:rsidRPr="007A72E0">
        <w:t xml:space="preserve"> then these will contribute to more effe</w:t>
      </w:r>
      <w:r w:rsidR="0057766E" w:rsidRPr="007A72E0">
        <w:t>ctive and ethical investigation, prosecution</w:t>
      </w:r>
      <w:r w:rsidR="0028042F" w:rsidRPr="007A72E0">
        <w:t xml:space="preserve"> and adjudication of </w:t>
      </w:r>
      <w:r w:rsidR="0057766E" w:rsidRPr="007A72E0">
        <w:t xml:space="preserve">trafficking </w:t>
      </w:r>
      <w:r w:rsidR="0028042F" w:rsidRPr="007A72E0">
        <w:t>cases</w:t>
      </w:r>
      <w:r w:rsidR="0057766E" w:rsidRPr="007A72E0">
        <w:t xml:space="preserve">. This in turn </w:t>
      </w:r>
      <w:r w:rsidR="0028042F" w:rsidRPr="007A72E0">
        <w:t xml:space="preserve">will </w:t>
      </w:r>
      <w:r w:rsidR="000D0602">
        <w:t xml:space="preserve">increase the risks and reduce </w:t>
      </w:r>
      <w:r w:rsidR="000D0602">
        <w:lastRenderedPageBreak/>
        <w:t xml:space="preserve">the </w:t>
      </w:r>
      <w:r w:rsidR="0028042F" w:rsidRPr="007A72E0">
        <w:t xml:space="preserve">opportunities </w:t>
      </w:r>
      <w:r w:rsidR="0057766E" w:rsidRPr="007A72E0">
        <w:t xml:space="preserve">facing traffickers </w:t>
      </w:r>
      <w:r w:rsidR="0028042F" w:rsidRPr="007A72E0">
        <w:t xml:space="preserve">in </w:t>
      </w:r>
      <w:r w:rsidR="00FC5A89">
        <w:t xml:space="preserve">the </w:t>
      </w:r>
      <w:r w:rsidR="0028042F" w:rsidRPr="007A72E0">
        <w:t>region</w:t>
      </w:r>
      <w:r w:rsidR="0057766E" w:rsidRPr="007A72E0">
        <w:t>, leading to a reduction in the incidence of trafficking</w:t>
      </w:r>
      <w:r w:rsidR="0028042F" w:rsidRPr="007A72E0">
        <w:t>.</w:t>
      </w:r>
      <w:r w:rsidR="0028042F" w:rsidRPr="00987976">
        <w:rPr>
          <w:rStyle w:val="FootnoteReference"/>
          <w:szCs w:val="22"/>
        </w:rPr>
        <w:footnoteReference w:id="7"/>
      </w:r>
      <w:r w:rsidR="0028042F" w:rsidRPr="007A72E0">
        <w:t xml:space="preserve"> </w:t>
      </w:r>
    </w:p>
    <w:p w14:paraId="0D1A70F1" w14:textId="77777777" w:rsidR="00FC5A89" w:rsidRDefault="00FC5A89" w:rsidP="009A3686"/>
    <w:p w14:paraId="6D74D9FE" w14:textId="5F4C4C5D" w:rsidR="0028042F" w:rsidRPr="007A72E0" w:rsidRDefault="0028042F" w:rsidP="009A3686">
      <w:r w:rsidRPr="007A72E0">
        <w:t xml:space="preserve">The program uses a ‘hub and spoke’ delivery model, coordinating the provision of regional and national technical assistance from </w:t>
      </w:r>
      <w:r w:rsidR="009A3686" w:rsidRPr="007A72E0">
        <w:t xml:space="preserve">a regional hub in </w:t>
      </w:r>
      <w:r w:rsidRPr="007A72E0">
        <w:t>Bangkok</w:t>
      </w:r>
      <w:r w:rsidR="009A3686" w:rsidRPr="007A72E0">
        <w:t>. T</w:t>
      </w:r>
      <w:r w:rsidRPr="007A72E0">
        <w:t xml:space="preserve">hese include </w:t>
      </w:r>
      <w:r w:rsidR="006C5A80">
        <w:t xml:space="preserve">activities in seven countries </w:t>
      </w:r>
      <w:r w:rsidR="009A3686" w:rsidRPr="007A72E0">
        <w:t>(</w:t>
      </w:r>
      <w:r w:rsidRPr="007A72E0">
        <w:t>Cambodia, Indonesia, Lao PDR, Myanmar, Philippines, Thailand and Vietnam</w:t>
      </w:r>
      <w:r w:rsidR="009A3686" w:rsidRPr="007A72E0">
        <w:t>)</w:t>
      </w:r>
      <w:r w:rsidRPr="007A72E0">
        <w:t xml:space="preserve"> and a regional program. </w:t>
      </w:r>
    </w:p>
    <w:p w14:paraId="36DBD598" w14:textId="77777777" w:rsidR="0028042F" w:rsidRPr="007A72E0" w:rsidRDefault="0028042F" w:rsidP="0028042F">
      <w:pPr>
        <w:pStyle w:val="ListParagraph"/>
        <w:rPr>
          <w:sz w:val="22"/>
          <w:szCs w:val="22"/>
        </w:rPr>
      </w:pPr>
    </w:p>
    <w:p w14:paraId="25B8FD0D" w14:textId="0E74E71B" w:rsidR="0083577E" w:rsidRDefault="00601416" w:rsidP="0083577E">
      <w:r>
        <w:t xml:space="preserve">The launch of the </w:t>
      </w:r>
      <w:r w:rsidR="00EB57D9">
        <w:t>program</w:t>
      </w:r>
      <w:r>
        <w:t xml:space="preserve"> was affected by delays in concluding Memoranda of Subsidiary Agreements (MSAs) with individual countries</w:t>
      </w:r>
      <w:r w:rsidR="00AD67D3">
        <w:t xml:space="preserve"> (Figure 4)</w:t>
      </w:r>
      <w:r>
        <w:t>. The first was concluded with Myanmar in March 2014, follow</w:t>
      </w:r>
      <w:r w:rsidR="00FC5A89">
        <w:t>ed</w:t>
      </w:r>
      <w:r>
        <w:t xml:space="preserve"> by the Philippines in July 2014 and Thailand in January 2015. As a result, activities in different countries are </w:t>
      </w:r>
      <w:r w:rsidR="006C5A80">
        <w:t>at</w:t>
      </w:r>
      <w:r>
        <w:t xml:space="preserve"> different levels of maturity. </w:t>
      </w:r>
      <w:r w:rsidR="0028042F" w:rsidRPr="007A72E0">
        <w:t xml:space="preserve">AAPTIP </w:t>
      </w:r>
      <w:r>
        <w:t xml:space="preserve">has </w:t>
      </w:r>
      <w:r w:rsidR="009A3686" w:rsidRPr="007A72E0">
        <w:t xml:space="preserve">launched </w:t>
      </w:r>
      <w:r w:rsidR="0028042F" w:rsidRPr="007A72E0">
        <w:t>44 projects across the eight sub-programs</w:t>
      </w:r>
      <w:r w:rsidR="009A3686" w:rsidRPr="007A72E0">
        <w:t xml:space="preserve">, although </w:t>
      </w:r>
      <w:r w:rsidR="00F142E9" w:rsidRPr="007A72E0">
        <w:t xml:space="preserve">some </w:t>
      </w:r>
      <w:r w:rsidR="009A3686" w:rsidRPr="007A72E0">
        <w:t xml:space="preserve">have </w:t>
      </w:r>
      <w:r w:rsidR="00F142E9" w:rsidRPr="007A72E0">
        <w:t xml:space="preserve">since </w:t>
      </w:r>
      <w:r w:rsidR="009A3686" w:rsidRPr="007A72E0">
        <w:t>been discontinued</w:t>
      </w:r>
      <w:r w:rsidR="0028042F" w:rsidRPr="007A72E0">
        <w:t xml:space="preserve">. These </w:t>
      </w:r>
      <w:r w:rsidR="009A3686" w:rsidRPr="007A72E0">
        <w:t>include</w:t>
      </w:r>
      <w:r w:rsidR="0028042F" w:rsidRPr="007A72E0">
        <w:t xml:space="preserve"> a mix of professional development projects for investigators, prosecutors and judges, delivered prim</w:t>
      </w:r>
      <w:r w:rsidR="006C5A80">
        <w:t>arily through a ‘cascade model’</w:t>
      </w:r>
      <w:r w:rsidR="0028042F" w:rsidRPr="00987976">
        <w:rPr>
          <w:rStyle w:val="FootnoteReference"/>
        </w:rPr>
        <w:footnoteReference w:id="8"/>
      </w:r>
      <w:r w:rsidR="0028042F" w:rsidRPr="007A72E0">
        <w:t xml:space="preserve"> </w:t>
      </w:r>
      <w:r w:rsidR="006C5A80">
        <w:t xml:space="preserve">as well as thematic interventions </w:t>
      </w:r>
      <w:r w:rsidR="0083577E">
        <w:t xml:space="preserve">relating to </w:t>
      </w:r>
      <w:r w:rsidR="0028042F" w:rsidRPr="007A72E0">
        <w:t>victim-witness support and inter-country and intra-agency coordin</w:t>
      </w:r>
      <w:r w:rsidR="006C5A80">
        <w:t>ation.</w:t>
      </w:r>
    </w:p>
    <w:p w14:paraId="7B675186" w14:textId="38667384" w:rsidR="00D64E7E" w:rsidRDefault="00D64E7E" w:rsidP="0083577E"/>
    <w:p w14:paraId="4A3583D2" w14:textId="3E28D07A" w:rsidR="008D01D0" w:rsidRDefault="00D64E7E" w:rsidP="0083577E">
      <w:r>
        <w:rPr>
          <w:b/>
          <w:color w:val="365F91" w:themeColor="accent1" w:themeShade="BF"/>
          <w:sz w:val="22"/>
          <w:szCs w:val="22"/>
        </w:rPr>
        <w:t>Figure 4</w:t>
      </w:r>
      <w:r w:rsidRPr="00D64E7E">
        <w:rPr>
          <w:b/>
          <w:color w:val="365F91" w:themeColor="accent1" w:themeShade="BF"/>
          <w:sz w:val="22"/>
          <w:szCs w:val="22"/>
        </w:rPr>
        <w:t>: Date when MSA was signed</w:t>
      </w:r>
    </w:p>
    <w:tbl>
      <w:tblPr>
        <w:tblW w:w="4696" w:type="dxa"/>
        <w:tblInd w:w="170" w:type="dxa"/>
        <w:tblLook w:val="04A0" w:firstRow="1" w:lastRow="0" w:firstColumn="1" w:lastColumn="0" w:noHBand="0" w:noVBand="1"/>
      </w:tblPr>
      <w:tblGrid>
        <w:gridCol w:w="2003"/>
        <w:gridCol w:w="2693"/>
      </w:tblGrid>
      <w:tr w:rsidR="008D01D0" w14:paraId="0A7694B7" w14:textId="77777777" w:rsidTr="00987976">
        <w:trPr>
          <w:trHeight w:val="300"/>
        </w:trPr>
        <w:tc>
          <w:tcPr>
            <w:tcW w:w="2003" w:type="dxa"/>
            <w:tcBorders>
              <w:top w:val="single" w:sz="4" w:space="0" w:color="auto"/>
              <w:left w:val="single" w:sz="4" w:space="0" w:color="auto"/>
              <w:bottom w:val="single" w:sz="4" w:space="0" w:color="auto"/>
              <w:right w:val="single" w:sz="4" w:space="0" w:color="auto"/>
            </w:tcBorders>
            <w:noWrap/>
            <w:vAlign w:val="bottom"/>
          </w:tcPr>
          <w:p w14:paraId="2B267855" w14:textId="4BC39AF8" w:rsidR="008D01D0" w:rsidRPr="00961BB7" w:rsidRDefault="008D01D0" w:rsidP="008D01D0">
            <w:pPr>
              <w:rPr>
                <w:b/>
                <w:color w:val="000000"/>
                <w:lang w:eastAsia="en-AU"/>
              </w:rPr>
            </w:pPr>
            <w:r w:rsidRPr="00961BB7">
              <w:rPr>
                <w:b/>
                <w:color w:val="000000"/>
                <w:lang w:eastAsia="en-AU"/>
              </w:rPr>
              <w:t xml:space="preserve">Country </w:t>
            </w:r>
          </w:p>
        </w:tc>
        <w:tc>
          <w:tcPr>
            <w:tcW w:w="2693" w:type="dxa"/>
            <w:tcBorders>
              <w:top w:val="single" w:sz="4" w:space="0" w:color="auto"/>
              <w:left w:val="nil"/>
              <w:bottom w:val="single" w:sz="4" w:space="0" w:color="auto"/>
              <w:right w:val="single" w:sz="4" w:space="0" w:color="auto"/>
            </w:tcBorders>
            <w:noWrap/>
            <w:vAlign w:val="bottom"/>
          </w:tcPr>
          <w:p w14:paraId="7DE30CFF" w14:textId="0762A395" w:rsidR="008D01D0" w:rsidRPr="00961BB7" w:rsidRDefault="008D01D0" w:rsidP="008D01D0">
            <w:pPr>
              <w:jc w:val="right"/>
              <w:rPr>
                <w:b/>
                <w:color w:val="000000"/>
                <w:lang w:eastAsia="en-AU"/>
              </w:rPr>
            </w:pPr>
            <w:r>
              <w:rPr>
                <w:b/>
                <w:color w:val="000000"/>
                <w:lang w:eastAsia="en-AU"/>
              </w:rPr>
              <w:t>Date</w:t>
            </w:r>
          </w:p>
        </w:tc>
      </w:tr>
      <w:tr w:rsidR="008D01D0" w14:paraId="1ADEE6E0" w14:textId="77777777" w:rsidTr="00987976">
        <w:trPr>
          <w:trHeight w:val="300"/>
        </w:trPr>
        <w:tc>
          <w:tcPr>
            <w:tcW w:w="2003" w:type="dxa"/>
            <w:tcBorders>
              <w:top w:val="single" w:sz="4" w:space="0" w:color="auto"/>
              <w:left w:val="single" w:sz="4" w:space="0" w:color="auto"/>
              <w:bottom w:val="single" w:sz="4" w:space="0" w:color="auto"/>
              <w:right w:val="single" w:sz="4" w:space="0" w:color="auto"/>
            </w:tcBorders>
            <w:noWrap/>
            <w:vAlign w:val="bottom"/>
          </w:tcPr>
          <w:p w14:paraId="0233F08C" w14:textId="77777777" w:rsidR="008D01D0" w:rsidRDefault="008D01D0" w:rsidP="008D01D0">
            <w:pPr>
              <w:rPr>
                <w:rFonts w:cs="Times New Roman"/>
                <w:color w:val="000000"/>
                <w:sz w:val="22"/>
                <w:szCs w:val="22"/>
                <w:lang w:eastAsia="en-AU"/>
              </w:rPr>
            </w:pPr>
            <w:r>
              <w:rPr>
                <w:color w:val="000000"/>
                <w:lang w:eastAsia="en-AU"/>
              </w:rPr>
              <w:t>Myanmar</w:t>
            </w:r>
          </w:p>
        </w:tc>
        <w:tc>
          <w:tcPr>
            <w:tcW w:w="2693" w:type="dxa"/>
            <w:tcBorders>
              <w:top w:val="single" w:sz="4" w:space="0" w:color="auto"/>
              <w:left w:val="nil"/>
              <w:bottom w:val="single" w:sz="4" w:space="0" w:color="auto"/>
              <w:right w:val="single" w:sz="4" w:space="0" w:color="auto"/>
            </w:tcBorders>
            <w:noWrap/>
            <w:vAlign w:val="bottom"/>
            <w:hideMark/>
          </w:tcPr>
          <w:p w14:paraId="1D9FE9F4" w14:textId="2170FD78" w:rsidR="008D01D0" w:rsidRDefault="008D01D0" w:rsidP="008D01D0">
            <w:pPr>
              <w:jc w:val="right"/>
              <w:rPr>
                <w:rFonts w:cs="Times New Roman"/>
                <w:color w:val="000000"/>
                <w:sz w:val="22"/>
                <w:szCs w:val="22"/>
                <w:lang w:eastAsia="en-AU"/>
              </w:rPr>
            </w:pPr>
            <w:r>
              <w:rPr>
                <w:color w:val="000000"/>
                <w:lang w:eastAsia="en-AU"/>
              </w:rPr>
              <w:t>13</w:t>
            </w:r>
            <w:r w:rsidR="00F260A7">
              <w:rPr>
                <w:color w:val="000000"/>
                <w:lang w:eastAsia="en-AU"/>
              </w:rPr>
              <w:t xml:space="preserve"> </w:t>
            </w:r>
            <w:r>
              <w:rPr>
                <w:color w:val="000000"/>
                <w:lang w:eastAsia="en-AU"/>
              </w:rPr>
              <w:t>Mar</w:t>
            </w:r>
            <w:r w:rsidR="00F260A7">
              <w:rPr>
                <w:color w:val="000000"/>
                <w:lang w:eastAsia="en-AU"/>
              </w:rPr>
              <w:t>ch 20</w:t>
            </w:r>
            <w:r>
              <w:rPr>
                <w:color w:val="000000"/>
                <w:lang w:eastAsia="en-AU"/>
              </w:rPr>
              <w:t>14</w:t>
            </w:r>
          </w:p>
        </w:tc>
      </w:tr>
      <w:tr w:rsidR="008D01D0" w14:paraId="69E0CF89" w14:textId="77777777" w:rsidTr="00987976">
        <w:trPr>
          <w:trHeight w:val="300"/>
        </w:trPr>
        <w:tc>
          <w:tcPr>
            <w:tcW w:w="2003" w:type="dxa"/>
            <w:tcBorders>
              <w:top w:val="nil"/>
              <w:left w:val="single" w:sz="4" w:space="0" w:color="auto"/>
              <w:bottom w:val="single" w:sz="4" w:space="0" w:color="auto"/>
              <w:right w:val="single" w:sz="4" w:space="0" w:color="auto"/>
            </w:tcBorders>
            <w:noWrap/>
            <w:vAlign w:val="bottom"/>
            <w:hideMark/>
          </w:tcPr>
          <w:p w14:paraId="744BD073" w14:textId="77777777" w:rsidR="008D01D0" w:rsidRDefault="008D01D0" w:rsidP="008D01D0">
            <w:pPr>
              <w:rPr>
                <w:rFonts w:cs="Times New Roman"/>
                <w:color w:val="000000"/>
                <w:sz w:val="22"/>
                <w:szCs w:val="22"/>
                <w:lang w:eastAsia="en-AU"/>
              </w:rPr>
            </w:pPr>
            <w:r>
              <w:rPr>
                <w:color w:val="000000"/>
                <w:lang w:eastAsia="en-AU"/>
              </w:rPr>
              <w:t>Philippines</w:t>
            </w:r>
          </w:p>
        </w:tc>
        <w:tc>
          <w:tcPr>
            <w:tcW w:w="2693" w:type="dxa"/>
            <w:tcBorders>
              <w:top w:val="nil"/>
              <w:left w:val="nil"/>
              <w:bottom w:val="single" w:sz="4" w:space="0" w:color="auto"/>
              <w:right w:val="single" w:sz="4" w:space="0" w:color="auto"/>
            </w:tcBorders>
            <w:noWrap/>
            <w:vAlign w:val="bottom"/>
            <w:hideMark/>
          </w:tcPr>
          <w:p w14:paraId="1B88CB02" w14:textId="762F93DC" w:rsidR="008D01D0" w:rsidRDefault="008D01D0" w:rsidP="008D01D0">
            <w:pPr>
              <w:jc w:val="right"/>
              <w:rPr>
                <w:rFonts w:cs="Times New Roman"/>
                <w:color w:val="000000"/>
                <w:sz w:val="22"/>
                <w:szCs w:val="22"/>
                <w:lang w:eastAsia="en-AU"/>
              </w:rPr>
            </w:pPr>
            <w:r>
              <w:rPr>
                <w:color w:val="000000"/>
                <w:lang w:eastAsia="en-AU"/>
              </w:rPr>
              <w:t>3</w:t>
            </w:r>
            <w:r w:rsidR="00F260A7">
              <w:rPr>
                <w:color w:val="000000"/>
                <w:lang w:eastAsia="en-AU"/>
              </w:rPr>
              <w:t xml:space="preserve"> </w:t>
            </w:r>
            <w:r>
              <w:rPr>
                <w:color w:val="000000"/>
                <w:lang w:eastAsia="en-AU"/>
              </w:rPr>
              <w:t>Jul</w:t>
            </w:r>
            <w:r w:rsidR="00F260A7">
              <w:rPr>
                <w:color w:val="000000"/>
                <w:lang w:eastAsia="en-AU"/>
              </w:rPr>
              <w:t>y 20</w:t>
            </w:r>
            <w:r>
              <w:rPr>
                <w:color w:val="000000"/>
                <w:lang w:eastAsia="en-AU"/>
              </w:rPr>
              <w:t>14</w:t>
            </w:r>
          </w:p>
        </w:tc>
      </w:tr>
      <w:tr w:rsidR="008D01D0" w14:paraId="53C9E3E5" w14:textId="77777777" w:rsidTr="00987976">
        <w:trPr>
          <w:trHeight w:val="300"/>
        </w:trPr>
        <w:tc>
          <w:tcPr>
            <w:tcW w:w="2003" w:type="dxa"/>
            <w:tcBorders>
              <w:top w:val="nil"/>
              <w:left w:val="single" w:sz="4" w:space="0" w:color="auto"/>
              <w:bottom w:val="single" w:sz="4" w:space="0" w:color="auto"/>
              <w:right w:val="single" w:sz="4" w:space="0" w:color="auto"/>
            </w:tcBorders>
            <w:noWrap/>
            <w:vAlign w:val="bottom"/>
            <w:hideMark/>
          </w:tcPr>
          <w:p w14:paraId="7086A35E" w14:textId="77777777" w:rsidR="008D01D0" w:rsidRDefault="008D01D0" w:rsidP="008D01D0">
            <w:pPr>
              <w:rPr>
                <w:rFonts w:cs="Times New Roman"/>
                <w:color w:val="000000"/>
                <w:sz w:val="22"/>
                <w:szCs w:val="22"/>
                <w:lang w:eastAsia="en-AU"/>
              </w:rPr>
            </w:pPr>
            <w:r>
              <w:rPr>
                <w:color w:val="000000"/>
                <w:lang w:eastAsia="en-AU"/>
              </w:rPr>
              <w:t>Cambodia</w:t>
            </w:r>
          </w:p>
        </w:tc>
        <w:tc>
          <w:tcPr>
            <w:tcW w:w="2693" w:type="dxa"/>
            <w:tcBorders>
              <w:top w:val="nil"/>
              <w:left w:val="nil"/>
              <w:bottom w:val="single" w:sz="4" w:space="0" w:color="auto"/>
              <w:right w:val="single" w:sz="4" w:space="0" w:color="auto"/>
            </w:tcBorders>
            <w:noWrap/>
            <w:vAlign w:val="bottom"/>
            <w:hideMark/>
          </w:tcPr>
          <w:p w14:paraId="78363CDD" w14:textId="626E034A" w:rsidR="008D01D0" w:rsidRDefault="008D01D0" w:rsidP="008D01D0">
            <w:pPr>
              <w:jc w:val="right"/>
              <w:rPr>
                <w:rFonts w:cs="Times New Roman"/>
                <w:color w:val="000000"/>
                <w:sz w:val="22"/>
                <w:szCs w:val="22"/>
                <w:lang w:eastAsia="en-AU"/>
              </w:rPr>
            </w:pPr>
            <w:r>
              <w:rPr>
                <w:color w:val="000000"/>
                <w:lang w:eastAsia="en-AU"/>
              </w:rPr>
              <w:t>8</w:t>
            </w:r>
            <w:r w:rsidR="00F260A7">
              <w:rPr>
                <w:color w:val="000000"/>
                <w:lang w:eastAsia="en-AU"/>
              </w:rPr>
              <w:t xml:space="preserve"> </w:t>
            </w:r>
            <w:r>
              <w:rPr>
                <w:color w:val="000000"/>
                <w:lang w:eastAsia="en-AU"/>
              </w:rPr>
              <w:t>Jul</w:t>
            </w:r>
            <w:r w:rsidR="00F260A7">
              <w:rPr>
                <w:color w:val="000000"/>
                <w:lang w:eastAsia="en-AU"/>
              </w:rPr>
              <w:t>y 20</w:t>
            </w:r>
            <w:r>
              <w:rPr>
                <w:color w:val="000000"/>
                <w:lang w:eastAsia="en-AU"/>
              </w:rPr>
              <w:t>14</w:t>
            </w:r>
          </w:p>
        </w:tc>
      </w:tr>
      <w:tr w:rsidR="008D01D0" w14:paraId="25625018" w14:textId="77777777" w:rsidTr="00987976">
        <w:trPr>
          <w:trHeight w:val="300"/>
        </w:trPr>
        <w:tc>
          <w:tcPr>
            <w:tcW w:w="2003" w:type="dxa"/>
            <w:tcBorders>
              <w:top w:val="nil"/>
              <w:left w:val="single" w:sz="4" w:space="0" w:color="auto"/>
              <w:bottom w:val="single" w:sz="4" w:space="0" w:color="auto"/>
              <w:right w:val="single" w:sz="4" w:space="0" w:color="auto"/>
            </w:tcBorders>
            <w:noWrap/>
            <w:vAlign w:val="bottom"/>
            <w:hideMark/>
          </w:tcPr>
          <w:p w14:paraId="03389A8B" w14:textId="77777777" w:rsidR="008D01D0" w:rsidRDefault="008D01D0" w:rsidP="008D01D0">
            <w:pPr>
              <w:rPr>
                <w:rFonts w:cs="Times New Roman"/>
                <w:color w:val="000000"/>
                <w:sz w:val="22"/>
                <w:szCs w:val="22"/>
                <w:lang w:eastAsia="en-AU"/>
              </w:rPr>
            </w:pPr>
            <w:r>
              <w:rPr>
                <w:color w:val="000000"/>
                <w:lang w:eastAsia="en-AU"/>
              </w:rPr>
              <w:t>Lao PDR</w:t>
            </w:r>
          </w:p>
        </w:tc>
        <w:tc>
          <w:tcPr>
            <w:tcW w:w="2693" w:type="dxa"/>
            <w:tcBorders>
              <w:top w:val="nil"/>
              <w:left w:val="nil"/>
              <w:bottom w:val="single" w:sz="4" w:space="0" w:color="auto"/>
              <w:right w:val="single" w:sz="4" w:space="0" w:color="auto"/>
            </w:tcBorders>
            <w:noWrap/>
            <w:vAlign w:val="bottom"/>
            <w:hideMark/>
          </w:tcPr>
          <w:p w14:paraId="2D8D6B83" w14:textId="3F11EA5F" w:rsidR="008D01D0" w:rsidRDefault="008D01D0" w:rsidP="008D01D0">
            <w:pPr>
              <w:jc w:val="right"/>
              <w:rPr>
                <w:rFonts w:cs="Times New Roman"/>
                <w:color w:val="000000"/>
                <w:sz w:val="22"/>
                <w:szCs w:val="22"/>
                <w:lang w:eastAsia="en-AU"/>
              </w:rPr>
            </w:pPr>
            <w:r>
              <w:rPr>
                <w:color w:val="000000"/>
                <w:lang w:eastAsia="en-AU"/>
              </w:rPr>
              <w:t>18</w:t>
            </w:r>
            <w:r w:rsidR="00F260A7">
              <w:rPr>
                <w:color w:val="000000"/>
                <w:lang w:eastAsia="en-AU"/>
              </w:rPr>
              <w:t xml:space="preserve"> </w:t>
            </w:r>
            <w:r>
              <w:rPr>
                <w:color w:val="000000"/>
                <w:lang w:eastAsia="en-AU"/>
              </w:rPr>
              <w:t>Sep</w:t>
            </w:r>
            <w:r w:rsidR="00F260A7">
              <w:rPr>
                <w:color w:val="000000"/>
                <w:lang w:eastAsia="en-AU"/>
              </w:rPr>
              <w:t>tember 20</w:t>
            </w:r>
            <w:r>
              <w:rPr>
                <w:color w:val="000000"/>
                <w:lang w:eastAsia="en-AU"/>
              </w:rPr>
              <w:t>14</w:t>
            </w:r>
          </w:p>
        </w:tc>
      </w:tr>
      <w:tr w:rsidR="008D01D0" w14:paraId="0FB6B034" w14:textId="77777777" w:rsidTr="00987976">
        <w:trPr>
          <w:trHeight w:val="300"/>
        </w:trPr>
        <w:tc>
          <w:tcPr>
            <w:tcW w:w="2003" w:type="dxa"/>
            <w:tcBorders>
              <w:top w:val="nil"/>
              <w:left w:val="single" w:sz="4" w:space="0" w:color="auto"/>
              <w:bottom w:val="single" w:sz="4" w:space="0" w:color="auto"/>
              <w:right w:val="single" w:sz="4" w:space="0" w:color="auto"/>
            </w:tcBorders>
            <w:noWrap/>
            <w:vAlign w:val="bottom"/>
            <w:hideMark/>
          </w:tcPr>
          <w:p w14:paraId="47A7687C" w14:textId="77777777" w:rsidR="008D01D0" w:rsidRDefault="008D01D0" w:rsidP="008D01D0">
            <w:pPr>
              <w:rPr>
                <w:rFonts w:cs="Times New Roman"/>
                <w:color w:val="000000"/>
                <w:sz w:val="22"/>
                <w:szCs w:val="22"/>
                <w:lang w:eastAsia="en-AU"/>
              </w:rPr>
            </w:pPr>
            <w:r>
              <w:rPr>
                <w:color w:val="000000"/>
                <w:lang w:eastAsia="en-AU"/>
              </w:rPr>
              <w:t>Thailand</w:t>
            </w:r>
          </w:p>
        </w:tc>
        <w:tc>
          <w:tcPr>
            <w:tcW w:w="2693" w:type="dxa"/>
            <w:tcBorders>
              <w:top w:val="nil"/>
              <w:left w:val="nil"/>
              <w:bottom w:val="single" w:sz="4" w:space="0" w:color="auto"/>
              <w:right w:val="single" w:sz="4" w:space="0" w:color="auto"/>
            </w:tcBorders>
            <w:noWrap/>
            <w:vAlign w:val="bottom"/>
            <w:hideMark/>
          </w:tcPr>
          <w:p w14:paraId="7C6026A0" w14:textId="4ABDCC42" w:rsidR="008D01D0" w:rsidRDefault="008D01D0" w:rsidP="008D01D0">
            <w:pPr>
              <w:jc w:val="right"/>
              <w:rPr>
                <w:rFonts w:cs="Times New Roman"/>
                <w:color w:val="000000"/>
                <w:sz w:val="22"/>
                <w:szCs w:val="22"/>
                <w:lang w:eastAsia="en-AU"/>
              </w:rPr>
            </w:pPr>
            <w:r>
              <w:rPr>
                <w:color w:val="000000"/>
                <w:lang w:eastAsia="en-AU"/>
              </w:rPr>
              <w:t>26</w:t>
            </w:r>
            <w:r w:rsidR="00F260A7">
              <w:rPr>
                <w:color w:val="000000"/>
                <w:lang w:eastAsia="en-AU"/>
              </w:rPr>
              <w:t xml:space="preserve"> </w:t>
            </w:r>
            <w:r>
              <w:rPr>
                <w:color w:val="000000"/>
                <w:lang w:eastAsia="en-AU"/>
              </w:rPr>
              <w:t>Jan</w:t>
            </w:r>
            <w:r w:rsidR="00F260A7">
              <w:rPr>
                <w:color w:val="000000"/>
                <w:lang w:eastAsia="en-AU"/>
              </w:rPr>
              <w:t>uary 20</w:t>
            </w:r>
            <w:r>
              <w:rPr>
                <w:color w:val="000000"/>
                <w:lang w:eastAsia="en-AU"/>
              </w:rPr>
              <w:t>15</w:t>
            </w:r>
          </w:p>
        </w:tc>
      </w:tr>
      <w:tr w:rsidR="008D01D0" w14:paraId="46C64DD7" w14:textId="77777777" w:rsidTr="00987976">
        <w:trPr>
          <w:trHeight w:val="300"/>
        </w:trPr>
        <w:tc>
          <w:tcPr>
            <w:tcW w:w="2003" w:type="dxa"/>
            <w:tcBorders>
              <w:top w:val="nil"/>
              <w:left w:val="single" w:sz="4" w:space="0" w:color="auto"/>
              <w:bottom w:val="single" w:sz="4" w:space="0" w:color="auto"/>
              <w:right w:val="single" w:sz="4" w:space="0" w:color="auto"/>
            </w:tcBorders>
            <w:noWrap/>
            <w:vAlign w:val="bottom"/>
            <w:hideMark/>
          </w:tcPr>
          <w:p w14:paraId="6E9279E7" w14:textId="77777777" w:rsidR="008D01D0" w:rsidRDefault="008D01D0" w:rsidP="008D01D0">
            <w:pPr>
              <w:rPr>
                <w:rFonts w:cs="Times New Roman"/>
                <w:color w:val="000000"/>
                <w:sz w:val="22"/>
                <w:szCs w:val="22"/>
                <w:lang w:eastAsia="en-AU"/>
              </w:rPr>
            </w:pPr>
            <w:r>
              <w:rPr>
                <w:color w:val="000000"/>
                <w:lang w:eastAsia="en-AU"/>
              </w:rPr>
              <w:t>Vietnam</w:t>
            </w:r>
          </w:p>
        </w:tc>
        <w:tc>
          <w:tcPr>
            <w:tcW w:w="2693" w:type="dxa"/>
            <w:tcBorders>
              <w:top w:val="nil"/>
              <w:left w:val="nil"/>
              <w:bottom w:val="single" w:sz="4" w:space="0" w:color="auto"/>
              <w:right w:val="single" w:sz="4" w:space="0" w:color="auto"/>
            </w:tcBorders>
            <w:noWrap/>
            <w:vAlign w:val="bottom"/>
            <w:hideMark/>
          </w:tcPr>
          <w:p w14:paraId="045B89E8" w14:textId="57C739F2" w:rsidR="008D01D0" w:rsidRDefault="008D01D0" w:rsidP="008D01D0">
            <w:pPr>
              <w:jc w:val="right"/>
              <w:rPr>
                <w:rFonts w:cs="Times New Roman"/>
                <w:color w:val="000000"/>
                <w:sz w:val="22"/>
                <w:szCs w:val="22"/>
                <w:lang w:eastAsia="en-AU"/>
              </w:rPr>
            </w:pPr>
            <w:r>
              <w:rPr>
                <w:color w:val="000000"/>
                <w:lang w:eastAsia="en-AU"/>
              </w:rPr>
              <w:t>18</w:t>
            </w:r>
            <w:r w:rsidR="00F260A7">
              <w:rPr>
                <w:color w:val="000000"/>
                <w:lang w:eastAsia="en-AU"/>
              </w:rPr>
              <w:t xml:space="preserve"> </w:t>
            </w:r>
            <w:r>
              <w:rPr>
                <w:color w:val="000000"/>
                <w:lang w:eastAsia="en-AU"/>
              </w:rPr>
              <w:t>Mar</w:t>
            </w:r>
            <w:r w:rsidR="00F260A7">
              <w:rPr>
                <w:color w:val="000000"/>
                <w:lang w:eastAsia="en-AU"/>
              </w:rPr>
              <w:t>ch 20</w:t>
            </w:r>
            <w:r>
              <w:rPr>
                <w:color w:val="000000"/>
                <w:lang w:eastAsia="en-AU"/>
              </w:rPr>
              <w:t>15</w:t>
            </w:r>
          </w:p>
        </w:tc>
      </w:tr>
      <w:tr w:rsidR="008D01D0" w14:paraId="3361699F" w14:textId="77777777" w:rsidTr="00987976">
        <w:trPr>
          <w:trHeight w:val="300"/>
        </w:trPr>
        <w:tc>
          <w:tcPr>
            <w:tcW w:w="2003" w:type="dxa"/>
            <w:tcBorders>
              <w:top w:val="nil"/>
              <w:left w:val="single" w:sz="4" w:space="0" w:color="auto"/>
              <w:bottom w:val="single" w:sz="4" w:space="0" w:color="auto"/>
              <w:right w:val="single" w:sz="4" w:space="0" w:color="auto"/>
            </w:tcBorders>
            <w:noWrap/>
            <w:vAlign w:val="bottom"/>
            <w:hideMark/>
          </w:tcPr>
          <w:p w14:paraId="40A512AA" w14:textId="77777777" w:rsidR="008D01D0" w:rsidRDefault="008D01D0" w:rsidP="008D01D0">
            <w:pPr>
              <w:rPr>
                <w:rFonts w:cs="Times New Roman"/>
                <w:color w:val="000000"/>
                <w:sz w:val="22"/>
                <w:szCs w:val="22"/>
                <w:lang w:eastAsia="en-AU"/>
              </w:rPr>
            </w:pPr>
            <w:r>
              <w:rPr>
                <w:color w:val="000000"/>
                <w:lang w:eastAsia="en-AU"/>
              </w:rPr>
              <w:t>Indonesia</w:t>
            </w:r>
          </w:p>
        </w:tc>
        <w:tc>
          <w:tcPr>
            <w:tcW w:w="2693" w:type="dxa"/>
            <w:tcBorders>
              <w:top w:val="nil"/>
              <w:left w:val="nil"/>
              <w:bottom w:val="single" w:sz="4" w:space="0" w:color="auto"/>
              <w:right w:val="single" w:sz="4" w:space="0" w:color="auto"/>
            </w:tcBorders>
            <w:noWrap/>
            <w:vAlign w:val="bottom"/>
            <w:hideMark/>
          </w:tcPr>
          <w:p w14:paraId="17C9CA45" w14:textId="50DDE49C" w:rsidR="008D01D0" w:rsidRDefault="008D01D0" w:rsidP="008D01D0">
            <w:pPr>
              <w:jc w:val="right"/>
              <w:rPr>
                <w:rFonts w:cs="Times New Roman"/>
                <w:color w:val="000000"/>
                <w:sz w:val="22"/>
                <w:szCs w:val="22"/>
                <w:lang w:eastAsia="en-AU"/>
              </w:rPr>
            </w:pPr>
            <w:r>
              <w:rPr>
                <w:color w:val="000000"/>
                <w:lang w:eastAsia="en-AU"/>
              </w:rPr>
              <w:t>13</w:t>
            </w:r>
            <w:r w:rsidR="00F260A7">
              <w:rPr>
                <w:color w:val="000000"/>
                <w:lang w:eastAsia="en-AU"/>
              </w:rPr>
              <w:t xml:space="preserve"> </w:t>
            </w:r>
            <w:r>
              <w:rPr>
                <w:color w:val="000000"/>
                <w:lang w:eastAsia="en-AU"/>
              </w:rPr>
              <w:t>Nov</w:t>
            </w:r>
            <w:r w:rsidR="00F260A7">
              <w:rPr>
                <w:color w:val="000000"/>
                <w:lang w:eastAsia="en-AU"/>
              </w:rPr>
              <w:t>ember 20</w:t>
            </w:r>
            <w:r>
              <w:rPr>
                <w:color w:val="000000"/>
                <w:lang w:eastAsia="en-AU"/>
              </w:rPr>
              <w:t>15</w:t>
            </w:r>
          </w:p>
        </w:tc>
      </w:tr>
    </w:tbl>
    <w:p w14:paraId="263C7903" w14:textId="77777777" w:rsidR="008D01D0" w:rsidRPr="0083577E" w:rsidRDefault="008D01D0" w:rsidP="0083577E"/>
    <w:p w14:paraId="72E53F21" w14:textId="3BD3226C" w:rsidR="0028042F" w:rsidRPr="007A72E0" w:rsidRDefault="0083577E" w:rsidP="009A3686">
      <w:pPr>
        <w:pStyle w:val="Heading2"/>
      </w:pPr>
      <w:bookmarkStart w:id="3" w:name="_Toc465687842"/>
      <w:r>
        <w:t>M</w:t>
      </w:r>
      <w:r w:rsidR="0028042F" w:rsidRPr="007A72E0">
        <w:t>ethodology</w:t>
      </w:r>
      <w:bookmarkEnd w:id="3"/>
    </w:p>
    <w:p w14:paraId="11234942" w14:textId="68B64618" w:rsidR="0028042F" w:rsidRPr="0083577E" w:rsidRDefault="009A3686" w:rsidP="0083577E">
      <w:r w:rsidRPr="0083577E">
        <w:t xml:space="preserve">This evaluation </w:t>
      </w:r>
      <w:r w:rsidR="0028042F" w:rsidRPr="0083577E">
        <w:t>assess</w:t>
      </w:r>
      <w:r w:rsidRPr="0083577E">
        <w:t>es</w:t>
      </w:r>
      <w:r w:rsidR="0028042F" w:rsidRPr="0083577E">
        <w:t xml:space="preserve"> the program against four dimensions: the </w:t>
      </w:r>
      <w:r w:rsidR="0028042F" w:rsidRPr="0083577E">
        <w:rPr>
          <w:u w:val="single"/>
        </w:rPr>
        <w:t>relevance</w:t>
      </w:r>
      <w:r w:rsidR="0028042F" w:rsidRPr="0083577E">
        <w:t xml:space="preserve"> of </w:t>
      </w:r>
      <w:r w:rsidRPr="0083577E">
        <w:t xml:space="preserve">its </w:t>
      </w:r>
      <w:r w:rsidR="0028042F" w:rsidRPr="0083577E">
        <w:t xml:space="preserve">strategic objectives, the </w:t>
      </w:r>
      <w:r w:rsidR="0028042F" w:rsidRPr="00D64E7E">
        <w:rPr>
          <w:u w:val="single"/>
        </w:rPr>
        <w:t>efficiency</w:t>
      </w:r>
      <w:r w:rsidR="0028042F" w:rsidRPr="0083577E">
        <w:t xml:space="preserve"> of </w:t>
      </w:r>
      <w:r w:rsidR="006C5A80">
        <w:t xml:space="preserve">its </w:t>
      </w:r>
      <w:r w:rsidR="0028042F" w:rsidRPr="00D64E7E">
        <w:t>delivery</w:t>
      </w:r>
      <w:r w:rsidR="0028042F" w:rsidRPr="0083577E">
        <w:t xml:space="preserve"> system and the likely </w:t>
      </w:r>
      <w:r w:rsidR="0028042F" w:rsidRPr="0083577E">
        <w:rPr>
          <w:u w:val="single"/>
        </w:rPr>
        <w:t>effectiveness</w:t>
      </w:r>
      <w:r w:rsidR="0028042F" w:rsidRPr="0083577E">
        <w:t xml:space="preserve"> and </w:t>
      </w:r>
      <w:r w:rsidR="0028042F" w:rsidRPr="0083577E">
        <w:rPr>
          <w:u w:val="single"/>
        </w:rPr>
        <w:t>sustainability</w:t>
      </w:r>
      <w:r w:rsidR="0028042F" w:rsidRPr="0083577E">
        <w:t xml:space="preserve"> of interventions. These dimensions</w:t>
      </w:r>
      <w:r w:rsidRPr="0083577E">
        <w:t xml:space="preserve"> are adapted from standard OECD-</w:t>
      </w:r>
      <w:r w:rsidR="0028042F" w:rsidRPr="0083577E">
        <w:t xml:space="preserve">DAC </w:t>
      </w:r>
      <w:r w:rsidRPr="0083577E">
        <w:t xml:space="preserve">evaluation </w:t>
      </w:r>
      <w:r w:rsidR="0028042F" w:rsidRPr="0083577E">
        <w:t>criteria.</w:t>
      </w:r>
      <w:r w:rsidR="0028042F" w:rsidRPr="00492A47">
        <w:rPr>
          <w:rStyle w:val="FootnoteReference"/>
        </w:rPr>
        <w:footnoteReference w:id="9"/>
      </w:r>
      <w:r w:rsidR="0028042F" w:rsidRPr="0083577E">
        <w:t xml:space="preserve"> Collectively</w:t>
      </w:r>
      <w:r w:rsidRPr="0083577E">
        <w:t>,</w:t>
      </w:r>
      <w:r w:rsidR="0028042F" w:rsidRPr="0083577E">
        <w:t xml:space="preserve"> they have enabled the team to </w:t>
      </w:r>
      <w:r w:rsidRPr="0083577E">
        <w:t xml:space="preserve">address a number of </w:t>
      </w:r>
      <w:r w:rsidR="0028042F" w:rsidRPr="0083577E">
        <w:t xml:space="preserve">more specific review questions </w:t>
      </w:r>
      <w:r w:rsidR="0083577E" w:rsidRPr="0083577E">
        <w:t xml:space="preserve">from </w:t>
      </w:r>
      <w:r w:rsidR="0028042F" w:rsidRPr="0083577E">
        <w:t xml:space="preserve">the </w:t>
      </w:r>
      <w:r w:rsidR="00D64E7E">
        <w:t>MTR terms of reference (Figure 5</w:t>
      </w:r>
      <w:r w:rsidR="0028042F" w:rsidRPr="0083577E">
        <w:t xml:space="preserve">). </w:t>
      </w:r>
    </w:p>
    <w:p w14:paraId="663298EF" w14:textId="77777777" w:rsidR="0083577E" w:rsidRPr="007A72E0" w:rsidRDefault="0083577E" w:rsidP="0083577E">
      <w:pPr>
        <w:rPr>
          <w:sz w:val="22"/>
          <w:szCs w:val="22"/>
        </w:rPr>
      </w:pPr>
    </w:p>
    <w:p w14:paraId="065C7AA8" w14:textId="77777777" w:rsidR="00D64E7E" w:rsidRDefault="00D64E7E">
      <w:pPr>
        <w:rPr>
          <w:b/>
          <w:color w:val="365F91" w:themeColor="accent1" w:themeShade="BF"/>
          <w:sz w:val="22"/>
          <w:szCs w:val="22"/>
        </w:rPr>
      </w:pPr>
      <w:r>
        <w:rPr>
          <w:b/>
          <w:color w:val="365F91" w:themeColor="accent1" w:themeShade="BF"/>
          <w:sz w:val="22"/>
          <w:szCs w:val="22"/>
        </w:rPr>
        <w:br w:type="page"/>
      </w:r>
    </w:p>
    <w:p w14:paraId="11BE2020" w14:textId="61AEB628" w:rsidR="0028042F" w:rsidRPr="000D0602" w:rsidRDefault="00D64E7E" w:rsidP="00A30D3B">
      <w:pPr>
        <w:pStyle w:val="ListParagraph"/>
        <w:ind w:left="786"/>
        <w:rPr>
          <w:b/>
          <w:color w:val="365F91" w:themeColor="accent1" w:themeShade="BF"/>
          <w:sz w:val="22"/>
          <w:szCs w:val="22"/>
        </w:rPr>
      </w:pPr>
      <w:r>
        <w:rPr>
          <w:b/>
          <w:color w:val="365F91" w:themeColor="accent1" w:themeShade="BF"/>
          <w:sz w:val="22"/>
          <w:szCs w:val="22"/>
        </w:rPr>
        <w:lastRenderedPageBreak/>
        <w:t>Figure 5</w:t>
      </w:r>
      <w:r w:rsidR="0028042F" w:rsidRPr="000D0602">
        <w:rPr>
          <w:b/>
          <w:color w:val="365F91" w:themeColor="accent1" w:themeShade="BF"/>
          <w:sz w:val="22"/>
          <w:szCs w:val="22"/>
        </w:rPr>
        <w:t>: Key evaluation questions</w:t>
      </w:r>
    </w:p>
    <w:tbl>
      <w:tblPr>
        <w:tblStyle w:val="TableGrid"/>
        <w:tblW w:w="0" w:type="auto"/>
        <w:tblInd w:w="170" w:type="dxa"/>
        <w:tblLook w:val="04A0" w:firstRow="1" w:lastRow="0" w:firstColumn="1" w:lastColumn="0" w:noHBand="0" w:noVBand="1"/>
      </w:tblPr>
      <w:tblGrid>
        <w:gridCol w:w="7728"/>
      </w:tblGrid>
      <w:tr w:rsidR="0028042F" w:rsidRPr="007A72E0" w14:paraId="0DAC4AD0" w14:textId="77777777" w:rsidTr="00987976">
        <w:tc>
          <w:tcPr>
            <w:tcW w:w="7728" w:type="dxa"/>
            <w:shd w:val="clear" w:color="auto" w:fill="DBE5F1" w:themeFill="accent1" w:themeFillTint="33"/>
            <w:vAlign w:val="center"/>
          </w:tcPr>
          <w:p w14:paraId="45E3397A" w14:textId="49546C5C" w:rsidR="0028042F" w:rsidRPr="007A72E0" w:rsidRDefault="0028042F" w:rsidP="00A30D3B">
            <w:pPr>
              <w:pStyle w:val="ListParagraph"/>
              <w:numPr>
                <w:ilvl w:val="0"/>
                <w:numId w:val="33"/>
              </w:numPr>
              <w:ind w:left="442"/>
              <w:rPr>
                <w:sz w:val="22"/>
                <w:szCs w:val="22"/>
              </w:rPr>
            </w:pPr>
            <w:r w:rsidRPr="007A72E0">
              <w:rPr>
                <w:sz w:val="22"/>
                <w:szCs w:val="22"/>
              </w:rPr>
              <w:t xml:space="preserve">How has the program adapted to Australia’s changed aid policies and development priorities, how is the </w:t>
            </w:r>
            <w:r w:rsidR="00EB57D9">
              <w:rPr>
                <w:sz w:val="22"/>
                <w:szCs w:val="22"/>
              </w:rPr>
              <w:t>program</w:t>
            </w:r>
            <w:r w:rsidRPr="007A72E0">
              <w:rPr>
                <w:sz w:val="22"/>
                <w:szCs w:val="22"/>
              </w:rPr>
              <w:t xml:space="preserve"> promoting and supporting Australian national interests in the region, is the </w:t>
            </w:r>
            <w:r w:rsidR="00EB57D9">
              <w:rPr>
                <w:sz w:val="22"/>
                <w:szCs w:val="22"/>
              </w:rPr>
              <w:t>program</w:t>
            </w:r>
            <w:r w:rsidRPr="007A72E0">
              <w:rPr>
                <w:sz w:val="22"/>
                <w:szCs w:val="22"/>
              </w:rPr>
              <w:t xml:space="preserve"> relevant to development partner priorities including ASEAN priorities? </w:t>
            </w:r>
          </w:p>
          <w:p w14:paraId="3920CC98" w14:textId="351A5971" w:rsidR="0028042F" w:rsidRPr="007A72E0" w:rsidRDefault="0028042F" w:rsidP="00A30D3B">
            <w:pPr>
              <w:pStyle w:val="ListParagraph"/>
              <w:numPr>
                <w:ilvl w:val="0"/>
                <w:numId w:val="33"/>
              </w:numPr>
              <w:ind w:left="442"/>
              <w:rPr>
                <w:sz w:val="22"/>
                <w:szCs w:val="22"/>
              </w:rPr>
            </w:pPr>
            <w:r w:rsidRPr="007A72E0">
              <w:rPr>
                <w:sz w:val="22"/>
                <w:szCs w:val="22"/>
              </w:rPr>
              <w:t>Is the theory of change still valid and are the activities and outputs progress</w:t>
            </w:r>
            <w:r w:rsidR="00A30D3B">
              <w:rPr>
                <w:sz w:val="22"/>
                <w:szCs w:val="22"/>
              </w:rPr>
              <w:t>ing</w:t>
            </w:r>
            <w:r w:rsidRPr="007A72E0">
              <w:rPr>
                <w:sz w:val="22"/>
                <w:szCs w:val="22"/>
              </w:rPr>
              <w:t xml:space="preserve"> towards achieving the overall program goal?</w:t>
            </w:r>
          </w:p>
          <w:p w14:paraId="3A55C3CD" w14:textId="0E28313B" w:rsidR="0028042F" w:rsidRPr="007A72E0" w:rsidRDefault="0028042F" w:rsidP="00A30D3B">
            <w:pPr>
              <w:pStyle w:val="ListParagraph"/>
              <w:numPr>
                <w:ilvl w:val="0"/>
                <w:numId w:val="33"/>
              </w:numPr>
              <w:ind w:left="442"/>
              <w:rPr>
                <w:sz w:val="22"/>
                <w:szCs w:val="22"/>
              </w:rPr>
            </w:pPr>
            <w:r w:rsidRPr="007A72E0">
              <w:rPr>
                <w:sz w:val="22"/>
                <w:szCs w:val="22"/>
              </w:rPr>
              <w:t xml:space="preserve">Is the current model of delivery efficient in progressing the </w:t>
            </w:r>
            <w:r w:rsidR="009A3686" w:rsidRPr="007A72E0">
              <w:rPr>
                <w:sz w:val="22"/>
                <w:szCs w:val="22"/>
              </w:rPr>
              <w:t>program</w:t>
            </w:r>
            <w:r w:rsidRPr="007A72E0">
              <w:rPr>
                <w:sz w:val="22"/>
                <w:szCs w:val="22"/>
              </w:rPr>
              <w:t xml:space="preserve"> outcomes, particular</w:t>
            </w:r>
            <w:r w:rsidR="00A30D3B">
              <w:rPr>
                <w:sz w:val="22"/>
                <w:szCs w:val="22"/>
              </w:rPr>
              <w:t>ly</w:t>
            </w:r>
            <w:r w:rsidRPr="007A72E0">
              <w:rPr>
                <w:sz w:val="22"/>
                <w:szCs w:val="22"/>
              </w:rPr>
              <w:t xml:space="preserve"> the </w:t>
            </w:r>
            <w:r w:rsidR="00A30D3B">
              <w:rPr>
                <w:sz w:val="22"/>
                <w:szCs w:val="22"/>
              </w:rPr>
              <w:t>‘</w:t>
            </w:r>
            <w:r w:rsidRPr="007A72E0">
              <w:rPr>
                <w:sz w:val="22"/>
                <w:szCs w:val="22"/>
              </w:rPr>
              <w:t>hub and spoke</w:t>
            </w:r>
            <w:r w:rsidR="00A30D3B">
              <w:rPr>
                <w:sz w:val="22"/>
                <w:szCs w:val="22"/>
              </w:rPr>
              <w:t>’</w:t>
            </w:r>
            <w:r w:rsidRPr="007A72E0">
              <w:rPr>
                <w:sz w:val="22"/>
                <w:szCs w:val="22"/>
              </w:rPr>
              <w:t xml:space="preserve"> model of technical advice? Is the program leveraging results at the regional level? Is the </w:t>
            </w:r>
            <w:r w:rsidR="00EB57D9">
              <w:rPr>
                <w:sz w:val="22"/>
                <w:szCs w:val="22"/>
              </w:rPr>
              <w:t>program</w:t>
            </w:r>
            <w:r w:rsidRPr="007A72E0">
              <w:rPr>
                <w:sz w:val="22"/>
                <w:szCs w:val="22"/>
              </w:rPr>
              <w:t xml:space="preserve"> gender sensitive?</w:t>
            </w:r>
          </w:p>
          <w:p w14:paraId="07456E7C" w14:textId="35D2A5FA" w:rsidR="0028042F" w:rsidRPr="007A72E0" w:rsidRDefault="0028042F" w:rsidP="00A30D3B">
            <w:pPr>
              <w:pStyle w:val="ListParagraph"/>
              <w:numPr>
                <w:ilvl w:val="0"/>
                <w:numId w:val="33"/>
              </w:numPr>
              <w:ind w:left="442"/>
              <w:rPr>
                <w:sz w:val="22"/>
                <w:szCs w:val="22"/>
              </w:rPr>
            </w:pPr>
            <w:r w:rsidRPr="007A72E0">
              <w:rPr>
                <w:sz w:val="22"/>
                <w:szCs w:val="22"/>
              </w:rPr>
              <w:t xml:space="preserve">Do government partners have ownership? What evidence of lasting outcomes is available? </w:t>
            </w:r>
          </w:p>
        </w:tc>
      </w:tr>
    </w:tbl>
    <w:p w14:paraId="2682AD3F" w14:textId="77777777" w:rsidR="0083577E" w:rsidRDefault="0083577E" w:rsidP="009A3686"/>
    <w:p w14:paraId="79E53C9C" w14:textId="549A5C83" w:rsidR="001126B3" w:rsidRDefault="0028042F" w:rsidP="001126B3">
      <w:r w:rsidRPr="007A72E0">
        <w:t xml:space="preserve">The </w:t>
      </w:r>
      <w:r w:rsidR="001126B3" w:rsidRPr="007A72E0">
        <w:t xml:space="preserve">evaluation takes a </w:t>
      </w:r>
      <w:r w:rsidRPr="007A72E0">
        <w:t>theory-based</w:t>
      </w:r>
      <w:r w:rsidR="001126B3" w:rsidRPr="007A72E0">
        <w:t xml:space="preserve"> approach</w:t>
      </w:r>
      <w:r w:rsidRPr="007A72E0">
        <w:t xml:space="preserve">, </w:t>
      </w:r>
      <w:r w:rsidR="006C5A80">
        <w:t xml:space="preserve">testing the plausibility of </w:t>
      </w:r>
      <w:r w:rsidR="001126B3" w:rsidRPr="007A72E0">
        <w:t xml:space="preserve">the assumptions underlying the program strategy and whether they have been borne out by experience. We conducted a brief literature review and analysed program reports and documentation. Fieldwork was conducted over a three-week period in March 2016 in </w:t>
      </w:r>
      <w:r w:rsidRPr="007A72E0">
        <w:t xml:space="preserve">Thailand, Philippines and Myanmar. </w:t>
      </w:r>
      <w:r w:rsidR="0083577E">
        <w:t>T</w:t>
      </w:r>
      <w:r w:rsidR="009C12EB">
        <w:t>he team conducted more than 14</w:t>
      </w:r>
      <w:r w:rsidRPr="007A72E0">
        <w:t>0 semi-structured key informant interviews</w:t>
      </w:r>
      <w:r w:rsidR="00AD67D3">
        <w:t xml:space="preserve"> (Figure 6)</w:t>
      </w:r>
      <w:r w:rsidR="006C5A80">
        <w:t xml:space="preserve">, covering officials from counterpart agencies, program implementers, Australian government officials and external stakeholders, such as </w:t>
      </w:r>
      <w:r w:rsidR="001126B3" w:rsidRPr="007A72E0">
        <w:t>UN agencies and international NGOs</w:t>
      </w:r>
      <w:r w:rsidR="006542B8" w:rsidRPr="007A72E0">
        <w:t xml:space="preserve">. </w:t>
      </w:r>
    </w:p>
    <w:p w14:paraId="1611DF63" w14:textId="0BF5F76F" w:rsidR="0038709C" w:rsidRDefault="0038709C" w:rsidP="001126B3"/>
    <w:p w14:paraId="762221E1" w14:textId="427883AB" w:rsidR="0038709C" w:rsidRPr="00D9145A" w:rsidRDefault="00D64E7E" w:rsidP="00D9145A">
      <w:pPr>
        <w:pStyle w:val="ListParagraph"/>
        <w:ind w:left="786"/>
        <w:rPr>
          <w:b/>
          <w:color w:val="365F91" w:themeColor="accent1" w:themeShade="BF"/>
          <w:sz w:val="22"/>
          <w:szCs w:val="22"/>
        </w:rPr>
      </w:pPr>
      <w:r>
        <w:rPr>
          <w:b/>
          <w:color w:val="365F91" w:themeColor="accent1" w:themeShade="BF"/>
          <w:sz w:val="22"/>
          <w:szCs w:val="22"/>
        </w:rPr>
        <w:t>Figure 6</w:t>
      </w:r>
      <w:r w:rsidR="0038709C" w:rsidRPr="00D9145A">
        <w:rPr>
          <w:b/>
          <w:color w:val="365F91" w:themeColor="accent1" w:themeShade="BF"/>
          <w:sz w:val="22"/>
          <w:szCs w:val="22"/>
        </w:rPr>
        <w:t>: Key stakeholder interviews</w:t>
      </w:r>
    </w:p>
    <w:tbl>
      <w:tblPr>
        <w:tblStyle w:val="TableGrid"/>
        <w:tblW w:w="0" w:type="auto"/>
        <w:tblInd w:w="170" w:type="dxa"/>
        <w:tblLook w:val="04A0" w:firstRow="1" w:lastRow="0" w:firstColumn="1" w:lastColumn="0" w:noHBand="0" w:noVBand="1"/>
      </w:tblPr>
      <w:tblGrid>
        <w:gridCol w:w="4815"/>
        <w:gridCol w:w="1559"/>
      </w:tblGrid>
      <w:tr w:rsidR="0038709C" w:rsidRPr="0038709C" w14:paraId="31AFFA2F" w14:textId="77777777" w:rsidTr="00987976">
        <w:tc>
          <w:tcPr>
            <w:tcW w:w="4815" w:type="dxa"/>
            <w:shd w:val="clear" w:color="auto" w:fill="B8CCE4" w:themeFill="accent1" w:themeFillTint="66"/>
            <w:vAlign w:val="bottom"/>
          </w:tcPr>
          <w:p w14:paraId="689D6EDA" w14:textId="01B43C44" w:rsidR="0038709C" w:rsidRPr="00D9145A" w:rsidRDefault="0038709C" w:rsidP="0038709C">
            <w:pPr>
              <w:rPr>
                <w:b/>
              </w:rPr>
            </w:pPr>
            <w:r w:rsidRPr="00D9145A">
              <w:rPr>
                <w:b/>
              </w:rPr>
              <w:t>Key informant groups</w:t>
            </w:r>
          </w:p>
        </w:tc>
        <w:tc>
          <w:tcPr>
            <w:tcW w:w="1559" w:type="dxa"/>
            <w:shd w:val="clear" w:color="auto" w:fill="B8CCE4" w:themeFill="accent1" w:themeFillTint="66"/>
          </w:tcPr>
          <w:p w14:paraId="7AB29FF9" w14:textId="72D72DE6" w:rsidR="0038709C" w:rsidRPr="00D9145A" w:rsidRDefault="0038709C" w:rsidP="00D9145A">
            <w:pPr>
              <w:jc w:val="center"/>
              <w:rPr>
                <w:b/>
              </w:rPr>
            </w:pPr>
            <w:r w:rsidRPr="00D9145A">
              <w:rPr>
                <w:b/>
              </w:rPr>
              <w:t>No. of interviews</w:t>
            </w:r>
          </w:p>
        </w:tc>
      </w:tr>
      <w:tr w:rsidR="0038709C" w14:paraId="0B308ADB" w14:textId="77777777" w:rsidTr="00987976">
        <w:tc>
          <w:tcPr>
            <w:tcW w:w="4815" w:type="dxa"/>
          </w:tcPr>
          <w:p w14:paraId="471DB81D" w14:textId="77777777" w:rsidR="0038709C" w:rsidRDefault="0038709C" w:rsidP="00877153">
            <w:r>
              <w:t>AAPTIP management team and advisers</w:t>
            </w:r>
          </w:p>
        </w:tc>
        <w:tc>
          <w:tcPr>
            <w:tcW w:w="1559" w:type="dxa"/>
          </w:tcPr>
          <w:p w14:paraId="5A2CFE9C" w14:textId="77777777" w:rsidR="0038709C" w:rsidRDefault="0038709C" w:rsidP="00D9145A">
            <w:pPr>
              <w:jc w:val="center"/>
            </w:pPr>
            <w:r>
              <w:t>19</w:t>
            </w:r>
          </w:p>
        </w:tc>
      </w:tr>
      <w:tr w:rsidR="0038709C" w14:paraId="49A25224" w14:textId="77777777" w:rsidTr="00987976">
        <w:tc>
          <w:tcPr>
            <w:tcW w:w="4815" w:type="dxa"/>
          </w:tcPr>
          <w:p w14:paraId="604BA16A" w14:textId="77777777" w:rsidR="0038709C" w:rsidRDefault="0038709C" w:rsidP="00877153">
            <w:r>
              <w:t>AAPTIP national staff</w:t>
            </w:r>
          </w:p>
        </w:tc>
        <w:tc>
          <w:tcPr>
            <w:tcW w:w="1559" w:type="dxa"/>
          </w:tcPr>
          <w:p w14:paraId="507C3FA4" w14:textId="77777777" w:rsidR="0038709C" w:rsidRDefault="0038709C" w:rsidP="00D9145A">
            <w:pPr>
              <w:jc w:val="center"/>
            </w:pPr>
            <w:r>
              <w:t>19</w:t>
            </w:r>
          </w:p>
        </w:tc>
      </w:tr>
      <w:tr w:rsidR="0038709C" w14:paraId="2D389A5B" w14:textId="77777777" w:rsidTr="00987976">
        <w:tc>
          <w:tcPr>
            <w:tcW w:w="4815" w:type="dxa"/>
          </w:tcPr>
          <w:p w14:paraId="73360791" w14:textId="77777777" w:rsidR="0038709C" w:rsidRDefault="0038709C" w:rsidP="00877153">
            <w:r>
              <w:t>Thai government</w:t>
            </w:r>
          </w:p>
        </w:tc>
        <w:tc>
          <w:tcPr>
            <w:tcW w:w="1559" w:type="dxa"/>
          </w:tcPr>
          <w:p w14:paraId="7ACD335E" w14:textId="77777777" w:rsidR="0038709C" w:rsidRDefault="0038709C" w:rsidP="00D9145A">
            <w:pPr>
              <w:jc w:val="center"/>
            </w:pPr>
            <w:r>
              <w:t>11</w:t>
            </w:r>
          </w:p>
        </w:tc>
      </w:tr>
      <w:tr w:rsidR="0038709C" w14:paraId="46BE804A" w14:textId="77777777" w:rsidTr="00987976">
        <w:tc>
          <w:tcPr>
            <w:tcW w:w="4815" w:type="dxa"/>
          </w:tcPr>
          <w:p w14:paraId="6F865C9D" w14:textId="77777777" w:rsidR="0038709C" w:rsidRDefault="0038709C" w:rsidP="00877153">
            <w:r>
              <w:t>Philippines government</w:t>
            </w:r>
          </w:p>
        </w:tc>
        <w:tc>
          <w:tcPr>
            <w:tcW w:w="1559" w:type="dxa"/>
          </w:tcPr>
          <w:p w14:paraId="109BDEC9" w14:textId="77777777" w:rsidR="0038709C" w:rsidRDefault="0038709C" w:rsidP="00D9145A">
            <w:pPr>
              <w:jc w:val="center"/>
            </w:pPr>
            <w:r>
              <w:t>31</w:t>
            </w:r>
          </w:p>
        </w:tc>
      </w:tr>
      <w:tr w:rsidR="0038709C" w14:paraId="21B6632C" w14:textId="77777777" w:rsidTr="00987976">
        <w:tc>
          <w:tcPr>
            <w:tcW w:w="4815" w:type="dxa"/>
          </w:tcPr>
          <w:p w14:paraId="154C645D" w14:textId="77777777" w:rsidR="0038709C" w:rsidRDefault="0038709C" w:rsidP="00877153">
            <w:r>
              <w:t>Myanmar government</w:t>
            </w:r>
          </w:p>
        </w:tc>
        <w:tc>
          <w:tcPr>
            <w:tcW w:w="1559" w:type="dxa"/>
          </w:tcPr>
          <w:p w14:paraId="2EB2F038" w14:textId="77777777" w:rsidR="0038709C" w:rsidRDefault="0038709C" w:rsidP="00D9145A">
            <w:pPr>
              <w:jc w:val="center"/>
            </w:pPr>
            <w:r>
              <w:t>30</w:t>
            </w:r>
          </w:p>
        </w:tc>
      </w:tr>
      <w:tr w:rsidR="0038709C" w14:paraId="24BD0CDD" w14:textId="77777777" w:rsidTr="00987976">
        <w:tc>
          <w:tcPr>
            <w:tcW w:w="4815" w:type="dxa"/>
          </w:tcPr>
          <w:p w14:paraId="6D0745C1" w14:textId="77777777" w:rsidR="0038709C" w:rsidRDefault="0038709C" w:rsidP="00877153">
            <w:r>
              <w:t>International partners</w:t>
            </w:r>
          </w:p>
        </w:tc>
        <w:tc>
          <w:tcPr>
            <w:tcW w:w="1559" w:type="dxa"/>
          </w:tcPr>
          <w:p w14:paraId="4B0BF4D9" w14:textId="77777777" w:rsidR="0038709C" w:rsidRDefault="0038709C" w:rsidP="00D9145A">
            <w:pPr>
              <w:jc w:val="center"/>
            </w:pPr>
            <w:r>
              <w:t>17</w:t>
            </w:r>
          </w:p>
        </w:tc>
      </w:tr>
      <w:tr w:rsidR="0038709C" w14:paraId="3C434489" w14:textId="77777777" w:rsidTr="00987976">
        <w:tc>
          <w:tcPr>
            <w:tcW w:w="4815" w:type="dxa"/>
          </w:tcPr>
          <w:p w14:paraId="03A34092" w14:textId="77777777" w:rsidR="0038709C" w:rsidRDefault="0038709C" w:rsidP="00877153">
            <w:r>
              <w:t xml:space="preserve">Australian government </w:t>
            </w:r>
          </w:p>
        </w:tc>
        <w:tc>
          <w:tcPr>
            <w:tcW w:w="1559" w:type="dxa"/>
          </w:tcPr>
          <w:p w14:paraId="28F0E30D" w14:textId="2CAB8C87" w:rsidR="0038709C" w:rsidRDefault="0038709C" w:rsidP="00D9145A">
            <w:pPr>
              <w:jc w:val="center"/>
            </w:pPr>
            <w:r>
              <w:t>1</w:t>
            </w:r>
            <w:r w:rsidR="009C12EB">
              <w:t>5</w:t>
            </w:r>
          </w:p>
        </w:tc>
      </w:tr>
      <w:tr w:rsidR="0038709C" w:rsidRPr="0038709C" w14:paraId="763DDF2E" w14:textId="77777777" w:rsidTr="00987976">
        <w:tc>
          <w:tcPr>
            <w:tcW w:w="4815" w:type="dxa"/>
          </w:tcPr>
          <w:p w14:paraId="3A8AAC84" w14:textId="5FC588F9" w:rsidR="0038709C" w:rsidRPr="00D9145A" w:rsidRDefault="0038709C" w:rsidP="0083577E">
            <w:pPr>
              <w:spacing w:before="60" w:after="60"/>
              <w:rPr>
                <w:b/>
              </w:rPr>
            </w:pPr>
            <w:r w:rsidRPr="00D9145A">
              <w:rPr>
                <w:b/>
              </w:rPr>
              <w:t>Total</w:t>
            </w:r>
          </w:p>
        </w:tc>
        <w:tc>
          <w:tcPr>
            <w:tcW w:w="1559" w:type="dxa"/>
          </w:tcPr>
          <w:p w14:paraId="75090626" w14:textId="68D2E7D1" w:rsidR="0038709C" w:rsidRPr="00D9145A" w:rsidRDefault="0038709C" w:rsidP="0083577E">
            <w:pPr>
              <w:spacing w:before="60" w:after="60"/>
              <w:jc w:val="center"/>
              <w:rPr>
                <w:b/>
              </w:rPr>
            </w:pPr>
            <w:r w:rsidRPr="00D9145A">
              <w:rPr>
                <w:b/>
              </w:rPr>
              <w:fldChar w:fldCharType="begin"/>
            </w:r>
            <w:r w:rsidRPr="00D9145A">
              <w:rPr>
                <w:b/>
              </w:rPr>
              <w:instrText xml:space="preserve"> =SUM(ABOVE) </w:instrText>
            </w:r>
            <w:r w:rsidRPr="00D9145A">
              <w:rPr>
                <w:b/>
              </w:rPr>
              <w:fldChar w:fldCharType="separate"/>
            </w:r>
            <w:r w:rsidR="009C12EB">
              <w:rPr>
                <w:b/>
                <w:noProof/>
              </w:rPr>
              <w:t>142</w:t>
            </w:r>
            <w:r w:rsidRPr="00D9145A">
              <w:rPr>
                <w:b/>
              </w:rPr>
              <w:fldChar w:fldCharType="end"/>
            </w:r>
          </w:p>
        </w:tc>
      </w:tr>
    </w:tbl>
    <w:p w14:paraId="058A2669" w14:textId="11490BE9" w:rsidR="0038709C" w:rsidRDefault="0038709C" w:rsidP="001126B3"/>
    <w:p w14:paraId="0E410862" w14:textId="142BA257" w:rsidR="0083577E" w:rsidRDefault="006542B8" w:rsidP="006542B8">
      <w:r w:rsidRPr="007A72E0">
        <w:t xml:space="preserve">There were </w:t>
      </w:r>
      <w:r w:rsidR="00F142E9" w:rsidRPr="007A72E0">
        <w:t xml:space="preserve">various </w:t>
      </w:r>
      <w:r w:rsidRPr="007A72E0">
        <w:t xml:space="preserve">limitations to the methodology. </w:t>
      </w:r>
      <w:r w:rsidR="0028042F" w:rsidRPr="007A72E0">
        <w:t xml:space="preserve">The team was unable to hear the perspectives of victims or traffickers. Access to government shelters or prisons </w:t>
      </w:r>
      <w:r w:rsidR="0038709C">
        <w:t xml:space="preserve">was not possible </w:t>
      </w:r>
      <w:r w:rsidR="0028042F" w:rsidRPr="007A72E0">
        <w:t xml:space="preserve">to arrange during short research visits. </w:t>
      </w:r>
      <w:r w:rsidR="00F142E9" w:rsidRPr="007A72E0">
        <w:t>While t</w:t>
      </w:r>
      <w:r w:rsidRPr="007A72E0">
        <w:t xml:space="preserve">he team was able to attend a number of training events, there was limited engagement with participants from earlier trainings. Given the limited ambition </w:t>
      </w:r>
      <w:r w:rsidR="006C5A80">
        <w:t xml:space="preserve">in this mid-term review </w:t>
      </w:r>
      <w:r w:rsidRPr="007A72E0">
        <w:t xml:space="preserve">to reach </w:t>
      </w:r>
      <w:r w:rsidR="0083577E">
        <w:t xml:space="preserve">final </w:t>
      </w:r>
      <w:r w:rsidRPr="007A72E0">
        <w:t>conclusions on impact, these limitati</w:t>
      </w:r>
      <w:r w:rsidR="0083577E">
        <w:t>ons were considered acceptable.</w:t>
      </w:r>
    </w:p>
    <w:p w14:paraId="68FF9069" w14:textId="77777777" w:rsidR="00987976" w:rsidRPr="0083577E" w:rsidRDefault="00987976" w:rsidP="006542B8"/>
    <w:p w14:paraId="620C1CE6" w14:textId="77777777" w:rsidR="00B217D6" w:rsidRPr="007A72E0" w:rsidRDefault="00B217D6" w:rsidP="006D44D8">
      <w:pPr>
        <w:pStyle w:val="Heading1"/>
      </w:pPr>
      <w:bookmarkStart w:id="4" w:name="_Toc465687843"/>
      <w:r w:rsidRPr="007A72E0">
        <w:t>Relevance</w:t>
      </w:r>
      <w:bookmarkEnd w:id="4"/>
    </w:p>
    <w:p w14:paraId="568263AF" w14:textId="023E2555" w:rsidR="00B217D6" w:rsidRPr="007A72E0" w:rsidRDefault="00B217D6" w:rsidP="00B217D6">
      <w:r w:rsidRPr="007A72E0">
        <w:t>This section of the evaluation assesses the relevance of a criminal justice-focused response to trafficking. It looks at relevance through three different lenses:</w:t>
      </w:r>
      <w:r w:rsidR="0083577E">
        <w:t xml:space="preserve"> fit with Australian government policies and priorities; responsiveness to partner country </w:t>
      </w:r>
      <w:r w:rsidR="00D97C9E">
        <w:t xml:space="preserve">needs and </w:t>
      </w:r>
      <w:r w:rsidR="0083577E">
        <w:t xml:space="preserve">priorities; and the </w:t>
      </w:r>
      <w:r w:rsidR="00EB57D9">
        <w:t>program</w:t>
      </w:r>
      <w:r w:rsidR="0083577E">
        <w:t>’s overall strategic coherence and plausibility.</w:t>
      </w:r>
    </w:p>
    <w:p w14:paraId="57ADC7C8" w14:textId="77777777" w:rsidR="00B217D6" w:rsidRPr="007A72E0" w:rsidRDefault="00B217D6" w:rsidP="00B217D6">
      <w:pPr>
        <w:pStyle w:val="Heading2"/>
      </w:pPr>
      <w:bookmarkStart w:id="5" w:name="_Toc465687844"/>
      <w:r w:rsidRPr="007A72E0">
        <w:lastRenderedPageBreak/>
        <w:t>Fit with Australian priorities</w:t>
      </w:r>
      <w:bookmarkEnd w:id="5"/>
    </w:p>
    <w:p w14:paraId="6B5F037F" w14:textId="312FD8AF" w:rsidR="001D583D" w:rsidRDefault="001D583D" w:rsidP="001D583D">
      <w:r w:rsidRPr="001D583D">
        <w:rPr>
          <w:b/>
        </w:rPr>
        <w:t>AA</w:t>
      </w:r>
      <w:r w:rsidR="00A30D3B">
        <w:rPr>
          <w:b/>
        </w:rPr>
        <w:t>P</w:t>
      </w:r>
      <w:r w:rsidRPr="001D583D">
        <w:rPr>
          <w:b/>
        </w:rPr>
        <w:t xml:space="preserve">TIP aligns </w:t>
      </w:r>
      <w:r>
        <w:rPr>
          <w:b/>
        </w:rPr>
        <w:t xml:space="preserve">well </w:t>
      </w:r>
      <w:r w:rsidRPr="001D583D">
        <w:rPr>
          <w:b/>
        </w:rPr>
        <w:t xml:space="preserve">with Australian </w:t>
      </w:r>
      <w:r>
        <w:rPr>
          <w:b/>
        </w:rPr>
        <w:t>g</w:t>
      </w:r>
      <w:r w:rsidRPr="001D583D">
        <w:rPr>
          <w:b/>
        </w:rPr>
        <w:t>overnment priorities as set out in the Regional Aid Investment Plan</w:t>
      </w:r>
      <w:r>
        <w:rPr>
          <w:b/>
        </w:rPr>
        <w:t xml:space="preserve">, the </w:t>
      </w:r>
      <w:r w:rsidRPr="007A72E0">
        <w:rPr>
          <w:b/>
        </w:rPr>
        <w:t>National Action Plan on trafficking</w:t>
      </w:r>
      <w:r w:rsidRPr="00492A47">
        <w:rPr>
          <w:rStyle w:val="FootnoteReference"/>
        </w:rPr>
        <w:footnoteReference w:id="10"/>
      </w:r>
      <w:r>
        <w:rPr>
          <w:b/>
        </w:rPr>
        <w:t xml:space="preserve"> </w:t>
      </w:r>
      <w:r w:rsidRPr="001D583D">
        <w:rPr>
          <w:b/>
        </w:rPr>
        <w:t xml:space="preserve">and </w:t>
      </w:r>
      <w:r>
        <w:rPr>
          <w:b/>
        </w:rPr>
        <w:t xml:space="preserve">the </w:t>
      </w:r>
      <w:r w:rsidRPr="001D583D">
        <w:rPr>
          <w:b/>
        </w:rPr>
        <w:t xml:space="preserve">International Strategy to Combat </w:t>
      </w:r>
      <w:r w:rsidR="00B60B2B">
        <w:rPr>
          <w:b/>
        </w:rPr>
        <w:t xml:space="preserve">Human </w:t>
      </w:r>
      <w:r w:rsidRPr="001D583D">
        <w:rPr>
          <w:b/>
        </w:rPr>
        <w:t>Trafficking and Slavery</w:t>
      </w:r>
      <w:r w:rsidR="00AD67D3">
        <w:rPr>
          <w:b/>
        </w:rPr>
        <w:t xml:space="preserve"> (Figure 7)</w:t>
      </w:r>
      <w:r w:rsidRPr="001D583D">
        <w:rPr>
          <w:b/>
        </w:rPr>
        <w:t>.</w:t>
      </w:r>
      <w:r w:rsidRPr="00987976">
        <w:rPr>
          <w:rStyle w:val="FootnoteReference"/>
        </w:rPr>
        <w:footnoteReference w:id="11"/>
      </w:r>
      <w:r>
        <w:rPr>
          <w:b/>
        </w:rPr>
        <w:t xml:space="preserve"> </w:t>
      </w:r>
      <w:r w:rsidRPr="001D583D">
        <w:t xml:space="preserve">The Action Plan </w:t>
      </w:r>
      <w:r w:rsidRPr="007A72E0">
        <w:t>draw</w:t>
      </w:r>
      <w:r>
        <w:t>s</w:t>
      </w:r>
      <w:r w:rsidRPr="007A72E0">
        <w:t xml:space="preserve"> together the various strands of Australian </w:t>
      </w:r>
      <w:r w:rsidR="00B60B2B">
        <w:t>g</w:t>
      </w:r>
      <w:r w:rsidRPr="007A72E0">
        <w:t xml:space="preserve">overnment activity on trafficking, both domestically and internationally. </w:t>
      </w:r>
      <w:r>
        <w:t>O</w:t>
      </w:r>
      <w:r w:rsidRPr="007A72E0">
        <w:t xml:space="preserve">ne </w:t>
      </w:r>
      <w:r w:rsidR="000D1FDB">
        <w:t xml:space="preserve">of </w:t>
      </w:r>
      <w:r>
        <w:t xml:space="preserve">its </w:t>
      </w:r>
      <w:r w:rsidRPr="007A72E0">
        <w:t xml:space="preserve">principles is: “Australia strives to be a regional leader in deterring and combating human trafficking and slavery, and works cooperatively with other governments both regionally and internationally towards this end.” </w:t>
      </w:r>
      <w:r>
        <w:t xml:space="preserve">The International Strategy nominates Southeast Asia as Australia’s main geographical focus and mentions four pillars of engagement: prevention and deterrence; detection and investigation; prosecution and compliance; and victim support and protection. </w:t>
      </w:r>
      <w:r w:rsidRPr="007A72E0">
        <w:t xml:space="preserve">AAPTIP’s efforts to strengthen the regional legal framework and enforcement capacity are </w:t>
      </w:r>
      <w:r w:rsidR="00B60B2B">
        <w:t>referenced</w:t>
      </w:r>
      <w:r>
        <w:t xml:space="preserve">, although there is no explicit rationale for </w:t>
      </w:r>
      <w:r w:rsidR="00B60B2B">
        <w:t xml:space="preserve">the predominance of the </w:t>
      </w:r>
      <w:r>
        <w:t xml:space="preserve">investment </w:t>
      </w:r>
      <w:r w:rsidR="00B60B2B">
        <w:t xml:space="preserve">going to </w:t>
      </w:r>
      <w:r>
        <w:t>the prosecution side</w:t>
      </w:r>
      <w:r w:rsidRPr="007A72E0">
        <w:t xml:space="preserve">. </w:t>
      </w:r>
      <w:r>
        <w:t>Some stakeholders described the International Strategy as a stocktake of ongoing activities, rather than a strategy against which to measure AAPTIP’s relevance.</w:t>
      </w:r>
    </w:p>
    <w:p w14:paraId="2A201B4D" w14:textId="77777777" w:rsidR="001D583D" w:rsidRDefault="001D583D" w:rsidP="001D583D"/>
    <w:p w14:paraId="3B2F83F7" w14:textId="788FF7AE" w:rsidR="001D583D" w:rsidRPr="007A72E0" w:rsidRDefault="001D583D" w:rsidP="001D583D">
      <w:r>
        <w:t xml:space="preserve">One of the </w:t>
      </w:r>
      <w:r w:rsidR="00B60B2B">
        <w:t xml:space="preserve">objectives </w:t>
      </w:r>
      <w:r>
        <w:t xml:space="preserve">of the </w:t>
      </w:r>
      <w:r w:rsidRPr="007A72E0">
        <w:t xml:space="preserve">regional aid program </w:t>
      </w:r>
      <w:r>
        <w:t xml:space="preserve">is addressing </w:t>
      </w:r>
      <w:r w:rsidRPr="007A72E0">
        <w:t>transboundary human security challenges</w:t>
      </w:r>
      <w:r>
        <w:t>,</w:t>
      </w:r>
      <w:r w:rsidRPr="007A72E0">
        <w:t xml:space="preserve"> linked to uneven levels of development. Trafficking and labour exploitation fit squarely within that objective. AAPTIP </w:t>
      </w:r>
      <w:r w:rsidR="00B60B2B">
        <w:t xml:space="preserve">is one of </w:t>
      </w:r>
      <w:r w:rsidRPr="007A72E0">
        <w:t xml:space="preserve">a suite of three </w:t>
      </w:r>
      <w:r w:rsidR="00EB57D9">
        <w:t>program</w:t>
      </w:r>
      <w:r w:rsidRPr="007A72E0">
        <w:t>s, the others being:</w:t>
      </w:r>
    </w:p>
    <w:p w14:paraId="28E67C97" w14:textId="77777777" w:rsidR="001D583D" w:rsidRPr="007A72E0" w:rsidRDefault="001D583D" w:rsidP="001D583D"/>
    <w:p w14:paraId="2D4668E0" w14:textId="2BBD5792" w:rsidR="001D583D" w:rsidRPr="007A72E0" w:rsidRDefault="001D583D" w:rsidP="001D583D">
      <w:pPr>
        <w:pStyle w:val="ListParagraph"/>
        <w:numPr>
          <w:ilvl w:val="0"/>
          <w:numId w:val="7"/>
        </w:numPr>
      </w:pPr>
      <w:r w:rsidRPr="007A72E0">
        <w:t xml:space="preserve">the Tripartite Action to Enhance the Contribution of Labour Migration to Growth and Development in ASEAN (TRIANGLE II), </w:t>
      </w:r>
      <w:r w:rsidR="00436605">
        <w:t>implemented</w:t>
      </w:r>
      <w:r w:rsidR="00AD67D3" w:rsidRPr="007A72E0">
        <w:t xml:space="preserve"> </w:t>
      </w:r>
      <w:r w:rsidRPr="007A72E0">
        <w:t>by</w:t>
      </w:r>
      <w:r w:rsidR="00A30D3B">
        <w:t xml:space="preserve"> the</w:t>
      </w:r>
      <w:r w:rsidRPr="007A72E0">
        <w:t xml:space="preserve"> I</w:t>
      </w:r>
      <w:r w:rsidR="00A30D3B">
        <w:t xml:space="preserve">nternational </w:t>
      </w:r>
      <w:r w:rsidRPr="007A72E0">
        <w:t>L</w:t>
      </w:r>
      <w:r w:rsidR="00A30D3B">
        <w:t xml:space="preserve">abour </w:t>
      </w:r>
      <w:r w:rsidRPr="007A72E0">
        <w:t>O</w:t>
      </w:r>
      <w:r w:rsidR="00A30D3B">
        <w:t>rganization</w:t>
      </w:r>
      <w:r w:rsidRPr="007A72E0">
        <w:t xml:space="preserve"> ($20 million</w:t>
      </w:r>
      <w:r w:rsidR="00A30D3B">
        <w:t>,</w:t>
      </w:r>
      <w:r w:rsidRPr="007A72E0">
        <w:t xml:space="preserve"> 2015-25); and </w:t>
      </w:r>
    </w:p>
    <w:p w14:paraId="01321FD0" w14:textId="56433709" w:rsidR="001D583D" w:rsidRPr="007A72E0" w:rsidRDefault="001D583D" w:rsidP="001D583D">
      <w:pPr>
        <w:pStyle w:val="ListParagraph"/>
        <w:numPr>
          <w:ilvl w:val="0"/>
          <w:numId w:val="7"/>
        </w:numPr>
      </w:pPr>
      <w:r w:rsidRPr="007A72E0">
        <w:t xml:space="preserve">Preventing the Exploitation of Women Migrant Workers in ASEAN, </w:t>
      </w:r>
      <w:r w:rsidR="00436605">
        <w:t>implemented</w:t>
      </w:r>
      <w:r w:rsidR="00AD67D3" w:rsidRPr="007A72E0">
        <w:t xml:space="preserve"> </w:t>
      </w:r>
      <w:r w:rsidRPr="007A72E0">
        <w:t>by UN Women ($2 million</w:t>
      </w:r>
      <w:r w:rsidR="00AD67D3">
        <w:t>,</w:t>
      </w:r>
      <w:r w:rsidRPr="007A72E0">
        <w:t xml:space="preserve"> 2014-1</w:t>
      </w:r>
      <w:r>
        <w:t>7</w:t>
      </w:r>
      <w:r w:rsidRPr="007A72E0">
        <w:t>).</w:t>
      </w:r>
    </w:p>
    <w:p w14:paraId="7AFB1825" w14:textId="77777777" w:rsidR="001D583D" w:rsidRPr="007A72E0" w:rsidRDefault="001D583D" w:rsidP="001D583D"/>
    <w:p w14:paraId="0DDA3C61" w14:textId="6BA33B72" w:rsidR="001D583D" w:rsidRDefault="001D583D" w:rsidP="001D583D">
      <w:r w:rsidRPr="007A72E0">
        <w:t xml:space="preserve">The three programs are </w:t>
      </w:r>
      <w:r w:rsidR="00AD67D3">
        <w:t xml:space="preserve">addressing </w:t>
      </w:r>
      <w:r w:rsidRPr="007A72E0">
        <w:t xml:space="preserve">different aspects of trafficking/irregular migration and in principle could </w:t>
      </w:r>
      <w:r>
        <w:t>for</w:t>
      </w:r>
      <w:r w:rsidR="00B60B2B">
        <w:t>m</w:t>
      </w:r>
      <w:r w:rsidRPr="007A72E0">
        <w:t xml:space="preserve"> a strategic cluster of mutually reinforcing interventions. In practice, </w:t>
      </w:r>
      <w:r>
        <w:t>however, we did not see much evidence that the three programs were being managed as a package.</w:t>
      </w:r>
      <w:r w:rsidRPr="007A72E0">
        <w:t xml:space="preserve"> </w:t>
      </w:r>
    </w:p>
    <w:p w14:paraId="2F3A18AF" w14:textId="77777777" w:rsidR="00D64E7E" w:rsidRDefault="00D64E7E" w:rsidP="00D64E7E"/>
    <w:p w14:paraId="1CE6C17D" w14:textId="0EC59E92" w:rsidR="00D64E7E" w:rsidRPr="007A72E0" w:rsidRDefault="00D64E7E" w:rsidP="00D64E7E">
      <w:r w:rsidRPr="007A72E0">
        <w:t xml:space="preserve">There are </w:t>
      </w:r>
      <w:r>
        <w:t xml:space="preserve">thematic </w:t>
      </w:r>
      <w:r w:rsidRPr="007A72E0">
        <w:t xml:space="preserve">linkages between AAPTIP and the work of whole-of-government partners, including the Australian Federal Police, the Attorney-General’s Department and the Bali Process on </w:t>
      </w:r>
      <w:r w:rsidR="00AD67D3">
        <w:t>P</w:t>
      </w:r>
      <w:r w:rsidRPr="007A72E0">
        <w:t xml:space="preserve">eople </w:t>
      </w:r>
      <w:r w:rsidR="00AD67D3">
        <w:t>S</w:t>
      </w:r>
      <w:r w:rsidRPr="007A72E0">
        <w:t>muggling</w:t>
      </w:r>
      <w:r w:rsidR="00AD67D3">
        <w:t>,</w:t>
      </w:r>
      <w:r w:rsidRPr="007A72E0">
        <w:t xml:space="preserve"> </w:t>
      </w:r>
      <w:r w:rsidR="00AD67D3">
        <w:t>T</w:t>
      </w:r>
      <w:r w:rsidRPr="007A72E0">
        <w:t>rafficking</w:t>
      </w:r>
      <w:r w:rsidR="00AD67D3">
        <w:t xml:space="preserve"> in Persons and Related Transnational Crime</w:t>
      </w:r>
      <w:r w:rsidRPr="007A72E0">
        <w:t xml:space="preserve">, which </w:t>
      </w:r>
      <w:r w:rsidR="00AD67D3">
        <w:t xml:space="preserve">is co-chaired by </w:t>
      </w:r>
      <w:r w:rsidRPr="007A72E0">
        <w:t xml:space="preserve">Australia </w:t>
      </w:r>
      <w:r w:rsidR="00AD67D3">
        <w:t>and Indonesia</w:t>
      </w:r>
      <w:r w:rsidRPr="007A72E0">
        <w:t xml:space="preserve">. </w:t>
      </w:r>
    </w:p>
    <w:p w14:paraId="66B213B5" w14:textId="77777777" w:rsidR="00D64E7E" w:rsidRDefault="00D64E7E" w:rsidP="001D583D"/>
    <w:p w14:paraId="1DF088EC" w14:textId="77777777" w:rsidR="00B60B2B" w:rsidRDefault="00B60B2B" w:rsidP="001D583D"/>
    <w:p w14:paraId="253EE795" w14:textId="77777777" w:rsidR="00D64E7E" w:rsidRDefault="00D64E7E">
      <w:pPr>
        <w:rPr>
          <w:b/>
          <w:color w:val="365F91" w:themeColor="accent1" w:themeShade="BF"/>
          <w:sz w:val="22"/>
          <w:szCs w:val="22"/>
        </w:rPr>
      </w:pPr>
      <w:r>
        <w:rPr>
          <w:b/>
          <w:color w:val="365F91" w:themeColor="accent1" w:themeShade="BF"/>
          <w:sz w:val="22"/>
          <w:szCs w:val="22"/>
        </w:rPr>
        <w:br w:type="page"/>
      </w:r>
    </w:p>
    <w:p w14:paraId="78D38FD6" w14:textId="29C43C34" w:rsidR="001D583D" w:rsidRPr="000D0602" w:rsidRDefault="00D64E7E" w:rsidP="001D583D">
      <w:pPr>
        <w:pStyle w:val="ListParagraph"/>
        <w:rPr>
          <w:b/>
          <w:color w:val="365F91" w:themeColor="accent1" w:themeShade="BF"/>
          <w:sz w:val="22"/>
          <w:szCs w:val="22"/>
        </w:rPr>
      </w:pPr>
      <w:r>
        <w:rPr>
          <w:b/>
          <w:color w:val="365F91" w:themeColor="accent1" w:themeShade="BF"/>
          <w:sz w:val="22"/>
          <w:szCs w:val="22"/>
        </w:rPr>
        <w:lastRenderedPageBreak/>
        <w:t>Figure 7</w:t>
      </w:r>
      <w:r w:rsidR="001D583D" w:rsidRPr="000D0602">
        <w:rPr>
          <w:b/>
          <w:color w:val="365F91" w:themeColor="accent1" w:themeShade="BF"/>
          <w:sz w:val="22"/>
          <w:szCs w:val="22"/>
        </w:rPr>
        <w:t>: Australian Government policy and strategic framework</w:t>
      </w:r>
    </w:p>
    <w:tbl>
      <w:tblPr>
        <w:tblStyle w:val="TableGrid"/>
        <w:tblW w:w="0" w:type="auto"/>
        <w:tblInd w:w="170" w:type="dxa"/>
        <w:tblLook w:val="04A0" w:firstRow="1" w:lastRow="0" w:firstColumn="1" w:lastColumn="0" w:noHBand="0" w:noVBand="1"/>
      </w:tblPr>
      <w:tblGrid>
        <w:gridCol w:w="8346"/>
      </w:tblGrid>
      <w:tr w:rsidR="001D583D" w:rsidRPr="007A72E0" w14:paraId="7F986731" w14:textId="77777777" w:rsidTr="00987976">
        <w:tc>
          <w:tcPr>
            <w:tcW w:w="8602" w:type="dxa"/>
            <w:shd w:val="clear" w:color="auto" w:fill="DBE5F1" w:themeFill="accent1" w:themeFillTint="33"/>
          </w:tcPr>
          <w:p w14:paraId="6741F5A8" w14:textId="4E60FD96" w:rsidR="001D583D" w:rsidRPr="00987976" w:rsidRDefault="001D583D" w:rsidP="00D546E3">
            <w:pPr>
              <w:spacing w:before="60" w:after="60"/>
              <w:rPr>
                <w:b/>
                <w:sz w:val="22"/>
                <w:szCs w:val="22"/>
              </w:rPr>
            </w:pPr>
            <w:r w:rsidRPr="00987976">
              <w:rPr>
                <w:b/>
                <w:sz w:val="22"/>
                <w:szCs w:val="22"/>
              </w:rPr>
              <w:t xml:space="preserve">Aid Investment Plan: </w:t>
            </w:r>
            <w:r w:rsidR="00DB7F90" w:rsidRPr="00987976">
              <w:rPr>
                <w:b/>
                <w:sz w:val="22"/>
                <w:szCs w:val="22"/>
              </w:rPr>
              <w:t>Southeast</w:t>
            </w:r>
            <w:r w:rsidRPr="00987976">
              <w:rPr>
                <w:b/>
                <w:sz w:val="22"/>
                <w:szCs w:val="22"/>
              </w:rPr>
              <w:t xml:space="preserve"> Asia Regional Economic Growth and Human Security Program 2015-16 to 2018-19</w:t>
            </w:r>
          </w:p>
          <w:p w14:paraId="687A240B" w14:textId="79ED4652" w:rsidR="001D583D" w:rsidRPr="007A72E0" w:rsidRDefault="001D583D" w:rsidP="00D546E3">
            <w:pPr>
              <w:spacing w:before="60" w:after="60"/>
              <w:ind w:left="294"/>
              <w:rPr>
                <w:sz w:val="22"/>
                <w:szCs w:val="22"/>
              </w:rPr>
            </w:pPr>
            <w:r w:rsidRPr="007A72E0">
              <w:rPr>
                <w:sz w:val="22"/>
                <w:szCs w:val="22"/>
              </w:rPr>
              <w:t xml:space="preserve">Australia’s </w:t>
            </w:r>
            <w:r w:rsidR="00DB7F90">
              <w:rPr>
                <w:sz w:val="22"/>
                <w:szCs w:val="22"/>
              </w:rPr>
              <w:t>Southeast</w:t>
            </w:r>
            <w:r w:rsidRPr="007A72E0">
              <w:rPr>
                <w:sz w:val="22"/>
                <w:szCs w:val="22"/>
              </w:rPr>
              <w:t xml:space="preserve"> Asia regional aid program addresses challenges that are transboundary in nature and related to uneven levels of development across the region. Human trafficking and large-scale exploitation of migrant workers undermine the rule of law and threaten stability. The crimes involved are low risk and high reward, causing criminal networks to flourish. This calls for a combination of criminal prosecution and safe and legal migration routes. </w:t>
            </w:r>
          </w:p>
          <w:p w14:paraId="30C5970F" w14:textId="77777777" w:rsidR="001D583D" w:rsidRPr="007A72E0" w:rsidRDefault="001D583D" w:rsidP="00D546E3">
            <w:pPr>
              <w:spacing w:before="120" w:after="60"/>
              <w:rPr>
                <w:b/>
                <w:sz w:val="22"/>
                <w:szCs w:val="22"/>
              </w:rPr>
            </w:pPr>
            <w:r w:rsidRPr="007A72E0">
              <w:rPr>
                <w:b/>
                <w:sz w:val="22"/>
                <w:szCs w:val="22"/>
              </w:rPr>
              <w:t>National Action Plan to Combat Human Trafficking and Slavery 2015-19</w:t>
            </w:r>
          </w:p>
          <w:p w14:paraId="2740E4DB" w14:textId="77777777" w:rsidR="001D583D" w:rsidRPr="007A72E0" w:rsidRDefault="001D583D" w:rsidP="00D546E3">
            <w:pPr>
              <w:spacing w:before="60" w:after="60"/>
              <w:ind w:left="294"/>
            </w:pPr>
            <w:r w:rsidRPr="007A72E0">
              <w:rPr>
                <w:sz w:val="22"/>
                <w:szCs w:val="22"/>
              </w:rPr>
              <w:t>“Australia strives to be a regional leader in deterring and combating human trafficking and slavery, and works cooperatively with other governments both regionally and internationally towards this end.”</w:t>
            </w:r>
          </w:p>
        </w:tc>
      </w:tr>
    </w:tbl>
    <w:p w14:paraId="14BBC780" w14:textId="77777777" w:rsidR="001D583D" w:rsidRPr="007A72E0" w:rsidRDefault="001D583D" w:rsidP="001D583D">
      <w:pPr>
        <w:ind w:left="-567" w:right="-489" w:firstLine="567"/>
      </w:pPr>
    </w:p>
    <w:p w14:paraId="2A75FC85" w14:textId="1EAFA809" w:rsidR="0022062B" w:rsidRDefault="0083577E" w:rsidP="006A17AA">
      <w:r w:rsidRPr="0083577E">
        <w:rPr>
          <w:b/>
        </w:rPr>
        <w:t xml:space="preserve">AAPTIP is well regarded by the Australian </w:t>
      </w:r>
      <w:r w:rsidR="00F575C7">
        <w:rPr>
          <w:b/>
        </w:rPr>
        <w:t>G</w:t>
      </w:r>
      <w:r w:rsidRPr="0083577E">
        <w:rPr>
          <w:b/>
        </w:rPr>
        <w:t xml:space="preserve">overnment for its visibility in the region and its ability to serve as a platform for engagement with ASEAN, member countries and their criminal justice agencies. </w:t>
      </w:r>
      <w:r w:rsidRPr="007A72E0">
        <w:t xml:space="preserve">DFAT officials report receiving good feedback </w:t>
      </w:r>
      <w:r w:rsidR="001D583D" w:rsidRPr="007A72E0">
        <w:t xml:space="preserve">about the program </w:t>
      </w:r>
      <w:r w:rsidRPr="007A72E0">
        <w:t>from partner countries at a senior level.</w:t>
      </w:r>
      <w:r w:rsidR="001D583D">
        <w:t xml:space="preserve"> </w:t>
      </w:r>
      <w:r w:rsidR="0022062B">
        <w:t>The sustained investment in the criminal justice response to trafficking has established a clear niche for Australia, with high visibility. It has also position</w:t>
      </w:r>
      <w:r w:rsidR="00F8269E">
        <w:t>ed</w:t>
      </w:r>
      <w:r w:rsidR="0022062B">
        <w:t xml:space="preserve"> Australia as a supportive partner to ASEAN. The </w:t>
      </w:r>
      <w:r w:rsidR="00C54EFF" w:rsidRPr="007A72E0">
        <w:t>predecessor program, ARTIP, made significant breakthroughs in helping to build a regional architecture for transnational criminal cooperation on trafficking. Structures that Australia helped to establish, such as the Heads of Specialist Unit</w:t>
      </w:r>
      <w:r w:rsidR="003744AC">
        <w:t>s</w:t>
      </w:r>
      <w:r w:rsidR="00C54EFF" w:rsidRPr="007A72E0">
        <w:t xml:space="preserve">, have continued to function beyond the period of direct support. </w:t>
      </w:r>
      <w:r w:rsidR="00071B57" w:rsidRPr="007A72E0">
        <w:t>The program also had indirect influence on the ASEAN Conve</w:t>
      </w:r>
      <w:r w:rsidR="0022062B">
        <w:t xml:space="preserve">ntion on Trafficking in Persons; while donors were not invited to support the drafting of the Convention, some of AAPTIP’s prior work was drawn on by the drafters. </w:t>
      </w:r>
    </w:p>
    <w:p w14:paraId="13A290EA" w14:textId="77777777" w:rsidR="0022062B" w:rsidRDefault="0022062B" w:rsidP="006A17AA"/>
    <w:p w14:paraId="5CC676BF" w14:textId="10BF5977" w:rsidR="00560C36" w:rsidRPr="007A72E0" w:rsidRDefault="0022062B" w:rsidP="00CA2DFF">
      <w:r>
        <w:rPr>
          <w:b/>
        </w:rPr>
        <w:t xml:space="preserve">We nonetheless conclude that </w:t>
      </w:r>
      <w:r w:rsidR="00D62EC2" w:rsidRPr="007A72E0">
        <w:rPr>
          <w:b/>
        </w:rPr>
        <w:t xml:space="preserve">DFAT </w:t>
      </w:r>
      <w:r w:rsidR="00F90972">
        <w:rPr>
          <w:b/>
        </w:rPr>
        <w:t>could use the</w:t>
      </w:r>
      <w:r w:rsidR="00D62EC2" w:rsidRPr="007A72E0">
        <w:rPr>
          <w:b/>
        </w:rPr>
        <w:t xml:space="preserve"> diplomatic platform provided by the program</w:t>
      </w:r>
      <w:r w:rsidR="00F90972">
        <w:rPr>
          <w:b/>
        </w:rPr>
        <w:t xml:space="preserve"> in more effective ways</w:t>
      </w:r>
      <w:r w:rsidR="00D62EC2" w:rsidRPr="007A72E0">
        <w:rPr>
          <w:b/>
        </w:rPr>
        <w:t xml:space="preserve">. </w:t>
      </w:r>
      <w:r w:rsidR="00DA4834">
        <w:t xml:space="preserve">Potentially, more diplomatic engagement with the program and its counterparts could help to advance Australia’s objectives and enhance the program’s influence. </w:t>
      </w:r>
      <w:r>
        <w:t>Part of AAPTIP’s budget goes to fund a</w:t>
      </w:r>
      <w:r w:rsidR="00560C36" w:rsidRPr="007A72E0">
        <w:t xml:space="preserve"> Partnerships and Advocacy Manager</w:t>
      </w:r>
      <w:r>
        <w:t>, situated</w:t>
      </w:r>
      <w:r w:rsidR="00560C36" w:rsidRPr="007A72E0">
        <w:t xml:space="preserve"> in the Bangkok </w:t>
      </w:r>
      <w:r>
        <w:t>embassy</w:t>
      </w:r>
      <w:r w:rsidR="00560C36" w:rsidRPr="007A72E0">
        <w:t xml:space="preserve">, to manage </w:t>
      </w:r>
      <w:r w:rsidR="008D01D0">
        <w:t xml:space="preserve">internal and external </w:t>
      </w:r>
      <w:r>
        <w:t xml:space="preserve">stakeholder </w:t>
      </w:r>
      <w:r w:rsidR="00560C36" w:rsidRPr="007A72E0">
        <w:t xml:space="preserve">relationships. However, </w:t>
      </w:r>
      <w:r>
        <w:t xml:space="preserve">we saw little evidence </w:t>
      </w:r>
      <w:r w:rsidR="00560C36" w:rsidRPr="007A72E0">
        <w:t>that DFAT ha</w:t>
      </w:r>
      <w:r w:rsidR="00877153">
        <w:t>d</w:t>
      </w:r>
      <w:r w:rsidR="00560C36" w:rsidRPr="007A72E0">
        <w:t xml:space="preserve"> used </w:t>
      </w:r>
      <w:r w:rsidR="000F3B99" w:rsidRPr="007A72E0">
        <w:t xml:space="preserve">AAPTIP as a platform </w:t>
      </w:r>
      <w:r>
        <w:t xml:space="preserve">to pursue </w:t>
      </w:r>
      <w:r w:rsidR="00560C36" w:rsidRPr="007A72E0">
        <w:t xml:space="preserve">any particular </w:t>
      </w:r>
      <w:r w:rsidR="008D01D0">
        <w:t xml:space="preserve">external </w:t>
      </w:r>
      <w:r w:rsidR="00560C36" w:rsidRPr="007A72E0">
        <w:t xml:space="preserve">advocacy agenda. </w:t>
      </w:r>
      <w:r w:rsidR="00A91ABF">
        <w:t>As a</w:t>
      </w:r>
      <w:r w:rsidR="008D01D0">
        <w:t>dvocacy was ad hoc</w:t>
      </w:r>
      <w:r w:rsidR="00A91ABF">
        <w:t xml:space="preserve">, opportunities to </w:t>
      </w:r>
      <w:r w:rsidR="00DA4834">
        <w:t xml:space="preserve">work jointly with </w:t>
      </w:r>
      <w:r>
        <w:t xml:space="preserve">other actors </w:t>
      </w:r>
      <w:r w:rsidR="00DA4834">
        <w:t>– such as leveraging the results of the U</w:t>
      </w:r>
      <w:r w:rsidR="00F575C7">
        <w:t xml:space="preserve">nited </w:t>
      </w:r>
      <w:r w:rsidR="00DA4834">
        <w:t>S</w:t>
      </w:r>
      <w:r w:rsidR="00F575C7">
        <w:t>tates</w:t>
      </w:r>
      <w:r w:rsidR="00DA4834">
        <w:t xml:space="preserve"> TIP Report to encourage action – </w:t>
      </w:r>
      <w:r>
        <w:t>were</w:t>
      </w:r>
      <w:r w:rsidR="00DA4834">
        <w:t xml:space="preserve"> </w:t>
      </w:r>
      <w:r>
        <w:t>not utilised.</w:t>
      </w:r>
    </w:p>
    <w:p w14:paraId="44C662EA" w14:textId="64A4D141" w:rsidR="00560C36" w:rsidRPr="007A72E0" w:rsidRDefault="00560C36" w:rsidP="00560C36">
      <w:pPr>
        <w:pStyle w:val="Heading2"/>
      </w:pPr>
      <w:bookmarkStart w:id="6" w:name="_Toc465687845"/>
      <w:r w:rsidRPr="007A72E0">
        <w:t>Relevance to partner country and counterpart priorities</w:t>
      </w:r>
      <w:bookmarkEnd w:id="6"/>
    </w:p>
    <w:p w14:paraId="5275B7D4" w14:textId="78BECE62" w:rsidR="00D97C9E" w:rsidRPr="00D97C9E" w:rsidRDefault="00D97C9E" w:rsidP="0022062B">
      <w:r>
        <w:rPr>
          <w:b/>
        </w:rPr>
        <w:t xml:space="preserve">AAPTIP’s own analysis suggests that combatting trafficking has not been a high priority for countries of the region, but is becoming more important. </w:t>
      </w:r>
      <w:r>
        <w:t>National criminal justice agencies give relatively little priority to trafficking cases, for a number of reasons. Prosecutions are complex and time consuming, particular</w:t>
      </w:r>
      <w:r w:rsidR="00F575C7">
        <w:t>ly</w:t>
      </w:r>
      <w:r>
        <w:t xml:space="preserve"> for labour trafficking. Criminal justice agencies therefore tend to focus their efforts on sex trafficking cases, usually through prosecution of low-level figures in prostitution or the sale of brides </w:t>
      </w:r>
      <w:r w:rsidR="00D24E62">
        <w:t xml:space="preserve">to China </w:t>
      </w:r>
      <w:r>
        <w:t xml:space="preserve">(Myanmar). There is a widespread view </w:t>
      </w:r>
      <w:r w:rsidR="008D01D0">
        <w:t xml:space="preserve">in these </w:t>
      </w:r>
      <w:r w:rsidR="008D01D0">
        <w:lastRenderedPageBreak/>
        <w:t xml:space="preserve">agencies </w:t>
      </w:r>
      <w:r>
        <w:t xml:space="preserve">that only women and children can be victims of trafficking, which excludes most labour trafficking from the attention of the authorities. </w:t>
      </w:r>
      <w:r w:rsidR="00D24E62">
        <w:t xml:space="preserve">However, there is some evidence that labour trafficking may </w:t>
      </w:r>
      <w:r w:rsidR="00F8269E">
        <w:t xml:space="preserve">be emerging as </w:t>
      </w:r>
      <w:r w:rsidR="00D24E62">
        <w:t xml:space="preserve">a higher priority </w:t>
      </w:r>
      <w:r w:rsidR="008D01D0">
        <w:t xml:space="preserve">for some governments </w:t>
      </w:r>
      <w:r w:rsidR="00D24E62">
        <w:t xml:space="preserve">in the region. Economic interests in some sectors, such as fishing, have led to national action against labour trafficking. There is also growing pressure on international companies to eliminate slavery and trafficking from their </w:t>
      </w:r>
      <w:r w:rsidR="00F8269E">
        <w:t xml:space="preserve">supply </w:t>
      </w:r>
      <w:r w:rsidR="00D24E62">
        <w:t>chains.</w:t>
      </w:r>
    </w:p>
    <w:p w14:paraId="11329D45" w14:textId="0857614C" w:rsidR="00D97C9E" w:rsidRDefault="00D97C9E" w:rsidP="0022062B">
      <w:pPr>
        <w:rPr>
          <w:b/>
        </w:rPr>
      </w:pPr>
    </w:p>
    <w:p w14:paraId="76FCBA33" w14:textId="63C25C27" w:rsidR="0022062B" w:rsidRDefault="00D24E62" w:rsidP="0022062B">
      <w:r>
        <w:rPr>
          <w:b/>
        </w:rPr>
        <w:t xml:space="preserve">AAPTIP helps its partner countries respond to international pressures. </w:t>
      </w:r>
      <w:r w:rsidR="0022062B" w:rsidRPr="007A72E0">
        <w:t>Regional partners such as Thailand and the Philippines are under significant pressure by the U</w:t>
      </w:r>
      <w:r w:rsidR="00F575C7">
        <w:t xml:space="preserve">nited </w:t>
      </w:r>
      <w:r w:rsidR="0022062B" w:rsidRPr="007A72E0">
        <w:t>S</w:t>
      </w:r>
      <w:r w:rsidR="00F575C7">
        <w:t>tates</w:t>
      </w:r>
      <w:r w:rsidR="0022062B" w:rsidRPr="007A72E0">
        <w:t xml:space="preserve"> and the E</w:t>
      </w:r>
      <w:r w:rsidR="00F575C7">
        <w:t xml:space="preserve">uropean </w:t>
      </w:r>
      <w:r w:rsidR="0022062B" w:rsidRPr="007A72E0">
        <w:t>U</w:t>
      </w:r>
      <w:r w:rsidR="00F575C7">
        <w:t>nion</w:t>
      </w:r>
      <w:r w:rsidR="0022062B" w:rsidRPr="007A72E0">
        <w:t xml:space="preserve"> to take action on trafficking. </w:t>
      </w:r>
      <w:r w:rsidR="0022062B">
        <w:t>The U</w:t>
      </w:r>
      <w:r w:rsidR="00F575C7">
        <w:t xml:space="preserve">nited </w:t>
      </w:r>
      <w:r w:rsidR="0022062B">
        <w:t>S</w:t>
      </w:r>
      <w:r w:rsidR="00F575C7">
        <w:t>tates</w:t>
      </w:r>
      <w:r w:rsidR="0022062B">
        <w:t xml:space="preserve"> </w:t>
      </w:r>
      <w:r w:rsidR="000E5259" w:rsidRPr="00987976">
        <w:t>TIP Report</w:t>
      </w:r>
      <w:r w:rsidR="000E5259">
        <w:rPr>
          <w:i/>
        </w:rPr>
        <w:t xml:space="preserve"> </w:t>
      </w:r>
      <w:r w:rsidR="0022062B">
        <w:t>ranks governments for their level of effort in combatting trafficking. While there are no direct sanctions attached to a low ranking, count</w:t>
      </w:r>
      <w:r w:rsidR="00F8269E">
        <w:t>r</w:t>
      </w:r>
      <w:r w:rsidR="0022062B">
        <w:t>ies fear it may affect their trade relationships. The E</w:t>
      </w:r>
      <w:r w:rsidR="00F575C7">
        <w:t xml:space="preserve">uropean </w:t>
      </w:r>
      <w:r w:rsidR="0022062B">
        <w:t>U</w:t>
      </w:r>
      <w:r w:rsidR="00F575C7">
        <w:t>nion</w:t>
      </w:r>
      <w:r w:rsidR="0022062B">
        <w:t xml:space="preserve"> can issue ‘yellow cards’ for illegal practices in the fishing i</w:t>
      </w:r>
      <w:r>
        <w:t>ndustry, including human traffi</w:t>
      </w:r>
      <w:r w:rsidR="0022062B">
        <w:t xml:space="preserve">cking. </w:t>
      </w:r>
      <w:r w:rsidR="0022062B" w:rsidRPr="007A72E0">
        <w:t xml:space="preserve">AAPTIP is well positioned to offer </w:t>
      </w:r>
      <w:r w:rsidR="0022062B">
        <w:t xml:space="preserve">countries of the region </w:t>
      </w:r>
      <w:r w:rsidR="0022062B" w:rsidRPr="007A72E0">
        <w:t xml:space="preserve">support in responding to </w:t>
      </w:r>
      <w:r w:rsidR="0022062B">
        <w:t xml:space="preserve">these </w:t>
      </w:r>
      <w:r w:rsidR="0022062B" w:rsidRPr="007A72E0">
        <w:t>pressure</w:t>
      </w:r>
      <w:r w:rsidR="0022062B">
        <w:t>s</w:t>
      </w:r>
      <w:r w:rsidR="0022062B" w:rsidRPr="007A72E0">
        <w:t xml:space="preserve">. </w:t>
      </w:r>
    </w:p>
    <w:p w14:paraId="01BAAC61" w14:textId="403BFA90" w:rsidR="00D24E62" w:rsidRDefault="00D24E62" w:rsidP="0022062B"/>
    <w:p w14:paraId="13D7C502" w14:textId="02307FDA" w:rsidR="00442B82" w:rsidRPr="00D24E62" w:rsidRDefault="00D24E62" w:rsidP="00CA2DFF">
      <w:pPr>
        <w:rPr>
          <w:b/>
        </w:rPr>
      </w:pPr>
      <w:r w:rsidRPr="00D546E3">
        <w:rPr>
          <w:b/>
        </w:rPr>
        <w:t>However, there are risks that these external pressures may create unhelpful incentives.</w:t>
      </w:r>
      <w:r>
        <w:t xml:space="preserve"> The pressure to take visible action against trafficking could lead to superficial measures to boost prosecution numbers of low-level figures in trafficking. AAPTIP has recognised the need to guard against unsafe convictions</w:t>
      </w:r>
      <w:r w:rsidR="00EB57D9">
        <w:t xml:space="preserve">. </w:t>
      </w:r>
    </w:p>
    <w:p w14:paraId="7A835C95" w14:textId="77777777" w:rsidR="00916C9E" w:rsidRPr="007A72E0" w:rsidRDefault="00916C9E" w:rsidP="00916C9E">
      <w:pPr>
        <w:pStyle w:val="Heading2"/>
      </w:pPr>
      <w:bookmarkStart w:id="7" w:name="_Toc465687846"/>
      <w:r w:rsidRPr="007A72E0">
        <w:t>Strategic coherence and plausibility</w:t>
      </w:r>
      <w:bookmarkEnd w:id="7"/>
    </w:p>
    <w:p w14:paraId="39B2F659" w14:textId="3F1524A1" w:rsidR="00D24E62" w:rsidRDefault="00D24E62" w:rsidP="00CA2DFF">
      <w:r>
        <w:rPr>
          <w:b/>
        </w:rPr>
        <w:t>AAPTIP</w:t>
      </w:r>
      <w:r w:rsidR="004D5DB2">
        <w:rPr>
          <w:b/>
        </w:rPr>
        <w:t>’s</w:t>
      </w:r>
      <w:r>
        <w:rPr>
          <w:b/>
        </w:rPr>
        <w:t xml:space="preserve"> theory of change contains unrealistic elements. </w:t>
      </w:r>
      <w:r w:rsidR="00157EC8" w:rsidRPr="00D64E7E">
        <w:t xml:space="preserve">AAPTIP’s design </w:t>
      </w:r>
      <w:r w:rsidR="00157EC8">
        <w:t xml:space="preserve">and strategy documents are </w:t>
      </w:r>
      <w:r w:rsidR="00157EC8" w:rsidRPr="00D64E7E">
        <w:t>very ambitious</w:t>
      </w:r>
      <w:r w:rsidR="00157EC8">
        <w:t xml:space="preserve">, calling for </w:t>
      </w:r>
      <w:r w:rsidR="00B7401B" w:rsidRPr="00B7401B">
        <w:t>“transformative initiatives that spawn sustainable gains against the human trafficking phenomenon</w:t>
      </w:r>
      <w:r w:rsidR="00B7401B">
        <w:t>.”</w:t>
      </w:r>
      <w:r w:rsidR="00B7401B" w:rsidRPr="00492A47">
        <w:rPr>
          <w:rStyle w:val="FootnoteReference"/>
        </w:rPr>
        <w:footnoteReference w:id="12"/>
      </w:r>
      <w:r w:rsidR="00157EC8">
        <w:rPr>
          <w:b/>
        </w:rPr>
        <w:t xml:space="preserve"> </w:t>
      </w:r>
      <w:r w:rsidR="00B7401B">
        <w:t xml:space="preserve">Its </w:t>
      </w:r>
      <w:r w:rsidR="002E7819" w:rsidRPr="007A72E0">
        <w:t xml:space="preserve">goal is to “reduce the incentives and opportunities for trafficking of persons in the </w:t>
      </w:r>
      <w:r w:rsidR="002E7819" w:rsidRPr="00987976">
        <w:t>ASEAN region</w:t>
      </w:r>
      <w:r w:rsidR="002E7819" w:rsidRPr="007A72E0">
        <w:t xml:space="preserve">”. </w:t>
      </w:r>
      <w:r>
        <w:t xml:space="preserve">The program was designed to accomplish this by strengthening the capacity of the criminal justice system to prosecute trafficking cases, thereby shifting the risk/reward calculations of traffickers and reducing the incidence of trafficking. This theory of change is now recognised as unrealistic, for a number of reasons. The program’s own research shows a widespread perception among traffickers that </w:t>
      </w:r>
      <w:r w:rsidR="00AE6E5E">
        <w:t xml:space="preserve">the likelihood of sanction is low. The diffuse nature of the criminal networks involved in trafficking makes them difficult to target through prosecution. The theory of change also assumes that capacity shortfalls are the binding constraint on the performance of criminal justice institutions on trafficking. However, if other factors are </w:t>
      </w:r>
      <w:r w:rsidR="009C3083">
        <w:t xml:space="preserve">at </w:t>
      </w:r>
      <w:r w:rsidR="00AE6E5E">
        <w:t xml:space="preserve">play, such as competing priorities, corruption or political protection for traffickers, then increased capacity may not lead to </w:t>
      </w:r>
      <w:r w:rsidR="00DA1E74">
        <w:t>improved performance</w:t>
      </w:r>
      <w:r w:rsidR="00AE6E5E">
        <w:t xml:space="preserve">. </w:t>
      </w:r>
    </w:p>
    <w:p w14:paraId="23BB4847" w14:textId="63CAA0B1" w:rsidR="00D24E62" w:rsidRDefault="00D24E62" w:rsidP="00CA2DFF"/>
    <w:p w14:paraId="4D44CC1B" w14:textId="325625E0" w:rsidR="00AE6E5E" w:rsidRDefault="00AE6E5E" w:rsidP="00EA1E26">
      <w:r>
        <w:rPr>
          <w:b/>
        </w:rPr>
        <w:t xml:space="preserve">Trafficking is not necessarily a promising entry point for tackling </w:t>
      </w:r>
      <w:r w:rsidR="003744AC">
        <w:rPr>
          <w:b/>
        </w:rPr>
        <w:t xml:space="preserve">wider </w:t>
      </w:r>
      <w:r>
        <w:rPr>
          <w:b/>
        </w:rPr>
        <w:t xml:space="preserve">problems with criminal justice systems. </w:t>
      </w:r>
      <w:r>
        <w:t xml:space="preserve">Some of the constraints on effective prosecution of trafficking </w:t>
      </w:r>
      <w:r w:rsidR="003744AC">
        <w:t xml:space="preserve">are common </w:t>
      </w:r>
      <w:r>
        <w:t xml:space="preserve">to criminal systems as a whole (e.g. poor management of evidence, poor collaboration between agencies, </w:t>
      </w:r>
      <w:r w:rsidR="003744AC">
        <w:t xml:space="preserve">corruption, </w:t>
      </w:r>
      <w:r>
        <w:t xml:space="preserve">high turnover of staff). </w:t>
      </w:r>
      <w:r w:rsidR="00E46045" w:rsidRPr="007A72E0">
        <w:t xml:space="preserve">It is not clear that </w:t>
      </w:r>
      <w:r w:rsidR="00364A7D">
        <w:t xml:space="preserve">a program focused on a single class of crime is capable of </w:t>
      </w:r>
      <w:r w:rsidR="00E46045" w:rsidRPr="007A72E0">
        <w:t>addressing systemic problems</w:t>
      </w:r>
      <w:r w:rsidR="006A54DC">
        <w:t xml:space="preserve"> </w:t>
      </w:r>
      <w:r w:rsidR="006A54DC" w:rsidRPr="007A72E0">
        <w:t>– particularly across seven countries simultaneously</w:t>
      </w:r>
      <w:r w:rsidR="006A54DC">
        <w:t xml:space="preserve">. In fact, </w:t>
      </w:r>
      <w:r w:rsidR="006A54DC">
        <w:lastRenderedPageBreak/>
        <w:t xml:space="preserve">there is limited evidence from the literature of </w:t>
      </w:r>
      <w:r>
        <w:t xml:space="preserve">any </w:t>
      </w:r>
      <w:r w:rsidR="006A54DC">
        <w:t>aid programs making much headway in these areas</w:t>
      </w:r>
      <w:r w:rsidR="00364A7D">
        <w:t>.</w:t>
      </w:r>
      <w:r w:rsidR="00E46045" w:rsidRPr="007A72E0">
        <w:t xml:space="preserve"> </w:t>
      </w:r>
    </w:p>
    <w:p w14:paraId="6C1F4DB6" w14:textId="77777777" w:rsidR="00AE6E5E" w:rsidRDefault="00AE6E5E" w:rsidP="00EA1E26"/>
    <w:p w14:paraId="04C91FBD" w14:textId="106D2D63" w:rsidR="00D546E3" w:rsidRDefault="009C640C" w:rsidP="00F409BD">
      <w:r w:rsidRPr="007A72E0">
        <w:rPr>
          <w:b/>
        </w:rPr>
        <w:t xml:space="preserve">AAPTIP has in practice </w:t>
      </w:r>
      <w:r w:rsidR="00626EB9">
        <w:rPr>
          <w:b/>
        </w:rPr>
        <w:t xml:space="preserve">focused on </w:t>
      </w:r>
      <w:r w:rsidRPr="007A72E0">
        <w:rPr>
          <w:b/>
        </w:rPr>
        <w:t xml:space="preserve">a more limited set of objectives around </w:t>
      </w:r>
      <w:r w:rsidR="00AE6E5E">
        <w:rPr>
          <w:b/>
        </w:rPr>
        <w:t xml:space="preserve">promoting </w:t>
      </w:r>
      <w:r w:rsidRPr="007A72E0">
        <w:rPr>
          <w:b/>
        </w:rPr>
        <w:t xml:space="preserve">fair trials. </w:t>
      </w:r>
      <w:r w:rsidR="00AE6E5E">
        <w:t>T</w:t>
      </w:r>
      <w:r w:rsidR="00364A7D">
        <w:t xml:space="preserve">he focus has shifted away from </w:t>
      </w:r>
      <w:r w:rsidR="007A3E59">
        <w:t xml:space="preserve">increasing </w:t>
      </w:r>
      <w:r w:rsidR="00364A7D">
        <w:t xml:space="preserve">prosecution rates to making existing prosecutions more professional and respectful of individual rights. </w:t>
      </w:r>
      <w:r w:rsidR="00AE6E5E" w:rsidRPr="00AE6E5E">
        <w:t xml:space="preserve">This helps to manage the risk that external pressure will lead to unfair convictions. </w:t>
      </w:r>
      <w:r w:rsidR="00AE6E5E">
        <w:t xml:space="preserve">The program also includes initiatives to promote the rights of victim-witnesses. While this is a worthwhile objective, it is much </w:t>
      </w:r>
      <w:r w:rsidR="00F8269E">
        <w:t>narrower than the program’s original purpose</w:t>
      </w:r>
      <w:r w:rsidR="00AE6E5E">
        <w:t xml:space="preserve">. Only a </w:t>
      </w:r>
      <w:r w:rsidR="00DA1E74">
        <w:t xml:space="preserve">small </w:t>
      </w:r>
      <w:r w:rsidR="00AE6E5E">
        <w:t xml:space="preserve">subset of trafficking victims ever </w:t>
      </w:r>
      <w:r w:rsidR="00987976">
        <w:t>enters</w:t>
      </w:r>
      <w:r w:rsidR="00AE6E5E">
        <w:t xml:space="preserve"> the criminal justice system. Helping them does not in itself impact on human trafficking as a phenomenon. </w:t>
      </w:r>
      <w:r w:rsidR="00D546E3">
        <w:t xml:space="preserve">We </w:t>
      </w:r>
      <w:r w:rsidR="00F8269E">
        <w:t>are concerned that improving</w:t>
      </w:r>
      <w:r w:rsidR="00D546E3">
        <w:t xml:space="preserve"> the quality of trials is not sufficient </w:t>
      </w:r>
      <w:r w:rsidR="00A91ABF">
        <w:t xml:space="preserve">to bring about </w:t>
      </w:r>
      <w:r w:rsidR="00B7401B">
        <w:t>the transformative impact called for in the design documents</w:t>
      </w:r>
      <w:r w:rsidR="00B527EF">
        <w:t>.</w:t>
      </w:r>
      <w:r w:rsidR="007A3E59">
        <w:t xml:space="preserve"> </w:t>
      </w:r>
      <w:r w:rsidR="00D546E3">
        <w:t xml:space="preserve"> </w:t>
      </w:r>
    </w:p>
    <w:p w14:paraId="5FCC35AE" w14:textId="77777777" w:rsidR="00D546E3" w:rsidRDefault="00D546E3" w:rsidP="00F409BD"/>
    <w:p w14:paraId="6D16CD87" w14:textId="474046EE" w:rsidR="00D546E3" w:rsidRPr="007A72E0" w:rsidRDefault="00D546E3" w:rsidP="00D546E3">
      <w:r>
        <w:rPr>
          <w:b/>
        </w:rPr>
        <w:t xml:space="preserve">AAPTIP has not concentrated its efforts on securing strategic prosecutions. </w:t>
      </w:r>
      <w:r>
        <w:t xml:space="preserve">The program strategy document suggests that </w:t>
      </w:r>
      <w:r w:rsidR="00F8269E">
        <w:t xml:space="preserve">more strategic prosecutions </w:t>
      </w:r>
      <w:r>
        <w:t>should be a focus.</w:t>
      </w:r>
      <w:r>
        <w:rPr>
          <w:rStyle w:val="FootnoteReference"/>
        </w:rPr>
        <w:footnoteReference w:id="13"/>
      </w:r>
      <w:r>
        <w:t xml:space="preserve"> This </w:t>
      </w:r>
      <w:r w:rsidR="00492A47">
        <w:t xml:space="preserve">implies </w:t>
      </w:r>
      <w:r w:rsidR="00F8269E">
        <w:t xml:space="preserve">a possible </w:t>
      </w:r>
      <w:r>
        <w:t xml:space="preserve">alternative theory of change. If the program focused on cases </w:t>
      </w:r>
      <w:r w:rsidR="00F8269E">
        <w:t>with the potential to disrupt</w:t>
      </w:r>
      <w:r>
        <w:t xml:space="preserve"> key nodes in trafficking networks, set useful legal precedents or </w:t>
      </w:r>
      <w:r w:rsidR="00F8269E">
        <w:t>influence</w:t>
      </w:r>
      <w:r>
        <w:t xml:space="preserve"> public attitudes, then it might achieve wider impact on the trafficking problem. This might involve focusing on how cases first enter the criminal justice system (e.g. by collaborating with NGOs on test cases) or supporting intelligence-led policing against criminal justice networks. In practice, </w:t>
      </w:r>
      <w:r w:rsidR="00F8269E">
        <w:t xml:space="preserve">however, </w:t>
      </w:r>
      <w:r>
        <w:t>the program has focused on training</w:t>
      </w:r>
      <w:r w:rsidR="00F8269E">
        <w:t xml:space="preserve"> of staff</w:t>
      </w:r>
      <w:r>
        <w:t xml:space="preserve">, rather than on any particular type of trafficking case. </w:t>
      </w:r>
    </w:p>
    <w:p w14:paraId="56824B87" w14:textId="77777777" w:rsidR="00B7401B" w:rsidRDefault="00B7401B" w:rsidP="00626EB9">
      <w:pPr>
        <w:rPr>
          <w:b/>
        </w:rPr>
      </w:pPr>
    </w:p>
    <w:p w14:paraId="04F1B19E" w14:textId="2AB12E7F" w:rsidR="003744AC" w:rsidRDefault="00D546E3" w:rsidP="00626EB9">
      <w:r>
        <w:rPr>
          <w:b/>
        </w:rPr>
        <w:t>The program</w:t>
      </w:r>
      <w:r w:rsidR="00B51845">
        <w:rPr>
          <w:b/>
        </w:rPr>
        <w:t xml:space="preserve"> is aware of the risk of harm to victims in the criminal justice system, but may not be doing enough. </w:t>
      </w:r>
      <w:r w:rsidR="00930206">
        <w:t>I</w:t>
      </w:r>
      <w:r w:rsidR="00626EB9">
        <w:t xml:space="preserve">n spite of AAPTIP’s efforts, victim-witnesses </w:t>
      </w:r>
      <w:r w:rsidR="00B51845">
        <w:t xml:space="preserve">(who are predominantly women and children) </w:t>
      </w:r>
      <w:r w:rsidR="00626EB9">
        <w:t xml:space="preserve">are </w:t>
      </w:r>
      <w:r w:rsidR="003744AC">
        <w:t xml:space="preserve">still commonly </w:t>
      </w:r>
      <w:r w:rsidR="00626EB9">
        <w:t>treated as criminals and vulnerable to re</w:t>
      </w:r>
      <w:r w:rsidR="00492A47">
        <w:t>-</w:t>
      </w:r>
      <w:r w:rsidR="00626EB9">
        <w:t>victimi</w:t>
      </w:r>
      <w:r w:rsidR="00492A47">
        <w:t>s</w:t>
      </w:r>
      <w:r w:rsidR="00626EB9">
        <w:t xml:space="preserve">ation. This creates a dilemma for the </w:t>
      </w:r>
      <w:r w:rsidR="00EB57D9">
        <w:t>program</w:t>
      </w:r>
      <w:r w:rsidR="00626EB9">
        <w:t xml:space="preserve">. By investing in capacity building on prosecution, the program is likely to increase the number of prosecutions in sex trafficking – </w:t>
      </w:r>
      <w:r w:rsidR="00B51845">
        <w:t xml:space="preserve">especially </w:t>
      </w:r>
      <w:r w:rsidR="00626EB9">
        <w:t xml:space="preserve">given </w:t>
      </w:r>
      <w:r w:rsidR="0050199B">
        <w:t xml:space="preserve">international </w:t>
      </w:r>
      <w:r w:rsidR="00626EB9">
        <w:t xml:space="preserve">pressure. This will increase the numbers of women and children potentially exposed to mistreatment at the hands of criminal justice agencies. </w:t>
      </w:r>
      <w:r w:rsidR="0097407A">
        <w:t>While the program does not encourage individuals to enter the criminal justice system</w:t>
      </w:r>
      <w:r w:rsidR="00B51845">
        <w:t xml:space="preserve"> and is not directly responsible for any harm they might suffer</w:t>
      </w:r>
      <w:r w:rsidR="0097407A">
        <w:t xml:space="preserve">, the </w:t>
      </w:r>
      <w:r w:rsidR="00626EB9">
        <w:t>‘do no harm’ principle</w:t>
      </w:r>
      <w:r w:rsidR="0097407A">
        <w:t xml:space="preserve"> </w:t>
      </w:r>
      <w:r w:rsidR="00B51845">
        <w:t xml:space="preserve">imposes </w:t>
      </w:r>
      <w:r w:rsidR="0097407A">
        <w:t xml:space="preserve">an obligation </w:t>
      </w:r>
      <w:r w:rsidR="00626EB9">
        <w:t xml:space="preserve">to monitor </w:t>
      </w:r>
      <w:r w:rsidR="0097407A">
        <w:t>for unintended negative consequences</w:t>
      </w:r>
      <w:r w:rsidR="00B51845">
        <w:t>. We conclude that the program needs to manage this risk</w:t>
      </w:r>
      <w:r w:rsidR="0097407A">
        <w:t xml:space="preserve"> more proactively. </w:t>
      </w:r>
    </w:p>
    <w:p w14:paraId="199EA91A" w14:textId="6EB23A3E" w:rsidR="001D7646" w:rsidRPr="000D0602" w:rsidRDefault="001D7646" w:rsidP="00D64E7E">
      <w:pPr>
        <w:rPr>
          <w:i/>
          <w:color w:val="365F91" w:themeColor="accent1" w:themeShade="BF"/>
          <w:sz w:val="22"/>
          <w:szCs w:val="22"/>
        </w:rPr>
      </w:pPr>
    </w:p>
    <w:p w14:paraId="2268F272" w14:textId="77777777" w:rsidR="007F5D1A" w:rsidRPr="007A72E0" w:rsidRDefault="007F5D1A" w:rsidP="006D44D8">
      <w:pPr>
        <w:pStyle w:val="Heading1"/>
      </w:pPr>
      <w:bookmarkStart w:id="8" w:name="_Toc465687847"/>
      <w:r w:rsidRPr="007A72E0">
        <w:t>Delivery</w:t>
      </w:r>
      <w:bookmarkEnd w:id="8"/>
    </w:p>
    <w:p w14:paraId="2E22B0EC" w14:textId="77777777" w:rsidR="0097407A" w:rsidRDefault="007F5D1A" w:rsidP="0097407A">
      <w:r w:rsidRPr="007A72E0">
        <w:t xml:space="preserve">The section analyses the efficiency of AAPTIP’s delivery model in progressing the program’s intended outcomes. </w:t>
      </w:r>
    </w:p>
    <w:p w14:paraId="547F653C" w14:textId="77777777" w:rsidR="0097407A" w:rsidRDefault="0097407A" w:rsidP="0097407A"/>
    <w:p w14:paraId="268C88BB" w14:textId="2210093C" w:rsidR="0097407A" w:rsidRPr="0097407A" w:rsidRDefault="0097407A" w:rsidP="00EB1996">
      <w:r w:rsidRPr="0097407A">
        <w:rPr>
          <w:b/>
        </w:rPr>
        <w:t>Delays in start</w:t>
      </w:r>
      <w:r w:rsidR="00F8269E">
        <w:rPr>
          <w:b/>
        </w:rPr>
        <w:t xml:space="preserve">ing </w:t>
      </w:r>
      <w:r w:rsidRPr="0097407A">
        <w:rPr>
          <w:b/>
        </w:rPr>
        <w:t xml:space="preserve">up </w:t>
      </w:r>
      <w:r w:rsidR="00C978A6">
        <w:rPr>
          <w:b/>
        </w:rPr>
        <w:t xml:space="preserve">in an already ambitious program </w:t>
      </w:r>
      <w:r w:rsidR="00B61D8C">
        <w:rPr>
          <w:b/>
        </w:rPr>
        <w:t xml:space="preserve">have </w:t>
      </w:r>
      <w:r w:rsidR="00F8269E">
        <w:rPr>
          <w:b/>
        </w:rPr>
        <w:t>created</w:t>
      </w:r>
      <w:r w:rsidR="00B61D8C">
        <w:rPr>
          <w:b/>
        </w:rPr>
        <w:t xml:space="preserve"> pressure </w:t>
      </w:r>
      <w:r w:rsidR="00D546E3">
        <w:rPr>
          <w:b/>
        </w:rPr>
        <w:t xml:space="preserve">to </w:t>
      </w:r>
      <w:r w:rsidR="00B61D8C">
        <w:rPr>
          <w:b/>
        </w:rPr>
        <w:t>speed up delivery</w:t>
      </w:r>
      <w:r w:rsidRPr="0097407A">
        <w:rPr>
          <w:b/>
        </w:rPr>
        <w:t xml:space="preserve">. </w:t>
      </w:r>
      <w:r>
        <w:t xml:space="preserve">The AAPTIP design was always ambitious in scope, involving </w:t>
      </w:r>
      <w:r>
        <w:lastRenderedPageBreak/>
        <w:t xml:space="preserve">parallel activities </w:t>
      </w:r>
      <w:r w:rsidR="00B61D8C">
        <w:t xml:space="preserve">in </w:t>
      </w:r>
      <w:r>
        <w:t xml:space="preserve">seven countries. </w:t>
      </w:r>
      <w:r w:rsidR="00C978A6">
        <w:t>Following the design process, in the context of a wider scaling up of Australian aid, the program’s budget</w:t>
      </w:r>
      <w:r w:rsidR="00C85740">
        <w:t xml:space="preserve"> was doubled</w:t>
      </w:r>
      <w:r w:rsidR="00C978A6">
        <w:t>, from $</w:t>
      </w:r>
      <w:r w:rsidR="00B527EF">
        <w:t xml:space="preserve">21 </w:t>
      </w:r>
      <w:r w:rsidR="00C978A6">
        <w:t xml:space="preserve">million to $50 million, without </w:t>
      </w:r>
      <w:r w:rsidR="00B527EF">
        <w:t>significant revisions</w:t>
      </w:r>
      <w:r w:rsidR="00C978A6">
        <w:t xml:space="preserve">. </w:t>
      </w:r>
      <w:r>
        <w:t xml:space="preserve">The program then had to deal with a substantial break in continuity from its predecessor, </w:t>
      </w:r>
      <w:r w:rsidR="00B61D8C">
        <w:t xml:space="preserve">due mainly to delays in </w:t>
      </w:r>
      <w:r>
        <w:t xml:space="preserve">concluding agreements with partner countries (the last of which was signed in November 2015, more than two years after the start of the program). </w:t>
      </w:r>
    </w:p>
    <w:p w14:paraId="4EC6762D" w14:textId="77777777" w:rsidR="0097407A" w:rsidRDefault="0097407A" w:rsidP="00EB1996"/>
    <w:p w14:paraId="66EB1ECF" w14:textId="70C0552D" w:rsidR="00B61D8C" w:rsidRDefault="00B61D8C" w:rsidP="00B61D8C">
      <w:r w:rsidRPr="007A72E0">
        <w:rPr>
          <w:b/>
        </w:rPr>
        <w:t xml:space="preserve">Delivery delays have </w:t>
      </w:r>
      <w:r>
        <w:rPr>
          <w:b/>
        </w:rPr>
        <w:t xml:space="preserve">also </w:t>
      </w:r>
      <w:r w:rsidRPr="007A72E0">
        <w:rPr>
          <w:b/>
        </w:rPr>
        <w:t xml:space="preserve">led to an expansion in international technical </w:t>
      </w:r>
      <w:r w:rsidR="00E97A74">
        <w:rPr>
          <w:b/>
        </w:rPr>
        <w:t>adviser</w:t>
      </w:r>
      <w:r w:rsidRPr="007A72E0">
        <w:rPr>
          <w:b/>
        </w:rPr>
        <w:t xml:space="preserve">s. </w:t>
      </w:r>
      <w:r w:rsidRPr="007A72E0">
        <w:t xml:space="preserve">Faced with </w:t>
      </w:r>
      <w:r>
        <w:t xml:space="preserve">the challenge of </w:t>
      </w:r>
      <w:r w:rsidRPr="007A72E0">
        <w:t xml:space="preserve">delivering too many activities in too short a time, the program </w:t>
      </w:r>
      <w:r>
        <w:t>responded by increasing</w:t>
      </w:r>
      <w:r w:rsidRPr="007A72E0">
        <w:t xml:space="preserve"> the number of international technical </w:t>
      </w:r>
      <w:r w:rsidR="00E97A74">
        <w:t>adviser</w:t>
      </w:r>
      <w:r w:rsidRPr="007A72E0">
        <w:t xml:space="preserve">s. Between August 2013 and March 2016, the number of </w:t>
      </w:r>
      <w:r w:rsidR="00930206">
        <w:t>S</w:t>
      </w:r>
      <w:r w:rsidRPr="007A72E0">
        <w:t>hort-</w:t>
      </w:r>
      <w:r w:rsidR="00930206">
        <w:t>t</w:t>
      </w:r>
      <w:r w:rsidRPr="007A72E0">
        <w:t xml:space="preserve">erm </w:t>
      </w:r>
      <w:r w:rsidR="00930206">
        <w:t xml:space="preserve">advisers </w:t>
      </w:r>
      <w:r w:rsidRPr="007A72E0">
        <w:t xml:space="preserve">increased from </w:t>
      </w:r>
      <w:r w:rsidR="0050199B">
        <w:t>four</w:t>
      </w:r>
      <w:r w:rsidRPr="007A72E0">
        <w:t xml:space="preserve"> to </w:t>
      </w:r>
      <w:r w:rsidR="0050199B">
        <w:t>eight</w:t>
      </w:r>
      <w:r w:rsidRPr="007A72E0">
        <w:t xml:space="preserve">, </w:t>
      </w:r>
      <w:r>
        <w:t xml:space="preserve">while the </w:t>
      </w:r>
      <w:r w:rsidRPr="007A72E0">
        <w:t>overall number of international advis</w:t>
      </w:r>
      <w:r w:rsidR="00930206">
        <w:t>ers</w:t>
      </w:r>
      <w:r w:rsidRPr="007A72E0">
        <w:t xml:space="preserve"> increased from 12 to 19. Short-term </w:t>
      </w:r>
      <w:r w:rsidR="00E97A74">
        <w:t>adviser</w:t>
      </w:r>
      <w:r w:rsidRPr="007A72E0">
        <w:t>s have the advantage of being deployable on an activity or output basis, which helps to manage the uncertainty of the work plan and the likelihood of activity slippage.</w:t>
      </w:r>
      <w:r>
        <w:t xml:space="preserve"> However, it limits the program mainly to training events that can be delivered through short visits.</w:t>
      </w:r>
    </w:p>
    <w:p w14:paraId="6509CC87" w14:textId="77777777" w:rsidR="00B61D8C" w:rsidRDefault="00B61D8C" w:rsidP="00B61D8C"/>
    <w:p w14:paraId="6C26E6A3" w14:textId="0E90221C" w:rsidR="00B61D8C" w:rsidRDefault="00B61D8C" w:rsidP="00B61D8C">
      <w:r>
        <w:rPr>
          <w:b/>
        </w:rPr>
        <w:t xml:space="preserve">Despite consultative planning processes, AAPTIP’s plans have not always been well aligned with those of its partners. </w:t>
      </w:r>
      <w:r>
        <w:t>To</w:t>
      </w:r>
      <w:r w:rsidRPr="007A72E0">
        <w:t xml:space="preserve"> secure partner buy-in to its activities, AAPTIP adopted a bottom-up and demand-driven approach to its annual work</w:t>
      </w:r>
      <w:r>
        <w:t xml:space="preserve"> </w:t>
      </w:r>
      <w:r w:rsidRPr="007A72E0">
        <w:t xml:space="preserve">planning, which </w:t>
      </w:r>
      <w:r>
        <w:t xml:space="preserve">allowed </w:t>
      </w:r>
      <w:r w:rsidRPr="007A72E0">
        <w:t xml:space="preserve">counterparts </w:t>
      </w:r>
      <w:r w:rsidR="00A60E31">
        <w:t xml:space="preserve">in each country </w:t>
      </w:r>
      <w:r>
        <w:t xml:space="preserve">to select activities from among those that AAPTIP was able to offer. However, the counterparts tend to plan their training activities only a </w:t>
      </w:r>
      <w:r w:rsidR="00A60E31">
        <w:t xml:space="preserve">short time </w:t>
      </w:r>
      <w:r>
        <w:t>in advance</w:t>
      </w:r>
      <w:r w:rsidR="00EB57D9">
        <w:t xml:space="preserve">. </w:t>
      </w:r>
      <w:r w:rsidRPr="007A72E0">
        <w:t xml:space="preserve">As a result, </w:t>
      </w:r>
      <w:r>
        <w:t xml:space="preserve">during the delayed start-up </w:t>
      </w:r>
      <w:r w:rsidRPr="007A72E0">
        <w:t>and subsequently, the gap between AAPTIP’s and counterparts’ plans widen</w:t>
      </w:r>
      <w:r>
        <w:t xml:space="preserve">ed, causing </w:t>
      </w:r>
      <w:r w:rsidRPr="007A72E0">
        <w:t xml:space="preserve">many </w:t>
      </w:r>
      <w:r w:rsidR="00A60E31">
        <w:t xml:space="preserve">of the program’s </w:t>
      </w:r>
      <w:r w:rsidRPr="007A72E0">
        <w:t>activities to be cancelled, postponed or changed. As a result, annual expenditure w</w:t>
      </w:r>
      <w:r>
        <w:t>as 45</w:t>
      </w:r>
      <w:r w:rsidR="0050199B">
        <w:t xml:space="preserve"> per cent</w:t>
      </w:r>
      <w:r>
        <w:t xml:space="preserve"> under budget</w:t>
      </w:r>
      <w:r w:rsidR="00914DA7">
        <w:t xml:space="preserve"> over the first two years</w:t>
      </w:r>
      <w:r>
        <w:t xml:space="preserve">. </w:t>
      </w:r>
    </w:p>
    <w:p w14:paraId="1EB66AC4" w14:textId="77777777" w:rsidR="00B61D8C" w:rsidRDefault="00B61D8C" w:rsidP="00B61D8C"/>
    <w:p w14:paraId="7BFD5B91" w14:textId="4A7957C6" w:rsidR="00B61D8C" w:rsidRPr="007A72E0" w:rsidRDefault="00B61D8C" w:rsidP="00B61D8C">
      <w:r w:rsidRPr="00B61D8C">
        <w:rPr>
          <w:b/>
        </w:rPr>
        <w:t>The resulting pressure to speed up delivery of activities and utilisation of funds has come at the expense of working strategically towards a set of outcomes.</w:t>
      </w:r>
      <w:r w:rsidRPr="007A72E0">
        <w:t xml:space="preserve"> </w:t>
      </w:r>
      <w:r>
        <w:t xml:space="preserve">AAPTIP management has been very efficient at cutting </w:t>
      </w:r>
      <w:r w:rsidRPr="007A72E0">
        <w:t xml:space="preserve">planned activities that were not progressing, to ensure that </w:t>
      </w:r>
      <w:r w:rsidR="00E97A74">
        <w:t>adviser</w:t>
      </w:r>
      <w:r w:rsidRPr="007A72E0">
        <w:t xml:space="preserve">s spent </w:t>
      </w:r>
      <w:r>
        <w:t xml:space="preserve">their </w:t>
      </w:r>
      <w:r w:rsidRPr="007A72E0">
        <w:t xml:space="preserve">time on projects with the strongest delivery potential. </w:t>
      </w:r>
      <w:r>
        <w:t xml:space="preserve">The program therefore rates well for efficiency. </w:t>
      </w:r>
      <w:r w:rsidRPr="007A72E0">
        <w:t xml:space="preserve">However, activities prioritised on the basis of efficiency </w:t>
      </w:r>
      <w:r w:rsidR="00125872">
        <w:t xml:space="preserve">alone </w:t>
      </w:r>
      <w:r w:rsidRPr="007A72E0">
        <w:t xml:space="preserve">may not always be those with the greatest potential for achieving </w:t>
      </w:r>
      <w:r w:rsidR="00125872">
        <w:t xml:space="preserve">meaningful </w:t>
      </w:r>
      <w:r w:rsidRPr="007A72E0">
        <w:t xml:space="preserve">outcomes. </w:t>
      </w:r>
    </w:p>
    <w:p w14:paraId="5B035BEA" w14:textId="09C942A4" w:rsidR="00B61D8C" w:rsidRDefault="00B61D8C" w:rsidP="00B61D8C">
      <w:pPr>
        <w:rPr>
          <w:b/>
        </w:rPr>
      </w:pPr>
    </w:p>
    <w:p w14:paraId="43F8555F" w14:textId="42704501" w:rsidR="00B61D8C" w:rsidRPr="00B61D8C" w:rsidRDefault="00B61D8C" w:rsidP="00B61D8C">
      <w:r>
        <w:rPr>
          <w:b/>
        </w:rPr>
        <w:t xml:space="preserve">The ‘hub and spoke’ delivery model, where activities are delivered across the region </w:t>
      </w:r>
      <w:r w:rsidR="00CF230A">
        <w:rPr>
          <w:b/>
        </w:rPr>
        <w:t xml:space="preserve">by international advisers </w:t>
      </w:r>
      <w:r>
        <w:rPr>
          <w:b/>
        </w:rPr>
        <w:t xml:space="preserve">from a central hub in Bangkok, is efficient at delivering training, but does not support much depth of engagement with counterparts. </w:t>
      </w:r>
      <w:r w:rsidR="00CF230A">
        <w:t>AAPTIP’s design document indicate</w:t>
      </w:r>
      <w:r w:rsidR="00125872">
        <w:t>s</w:t>
      </w:r>
      <w:r w:rsidR="00CF230A">
        <w:t xml:space="preserve"> a desire to move beyond </w:t>
      </w:r>
      <w:r w:rsidR="00125872">
        <w:t xml:space="preserve">classroom </w:t>
      </w:r>
      <w:r w:rsidR="00CF230A">
        <w:t xml:space="preserve">training into new forms of capacity development with more strategic impact, such as coaching and peer learning. However, the </w:t>
      </w:r>
      <w:r w:rsidR="0050199B">
        <w:t>chosen delivery</w:t>
      </w:r>
      <w:r w:rsidR="00CF230A">
        <w:t xml:space="preserve"> model does not readily support the more intensive engagement that this would require. It has also meant that AAPTIP has not made effective use of the knowledge of its national staff stationed in each country. The management remains highly centralised, with limited delegation of authority to country teams.</w:t>
      </w:r>
      <w:r w:rsidR="00CF230A" w:rsidRPr="007A72E0">
        <w:rPr>
          <w:vertAlign w:val="superscript"/>
        </w:rPr>
        <w:footnoteReference w:id="14"/>
      </w:r>
      <w:r w:rsidR="00CF230A">
        <w:t xml:space="preserve"> </w:t>
      </w:r>
    </w:p>
    <w:p w14:paraId="6D673D86" w14:textId="4FCD026C" w:rsidR="00A41A02" w:rsidRDefault="00CF230A" w:rsidP="00CF2B12">
      <w:r>
        <w:rPr>
          <w:b/>
          <w:szCs w:val="22"/>
        </w:rPr>
        <w:lastRenderedPageBreak/>
        <w:t xml:space="preserve">AAPTIP </w:t>
      </w:r>
      <w:r w:rsidR="00D66A7B" w:rsidRPr="007A72E0">
        <w:rPr>
          <w:b/>
          <w:szCs w:val="22"/>
        </w:rPr>
        <w:t>has had considerable difficult</w:t>
      </w:r>
      <w:r w:rsidR="00302641" w:rsidRPr="007A72E0">
        <w:rPr>
          <w:b/>
          <w:szCs w:val="22"/>
        </w:rPr>
        <w:t>y</w:t>
      </w:r>
      <w:r w:rsidR="00D66A7B" w:rsidRPr="007A72E0">
        <w:rPr>
          <w:b/>
          <w:szCs w:val="22"/>
        </w:rPr>
        <w:t xml:space="preserve"> in formulating a strategy. </w:t>
      </w:r>
      <w:r w:rsidR="00CF2B12" w:rsidRPr="007A72E0">
        <w:t xml:space="preserve">In the design of the program, it was clear that </w:t>
      </w:r>
      <w:r w:rsidR="00AE16B3">
        <w:t xml:space="preserve">it </w:t>
      </w:r>
      <w:r>
        <w:t xml:space="preserve">was expected to </w:t>
      </w:r>
      <w:r w:rsidR="004E14F8" w:rsidRPr="007A72E0">
        <w:t xml:space="preserve">take a </w:t>
      </w:r>
      <w:r w:rsidR="00A41A02">
        <w:t xml:space="preserve">different </w:t>
      </w:r>
      <w:r w:rsidR="004E14F8" w:rsidRPr="007A72E0">
        <w:t>strategic direction</w:t>
      </w:r>
      <w:r w:rsidR="00A41A02">
        <w:t xml:space="preserve"> to its predecessor</w:t>
      </w:r>
      <w:r w:rsidR="00CF2B12" w:rsidRPr="007A72E0">
        <w:t>, moving beyond individual training into new forms of capacity building.</w:t>
      </w:r>
      <w:r w:rsidR="00A41A02">
        <w:t xml:space="preserve"> The contractor therefore offered a team that combined </w:t>
      </w:r>
      <w:r w:rsidR="00AE16B3">
        <w:t xml:space="preserve">continuity with new faces. In practice, there was tension </w:t>
      </w:r>
      <w:r w:rsidR="00125872">
        <w:t xml:space="preserve">within the program team </w:t>
      </w:r>
      <w:r w:rsidR="00AE16B3">
        <w:t xml:space="preserve">between those pushing for innovation and those who wished to continue with established ways of working. As a result, it took two years to develop a strategy, and at the time of our visit, the team still did not share a common narrative for the program (although we are told that this has </w:t>
      </w:r>
      <w:r w:rsidR="00125872">
        <w:t xml:space="preserve">since </w:t>
      </w:r>
      <w:r w:rsidR="00AE16B3">
        <w:t xml:space="preserve">improved). </w:t>
      </w:r>
    </w:p>
    <w:p w14:paraId="70435CC2" w14:textId="68B15229" w:rsidR="00AE16B3" w:rsidRDefault="00AE16B3" w:rsidP="00B07EE3"/>
    <w:p w14:paraId="7867D034" w14:textId="7B6B6676" w:rsidR="00125872" w:rsidRDefault="00AE16B3" w:rsidP="00725F6C">
      <w:r>
        <w:rPr>
          <w:b/>
        </w:rPr>
        <w:t xml:space="preserve">AAPTIP pays close attention to gender issues, but has few levers at its disposal to challenge entrenched attitudes in its counterparts. </w:t>
      </w:r>
      <w:r>
        <w:t xml:space="preserve">The program’s gender strategy includes a strong analysis of how trafficking is </w:t>
      </w:r>
      <w:r w:rsidR="00125872">
        <w:t xml:space="preserve">understood </w:t>
      </w:r>
      <w:r>
        <w:t xml:space="preserve">in the region in gendered terms (i.e., </w:t>
      </w:r>
      <w:r w:rsidR="00B019E3">
        <w:t xml:space="preserve">the prevailing attitude that </w:t>
      </w:r>
      <w:r>
        <w:t>on</w:t>
      </w:r>
      <w:r w:rsidR="00125872">
        <w:t>ly</w:t>
      </w:r>
      <w:r>
        <w:t xml:space="preserve"> women can be </w:t>
      </w:r>
      <w:r w:rsidR="00125872">
        <w:t>trafficked</w:t>
      </w:r>
      <w:r>
        <w:t xml:space="preserve">), of gendered roles within counterpart agencies and the challenges facing women who seek to progress into professional </w:t>
      </w:r>
      <w:r w:rsidR="00125872">
        <w:t>positions</w:t>
      </w:r>
      <w:r>
        <w:t xml:space="preserve">. It notes the risks facing women as victim-witnesses in the system, and that gender norms can also work against men, as male victims of labour trafficking may not be recognised as such. The strategy sets out a range of gender activities, and the program reports progress against most of these areas. However, </w:t>
      </w:r>
      <w:r w:rsidR="00660A98">
        <w:t xml:space="preserve">from our interviews, </w:t>
      </w:r>
      <w:r>
        <w:t xml:space="preserve">it </w:t>
      </w:r>
      <w:r w:rsidR="00660A98">
        <w:t xml:space="preserve">was </w:t>
      </w:r>
      <w:r>
        <w:t xml:space="preserve">clear that </w:t>
      </w:r>
      <w:r w:rsidR="00660A98">
        <w:t xml:space="preserve">gendered attitudes remain entrenched among the counterparts, both in terms of their understanding of the trafficking phenomenon and in terms of the roles played by men and women within criminal justice agencies. </w:t>
      </w:r>
      <w:r w:rsidR="00725F6C">
        <w:t xml:space="preserve">The program has few levers at its disposal to challenge these </w:t>
      </w:r>
      <w:r w:rsidR="00EB035E">
        <w:t>attitudes</w:t>
      </w:r>
      <w:r w:rsidR="00125872">
        <w:t xml:space="preserve">, as the </w:t>
      </w:r>
      <w:r w:rsidR="00725F6C">
        <w:t xml:space="preserve">international evidence suggests that </w:t>
      </w:r>
      <w:r w:rsidR="00660A98">
        <w:t xml:space="preserve">such attitudes </w:t>
      </w:r>
      <w:r w:rsidR="00725F6C">
        <w:t xml:space="preserve">are not usually affected by training </w:t>
      </w:r>
      <w:r w:rsidR="00EB57D9">
        <w:t>program</w:t>
      </w:r>
      <w:r w:rsidR="00725F6C">
        <w:t>s</w:t>
      </w:r>
      <w:r w:rsidR="00C85168">
        <w:t xml:space="preserve"> – especially when staff in trafficking posts are regularly rotated to other duties</w:t>
      </w:r>
      <w:r w:rsidR="00725F6C">
        <w:t>.</w:t>
      </w:r>
      <w:r w:rsidR="00660A98">
        <w:t xml:space="preserve"> </w:t>
      </w:r>
    </w:p>
    <w:p w14:paraId="4FD65D08" w14:textId="77777777" w:rsidR="00125872" w:rsidRDefault="00125872" w:rsidP="00725F6C"/>
    <w:p w14:paraId="30905835" w14:textId="7D39539F" w:rsidR="00725F6C" w:rsidRDefault="00660A98" w:rsidP="00725F6C">
      <w:r>
        <w:t xml:space="preserve">However, there are two areas of concern where the program needs to </w:t>
      </w:r>
      <w:r w:rsidR="00125872">
        <w:t>intensi</w:t>
      </w:r>
      <w:r w:rsidR="00B019E3">
        <w:t>f</w:t>
      </w:r>
      <w:r w:rsidR="00125872">
        <w:t>y its efforts</w:t>
      </w:r>
      <w:r>
        <w:t xml:space="preserve">. One is to follow through on its stated intention to do more on labour trafficking. Otherwise, it risks reflecting rather than challenging the way </w:t>
      </w:r>
      <w:r w:rsidR="00125872">
        <w:t xml:space="preserve">its </w:t>
      </w:r>
      <w:r>
        <w:t>counterparts understand trafficking. The other is to intensify efforts on the protection of victim-witnesses (who are predominantly women and children) with</w:t>
      </w:r>
      <w:r w:rsidR="00125872">
        <w:t>in</w:t>
      </w:r>
      <w:r>
        <w:t xml:space="preserve"> the criminal justice </w:t>
      </w:r>
      <w:r w:rsidR="00125872">
        <w:t>process</w:t>
      </w:r>
      <w:r>
        <w:t xml:space="preserve">, through targeted </w:t>
      </w:r>
      <w:r w:rsidR="00125872">
        <w:t xml:space="preserve">initiatives on </w:t>
      </w:r>
      <w:r>
        <w:t xml:space="preserve">ending detention practices and promoting the use of videotaped evidence, </w:t>
      </w:r>
      <w:r w:rsidR="00125872">
        <w:t xml:space="preserve">so </w:t>
      </w:r>
      <w:r>
        <w:t xml:space="preserve">that victim-witnesses do not have to be held pending trial. </w:t>
      </w:r>
    </w:p>
    <w:p w14:paraId="1E12B701" w14:textId="5D4F78CE" w:rsidR="00660A98" w:rsidRDefault="00660A98" w:rsidP="00725F6C"/>
    <w:p w14:paraId="3E3DC080" w14:textId="321F13C8" w:rsidR="00C51AFB" w:rsidRPr="007A72E0" w:rsidRDefault="00660A98" w:rsidP="009C5251">
      <w:r>
        <w:rPr>
          <w:b/>
          <w:szCs w:val="22"/>
        </w:rPr>
        <w:t>AAPTIP’s mo</w:t>
      </w:r>
      <w:r w:rsidR="00C51AFB" w:rsidRPr="007A72E0">
        <w:rPr>
          <w:b/>
          <w:szCs w:val="22"/>
        </w:rPr>
        <w:t xml:space="preserve">nitoring and evaluation </w:t>
      </w:r>
      <w:r>
        <w:rPr>
          <w:b/>
          <w:szCs w:val="22"/>
        </w:rPr>
        <w:t xml:space="preserve">(M&amp;E) </w:t>
      </w:r>
      <w:r w:rsidR="00C51AFB" w:rsidRPr="007A72E0">
        <w:rPr>
          <w:b/>
          <w:szCs w:val="22"/>
        </w:rPr>
        <w:t xml:space="preserve">system is elaborate but has not contributed to any greater results-orientation. </w:t>
      </w:r>
      <w:r w:rsidR="00C51AFB" w:rsidRPr="007A72E0">
        <w:t xml:space="preserve">One of the acknowledged weaknesses of the predecessor program, ARTIP, was </w:t>
      </w:r>
      <w:r w:rsidR="00842EEC" w:rsidRPr="007A72E0">
        <w:t xml:space="preserve">poor </w:t>
      </w:r>
      <w:r w:rsidR="00C51AFB" w:rsidRPr="007A72E0">
        <w:t>results</w:t>
      </w:r>
      <w:r w:rsidR="00842EEC" w:rsidRPr="007A72E0">
        <w:t xml:space="preserve"> measurement</w:t>
      </w:r>
      <w:r w:rsidR="00C51AFB" w:rsidRPr="007A72E0">
        <w:t>.</w:t>
      </w:r>
      <w:r w:rsidR="007F5D1A" w:rsidRPr="007A72E0">
        <w:rPr>
          <w:rStyle w:val="FootnoteReference"/>
          <w:szCs w:val="22"/>
        </w:rPr>
        <w:footnoteReference w:id="15"/>
      </w:r>
      <w:r w:rsidR="00C51AFB" w:rsidRPr="007A72E0">
        <w:t xml:space="preserve"> </w:t>
      </w:r>
      <w:r w:rsidR="007F5D1A" w:rsidRPr="007A72E0">
        <w:t xml:space="preserve">AAPTIP </w:t>
      </w:r>
      <w:r w:rsidR="00C51AFB" w:rsidRPr="007A72E0">
        <w:t xml:space="preserve">was therefore provided with a much more substantial </w:t>
      </w:r>
      <w:r w:rsidR="007F5D1A" w:rsidRPr="007A72E0">
        <w:t>M&amp;E resource</w:t>
      </w:r>
      <w:r>
        <w:t xml:space="preserve">. However, the lack of a clear intervention logic linking activities to outcomes has made it difficult for the M&amp;E team to identify what to measure. It has attempted to fill the strategic </w:t>
      </w:r>
      <w:r w:rsidR="00125872">
        <w:t xml:space="preserve">gap </w:t>
      </w:r>
      <w:r>
        <w:t xml:space="preserve">through more problem analysis, but in the face of intense delivery pressures, there seems to have been limited appetite from management for this kind of reflection, or for the data generated by the M&amp;E system. </w:t>
      </w:r>
      <w:r w:rsidR="009C5251" w:rsidRPr="007A72E0">
        <w:t xml:space="preserve">As a result, an </w:t>
      </w:r>
      <w:r w:rsidR="009C5251" w:rsidRPr="007A72E0">
        <w:lastRenderedPageBreak/>
        <w:t xml:space="preserve">elaborate M&amp;E system has emerged, with voluminous reporting, that is not integrated with the management </w:t>
      </w:r>
      <w:r w:rsidR="00477AC9">
        <w:t xml:space="preserve">of the </w:t>
      </w:r>
      <w:r w:rsidR="009C5251" w:rsidRPr="007A72E0">
        <w:t>program</w:t>
      </w:r>
      <w:r>
        <w:t xml:space="preserve"> and </w:t>
      </w:r>
      <w:r w:rsidR="00C51AFB" w:rsidRPr="007A72E0">
        <w:t xml:space="preserve">is widely seen as burdensome. </w:t>
      </w:r>
    </w:p>
    <w:p w14:paraId="59EB3449" w14:textId="10ABEA5D" w:rsidR="007F5D1A" w:rsidRPr="007A72E0" w:rsidRDefault="007F5D1A" w:rsidP="007F5D1A">
      <w:pPr>
        <w:rPr>
          <w:sz w:val="22"/>
          <w:szCs w:val="22"/>
        </w:rPr>
      </w:pPr>
    </w:p>
    <w:p w14:paraId="2F41C92F" w14:textId="77777777" w:rsidR="00A43FB6" w:rsidRPr="007A72E0" w:rsidRDefault="00A43FB6" w:rsidP="00A43FB6">
      <w:pPr>
        <w:pStyle w:val="Heading1"/>
      </w:pPr>
      <w:bookmarkStart w:id="9" w:name="_Toc465687848"/>
      <w:r w:rsidRPr="007A72E0">
        <w:t>Effectiveness</w:t>
      </w:r>
      <w:bookmarkEnd w:id="9"/>
    </w:p>
    <w:p w14:paraId="09CFE2CC" w14:textId="7A3E404D" w:rsidR="00A43FB6" w:rsidRPr="007A72E0" w:rsidRDefault="00A43FB6" w:rsidP="00A43FB6">
      <w:r w:rsidRPr="007A72E0">
        <w:t xml:space="preserve">The section assesses AAPTIP’s likelihood of </w:t>
      </w:r>
      <w:r w:rsidR="00992316" w:rsidRPr="007A72E0">
        <w:t xml:space="preserve">achieving </w:t>
      </w:r>
      <w:r w:rsidR="00125872">
        <w:t xml:space="preserve">its intended </w:t>
      </w:r>
      <w:r w:rsidR="00992316" w:rsidRPr="007A72E0">
        <w:t>results</w:t>
      </w:r>
      <w:r w:rsidRPr="007A72E0">
        <w:t xml:space="preserve">. As it is too early to evaluate actual outcomes and impact, we assess progress to date and </w:t>
      </w:r>
      <w:r w:rsidR="00125872">
        <w:t xml:space="preserve">the likelihood of it </w:t>
      </w:r>
      <w:r w:rsidRPr="007A72E0">
        <w:t>achieving its stated outcomes</w:t>
      </w:r>
      <w:r w:rsidR="00E44DD3" w:rsidRPr="007A72E0">
        <w:t xml:space="preserve">. </w:t>
      </w:r>
    </w:p>
    <w:p w14:paraId="073C73F8" w14:textId="77777777" w:rsidR="00A43FB6" w:rsidRPr="007A72E0" w:rsidRDefault="006B5022" w:rsidP="0064103B">
      <w:pPr>
        <w:pStyle w:val="Heading2"/>
      </w:pPr>
      <w:bookmarkStart w:id="10" w:name="_Toc465687849"/>
      <w:r w:rsidRPr="007A72E0">
        <w:t xml:space="preserve">Approach to </w:t>
      </w:r>
      <w:r w:rsidR="00410DB8" w:rsidRPr="007A72E0">
        <w:t xml:space="preserve">capacity </w:t>
      </w:r>
      <w:r w:rsidR="0064103B" w:rsidRPr="007A72E0">
        <w:t>building</w:t>
      </w:r>
      <w:bookmarkEnd w:id="10"/>
      <w:r w:rsidR="0064103B" w:rsidRPr="007A72E0">
        <w:t xml:space="preserve"> </w:t>
      </w:r>
    </w:p>
    <w:p w14:paraId="5F57BB55" w14:textId="68140B22" w:rsidR="00F06F1B" w:rsidRPr="007A72E0" w:rsidRDefault="00DF0535" w:rsidP="00F06F1B">
      <w:r w:rsidRPr="007A72E0">
        <w:rPr>
          <w:b/>
        </w:rPr>
        <w:t xml:space="preserve">AAPTIP </w:t>
      </w:r>
      <w:r w:rsidR="007E08B1" w:rsidRPr="007A72E0">
        <w:rPr>
          <w:b/>
        </w:rPr>
        <w:t xml:space="preserve">has </w:t>
      </w:r>
      <w:r w:rsidRPr="007A72E0">
        <w:rPr>
          <w:b/>
        </w:rPr>
        <w:t xml:space="preserve">a well-articulated </w:t>
      </w:r>
      <w:r w:rsidR="007E08B1" w:rsidRPr="007A72E0">
        <w:rPr>
          <w:b/>
        </w:rPr>
        <w:t>‘</w:t>
      </w:r>
      <w:r w:rsidRPr="007A72E0">
        <w:rPr>
          <w:b/>
        </w:rPr>
        <w:t>cascade</w:t>
      </w:r>
      <w:r w:rsidR="007E08B1" w:rsidRPr="007A72E0">
        <w:rPr>
          <w:b/>
        </w:rPr>
        <w:t>’</w:t>
      </w:r>
      <w:r w:rsidRPr="007A72E0">
        <w:rPr>
          <w:b/>
        </w:rPr>
        <w:t xml:space="preserve"> model of capacity building that is strong at the technical level. </w:t>
      </w:r>
      <w:r w:rsidR="00AD0D8B" w:rsidRPr="0082746C">
        <w:t xml:space="preserve">The model </w:t>
      </w:r>
      <w:r w:rsidRPr="0082746C">
        <w:t>involves</w:t>
      </w:r>
      <w:r w:rsidRPr="007A72E0">
        <w:t xml:space="preserve"> a series of defined steps</w:t>
      </w:r>
      <w:r w:rsidR="0019424B" w:rsidRPr="007A72E0">
        <w:t>,</w:t>
      </w:r>
      <w:r w:rsidRPr="007A72E0">
        <w:t xml:space="preserve"> </w:t>
      </w:r>
      <w:r w:rsidR="0019424B" w:rsidRPr="007A72E0">
        <w:t xml:space="preserve">including </w:t>
      </w:r>
      <w:r w:rsidRPr="007A72E0">
        <w:t>initial partner dialogue meetings and sensitisation processes</w:t>
      </w:r>
      <w:r w:rsidR="0019424B" w:rsidRPr="007A72E0">
        <w:t>,</w:t>
      </w:r>
      <w:r w:rsidRPr="007A72E0">
        <w:t xml:space="preserve"> ‘write-shops’ to adapt and revise investigative, prosecutorial or judicial manuals and guidelines, </w:t>
      </w:r>
      <w:r w:rsidR="0019424B" w:rsidRPr="007A72E0">
        <w:t>training</w:t>
      </w:r>
      <w:r w:rsidRPr="007A72E0">
        <w:t xml:space="preserve"> of trainers</w:t>
      </w:r>
      <w:r w:rsidR="00AD0D8B">
        <w:t>, follow</w:t>
      </w:r>
      <w:r w:rsidR="00EF48C3">
        <w:t>ed</w:t>
      </w:r>
      <w:r w:rsidR="00AD0D8B">
        <w:t xml:space="preserve"> by shadowing and </w:t>
      </w:r>
      <w:r w:rsidRPr="007A72E0">
        <w:t xml:space="preserve">coaching </w:t>
      </w:r>
      <w:r w:rsidR="00AD0D8B">
        <w:t xml:space="preserve">of </w:t>
      </w:r>
      <w:r w:rsidRPr="007A72E0">
        <w:t>partners while they pi</w:t>
      </w:r>
      <w:r w:rsidR="007E08B1" w:rsidRPr="007A72E0">
        <w:t xml:space="preserve">lot training in designated ‘hot </w:t>
      </w:r>
      <w:r w:rsidRPr="007A72E0">
        <w:t>spots’</w:t>
      </w:r>
      <w:r w:rsidR="00EB1B1F">
        <w:t>.</w:t>
      </w:r>
      <w:r w:rsidR="004530BC">
        <w:rPr>
          <w:rStyle w:val="FootnoteReference"/>
        </w:rPr>
        <w:footnoteReference w:id="16"/>
      </w:r>
      <w:r w:rsidR="00F06F1B" w:rsidRPr="00F06F1B">
        <w:t xml:space="preserve"> </w:t>
      </w:r>
      <w:r w:rsidR="00293158">
        <w:t>K</w:t>
      </w:r>
      <w:r w:rsidR="00F06F1B" w:rsidRPr="007A72E0">
        <w:t>ey documents</w:t>
      </w:r>
      <w:r w:rsidR="00293158">
        <w:t xml:space="preserve"> are endorsed by ASEAN</w:t>
      </w:r>
      <w:r w:rsidR="00F06F1B" w:rsidRPr="007A72E0">
        <w:t>, which facilitates their uptake at national level</w:t>
      </w:r>
      <w:r w:rsidR="00293158">
        <w:t xml:space="preserve"> and </w:t>
      </w:r>
      <w:r w:rsidR="00F06F1B" w:rsidRPr="007A72E0">
        <w:t xml:space="preserve">helps </w:t>
      </w:r>
      <w:r w:rsidR="00F06F1B">
        <w:t xml:space="preserve">promote regional </w:t>
      </w:r>
      <w:r w:rsidR="00F06F1B" w:rsidRPr="007A72E0">
        <w:t xml:space="preserve">consistency in areas such as victim identification. </w:t>
      </w:r>
    </w:p>
    <w:p w14:paraId="5D122157" w14:textId="77777777" w:rsidR="00F06F1B" w:rsidRDefault="00F06F1B" w:rsidP="00F06F1B"/>
    <w:p w14:paraId="54D88425" w14:textId="1B13CD0F" w:rsidR="00293158" w:rsidRDefault="00F06F1B" w:rsidP="00293158">
      <w:r w:rsidRPr="00D9145A">
        <w:rPr>
          <w:b/>
        </w:rPr>
        <w:t xml:space="preserve">The model results in good quality training materials that are adapted to local conditions and owned by counterparts, making it more likely that they will be adopted into national training curricula. </w:t>
      </w:r>
      <w:r w:rsidR="003B586B">
        <w:t xml:space="preserve">We saw evidence of this </w:t>
      </w:r>
      <w:r w:rsidR="00125872">
        <w:t xml:space="preserve">occurring </w:t>
      </w:r>
      <w:r w:rsidR="003B586B">
        <w:t xml:space="preserve">in the </w:t>
      </w:r>
      <w:r w:rsidR="003B586B" w:rsidRPr="007A72E0">
        <w:t>Philippines</w:t>
      </w:r>
      <w:r w:rsidR="00D64E7E">
        <w:t xml:space="preserve"> (see Figure 8</w:t>
      </w:r>
      <w:r w:rsidR="003B586B">
        <w:t>)</w:t>
      </w:r>
      <w:r w:rsidR="003B586B" w:rsidRPr="007A72E0">
        <w:t xml:space="preserve">, where many of the ASEAN modules have </w:t>
      </w:r>
      <w:r w:rsidR="003B586B">
        <w:t xml:space="preserve">now </w:t>
      </w:r>
      <w:r w:rsidR="003B586B" w:rsidRPr="007A72E0">
        <w:t>been integrated into in-service training programs for new recruits and more experienced officers</w:t>
      </w:r>
      <w:r w:rsidR="00EB57D9">
        <w:t xml:space="preserve">. </w:t>
      </w:r>
      <w:r w:rsidR="003B586B">
        <w:t xml:space="preserve">AAPTIP has also worked hard to </w:t>
      </w:r>
      <w:r w:rsidR="00293158">
        <w:t>secure budget</w:t>
      </w:r>
      <w:r w:rsidR="00125872">
        <w:t>s</w:t>
      </w:r>
      <w:r w:rsidR="00293158">
        <w:t xml:space="preserve"> for </w:t>
      </w:r>
      <w:r w:rsidR="00125872">
        <w:t>training</w:t>
      </w:r>
      <w:r w:rsidR="00EB57D9">
        <w:t xml:space="preserve">. </w:t>
      </w:r>
      <w:r w:rsidR="00293158" w:rsidRPr="007A72E0">
        <w:t xml:space="preserve">Feedback from counterparts and our own observations </w:t>
      </w:r>
      <w:r w:rsidR="00293158">
        <w:t xml:space="preserve">of training in Thailand, Philippines and Myanmar </w:t>
      </w:r>
      <w:r w:rsidR="00293158" w:rsidRPr="007A72E0">
        <w:t>suggest th</w:t>
      </w:r>
      <w:r w:rsidR="00293158">
        <w:t>at</w:t>
      </w:r>
      <w:r w:rsidR="00293158" w:rsidRPr="007A72E0">
        <w:t xml:space="preserve"> </w:t>
      </w:r>
      <w:r w:rsidR="00293158">
        <w:t xml:space="preserve">training </w:t>
      </w:r>
      <w:r w:rsidR="00293158" w:rsidRPr="007A72E0">
        <w:t xml:space="preserve">is delivered to a </w:t>
      </w:r>
      <w:r w:rsidR="00125872">
        <w:t xml:space="preserve">high </w:t>
      </w:r>
      <w:r w:rsidR="00293158" w:rsidRPr="007A72E0">
        <w:t>technical standard</w:t>
      </w:r>
      <w:r w:rsidR="00293158">
        <w:t xml:space="preserve"> and </w:t>
      </w:r>
      <w:r w:rsidR="00293158" w:rsidRPr="007A72E0">
        <w:t>draw</w:t>
      </w:r>
      <w:r w:rsidR="00293158">
        <w:t>s</w:t>
      </w:r>
      <w:r w:rsidR="00293158" w:rsidRPr="007A72E0">
        <w:t xml:space="preserve"> on </w:t>
      </w:r>
      <w:r w:rsidR="00293158">
        <w:t xml:space="preserve">a </w:t>
      </w:r>
      <w:r w:rsidR="00293158" w:rsidRPr="007A72E0">
        <w:t xml:space="preserve">range of good </w:t>
      </w:r>
      <w:r w:rsidR="00293158">
        <w:t xml:space="preserve">training </w:t>
      </w:r>
      <w:r w:rsidR="00293158" w:rsidRPr="007A72E0">
        <w:t>practices</w:t>
      </w:r>
      <w:r w:rsidR="00293158">
        <w:t>, including a more interactive style of teaching than is common in the region</w:t>
      </w:r>
      <w:r w:rsidR="00293158" w:rsidRPr="007A72E0">
        <w:t>.</w:t>
      </w:r>
      <w:r w:rsidR="00293158">
        <w:t xml:space="preserve"> </w:t>
      </w:r>
    </w:p>
    <w:p w14:paraId="4C8F0752" w14:textId="31E9F973" w:rsidR="003B586B" w:rsidRDefault="003B586B" w:rsidP="003B586B"/>
    <w:p w14:paraId="7E25A16A" w14:textId="370BDBE0" w:rsidR="003B586B" w:rsidRPr="000D0602" w:rsidRDefault="003B586B" w:rsidP="003B586B">
      <w:pPr>
        <w:rPr>
          <w:b/>
          <w:color w:val="365F91" w:themeColor="accent1" w:themeShade="BF"/>
        </w:rPr>
      </w:pPr>
      <w:r w:rsidRPr="000D0602">
        <w:rPr>
          <w:b/>
          <w:color w:val="365F91" w:themeColor="accent1" w:themeShade="BF"/>
        </w:rPr>
        <w:t>Figure</w:t>
      </w:r>
      <w:r w:rsidR="00D64E7E">
        <w:rPr>
          <w:b/>
          <w:color w:val="365F91" w:themeColor="accent1" w:themeShade="BF"/>
        </w:rPr>
        <w:t xml:space="preserve"> 8</w:t>
      </w:r>
      <w:r w:rsidR="00293158">
        <w:rPr>
          <w:b/>
          <w:color w:val="365F91" w:themeColor="accent1" w:themeShade="BF"/>
        </w:rPr>
        <w:t>: C</w:t>
      </w:r>
      <w:r w:rsidRPr="000D0602">
        <w:rPr>
          <w:b/>
          <w:color w:val="365F91" w:themeColor="accent1" w:themeShade="BF"/>
        </w:rPr>
        <w:t>ascade training in the Philippines</w:t>
      </w:r>
    </w:p>
    <w:tbl>
      <w:tblPr>
        <w:tblStyle w:val="TableGrid"/>
        <w:tblW w:w="0" w:type="auto"/>
        <w:tblInd w:w="170" w:type="dxa"/>
        <w:tblLook w:val="04A0" w:firstRow="1" w:lastRow="0" w:firstColumn="1" w:lastColumn="0" w:noHBand="0" w:noVBand="1"/>
      </w:tblPr>
      <w:tblGrid>
        <w:gridCol w:w="8346"/>
      </w:tblGrid>
      <w:tr w:rsidR="003B586B" w14:paraId="69C2120D" w14:textId="77777777" w:rsidTr="00987976">
        <w:tc>
          <w:tcPr>
            <w:tcW w:w="8516" w:type="dxa"/>
            <w:shd w:val="clear" w:color="auto" w:fill="B8CCE4" w:themeFill="accent1" w:themeFillTint="66"/>
          </w:tcPr>
          <w:p w14:paraId="04AE6ACE" w14:textId="0FFD71EE" w:rsidR="003B586B" w:rsidRDefault="003B586B" w:rsidP="00A524A5">
            <w:pPr>
              <w:spacing w:before="120" w:after="120"/>
            </w:pPr>
            <w:r w:rsidRPr="007A72E0">
              <w:t xml:space="preserve">In the Philippines, </w:t>
            </w:r>
            <w:r>
              <w:t>the cascade training system is well advanced. P</w:t>
            </w:r>
            <w:r w:rsidRPr="007A72E0">
              <w:t xml:space="preserve">artners </w:t>
            </w:r>
            <w:r w:rsidR="00125872">
              <w:t xml:space="preserve">are </w:t>
            </w:r>
            <w:r>
              <w:t xml:space="preserve">leading </w:t>
            </w:r>
            <w:r w:rsidRPr="007A72E0">
              <w:t xml:space="preserve">the process, </w:t>
            </w:r>
            <w:r>
              <w:t xml:space="preserve">including </w:t>
            </w:r>
            <w:r w:rsidRPr="007A72E0">
              <w:t xml:space="preserve">revision of training materials, co-facilitating training of trainers and piloting revised modules in ‘hot spot’ </w:t>
            </w:r>
            <w:r>
              <w:t xml:space="preserve">provinces. </w:t>
            </w:r>
          </w:p>
          <w:p w14:paraId="324407BA" w14:textId="53CDF18F" w:rsidR="003B586B" w:rsidRDefault="003B586B" w:rsidP="00A524A5">
            <w:pPr>
              <w:spacing w:before="120" w:after="120"/>
            </w:pPr>
            <w:r>
              <w:t xml:space="preserve">The police trainers we spoke to from the School of Specialist Courses (one of four separate training schools under the training service of the Philippines National Police) were confident that the trafficking investigations course was having an effect on the behaviours of </w:t>
            </w:r>
            <w:r w:rsidR="00125872">
              <w:t>front</w:t>
            </w:r>
            <w:r>
              <w:t>line officers. The head of the training unit believed that police officers were now more observant and more proactive in identifying trafficking cases. He believed there had been an increase in the number of reports filed with a trafficking component and an increase in the number of trafficking cases initiated in the provinces. The Ministry of Justice noted an increase in prosecution cases reported by</w:t>
            </w:r>
            <w:r w:rsidR="00930206">
              <w:t xml:space="preserve"> the Inter-Agency Council Against Trafficking(</w:t>
            </w:r>
            <w:r>
              <w:t>IACAT</w:t>
            </w:r>
            <w:r w:rsidR="00930206">
              <w:t>)</w:t>
            </w:r>
            <w:r>
              <w:t xml:space="preserve"> </w:t>
            </w:r>
            <w:r>
              <w:lastRenderedPageBreak/>
              <w:t xml:space="preserve">units in the </w:t>
            </w:r>
            <w:r w:rsidR="00EF48C3">
              <w:t>‘</w:t>
            </w:r>
            <w:r>
              <w:t>hot</w:t>
            </w:r>
            <w:r w:rsidR="00EF48C3">
              <w:t xml:space="preserve"> </w:t>
            </w:r>
            <w:r>
              <w:t>spot</w:t>
            </w:r>
            <w:r w:rsidR="00EF48C3">
              <w:t>s’</w:t>
            </w:r>
            <w:r>
              <w:t>.</w:t>
            </w:r>
            <w:r w:rsidR="003A2EA7">
              <w:t xml:space="preserve"> We were not able to verify these claims.</w:t>
            </w:r>
          </w:p>
          <w:p w14:paraId="76E92875" w14:textId="6BE17582" w:rsidR="003B586B" w:rsidRPr="00767BE8" w:rsidRDefault="003B586B" w:rsidP="00A524A5">
            <w:pPr>
              <w:spacing w:before="120" w:after="120"/>
            </w:pPr>
            <w:r>
              <w:t>Training participants we spoke with noted that training techniques on the co</w:t>
            </w:r>
            <w:r w:rsidR="00125872">
              <w:t>urses are now more participatory,</w:t>
            </w:r>
            <w:r>
              <w:t xml:space="preserve"> </w:t>
            </w:r>
            <w:r w:rsidR="00125872">
              <w:t xml:space="preserve">with more useful </w:t>
            </w:r>
            <w:r>
              <w:t>case studies</w:t>
            </w:r>
            <w:r w:rsidR="00125872">
              <w:t>,</w:t>
            </w:r>
            <w:r>
              <w:t xml:space="preserve"> </w:t>
            </w:r>
            <w:r w:rsidR="00125872">
              <w:t xml:space="preserve">as compared to other </w:t>
            </w:r>
            <w:r>
              <w:t xml:space="preserve">trainings they have attended. </w:t>
            </w:r>
          </w:p>
        </w:tc>
      </w:tr>
    </w:tbl>
    <w:p w14:paraId="08BDCF61" w14:textId="77777777" w:rsidR="003B586B" w:rsidRPr="007A72E0" w:rsidRDefault="003B586B" w:rsidP="003B586B"/>
    <w:p w14:paraId="384CCBB6" w14:textId="409D33B0" w:rsidR="00DB52B6" w:rsidRDefault="00685572" w:rsidP="00685572">
      <w:r w:rsidRPr="00516ACA">
        <w:rPr>
          <w:b/>
        </w:rPr>
        <w:t>AAPTIP</w:t>
      </w:r>
      <w:r w:rsidRPr="00D9145A">
        <w:rPr>
          <w:b/>
        </w:rPr>
        <w:t xml:space="preserve"> is beginning to follow up its training with a hybrid form of coaching</w:t>
      </w:r>
      <w:r w:rsidRPr="007A72E0">
        <w:t xml:space="preserve">, whereby participants </w:t>
      </w:r>
      <w:r>
        <w:t>in training session</w:t>
      </w:r>
      <w:r w:rsidR="004D5DB2">
        <w:t>s</w:t>
      </w:r>
      <w:r>
        <w:t xml:space="preserve"> </w:t>
      </w:r>
      <w:r w:rsidRPr="007A72E0">
        <w:t xml:space="preserve">are offered </w:t>
      </w:r>
      <w:r>
        <w:t xml:space="preserve">either </w:t>
      </w:r>
      <w:r w:rsidRPr="007A72E0">
        <w:t>one-on-one support by advisers</w:t>
      </w:r>
      <w:r>
        <w:t xml:space="preserve"> or group coaching. This is </w:t>
      </w:r>
      <w:r w:rsidRPr="007A72E0">
        <w:t>not coaching in the usual sense</w:t>
      </w:r>
      <w:r w:rsidR="003A2EA7">
        <w:t xml:space="preserve"> (i.e.</w:t>
      </w:r>
      <w:r>
        <w:t xml:space="preserve"> sustained one-to-one support to build skills and professional behaviours). However</w:t>
      </w:r>
      <w:r w:rsidRPr="007A72E0">
        <w:t xml:space="preserve">, </w:t>
      </w:r>
      <w:r w:rsidR="00293158">
        <w:t>as it expands, it may provide</w:t>
      </w:r>
      <w:r w:rsidRPr="007A72E0">
        <w:t xml:space="preserve"> the program with an </w:t>
      </w:r>
      <w:r w:rsidR="00293158">
        <w:t xml:space="preserve">entry point </w:t>
      </w:r>
      <w:r w:rsidR="003A2EA7">
        <w:t>for</w:t>
      </w:r>
      <w:r w:rsidR="00293158">
        <w:t xml:space="preserve"> </w:t>
      </w:r>
      <w:r w:rsidRPr="007A72E0">
        <w:t>address</w:t>
      </w:r>
      <w:r w:rsidR="003A2EA7">
        <w:t>ing</w:t>
      </w:r>
      <w:r w:rsidRPr="007A72E0">
        <w:t xml:space="preserve"> wider institutional challenges. </w:t>
      </w:r>
    </w:p>
    <w:p w14:paraId="45635426" w14:textId="77777777" w:rsidR="00685572" w:rsidRPr="007A72E0" w:rsidRDefault="00685572" w:rsidP="00685572"/>
    <w:p w14:paraId="72968F9F" w14:textId="1EB8D132" w:rsidR="00DB52B6" w:rsidRPr="003A2EA7" w:rsidRDefault="00803BCC" w:rsidP="007A29CE">
      <w:r w:rsidRPr="007A72E0">
        <w:rPr>
          <w:b/>
        </w:rPr>
        <w:t xml:space="preserve">Most of AAPTIP’s </w:t>
      </w:r>
      <w:r w:rsidR="003A2EA7">
        <w:rPr>
          <w:b/>
        </w:rPr>
        <w:t>training builds</w:t>
      </w:r>
      <w:r w:rsidRPr="007A72E0">
        <w:rPr>
          <w:b/>
        </w:rPr>
        <w:t xml:space="preserve"> generic capacities, rather than tackling specific constraints on institutional performance.</w:t>
      </w:r>
      <w:r w:rsidR="003A2EA7">
        <w:t xml:space="preserve"> AAPTIP’s capacity-</w:t>
      </w:r>
      <w:r w:rsidR="00FB3C91" w:rsidRPr="007A72E0">
        <w:t xml:space="preserve">building approach </w:t>
      </w:r>
      <w:r w:rsidR="00DF0535" w:rsidRPr="007A72E0">
        <w:t xml:space="preserve">implicitly assumes that individual skills are the binding constraint on organisational performance, and that they can be overcome through training despite rapid rotation of staff </w:t>
      </w:r>
      <w:r w:rsidRPr="007A72E0">
        <w:t xml:space="preserve">in and </w:t>
      </w:r>
      <w:r w:rsidR="00DF0535" w:rsidRPr="007A72E0">
        <w:t xml:space="preserve">out of trafficking units. </w:t>
      </w:r>
      <w:r w:rsidRPr="007A72E0">
        <w:t xml:space="preserve">There is little reflection in the program of contemporary thinking on capacity development, which </w:t>
      </w:r>
      <w:r w:rsidR="00FB3C91" w:rsidRPr="007A72E0">
        <w:t xml:space="preserve">suggests a </w:t>
      </w:r>
      <w:r w:rsidR="00293158">
        <w:t xml:space="preserve">more engaged </w:t>
      </w:r>
      <w:r w:rsidR="00FB3C91" w:rsidRPr="007A72E0">
        <w:t xml:space="preserve">process of </w:t>
      </w:r>
      <w:r w:rsidRPr="007A72E0">
        <w:t xml:space="preserve">identifying and brokering solutions to specific constraints on institutional performance. </w:t>
      </w:r>
      <w:r w:rsidR="00FB3C91" w:rsidRPr="007A72E0">
        <w:t xml:space="preserve">A problem-solving approach </w:t>
      </w:r>
      <w:r w:rsidR="007A29CE" w:rsidRPr="007A72E0">
        <w:t xml:space="preserve">would require more investment in diagnostic work to identify </w:t>
      </w:r>
      <w:r w:rsidR="00293158">
        <w:t xml:space="preserve">such </w:t>
      </w:r>
      <w:r w:rsidR="007A29CE" w:rsidRPr="007A72E0">
        <w:t>constraints</w:t>
      </w:r>
      <w:r w:rsidR="00293158">
        <w:t xml:space="preserve">, </w:t>
      </w:r>
      <w:r w:rsidR="003A2EA7">
        <w:t xml:space="preserve">and more intensive engagement by </w:t>
      </w:r>
      <w:r w:rsidR="00E97A74">
        <w:t>adviser</w:t>
      </w:r>
      <w:r w:rsidR="003A2EA7">
        <w:t xml:space="preserve">s (usually embedded within counterpart institutions). It might also involve </w:t>
      </w:r>
      <w:r w:rsidR="00293158">
        <w:t>a wider range of interventions</w:t>
      </w:r>
      <w:r w:rsidR="003A2EA7">
        <w:t xml:space="preserve">, </w:t>
      </w:r>
      <w:r w:rsidR="00293158">
        <w:t xml:space="preserve">including </w:t>
      </w:r>
      <w:r w:rsidR="003A2EA7">
        <w:t xml:space="preserve">working </w:t>
      </w:r>
      <w:r w:rsidR="00293158">
        <w:t>with actors outside the criminal justice system</w:t>
      </w:r>
      <w:r w:rsidR="007A29CE" w:rsidRPr="007A72E0">
        <w:t xml:space="preserve">. </w:t>
      </w:r>
      <w:r w:rsidR="00293158">
        <w:t xml:space="preserve">AAPTIP has begun to work this way in a few areas. For example, it has been working to strengthen inter-agency cooperation in Myanmar and the Philippines by helping to develop referral mechanisms. However, the program has not really articulated problem-solving as an approach to capacity development or pursued it in a systematic way. </w:t>
      </w:r>
    </w:p>
    <w:p w14:paraId="203695AE" w14:textId="3584BB77" w:rsidR="001769EA" w:rsidRPr="007A72E0" w:rsidRDefault="00B72D64" w:rsidP="00410DB8">
      <w:pPr>
        <w:pStyle w:val="Heading2"/>
      </w:pPr>
      <w:bookmarkStart w:id="11" w:name="_Toc465687850"/>
      <w:r w:rsidRPr="007A72E0">
        <w:t xml:space="preserve">Transnational </w:t>
      </w:r>
      <w:r w:rsidR="00934645">
        <w:t>investigation</w:t>
      </w:r>
      <w:r w:rsidR="00934645" w:rsidRPr="007A72E0">
        <w:t xml:space="preserve"> </w:t>
      </w:r>
      <w:r w:rsidRPr="007A72E0">
        <w:t>c</w:t>
      </w:r>
      <w:r w:rsidR="00410DB8" w:rsidRPr="007A72E0">
        <w:t>o-operation</w:t>
      </w:r>
      <w:r w:rsidR="00E37236" w:rsidRPr="007A72E0">
        <w:t xml:space="preserve"> (TIC)</w:t>
      </w:r>
      <w:bookmarkEnd w:id="11"/>
    </w:p>
    <w:p w14:paraId="28BFF673" w14:textId="1208BAAC" w:rsidR="00A43FB6" w:rsidRPr="007A72E0" w:rsidRDefault="00293158" w:rsidP="00346FB9">
      <w:r>
        <w:t>AAPTIP is support</w:t>
      </w:r>
      <w:r w:rsidR="00914DA7">
        <w:t>ing</w:t>
      </w:r>
      <w:r>
        <w:t xml:space="preserve"> international cooperation in the investigation of transnational cases by running a se</w:t>
      </w:r>
      <w:r w:rsidR="002D3560">
        <w:t>ries of bilateral and multilateral</w:t>
      </w:r>
      <w:r w:rsidR="009C12EB">
        <w:t xml:space="preserve"> workshops between source and destination countries. </w:t>
      </w:r>
      <w:r w:rsidR="00410DB8" w:rsidRPr="007A72E0">
        <w:t xml:space="preserve">AAPTIP’s own reporting shows that these efforts </w:t>
      </w:r>
      <w:r w:rsidR="00CC08F3" w:rsidRPr="007A72E0">
        <w:t xml:space="preserve">have </w:t>
      </w:r>
      <w:r w:rsidR="00410DB8" w:rsidRPr="007A72E0">
        <w:t>yet to yield much benefit</w:t>
      </w:r>
      <w:r w:rsidR="00914DA7">
        <w:t>.</w:t>
      </w:r>
      <w:r w:rsidR="00A43FB6" w:rsidRPr="00987976">
        <w:rPr>
          <w:rStyle w:val="FootnoteReference"/>
          <w:szCs w:val="22"/>
        </w:rPr>
        <w:footnoteReference w:id="17"/>
      </w:r>
      <w:r w:rsidR="00A43FB6" w:rsidRPr="007A72E0">
        <w:t xml:space="preserve"> </w:t>
      </w:r>
      <w:r w:rsidR="00CF5CBD">
        <w:t>T</w:t>
      </w:r>
      <w:r w:rsidR="00CC08F3" w:rsidRPr="007A72E0">
        <w:t xml:space="preserve">he program </w:t>
      </w:r>
      <w:r w:rsidR="009C12EB">
        <w:t xml:space="preserve">has not </w:t>
      </w:r>
      <w:r w:rsidR="00914DA7">
        <w:t>dedicated</w:t>
      </w:r>
      <w:r w:rsidR="009C12EB">
        <w:t xml:space="preserve"> resources to follow-up on specific issues or cases raised at these meetings</w:t>
      </w:r>
      <w:r w:rsidR="00914DA7">
        <w:t xml:space="preserve">. </w:t>
      </w:r>
      <w:r w:rsidR="00CF5CBD">
        <w:t xml:space="preserve">The </w:t>
      </w:r>
      <w:r w:rsidR="009C12EB">
        <w:t xml:space="preserve">M&amp;E system </w:t>
      </w:r>
      <w:r w:rsidR="00CF5CBD">
        <w:t xml:space="preserve">has not identified any instances of </w:t>
      </w:r>
      <w:r w:rsidR="009C12EB">
        <w:t xml:space="preserve">follow-up cooperation </w:t>
      </w:r>
      <w:r w:rsidR="00CF5CBD">
        <w:t xml:space="preserve">between participants </w:t>
      </w:r>
      <w:r w:rsidR="009C12EB">
        <w:t xml:space="preserve">on investigation. However, some of </w:t>
      </w:r>
      <w:r w:rsidR="00CF5CBD">
        <w:t xml:space="preserve">AAPTIP’s </w:t>
      </w:r>
      <w:r w:rsidR="009C12EB">
        <w:t xml:space="preserve">ad hoc interventions have generated results. </w:t>
      </w:r>
      <w:r w:rsidR="00A43FB6" w:rsidRPr="007A72E0">
        <w:t xml:space="preserve">Indonesian police sought </w:t>
      </w:r>
      <w:r w:rsidR="00346FB9" w:rsidRPr="007A72E0">
        <w:t xml:space="preserve">AAPTIP’s </w:t>
      </w:r>
      <w:r w:rsidR="00A43FB6" w:rsidRPr="007A72E0">
        <w:t xml:space="preserve">help when they had a pressing need to collaborate with Myanmar police to resolve a large labour exploitation case </w:t>
      </w:r>
      <w:r w:rsidR="005C5FD9">
        <w:t xml:space="preserve">involving </w:t>
      </w:r>
      <w:r w:rsidR="009C12EB">
        <w:t xml:space="preserve">trafficked </w:t>
      </w:r>
      <w:r w:rsidR="00A43FB6" w:rsidRPr="007A72E0">
        <w:t xml:space="preserve">Burmese </w:t>
      </w:r>
      <w:r w:rsidR="009C12EB">
        <w:t xml:space="preserve">workers </w:t>
      </w:r>
      <w:r w:rsidR="00A43FB6" w:rsidRPr="007A72E0">
        <w:t xml:space="preserve">on Thai fishing vessels </w:t>
      </w:r>
      <w:r w:rsidR="009C12EB">
        <w:t xml:space="preserve">operating </w:t>
      </w:r>
      <w:r w:rsidR="00345985" w:rsidRPr="007A72E0">
        <w:t xml:space="preserve">in </w:t>
      </w:r>
      <w:r w:rsidR="00A43FB6" w:rsidRPr="007A72E0">
        <w:t xml:space="preserve">Indonesian </w:t>
      </w:r>
      <w:r w:rsidR="00345985" w:rsidRPr="007A72E0">
        <w:t>waters</w:t>
      </w:r>
      <w:r w:rsidR="00A43FB6" w:rsidRPr="007A72E0">
        <w:t xml:space="preserve">. AAPTIP funded two investigators and a social worker from Yangon to travel to Benjina Island (part of Malacca province in the South China Sea) to interview and collect data from </w:t>
      </w:r>
      <w:r w:rsidR="00A43FB6" w:rsidRPr="007A72E0">
        <w:lastRenderedPageBreak/>
        <w:t xml:space="preserve">Burmese victims. The </w:t>
      </w:r>
      <w:r w:rsidR="002D3560">
        <w:t>testimony</w:t>
      </w:r>
      <w:r w:rsidR="00A43FB6" w:rsidRPr="007A72E0">
        <w:t xml:space="preserve"> subsequently contributed to </w:t>
      </w:r>
      <w:r w:rsidR="002D3560">
        <w:t xml:space="preserve">the convictions of </w:t>
      </w:r>
      <w:r w:rsidR="00A43FB6" w:rsidRPr="007A72E0">
        <w:t xml:space="preserve">eight Thai and three Indonesians traffickers. </w:t>
      </w:r>
    </w:p>
    <w:p w14:paraId="675E5651" w14:textId="77777777" w:rsidR="00A43FB6" w:rsidRPr="007A72E0" w:rsidRDefault="00A43FB6" w:rsidP="00A43FB6">
      <w:pPr>
        <w:rPr>
          <w:sz w:val="22"/>
          <w:szCs w:val="22"/>
        </w:rPr>
      </w:pPr>
    </w:p>
    <w:p w14:paraId="292258A3" w14:textId="0D9B7610" w:rsidR="00A43FB6" w:rsidRPr="007A72E0" w:rsidRDefault="00A43FB6" w:rsidP="00A43FB6">
      <w:r w:rsidRPr="007A72E0">
        <w:t>The Benjina case is important because it highlights the importance of understanding underlying economic and political interests and incentives. The Indonesian government took action agai</w:t>
      </w:r>
      <w:r w:rsidR="002D3560">
        <w:t>nst Silver Seas, the Thai owner</w:t>
      </w:r>
      <w:r w:rsidRPr="007A72E0">
        <w:t xml:space="preserve"> of the fishing vessels</w:t>
      </w:r>
      <w:r w:rsidR="00345985" w:rsidRPr="007A72E0">
        <w:t>,</w:t>
      </w:r>
      <w:r w:rsidRPr="007A72E0">
        <w:t xml:space="preserve"> </w:t>
      </w:r>
      <w:r w:rsidR="00345985" w:rsidRPr="007A72E0">
        <w:t xml:space="preserve">primarily to protect its </w:t>
      </w:r>
      <w:r w:rsidR="002D3560">
        <w:t xml:space="preserve">own </w:t>
      </w:r>
      <w:r w:rsidR="00345985" w:rsidRPr="007A72E0">
        <w:t>economic interests and territorial waters</w:t>
      </w:r>
      <w:r w:rsidRPr="007A72E0">
        <w:t xml:space="preserve">. </w:t>
      </w:r>
      <w:r w:rsidR="002D3560">
        <w:t>I</w:t>
      </w:r>
      <w:r w:rsidRPr="007A72E0">
        <w:t>t introduced a moratorium on all foreign fishing licences</w:t>
      </w:r>
      <w:r w:rsidR="002D3560">
        <w:t xml:space="preserve"> and began insisting on </w:t>
      </w:r>
      <w:r w:rsidRPr="007A72E0">
        <w:t xml:space="preserve">compliance </w:t>
      </w:r>
      <w:r w:rsidR="002D3560">
        <w:t xml:space="preserve">with </w:t>
      </w:r>
      <w:r w:rsidRPr="007A72E0">
        <w:t xml:space="preserve">labour standards. </w:t>
      </w:r>
      <w:r w:rsidR="002D3560">
        <w:t xml:space="preserve">This helped </w:t>
      </w:r>
      <w:r w:rsidR="00345985" w:rsidRPr="007A72E0">
        <w:t xml:space="preserve">to increase its </w:t>
      </w:r>
      <w:r w:rsidRPr="007A72E0">
        <w:t>export revenue</w:t>
      </w:r>
      <w:r w:rsidR="00345985" w:rsidRPr="007A72E0">
        <w:t>s</w:t>
      </w:r>
      <w:r w:rsidRPr="007A72E0">
        <w:t xml:space="preserve"> from </w:t>
      </w:r>
      <w:r w:rsidR="00345985" w:rsidRPr="007A72E0">
        <w:t>fishing</w:t>
      </w:r>
      <w:r w:rsidR="002D3560">
        <w:t xml:space="preserve">, while </w:t>
      </w:r>
      <w:r w:rsidR="00512445">
        <w:t xml:space="preserve">at the same time </w:t>
      </w:r>
      <w:r w:rsidR="002D3560">
        <w:t>reducing</w:t>
      </w:r>
      <w:r w:rsidRPr="007A72E0">
        <w:t xml:space="preserve"> the use of slave labour in </w:t>
      </w:r>
      <w:r w:rsidR="00345985" w:rsidRPr="007A72E0">
        <w:t xml:space="preserve">its </w:t>
      </w:r>
      <w:r w:rsidRPr="007A72E0">
        <w:t>territorial waters</w:t>
      </w:r>
      <w:r w:rsidR="00E44DD3" w:rsidRPr="007A72E0">
        <w:t xml:space="preserve">. </w:t>
      </w:r>
      <w:r w:rsidR="00345985" w:rsidRPr="007A72E0">
        <w:t xml:space="preserve">This suggests that </w:t>
      </w:r>
      <w:r w:rsidR="009C12EB">
        <w:t xml:space="preserve">more targeted </w:t>
      </w:r>
      <w:r w:rsidR="00345985" w:rsidRPr="007A72E0">
        <w:t xml:space="preserve">anti-trafficking initiatives could be built on such political openings and economic incentives. </w:t>
      </w:r>
      <w:r w:rsidR="00CF5CBD">
        <w:t xml:space="preserve">So far, AAPTIP has not positioned itself well to take advantage of such openings. </w:t>
      </w:r>
    </w:p>
    <w:p w14:paraId="25AF3EAE" w14:textId="60F7B6A8" w:rsidR="00A43FB6" w:rsidRPr="007A72E0" w:rsidRDefault="009C12EB" w:rsidP="00345985">
      <w:pPr>
        <w:pStyle w:val="Heading2"/>
      </w:pPr>
      <w:bookmarkStart w:id="12" w:name="_Toc465687851"/>
      <w:r>
        <w:t>Victim-w</w:t>
      </w:r>
      <w:r w:rsidR="00A43FB6" w:rsidRPr="007A72E0">
        <w:t xml:space="preserve">itness </w:t>
      </w:r>
      <w:r>
        <w:t>s</w:t>
      </w:r>
      <w:r w:rsidR="00A43FB6" w:rsidRPr="007A72E0">
        <w:t>upport</w:t>
      </w:r>
      <w:bookmarkEnd w:id="12"/>
    </w:p>
    <w:p w14:paraId="77A635E5" w14:textId="1F4CD7BF" w:rsidR="00C60BFE" w:rsidRDefault="00035F33" w:rsidP="00A524A5">
      <w:pPr>
        <w:rPr>
          <w:rFonts w:cs="Times New Roman"/>
        </w:rPr>
      </w:pPr>
      <w:r>
        <w:rPr>
          <w:rFonts w:cs="Times New Roman"/>
        </w:rPr>
        <w:t xml:space="preserve">One of AAPTIP’s goals is to improve the integrity of trafficking prosecutions and </w:t>
      </w:r>
      <w:r w:rsidR="00A524A5">
        <w:rPr>
          <w:rFonts w:cs="Times New Roman"/>
        </w:rPr>
        <w:t>to</w:t>
      </w:r>
      <w:r>
        <w:rPr>
          <w:rFonts w:cs="Times New Roman"/>
        </w:rPr>
        <w:t xml:space="preserve"> </w:t>
      </w:r>
      <w:r w:rsidR="00A524A5">
        <w:rPr>
          <w:rFonts w:cs="Times New Roman"/>
        </w:rPr>
        <w:t xml:space="preserve">promote </w:t>
      </w:r>
      <w:r w:rsidR="00512445">
        <w:rPr>
          <w:rFonts w:cs="Times New Roman"/>
        </w:rPr>
        <w:t xml:space="preserve">respect for </w:t>
      </w:r>
      <w:r w:rsidR="00A524A5">
        <w:rPr>
          <w:rFonts w:cs="Times New Roman"/>
        </w:rPr>
        <w:t xml:space="preserve">the </w:t>
      </w:r>
      <w:r>
        <w:rPr>
          <w:rFonts w:cs="Times New Roman"/>
        </w:rPr>
        <w:t>rights of victim-witnesses</w:t>
      </w:r>
      <w:r w:rsidR="00C60BFE">
        <w:rPr>
          <w:rFonts w:cs="Times New Roman"/>
        </w:rPr>
        <w:t xml:space="preserve">, whose </w:t>
      </w:r>
      <w:r>
        <w:rPr>
          <w:rFonts w:cs="Times New Roman"/>
        </w:rPr>
        <w:t xml:space="preserve">participation </w:t>
      </w:r>
      <w:r w:rsidR="00C60BFE">
        <w:rPr>
          <w:rFonts w:cs="Times New Roman"/>
        </w:rPr>
        <w:t xml:space="preserve">is </w:t>
      </w:r>
      <w:r>
        <w:rPr>
          <w:rFonts w:cs="Times New Roman"/>
        </w:rPr>
        <w:t>essential for convictions</w:t>
      </w:r>
      <w:r w:rsidR="00C60BFE">
        <w:rPr>
          <w:rFonts w:cs="Times New Roman"/>
        </w:rPr>
        <w:t xml:space="preserve"> but </w:t>
      </w:r>
      <w:r w:rsidR="002D3560">
        <w:rPr>
          <w:rFonts w:cs="Times New Roman"/>
        </w:rPr>
        <w:t xml:space="preserve">who </w:t>
      </w:r>
      <w:r>
        <w:rPr>
          <w:rFonts w:cs="Times New Roman"/>
        </w:rPr>
        <w:t xml:space="preserve">are </w:t>
      </w:r>
      <w:r w:rsidR="002D3560">
        <w:rPr>
          <w:rFonts w:cs="Times New Roman"/>
        </w:rPr>
        <w:t xml:space="preserve">routinely </w:t>
      </w:r>
      <w:r>
        <w:rPr>
          <w:rFonts w:cs="Times New Roman"/>
        </w:rPr>
        <w:t xml:space="preserve">treated poorly within the criminal justice system. </w:t>
      </w:r>
      <w:r w:rsidR="00C60BFE">
        <w:rPr>
          <w:rFonts w:cs="Times New Roman"/>
        </w:rPr>
        <w:t xml:space="preserve">AAPTIP has helped to introduce </w:t>
      </w:r>
      <w:r w:rsidR="00A524A5">
        <w:rPr>
          <w:rFonts w:cs="Times New Roman"/>
        </w:rPr>
        <w:t>Victim-Witness Coordinators</w:t>
      </w:r>
      <w:r w:rsidR="00C60BFE">
        <w:rPr>
          <w:rFonts w:cs="Times New Roman"/>
        </w:rPr>
        <w:t xml:space="preserve"> in </w:t>
      </w:r>
      <w:r w:rsidR="002D3560">
        <w:rPr>
          <w:rFonts w:cs="Times New Roman"/>
        </w:rPr>
        <w:t xml:space="preserve">the </w:t>
      </w:r>
      <w:r w:rsidR="00C60BFE">
        <w:rPr>
          <w:rFonts w:cs="Times New Roman"/>
        </w:rPr>
        <w:t>Philippines and Cambodia</w:t>
      </w:r>
      <w:r w:rsidR="00A524A5">
        <w:rPr>
          <w:rFonts w:cs="Times New Roman"/>
        </w:rPr>
        <w:t xml:space="preserve">. </w:t>
      </w:r>
      <w:r w:rsidR="00A524A5" w:rsidRPr="007A72E0">
        <w:rPr>
          <w:rFonts w:cs="Times New Roman"/>
        </w:rPr>
        <w:t>These are officials</w:t>
      </w:r>
      <w:r w:rsidR="00A524A5">
        <w:rPr>
          <w:rFonts w:cs="Times New Roman"/>
        </w:rPr>
        <w:t xml:space="preserve">, currently paid by AAPTIP, </w:t>
      </w:r>
      <w:r w:rsidR="00C60BFE">
        <w:rPr>
          <w:rFonts w:cs="Times New Roman"/>
        </w:rPr>
        <w:t xml:space="preserve">who </w:t>
      </w:r>
      <w:r w:rsidR="00A524A5">
        <w:rPr>
          <w:rFonts w:cs="Times New Roman"/>
        </w:rPr>
        <w:t xml:space="preserve">work within </w:t>
      </w:r>
      <w:r w:rsidR="00A524A5" w:rsidRPr="007A72E0">
        <w:rPr>
          <w:rFonts w:cs="Times New Roman"/>
        </w:rPr>
        <w:t xml:space="preserve">anti-trafficking police </w:t>
      </w:r>
      <w:r w:rsidR="00A524A5">
        <w:rPr>
          <w:rFonts w:cs="Times New Roman"/>
        </w:rPr>
        <w:t xml:space="preserve">or prosecutorial </w:t>
      </w:r>
      <w:r w:rsidR="00A524A5" w:rsidRPr="007A72E0">
        <w:rPr>
          <w:rFonts w:cs="Times New Roman"/>
        </w:rPr>
        <w:t xml:space="preserve">units </w:t>
      </w:r>
      <w:r w:rsidR="00914DA7">
        <w:rPr>
          <w:rFonts w:cs="Times New Roman"/>
        </w:rPr>
        <w:t>to</w:t>
      </w:r>
      <w:r w:rsidR="00914DA7" w:rsidRPr="007A72E0">
        <w:rPr>
          <w:rFonts w:cs="Times New Roman"/>
        </w:rPr>
        <w:t xml:space="preserve"> </w:t>
      </w:r>
      <w:r w:rsidR="00A524A5" w:rsidRPr="007A72E0">
        <w:rPr>
          <w:rFonts w:cs="Times New Roman"/>
        </w:rPr>
        <w:t>coordinate the provision of support to victims</w:t>
      </w:r>
      <w:r w:rsidR="00A524A5">
        <w:rPr>
          <w:rFonts w:cs="Times New Roman"/>
        </w:rPr>
        <w:t xml:space="preserve"> within the criminal justice system</w:t>
      </w:r>
      <w:r w:rsidR="00A524A5" w:rsidRPr="007A72E0">
        <w:rPr>
          <w:rFonts w:cs="Times New Roman"/>
        </w:rPr>
        <w:t xml:space="preserve">. </w:t>
      </w:r>
    </w:p>
    <w:p w14:paraId="7E26722D" w14:textId="77777777" w:rsidR="00C60BFE" w:rsidRDefault="00C60BFE" w:rsidP="00A524A5">
      <w:pPr>
        <w:rPr>
          <w:rFonts w:cs="Times New Roman"/>
        </w:rPr>
      </w:pPr>
    </w:p>
    <w:p w14:paraId="65DD6129" w14:textId="22DB5711" w:rsidR="00C2456B" w:rsidRDefault="00C60BFE" w:rsidP="00A524A5">
      <w:pPr>
        <w:rPr>
          <w:rFonts w:cs="Times New Roman"/>
        </w:rPr>
      </w:pPr>
      <w:r>
        <w:rPr>
          <w:rFonts w:cs="Times New Roman"/>
        </w:rPr>
        <w:t>While t</w:t>
      </w:r>
      <w:r w:rsidR="00A524A5" w:rsidRPr="007A72E0">
        <w:rPr>
          <w:rFonts w:cs="Times New Roman"/>
        </w:rPr>
        <w:t xml:space="preserve">his model </w:t>
      </w:r>
      <w:r>
        <w:rPr>
          <w:rFonts w:cs="Times New Roman"/>
        </w:rPr>
        <w:t xml:space="preserve">is </w:t>
      </w:r>
      <w:r w:rsidR="00A524A5" w:rsidRPr="007A72E0">
        <w:rPr>
          <w:rFonts w:cs="Times New Roman"/>
        </w:rPr>
        <w:t>w</w:t>
      </w:r>
      <w:r>
        <w:rPr>
          <w:rFonts w:cs="Times New Roman"/>
        </w:rPr>
        <w:t>idely used in Western countries, it has met with mixed success</w:t>
      </w:r>
      <w:r w:rsidR="00EB57D9">
        <w:rPr>
          <w:rFonts w:cs="Times New Roman"/>
        </w:rPr>
        <w:t xml:space="preserve">. </w:t>
      </w:r>
      <w:r w:rsidR="00A524A5" w:rsidRPr="007A72E0">
        <w:rPr>
          <w:rFonts w:cs="Times New Roman"/>
        </w:rPr>
        <w:t xml:space="preserve">In </w:t>
      </w:r>
      <w:r w:rsidR="00A524A5">
        <w:rPr>
          <w:rFonts w:cs="Times New Roman"/>
        </w:rPr>
        <w:t xml:space="preserve">the </w:t>
      </w:r>
      <w:r w:rsidR="00A524A5" w:rsidRPr="007A72E0">
        <w:rPr>
          <w:rFonts w:cs="Times New Roman"/>
        </w:rPr>
        <w:t xml:space="preserve">Philippines, we saw </w:t>
      </w:r>
      <w:r>
        <w:rPr>
          <w:rFonts w:cs="Times New Roman"/>
        </w:rPr>
        <w:t>that</w:t>
      </w:r>
      <w:r w:rsidR="00A524A5">
        <w:rPr>
          <w:rFonts w:cs="Times New Roman"/>
        </w:rPr>
        <w:t xml:space="preserve"> victim-witness coordinators were </w:t>
      </w:r>
      <w:r w:rsidR="00A524A5" w:rsidRPr="007A72E0">
        <w:rPr>
          <w:rFonts w:cs="Times New Roman"/>
        </w:rPr>
        <w:t>playing a different role to the one intended. The</w:t>
      </w:r>
      <w:r w:rsidR="00A524A5">
        <w:rPr>
          <w:rFonts w:cs="Times New Roman"/>
        </w:rPr>
        <w:t>ir</w:t>
      </w:r>
      <w:r w:rsidR="00A524A5" w:rsidRPr="007A72E0">
        <w:rPr>
          <w:rFonts w:cs="Times New Roman"/>
        </w:rPr>
        <w:t xml:space="preserve"> primary focus seemed to be on keeping track of the victims and ensuring they were available to provide evidence.</w:t>
      </w:r>
      <w:r w:rsidR="00A524A5">
        <w:rPr>
          <w:rFonts w:cs="Times New Roman"/>
        </w:rPr>
        <w:t xml:space="preserve"> While they had also helped to identify victims with special psycho-socio support needs and referred them to support services, key stakeholders in the system told us that their work had</w:t>
      </w:r>
      <w:r w:rsidR="00A524A5" w:rsidRPr="007A72E0">
        <w:rPr>
          <w:rFonts w:cs="Times New Roman"/>
        </w:rPr>
        <w:t xml:space="preserve"> not changed </w:t>
      </w:r>
      <w:r w:rsidR="00A524A5">
        <w:rPr>
          <w:rFonts w:cs="Times New Roman"/>
        </w:rPr>
        <w:t xml:space="preserve">the </w:t>
      </w:r>
      <w:r w:rsidR="00A524A5" w:rsidRPr="007A72E0">
        <w:rPr>
          <w:rFonts w:cs="Times New Roman"/>
        </w:rPr>
        <w:t xml:space="preserve">negative experience </w:t>
      </w:r>
      <w:r w:rsidR="00A524A5">
        <w:rPr>
          <w:rFonts w:cs="Times New Roman"/>
        </w:rPr>
        <w:t xml:space="preserve">of most victim-witnesses </w:t>
      </w:r>
      <w:r w:rsidR="00A524A5" w:rsidRPr="007A72E0">
        <w:rPr>
          <w:rFonts w:cs="Times New Roman"/>
        </w:rPr>
        <w:t xml:space="preserve">of the </w:t>
      </w:r>
      <w:r w:rsidR="00A524A5">
        <w:rPr>
          <w:rFonts w:cs="Times New Roman"/>
        </w:rPr>
        <w:t xml:space="preserve">criminal justice </w:t>
      </w:r>
      <w:r w:rsidR="00A524A5" w:rsidRPr="007A72E0">
        <w:rPr>
          <w:rFonts w:cs="Times New Roman"/>
        </w:rPr>
        <w:t>system – including the practice of holding them in shelters.</w:t>
      </w:r>
      <w:r w:rsidR="007F216C" w:rsidRPr="007F216C">
        <w:rPr>
          <w:rFonts w:cs="Times New Roman"/>
        </w:rPr>
        <w:t xml:space="preserve"> </w:t>
      </w:r>
    </w:p>
    <w:p w14:paraId="024C30BD" w14:textId="77777777" w:rsidR="00C2456B" w:rsidRDefault="00C2456B" w:rsidP="00A524A5">
      <w:pPr>
        <w:rPr>
          <w:rFonts w:cs="Times New Roman"/>
        </w:rPr>
      </w:pPr>
    </w:p>
    <w:p w14:paraId="5FCD67EC" w14:textId="581FB398" w:rsidR="007F216C" w:rsidRPr="007A72E0" w:rsidRDefault="00C2456B" w:rsidP="007F216C">
      <w:pPr>
        <w:rPr>
          <w:rFonts w:cs="Times New Roman"/>
        </w:rPr>
      </w:pPr>
      <w:r>
        <w:rPr>
          <w:rFonts w:cs="Times New Roman"/>
        </w:rPr>
        <w:t xml:space="preserve">One possible </w:t>
      </w:r>
      <w:r w:rsidR="007F216C">
        <w:rPr>
          <w:rFonts w:cs="Times New Roman"/>
        </w:rPr>
        <w:t xml:space="preserve">solution to this harm is to promote the use of videotaped testimony in trials, which would remove the need to detain victim-witnesses. AAPTIP has made some effort to promote </w:t>
      </w:r>
      <w:r>
        <w:rPr>
          <w:rFonts w:cs="Times New Roman"/>
        </w:rPr>
        <w:t xml:space="preserve">this, by producing </w:t>
      </w:r>
      <w:r w:rsidR="007F216C">
        <w:rPr>
          <w:rFonts w:cs="Times New Roman"/>
        </w:rPr>
        <w:t xml:space="preserve">guidelines for courts in Thailand. However, </w:t>
      </w:r>
      <w:r>
        <w:rPr>
          <w:rFonts w:cs="Times New Roman"/>
        </w:rPr>
        <w:t>the practice remains rare</w:t>
      </w:r>
      <w:r w:rsidR="00075FC5">
        <w:rPr>
          <w:rFonts w:cs="Times New Roman"/>
        </w:rPr>
        <w:t xml:space="preserve"> and the program has not promoted it actively</w:t>
      </w:r>
      <w:r>
        <w:rPr>
          <w:rFonts w:cs="Times New Roman"/>
        </w:rPr>
        <w:t>.</w:t>
      </w:r>
    </w:p>
    <w:p w14:paraId="05DF1171" w14:textId="77777777" w:rsidR="007F216C" w:rsidRDefault="007F216C" w:rsidP="00035F33">
      <w:pPr>
        <w:rPr>
          <w:rFonts w:cs="Times New Roman"/>
        </w:rPr>
      </w:pPr>
    </w:p>
    <w:p w14:paraId="254969CB" w14:textId="3B92AE8B" w:rsidR="007F216C" w:rsidRDefault="00C2456B" w:rsidP="00A221E6">
      <w:r>
        <w:rPr>
          <w:rFonts w:cs="Times New Roman"/>
        </w:rPr>
        <w:t>As noted above, t</w:t>
      </w:r>
      <w:r w:rsidR="007F216C">
        <w:rPr>
          <w:rFonts w:cs="Times New Roman"/>
        </w:rPr>
        <w:t xml:space="preserve">he lack of progress on protecting the rights of victim-witnesses raises some important concerns in connection with the ‘do no harm’ principle. </w:t>
      </w:r>
      <w:r w:rsidR="00A43FB6" w:rsidRPr="007A72E0">
        <w:t xml:space="preserve">AAPTIP </w:t>
      </w:r>
      <w:r w:rsidR="00345985" w:rsidRPr="007A72E0">
        <w:t xml:space="preserve">is </w:t>
      </w:r>
      <w:r w:rsidR="00A43FB6" w:rsidRPr="007A72E0">
        <w:t xml:space="preserve">designed to augment the efficiency of the </w:t>
      </w:r>
      <w:r w:rsidR="00516ACA">
        <w:t>trafficking prosecutions</w:t>
      </w:r>
      <w:r>
        <w:t xml:space="preserve">, which is </w:t>
      </w:r>
      <w:r w:rsidR="007F216C">
        <w:t xml:space="preserve">likely to increase the numbers of women and children in the </w:t>
      </w:r>
      <w:r w:rsidR="00516ACA">
        <w:t xml:space="preserve">criminal justice system. </w:t>
      </w:r>
      <w:r w:rsidR="00075FC5">
        <w:t xml:space="preserve">While AAPTIP does not encourage </w:t>
      </w:r>
      <w:r w:rsidR="002D3560">
        <w:t xml:space="preserve">victims </w:t>
      </w:r>
      <w:r w:rsidR="00075FC5">
        <w:t xml:space="preserve">to bring criminal complaints and does not do them any direct harm, there is a risk of unintended negative impact. This risk needs to be carefully monitored and managed. It suggests the program should do more to analyse and actively pursue options for safeguarding victim-witnesses. </w:t>
      </w:r>
    </w:p>
    <w:p w14:paraId="5B9D7438" w14:textId="2B4AF0C1" w:rsidR="001E16E1" w:rsidRPr="007A72E0" w:rsidRDefault="001E16E1" w:rsidP="001E16E1">
      <w:pPr>
        <w:pStyle w:val="Heading2"/>
      </w:pPr>
      <w:bookmarkStart w:id="13" w:name="_Toc465687852"/>
      <w:r w:rsidRPr="007A72E0">
        <w:lastRenderedPageBreak/>
        <w:t xml:space="preserve">Regional </w:t>
      </w:r>
      <w:r w:rsidR="00075FC5">
        <w:t>programming</w:t>
      </w:r>
      <w:bookmarkEnd w:id="13"/>
    </w:p>
    <w:p w14:paraId="212BFE1F" w14:textId="333E2143" w:rsidR="00075FC5" w:rsidRDefault="001E16E1" w:rsidP="001E16E1">
      <w:r w:rsidRPr="00D9145A">
        <w:rPr>
          <w:b/>
        </w:rPr>
        <w:t xml:space="preserve">Earlier iterations of the program enjoyed considerable success in introducing trafficking onto the ASEAN agenda and establishing it within the </w:t>
      </w:r>
      <w:r w:rsidR="00075FC5">
        <w:rPr>
          <w:b/>
        </w:rPr>
        <w:t xml:space="preserve">regional </w:t>
      </w:r>
      <w:r w:rsidRPr="00D9145A">
        <w:rPr>
          <w:b/>
        </w:rPr>
        <w:t>architecture for transnational criminal cooperation.</w:t>
      </w:r>
      <w:r w:rsidRPr="007A72E0">
        <w:t xml:space="preserve"> </w:t>
      </w:r>
      <w:r w:rsidR="00516ACA">
        <w:t xml:space="preserve">ARTIP and AAPTIP have </w:t>
      </w:r>
      <w:r w:rsidR="00075FC5" w:rsidRPr="007A72E0">
        <w:t xml:space="preserve">secured ASEAN endorsement of standard operating procedures and training modules, including current work on financial investigations. </w:t>
      </w:r>
      <w:r w:rsidR="00075FC5">
        <w:t xml:space="preserve">They have created various regional processes that have continued to operate. They also </w:t>
      </w:r>
      <w:r w:rsidRPr="007A72E0">
        <w:t xml:space="preserve">had an important, though indirect, influence on the development of the ASEAN </w:t>
      </w:r>
      <w:r w:rsidR="00AF07E6" w:rsidRPr="007A72E0">
        <w:t>Conve</w:t>
      </w:r>
      <w:r w:rsidR="00AF07E6">
        <w:t>ntion on Trafficking in Persons</w:t>
      </w:r>
      <w:r w:rsidRPr="007A72E0">
        <w:t xml:space="preserve">. </w:t>
      </w:r>
    </w:p>
    <w:p w14:paraId="148265E0" w14:textId="1B63857B" w:rsidR="001E16E1" w:rsidRPr="00075FC5" w:rsidRDefault="001E16E1" w:rsidP="00075FC5">
      <w:pPr>
        <w:rPr>
          <w:sz w:val="22"/>
          <w:szCs w:val="22"/>
        </w:rPr>
      </w:pPr>
    </w:p>
    <w:p w14:paraId="3A4C9B3E" w14:textId="718EE6B9" w:rsidR="00E321E2" w:rsidRPr="00E321E2" w:rsidRDefault="006C7DD4" w:rsidP="00D9145A">
      <w:r w:rsidRPr="00D9145A">
        <w:rPr>
          <w:b/>
        </w:rPr>
        <w:t xml:space="preserve">However, as the </w:t>
      </w:r>
      <w:r w:rsidR="006952C7">
        <w:rPr>
          <w:b/>
        </w:rPr>
        <w:t xml:space="preserve">focus of the program </w:t>
      </w:r>
      <w:r w:rsidRPr="00D9145A">
        <w:rPr>
          <w:b/>
        </w:rPr>
        <w:t xml:space="preserve">has moved </w:t>
      </w:r>
      <w:r w:rsidR="006952C7">
        <w:rPr>
          <w:b/>
        </w:rPr>
        <w:t xml:space="preserve">on </w:t>
      </w:r>
      <w:r w:rsidRPr="00D9145A">
        <w:rPr>
          <w:b/>
        </w:rPr>
        <w:t xml:space="preserve">from the development of </w:t>
      </w:r>
      <w:r w:rsidR="006952C7">
        <w:rPr>
          <w:b/>
        </w:rPr>
        <w:t xml:space="preserve">regional </w:t>
      </w:r>
      <w:r w:rsidRPr="00D9145A">
        <w:rPr>
          <w:b/>
        </w:rPr>
        <w:t xml:space="preserve">norms and standards on trafficking to securing </w:t>
      </w:r>
      <w:r w:rsidR="006952C7">
        <w:rPr>
          <w:b/>
        </w:rPr>
        <w:t xml:space="preserve">their </w:t>
      </w:r>
      <w:r w:rsidRPr="00D9145A">
        <w:rPr>
          <w:b/>
        </w:rPr>
        <w:t xml:space="preserve">implementation at the national level, the </w:t>
      </w:r>
      <w:r w:rsidR="00B527EF">
        <w:rPr>
          <w:b/>
        </w:rPr>
        <w:t>need for this kind</w:t>
      </w:r>
      <w:r w:rsidR="003D63ED">
        <w:rPr>
          <w:b/>
        </w:rPr>
        <w:t xml:space="preserve"> </w:t>
      </w:r>
      <w:r w:rsidRPr="00D9145A">
        <w:rPr>
          <w:b/>
        </w:rPr>
        <w:t xml:space="preserve">of regional engagement has </w:t>
      </w:r>
      <w:r w:rsidR="00B527EF">
        <w:rPr>
          <w:b/>
        </w:rPr>
        <w:t xml:space="preserve">diminished. </w:t>
      </w:r>
      <w:r>
        <w:rPr>
          <w:b/>
        </w:rPr>
        <w:t xml:space="preserve"> </w:t>
      </w:r>
      <w:r>
        <w:t xml:space="preserve">This is clear from the program’s own work planning, where regional activities </w:t>
      </w:r>
      <w:r w:rsidR="006952C7">
        <w:t xml:space="preserve">are now much </w:t>
      </w:r>
      <w:r>
        <w:t>less prominent.</w:t>
      </w:r>
      <w:r w:rsidR="00075FC5">
        <w:t xml:space="preserve"> We heard from stakeholders that trafficking across borders involves specific combinations of countries </w:t>
      </w:r>
      <w:r w:rsidR="00075FC5" w:rsidRPr="007A72E0">
        <w:t>(</w:t>
      </w:r>
      <w:r w:rsidR="00075FC5">
        <w:t>e.g. debt-bonded brides between Myanmar or Vietnam and China, or debt-bonded or forced labour between My</w:t>
      </w:r>
      <w:r w:rsidR="00B527EF">
        <w:t>an</w:t>
      </w:r>
      <w:r w:rsidR="00075FC5">
        <w:t>mar, Thailand and Malaysia).</w:t>
      </w:r>
      <w:r w:rsidR="00E321E2">
        <w:t xml:space="preserve"> Cooperation on these issues is best addressed at a bilateral level, rather than through regional mechanisms. </w:t>
      </w:r>
      <w:r w:rsidR="00544929">
        <w:rPr>
          <w:rFonts w:cs="Times New Roman"/>
        </w:rPr>
        <w:t xml:space="preserve">We therefore conclude that, while the program (or, more accurately, its predecessor) has made important progress at the regional level, the </w:t>
      </w:r>
      <w:r w:rsidR="00B06D7F">
        <w:rPr>
          <w:rFonts w:cs="Times New Roman"/>
        </w:rPr>
        <w:t>need for this kind of engagement has</w:t>
      </w:r>
      <w:r w:rsidR="00544929">
        <w:rPr>
          <w:rFonts w:cs="Times New Roman"/>
        </w:rPr>
        <w:t xml:space="preserve"> </w:t>
      </w:r>
      <w:r w:rsidR="00E321E2">
        <w:rPr>
          <w:rFonts w:cs="Times New Roman"/>
        </w:rPr>
        <w:t>diminished</w:t>
      </w:r>
      <w:r w:rsidR="00544929">
        <w:rPr>
          <w:rFonts w:cs="Times New Roman"/>
        </w:rPr>
        <w:t xml:space="preserve">. </w:t>
      </w:r>
    </w:p>
    <w:p w14:paraId="16FC2445" w14:textId="71708F3A" w:rsidR="00A43FB6" w:rsidRPr="007A72E0" w:rsidRDefault="007A72E0" w:rsidP="00D80496">
      <w:pPr>
        <w:pStyle w:val="Heading1"/>
      </w:pPr>
      <w:bookmarkStart w:id="14" w:name="_Toc465687853"/>
      <w:r>
        <w:t>Sustainab</w:t>
      </w:r>
      <w:r w:rsidR="00E321E2">
        <w:t xml:space="preserve">le </w:t>
      </w:r>
      <w:r w:rsidR="00234C5A">
        <w:t>impact</w:t>
      </w:r>
      <w:bookmarkEnd w:id="14"/>
    </w:p>
    <w:p w14:paraId="59BA4D84" w14:textId="1784A458" w:rsidR="00E321E2" w:rsidRDefault="00145589" w:rsidP="00B270A3">
      <w:r w:rsidRPr="007A72E0">
        <w:t xml:space="preserve">As there is limited evidence of achievement at the outcome level at this stage, we cannot </w:t>
      </w:r>
      <w:r w:rsidR="00914DA7">
        <w:t xml:space="preserve">make </w:t>
      </w:r>
      <w:r w:rsidR="006952C7">
        <w:t xml:space="preserve">a direct </w:t>
      </w:r>
      <w:r w:rsidRPr="007A72E0">
        <w:t xml:space="preserve">assessment as to the sustainability of results. We have therefore explored the extent to which AAPTIP’s activities </w:t>
      </w:r>
      <w:r w:rsidR="00E321E2">
        <w:t xml:space="preserve">are promoting the conditions for sustainability, at the organisational, financial and political levels. </w:t>
      </w:r>
    </w:p>
    <w:p w14:paraId="62BBB863" w14:textId="77777777" w:rsidR="00E321E2" w:rsidRDefault="00E321E2" w:rsidP="00B270A3"/>
    <w:p w14:paraId="172EAC6C" w14:textId="3E22988B" w:rsidR="00CB6CF2" w:rsidRPr="007A72E0" w:rsidRDefault="00CB6CF2" w:rsidP="00B270A3">
      <w:r w:rsidRPr="00E321E2">
        <w:rPr>
          <w:b/>
        </w:rPr>
        <w:t xml:space="preserve">AAPTIP’s cascade </w:t>
      </w:r>
      <w:r w:rsidR="00E321E2" w:rsidRPr="00E321E2">
        <w:rPr>
          <w:b/>
        </w:rPr>
        <w:t>training model of capacity development</w:t>
      </w:r>
      <w:r w:rsidRPr="00E321E2">
        <w:rPr>
          <w:b/>
        </w:rPr>
        <w:t xml:space="preserve"> pays close attention to sustainability of outputs.</w:t>
      </w:r>
      <w:r w:rsidRPr="007A72E0">
        <w:t xml:space="preserve"> The program is effective </w:t>
      </w:r>
      <w:r w:rsidR="00544929">
        <w:t xml:space="preserve">at </w:t>
      </w:r>
      <w:r w:rsidRPr="007A72E0">
        <w:t xml:space="preserve">putting counterparts in charge of the development of procedures and tools. Its training courses are developed by national officials in workshops and successfully institutionalised into regular training institutions and curricula. </w:t>
      </w:r>
    </w:p>
    <w:p w14:paraId="74996AC5" w14:textId="77777777" w:rsidR="00CB6CF2" w:rsidRPr="007A72E0" w:rsidRDefault="00CB6CF2" w:rsidP="00B270A3"/>
    <w:p w14:paraId="1A2D95AC" w14:textId="22DAA641" w:rsidR="00CB6CF2" w:rsidRPr="007A72E0" w:rsidRDefault="00E321E2" w:rsidP="00B270A3">
      <w:r>
        <w:rPr>
          <w:b/>
        </w:rPr>
        <w:t xml:space="preserve">AAPTIP has helped to put in place special anti-trafficking units within police forces and prosecutorial agencies. In </w:t>
      </w:r>
      <w:r w:rsidR="00CB6CF2" w:rsidRPr="00E321E2">
        <w:rPr>
          <w:b/>
        </w:rPr>
        <w:t xml:space="preserve">our three country visits, </w:t>
      </w:r>
      <w:r>
        <w:rPr>
          <w:b/>
        </w:rPr>
        <w:t xml:space="preserve">we observed </w:t>
      </w:r>
      <w:r w:rsidR="006952C7">
        <w:rPr>
          <w:b/>
        </w:rPr>
        <w:t xml:space="preserve">a </w:t>
      </w:r>
      <w:r w:rsidR="00CB6CF2" w:rsidRPr="00E321E2">
        <w:rPr>
          <w:b/>
        </w:rPr>
        <w:t xml:space="preserve">commitment to sustaining </w:t>
      </w:r>
      <w:r>
        <w:rPr>
          <w:b/>
        </w:rPr>
        <w:t>these specialist units</w:t>
      </w:r>
      <w:r w:rsidR="00CB6CF2" w:rsidRPr="00E321E2">
        <w:rPr>
          <w:b/>
        </w:rPr>
        <w:t xml:space="preserve">. </w:t>
      </w:r>
      <w:r>
        <w:t xml:space="preserve">Most </w:t>
      </w:r>
      <w:r w:rsidR="00CB6CF2" w:rsidRPr="007A72E0">
        <w:t>are underpinned by criminal justice legislation and enjoy high-level political support. For instance, the IACAT mechanism in the Philippines reports directly to the Office of the President. The structures are staffed by criminal justice officials appointed by the public service commission on long-term contracts.</w:t>
      </w:r>
    </w:p>
    <w:p w14:paraId="61D3B795" w14:textId="77777777" w:rsidR="00D80496" w:rsidRPr="007A72E0" w:rsidRDefault="00D80496" w:rsidP="00B270A3"/>
    <w:p w14:paraId="1236AFA4" w14:textId="123629D1" w:rsidR="00CB6CF2" w:rsidRPr="007A72E0" w:rsidRDefault="00E321E2" w:rsidP="00CB6CF2">
      <w:r w:rsidRPr="00E321E2">
        <w:rPr>
          <w:b/>
        </w:rPr>
        <w:t xml:space="preserve">However, their functionality is impeded by </w:t>
      </w:r>
      <w:r w:rsidR="006952C7">
        <w:rPr>
          <w:b/>
        </w:rPr>
        <w:t xml:space="preserve">a </w:t>
      </w:r>
      <w:r w:rsidRPr="00E321E2">
        <w:rPr>
          <w:b/>
        </w:rPr>
        <w:t xml:space="preserve">lack of staff and financial resources. </w:t>
      </w:r>
      <w:r w:rsidR="00CB6CF2" w:rsidRPr="007A72E0">
        <w:t>The Filipino Women and Children Protection Centre</w:t>
      </w:r>
      <w:r w:rsidR="000361D5">
        <w:t xml:space="preserve"> (WCPC)</w:t>
      </w:r>
      <w:r w:rsidR="00CB6CF2" w:rsidRPr="007A72E0">
        <w:t>, for example, is understaffed by approximately 73</w:t>
      </w:r>
      <w:r w:rsidR="00AF07E6">
        <w:t xml:space="preserve"> per cent</w:t>
      </w:r>
      <w:r w:rsidR="00CB6CF2" w:rsidRPr="007A72E0">
        <w:t>, having only 71 personnel of a planned 270</w:t>
      </w:r>
      <w:r w:rsidR="00D543D6" w:rsidRPr="007A72E0">
        <w:t xml:space="preserve">. </w:t>
      </w:r>
      <w:r w:rsidR="00CB6CF2" w:rsidRPr="007A72E0">
        <w:t xml:space="preserve">Only </w:t>
      </w:r>
      <w:r w:rsidR="006952C7">
        <w:t xml:space="preserve">half </w:t>
      </w:r>
      <w:r w:rsidR="00CB6CF2" w:rsidRPr="007A72E0">
        <w:t xml:space="preserve">of the Regional Anti-Trafficking Task Groups in the Philippines have </w:t>
      </w:r>
      <w:r w:rsidR="00CB6CF2" w:rsidRPr="007A72E0">
        <w:lastRenderedPageBreak/>
        <w:t>been established, despite repeated attempts to create them</w:t>
      </w:r>
      <w:r w:rsidR="00D543D6" w:rsidRPr="007A72E0">
        <w:t xml:space="preserve">. </w:t>
      </w:r>
      <w:r w:rsidR="00CB6CF2" w:rsidRPr="007A72E0">
        <w:t xml:space="preserve">Members of the Cambodia National Police cited a lack of operational funds and staff as the main reason it was unable to follow-up on Thai police requests for further information from Cambodian victims of trafficking in Thailand. </w:t>
      </w:r>
    </w:p>
    <w:p w14:paraId="56FCD841" w14:textId="77777777" w:rsidR="00CB6CF2" w:rsidRPr="007A72E0" w:rsidRDefault="00CB6CF2" w:rsidP="00CB6CF2"/>
    <w:p w14:paraId="3D011FDD" w14:textId="42EEEBE6" w:rsidR="00CB6CF2" w:rsidRPr="007A72E0" w:rsidRDefault="00CB6CF2" w:rsidP="00CB6CF2">
      <w:r w:rsidRPr="007A72E0">
        <w:t>Prosecutorial counterparts voice</w:t>
      </w:r>
      <w:r w:rsidR="006952C7">
        <w:t>d</w:t>
      </w:r>
      <w:r w:rsidRPr="007A72E0">
        <w:t xml:space="preserve"> similar concerns. The Filipino Department of Justice, for instance, </w:t>
      </w:r>
      <w:r w:rsidR="00E321E2">
        <w:t>pointed to difficulties</w:t>
      </w:r>
      <w:r w:rsidRPr="007A72E0">
        <w:t xml:space="preserve"> in securing sufficient funds from the national budget to cover the costs of the 13 regional trafficking units, despite Presidential support, which are only partially staffed. The Thai specialist prosecutorial unit, recently created in response to Tier 3 rating in the 2015 US TIP report, had only 22 prosecutors as </w:t>
      </w:r>
      <w:r w:rsidR="00AF07E6">
        <w:t xml:space="preserve">at </w:t>
      </w:r>
      <w:r w:rsidRPr="007A72E0">
        <w:t>April 2016, 90</w:t>
      </w:r>
      <w:r w:rsidR="00AF07E6">
        <w:t xml:space="preserve"> per cent</w:t>
      </w:r>
      <w:r w:rsidRPr="007A72E0">
        <w:t xml:space="preserve"> of whom had no prior trafficking experience. This new unit currently handles 50 cases, with another 57 cases under indictment, or soon to be indicted, suggesting their backlog </w:t>
      </w:r>
      <w:r w:rsidR="00F2455F" w:rsidRPr="007A72E0">
        <w:t xml:space="preserve">is likely to </w:t>
      </w:r>
      <w:r w:rsidRPr="007A72E0">
        <w:t xml:space="preserve">increase </w:t>
      </w:r>
      <w:r w:rsidR="00F2455F" w:rsidRPr="007A72E0">
        <w:t>rapidly</w:t>
      </w:r>
      <w:r w:rsidRPr="007A72E0">
        <w:t xml:space="preserve">. </w:t>
      </w:r>
    </w:p>
    <w:p w14:paraId="6F302A7D" w14:textId="77777777" w:rsidR="00CB6CF2" w:rsidRPr="007A72E0" w:rsidRDefault="00CB6CF2" w:rsidP="00CB6CF2"/>
    <w:p w14:paraId="25DAE902" w14:textId="62DCC080" w:rsidR="00CB6CF2" w:rsidRPr="007A72E0" w:rsidRDefault="00F2455F" w:rsidP="00CB6CF2">
      <w:r w:rsidRPr="00E321E2">
        <w:rPr>
          <w:b/>
        </w:rPr>
        <w:t xml:space="preserve">In the judicial area, </w:t>
      </w:r>
      <w:r w:rsidR="00CB6CF2" w:rsidRPr="00E321E2">
        <w:rPr>
          <w:b/>
        </w:rPr>
        <w:t>AAPTIP</w:t>
      </w:r>
      <w:r w:rsidRPr="00E321E2">
        <w:rPr>
          <w:b/>
        </w:rPr>
        <w:t xml:space="preserve">’s </w:t>
      </w:r>
      <w:r w:rsidR="00CB6CF2" w:rsidRPr="00E321E2">
        <w:rPr>
          <w:b/>
        </w:rPr>
        <w:t xml:space="preserve">support </w:t>
      </w:r>
      <w:r w:rsidRPr="00E321E2">
        <w:rPr>
          <w:b/>
        </w:rPr>
        <w:t xml:space="preserve">has </w:t>
      </w:r>
      <w:r w:rsidR="00CB6CF2" w:rsidRPr="00E321E2">
        <w:rPr>
          <w:b/>
        </w:rPr>
        <w:t xml:space="preserve">focused </w:t>
      </w:r>
      <w:r w:rsidRPr="00E321E2">
        <w:rPr>
          <w:b/>
        </w:rPr>
        <w:t>more on improving</w:t>
      </w:r>
      <w:r w:rsidR="00CB6CF2" w:rsidRPr="00E321E2">
        <w:rPr>
          <w:b/>
        </w:rPr>
        <w:t xml:space="preserve"> judicial practice than </w:t>
      </w:r>
      <w:r w:rsidRPr="00E321E2">
        <w:rPr>
          <w:b/>
        </w:rPr>
        <w:t xml:space="preserve">creating </w:t>
      </w:r>
      <w:r w:rsidR="00CB6CF2" w:rsidRPr="00E321E2">
        <w:rPr>
          <w:b/>
        </w:rPr>
        <w:t>separate structures.</w:t>
      </w:r>
      <w:r w:rsidR="00CB6CF2" w:rsidRPr="007A72E0">
        <w:t xml:space="preserve"> For instance</w:t>
      </w:r>
      <w:r w:rsidRPr="007A72E0">
        <w:t>,</w:t>
      </w:r>
      <w:r w:rsidR="00CB6CF2" w:rsidRPr="007A72E0">
        <w:t xml:space="preserve"> in the Philippines</w:t>
      </w:r>
      <w:r w:rsidRPr="007A72E0">
        <w:t>,</w:t>
      </w:r>
      <w:r w:rsidR="00CB6CF2" w:rsidRPr="007A72E0">
        <w:t xml:space="preserve"> we were told that </w:t>
      </w:r>
      <w:r w:rsidR="00D5044B">
        <w:t>j</w:t>
      </w:r>
      <w:r w:rsidR="00A07326">
        <w:t>udges presiding over m</w:t>
      </w:r>
      <w:r w:rsidR="00CB6CF2" w:rsidRPr="007A72E0">
        <w:t xml:space="preserve">arathon </w:t>
      </w:r>
      <w:r w:rsidR="00A07326">
        <w:t>c</w:t>
      </w:r>
      <w:r w:rsidR="00CB6CF2" w:rsidRPr="007A72E0">
        <w:t xml:space="preserve">ourt hearings had set aside one day a week to hear </w:t>
      </w:r>
      <w:r w:rsidRPr="007A72E0">
        <w:t xml:space="preserve">trafficking </w:t>
      </w:r>
      <w:r w:rsidR="00CB6CF2" w:rsidRPr="007A72E0">
        <w:t>cases</w:t>
      </w:r>
      <w:r w:rsidR="00D5044B">
        <w:t xml:space="preserve"> (although the caseload remained small)</w:t>
      </w:r>
      <w:r w:rsidR="00CB6CF2" w:rsidRPr="007A72E0">
        <w:t>. In Philippines, Lao</w:t>
      </w:r>
      <w:r w:rsidR="00FC5A89">
        <w:t xml:space="preserve"> PDR</w:t>
      </w:r>
      <w:r w:rsidR="00CB6CF2" w:rsidRPr="007A72E0">
        <w:t xml:space="preserve"> and Cambodia</w:t>
      </w:r>
      <w:r w:rsidRPr="007A72E0">
        <w:t>,</w:t>
      </w:r>
      <w:r w:rsidR="00CB6CF2" w:rsidRPr="007A72E0">
        <w:t xml:space="preserve"> AAPTIP technical advice</w:t>
      </w:r>
      <w:r w:rsidR="000361D5">
        <w:t>, including a study tour to Cambodia for Lao</w:t>
      </w:r>
      <w:r w:rsidR="00DC3536">
        <w:t xml:space="preserve"> j</w:t>
      </w:r>
      <w:r w:rsidR="000361D5">
        <w:t>udges</w:t>
      </w:r>
      <w:r w:rsidR="00DC3536">
        <w:t>,</w:t>
      </w:r>
      <w:r w:rsidR="000361D5">
        <w:t xml:space="preserve"> has gone someway to influencing judicial mind-sets </w:t>
      </w:r>
      <w:r w:rsidR="00DC3536">
        <w:t xml:space="preserve">as well as </w:t>
      </w:r>
      <w:r w:rsidR="000361D5">
        <w:t xml:space="preserve">courtroom practice. In all three countries the </w:t>
      </w:r>
      <w:r w:rsidR="00DC3536">
        <w:t>j</w:t>
      </w:r>
      <w:r w:rsidR="00CB6CF2" w:rsidRPr="007A72E0">
        <w:t xml:space="preserve">udges </w:t>
      </w:r>
      <w:r w:rsidR="000361D5">
        <w:t xml:space="preserve">have </w:t>
      </w:r>
      <w:r w:rsidR="00CB6CF2" w:rsidRPr="007A72E0">
        <w:t>t</w:t>
      </w:r>
      <w:r w:rsidR="000361D5">
        <w:t xml:space="preserve">aken </w:t>
      </w:r>
      <w:r w:rsidR="00DC3536">
        <w:t xml:space="preserve">some </w:t>
      </w:r>
      <w:r w:rsidR="00CB6CF2" w:rsidRPr="007A72E0">
        <w:t>concrete st</w:t>
      </w:r>
      <w:r w:rsidRPr="007A72E0">
        <w:t>eps to be</w:t>
      </w:r>
      <w:r w:rsidR="000361D5">
        <w:t>com</w:t>
      </w:r>
      <w:r w:rsidR="00DC3536">
        <w:t>ing</w:t>
      </w:r>
      <w:r w:rsidRPr="007A72E0">
        <w:t xml:space="preserve"> more ‘child-friendly’, including</w:t>
      </w:r>
      <w:r w:rsidR="00CB6CF2" w:rsidRPr="007A72E0">
        <w:t xml:space="preserve"> using partitions during </w:t>
      </w:r>
      <w:r w:rsidR="000361D5">
        <w:t xml:space="preserve">closed </w:t>
      </w:r>
      <w:r w:rsidR="00CB6CF2" w:rsidRPr="007A72E0">
        <w:t>hearings to ensure suspects could not intimidate juvenile victims</w:t>
      </w:r>
      <w:r w:rsidR="000361D5">
        <w:t xml:space="preserve"> and ensuring support </w:t>
      </w:r>
      <w:r w:rsidR="00544929">
        <w:t>from</w:t>
      </w:r>
      <w:r w:rsidR="000361D5">
        <w:t xml:space="preserve"> social welfare officers before, during and after hearings. The Thai judges we spoke </w:t>
      </w:r>
      <w:r w:rsidR="00DC3536">
        <w:t xml:space="preserve">to </w:t>
      </w:r>
      <w:r w:rsidR="000361D5">
        <w:t xml:space="preserve">expressed </w:t>
      </w:r>
      <w:r w:rsidR="00DC3536">
        <w:t xml:space="preserve">their </w:t>
      </w:r>
      <w:r w:rsidR="000361D5">
        <w:t xml:space="preserve">commitment to training younger judges to becoming more victim-centred and to finding tangible ways to reform court room practice. </w:t>
      </w:r>
      <w:r w:rsidR="00CB6CF2" w:rsidRPr="007A72E0">
        <w:t>It is too early to arrive at any conclusions regarding the sustainability of such practice</w:t>
      </w:r>
      <w:r w:rsidR="00544929">
        <w:t>s</w:t>
      </w:r>
      <w:r w:rsidRPr="007A72E0">
        <w:t>,</w:t>
      </w:r>
      <w:r w:rsidR="00CB6CF2" w:rsidRPr="007A72E0">
        <w:t xml:space="preserve"> but partners expressed hope they would endure</w:t>
      </w:r>
      <w:r w:rsidRPr="007A72E0">
        <w:t>,</w:t>
      </w:r>
      <w:r w:rsidR="00CB6CF2" w:rsidRPr="007A72E0">
        <w:t xml:space="preserve"> particularly if </w:t>
      </w:r>
      <w:r w:rsidR="000361D5">
        <w:t>j</w:t>
      </w:r>
      <w:r w:rsidR="00CB6CF2" w:rsidRPr="007A72E0">
        <w:t>udges and court officials</w:t>
      </w:r>
      <w:r w:rsidR="000361D5">
        <w:t xml:space="preserve"> received more training</w:t>
      </w:r>
      <w:r w:rsidR="00CB6CF2" w:rsidRPr="007A72E0">
        <w:t>.</w:t>
      </w:r>
    </w:p>
    <w:p w14:paraId="0303AFE9" w14:textId="77777777" w:rsidR="00CB6CF2" w:rsidRPr="007A72E0" w:rsidRDefault="00CB6CF2" w:rsidP="00CB6CF2"/>
    <w:p w14:paraId="3F802C66" w14:textId="14D38BAC" w:rsidR="00D543D6" w:rsidRDefault="00F2455F" w:rsidP="007A72E0">
      <w:r w:rsidRPr="00E321E2">
        <w:rPr>
          <w:b/>
        </w:rPr>
        <w:t xml:space="preserve">Overall, </w:t>
      </w:r>
      <w:r w:rsidR="00A07326">
        <w:rPr>
          <w:b/>
        </w:rPr>
        <w:t xml:space="preserve">the creation of </w:t>
      </w:r>
      <w:r w:rsidRPr="00E321E2">
        <w:rPr>
          <w:b/>
        </w:rPr>
        <w:t xml:space="preserve">specialist </w:t>
      </w:r>
      <w:r w:rsidR="00E321E2">
        <w:rPr>
          <w:b/>
        </w:rPr>
        <w:t xml:space="preserve">trafficking </w:t>
      </w:r>
      <w:r w:rsidRPr="00E321E2">
        <w:rPr>
          <w:b/>
        </w:rPr>
        <w:t xml:space="preserve">units </w:t>
      </w:r>
      <w:r w:rsidR="00A07326">
        <w:rPr>
          <w:b/>
        </w:rPr>
        <w:t>poses challenges regarding financial sustainability</w:t>
      </w:r>
      <w:r w:rsidRPr="007A72E0">
        <w:t xml:space="preserve">. For many of the counterparts we spoke to, these units </w:t>
      </w:r>
      <w:r w:rsidR="00CB6CF2" w:rsidRPr="007A72E0">
        <w:t xml:space="preserve">pose a dilemma. </w:t>
      </w:r>
      <w:r w:rsidRPr="007A72E0">
        <w:t xml:space="preserve">They were created </w:t>
      </w:r>
      <w:r w:rsidR="00CB6CF2" w:rsidRPr="007A72E0">
        <w:t xml:space="preserve">to signal </w:t>
      </w:r>
      <w:r w:rsidR="00E97A74" w:rsidRPr="007A72E0">
        <w:t xml:space="preserve">to domestic and international observers </w:t>
      </w:r>
      <w:r w:rsidR="00E97A74">
        <w:t xml:space="preserve">a </w:t>
      </w:r>
      <w:r w:rsidR="00CB6CF2" w:rsidRPr="007A72E0">
        <w:t xml:space="preserve">greater commitment to </w:t>
      </w:r>
      <w:r w:rsidRPr="007A72E0">
        <w:t xml:space="preserve">trafficking. They have helped to </w:t>
      </w:r>
      <w:r w:rsidR="00CB6CF2" w:rsidRPr="007A72E0">
        <w:t xml:space="preserve">circumvent some of the institutional bottlenecks </w:t>
      </w:r>
      <w:r w:rsidRPr="007A72E0">
        <w:t xml:space="preserve">involved in </w:t>
      </w:r>
      <w:r w:rsidR="00CB6CF2" w:rsidRPr="007A72E0">
        <w:t>using mainstream criminal justice investigation and prosecution channels</w:t>
      </w:r>
      <w:r w:rsidRPr="007A72E0">
        <w:t>. However,</w:t>
      </w:r>
      <w:r w:rsidR="00CB6CF2" w:rsidRPr="007A72E0">
        <w:t xml:space="preserve"> </w:t>
      </w:r>
      <w:r w:rsidRPr="007A72E0">
        <w:t>they need substantial additional resources to function. These resources are not yet available from national budgets, leaving them unsustain</w:t>
      </w:r>
      <w:r w:rsidR="007A72E0">
        <w:t xml:space="preserve">able without external support. </w:t>
      </w:r>
    </w:p>
    <w:p w14:paraId="7122EDC2" w14:textId="3B46E6F8" w:rsidR="00802EFE" w:rsidRDefault="00802EFE" w:rsidP="007A72E0"/>
    <w:p w14:paraId="2A178E56" w14:textId="12A1F12C" w:rsidR="00802EFE" w:rsidRPr="00802EFE" w:rsidRDefault="00802EFE" w:rsidP="007A72E0">
      <w:r>
        <w:rPr>
          <w:b/>
        </w:rPr>
        <w:t xml:space="preserve">Political commitment is also uncertain at this point. </w:t>
      </w:r>
      <w:r>
        <w:t xml:space="preserve">At present, much of </w:t>
      </w:r>
      <w:r w:rsidR="00A07326">
        <w:t xml:space="preserve">the </w:t>
      </w:r>
      <w:r>
        <w:t xml:space="preserve">action against trafficking in the region is motivated by external pressure, and the associated reputational or economic risks. </w:t>
      </w:r>
      <w:r w:rsidR="00A07326">
        <w:t xml:space="preserve">This </w:t>
      </w:r>
      <w:r>
        <w:t xml:space="preserve">has at times </w:t>
      </w:r>
      <w:r w:rsidR="00A07326">
        <w:t xml:space="preserve">led to increased </w:t>
      </w:r>
      <w:r>
        <w:t xml:space="preserve">numbers of prosecutions, but </w:t>
      </w:r>
      <w:r w:rsidR="00A07326">
        <w:t xml:space="preserve">not to better </w:t>
      </w:r>
      <w:r>
        <w:t xml:space="preserve">resourcing of anti-trafficking institutions or any attempt to use prosecution more strategically to disrupt trafficking networks. We found that the numbers of TIP prosecutions is stable in Myanmar and declining in Thailand. Only the Philippines has demonstrated consistent year-on-year increase in </w:t>
      </w:r>
      <w:r>
        <w:lastRenderedPageBreak/>
        <w:t>convictions, from 29 in 2005 to 194 in 2015 – although 90</w:t>
      </w:r>
      <w:r w:rsidR="00E97A74">
        <w:t xml:space="preserve"> per cent</w:t>
      </w:r>
      <w:r>
        <w:t xml:space="preserve"> of these were domestic sex trafficking cases. This suggests that, while external pressure is important, it needs to be harnessed to other measures if it is to lead to anything more than a superficial response. </w:t>
      </w:r>
    </w:p>
    <w:p w14:paraId="7C076A0A" w14:textId="59C1F49D" w:rsidR="00D543D6" w:rsidRDefault="00D543D6" w:rsidP="000D0602"/>
    <w:p w14:paraId="113CCD03" w14:textId="77777777" w:rsidR="005E26C9" w:rsidRDefault="005E26C9" w:rsidP="005E26C9">
      <w:pPr>
        <w:pStyle w:val="Heading1"/>
      </w:pPr>
      <w:bookmarkStart w:id="15" w:name="_Toc465687854"/>
      <w:r>
        <w:t>Conclusions and recommendations</w:t>
      </w:r>
      <w:bookmarkEnd w:id="15"/>
    </w:p>
    <w:p w14:paraId="1E2E7099" w14:textId="5634CF30" w:rsidR="00AD2F28" w:rsidRDefault="00AD2F28" w:rsidP="00FE5BFB">
      <w:r>
        <w:t>The</w:t>
      </w:r>
      <w:r w:rsidR="004F44D9">
        <w:t>se</w:t>
      </w:r>
      <w:r>
        <w:t xml:space="preserve"> conclusions and recommendations are organised around </w:t>
      </w:r>
      <w:r w:rsidR="00B4612D">
        <w:t xml:space="preserve">three </w:t>
      </w:r>
      <w:r>
        <w:t xml:space="preserve">themes: </w:t>
      </w:r>
      <w:r w:rsidR="00930206">
        <w:t xml:space="preserve">strategy and </w:t>
      </w:r>
      <w:r w:rsidR="00E260D0">
        <w:t xml:space="preserve">approach, </w:t>
      </w:r>
      <w:r w:rsidR="00930206">
        <w:t>operations</w:t>
      </w:r>
      <w:r w:rsidR="00F74D39">
        <w:t>,</w:t>
      </w:r>
      <w:bookmarkStart w:id="16" w:name="_GoBack"/>
      <w:bookmarkEnd w:id="16"/>
      <w:r w:rsidR="00930206">
        <w:t xml:space="preserve"> and</w:t>
      </w:r>
      <w:r w:rsidR="00E260D0">
        <w:t xml:space="preserve"> advocacy and research.</w:t>
      </w:r>
    </w:p>
    <w:p w14:paraId="5B4DE2A5" w14:textId="1FE9C9F9" w:rsidR="00E260D0" w:rsidRDefault="00E260D0" w:rsidP="00FE5BFB"/>
    <w:p w14:paraId="71E7D27B" w14:textId="3B9E8035" w:rsidR="00E260D0" w:rsidRDefault="00D77242" w:rsidP="00FE5BFB">
      <w:pPr>
        <w:pStyle w:val="ListParagraph"/>
        <w:numPr>
          <w:ilvl w:val="0"/>
          <w:numId w:val="38"/>
        </w:numPr>
        <w:ind w:left="360"/>
        <w:rPr>
          <w:b/>
          <w:i/>
        </w:rPr>
      </w:pPr>
      <w:r>
        <w:rPr>
          <w:b/>
          <w:i/>
        </w:rPr>
        <w:t>S</w:t>
      </w:r>
      <w:r w:rsidR="00E260D0">
        <w:rPr>
          <w:b/>
          <w:i/>
        </w:rPr>
        <w:t>trategy</w:t>
      </w:r>
      <w:r>
        <w:rPr>
          <w:b/>
          <w:i/>
        </w:rPr>
        <w:t xml:space="preserve"> and approach</w:t>
      </w:r>
    </w:p>
    <w:p w14:paraId="62E41D6E" w14:textId="21CCE31D" w:rsidR="00E260D0" w:rsidRDefault="00E260D0" w:rsidP="00FE5BFB">
      <w:pPr>
        <w:rPr>
          <w:b/>
          <w:i/>
        </w:rPr>
      </w:pPr>
    </w:p>
    <w:p w14:paraId="51F0872A" w14:textId="667F7D03" w:rsidR="00E260D0" w:rsidRDefault="00216E5B" w:rsidP="00FE5BFB">
      <w:r w:rsidRPr="00D9145A">
        <w:rPr>
          <w:b/>
        </w:rPr>
        <w:t xml:space="preserve">An updated theory of change. </w:t>
      </w:r>
      <w:r w:rsidR="00E260D0" w:rsidRPr="00D9145A">
        <w:t>AAPTIP has moved away from its original theory of change (</w:t>
      </w:r>
      <w:r w:rsidR="00E260D0">
        <w:t>increased prosecutions, to</w:t>
      </w:r>
      <w:r w:rsidR="00CD70FF">
        <w:t xml:space="preserve"> change</w:t>
      </w:r>
      <w:r w:rsidR="00E260D0">
        <w:t xml:space="preserve"> </w:t>
      </w:r>
      <w:r w:rsidR="00CD70FF">
        <w:t xml:space="preserve">the risk/return balance </w:t>
      </w:r>
      <w:r w:rsidR="00E260D0">
        <w:t xml:space="preserve">for traffickers), which has been recognised as unrealistic, towards a more limited focus on quality of prosecutions and protection of victims. However, </w:t>
      </w:r>
      <w:r w:rsidR="00E260D0" w:rsidRPr="00D9145A">
        <w:t xml:space="preserve">this has left the program </w:t>
      </w:r>
      <w:r w:rsidR="00E260D0">
        <w:t xml:space="preserve">with a narrow remit and a lack of ambition regarding impact on the </w:t>
      </w:r>
      <w:r w:rsidR="00CD70FF">
        <w:t>incidence of trafficking</w:t>
      </w:r>
      <w:r w:rsidR="00EB57D9">
        <w:t xml:space="preserve">. </w:t>
      </w:r>
      <w:r>
        <w:t>There are references in its strategy documents to the need to focus on more strategic prosecutions, but this has not yet been operationalised.</w:t>
      </w:r>
    </w:p>
    <w:p w14:paraId="2F55E49C" w14:textId="41737308" w:rsidR="00216E5B" w:rsidRDefault="00216E5B" w:rsidP="00FE5BFB"/>
    <w:p w14:paraId="0510DEC3" w14:textId="7D28796E" w:rsidR="00216E5B" w:rsidRPr="00D9145A" w:rsidRDefault="00216E5B" w:rsidP="00FE5BFB">
      <w:pPr>
        <w:ind w:left="720"/>
        <w:rPr>
          <w:b/>
        </w:rPr>
      </w:pPr>
      <w:r w:rsidRPr="00D9145A">
        <w:rPr>
          <w:b/>
        </w:rPr>
        <w:t xml:space="preserve">Recommendation 1.1: AAPTIP should analyse how trafficking prosecutions could have a strategic impact on trafficking, such as by setting legal precedents, disrupting key criminal networks or helping to shift public attitudes. It should then assess </w:t>
      </w:r>
      <w:r w:rsidR="00CD70FF">
        <w:rPr>
          <w:b/>
        </w:rPr>
        <w:t xml:space="preserve">how </w:t>
      </w:r>
      <w:r w:rsidRPr="00D9145A">
        <w:rPr>
          <w:b/>
        </w:rPr>
        <w:t>its capacity building work can be reoriented to support such strategic impact.</w:t>
      </w:r>
    </w:p>
    <w:p w14:paraId="05F2AA61" w14:textId="77777777" w:rsidR="00E260D0" w:rsidRDefault="00E260D0" w:rsidP="00FE5BFB"/>
    <w:p w14:paraId="44AB4C36" w14:textId="10D50EFF" w:rsidR="00E260D0" w:rsidRDefault="00E260D0" w:rsidP="00FE5BFB">
      <w:pPr>
        <w:rPr>
          <w:rFonts w:cs="Times New Roman"/>
        </w:rPr>
      </w:pPr>
      <w:r>
        <w:rPr>
          <w:rFonts w:cs="Times New Roman"/>
          <w:b/>
        </w:rPr>
        <w:t xml:space="preserve">Moving from generic </w:t>
      </w:r>
      <w:r w:rsidRPr="0040781D">
        <w:rPr>
          <w:rFonts w:cs="Times New Roman"/>
          <w:b/>
        </w:rPr>
        <w:t xml:space="preserve">capacity building </w:t>
      </w:r>
      <w:r>
        <w:rPr>
          <w:rFonts w:cs="Times New Roman"/>
          <w:b/>
        </w:rPr>
        <w:t>to more focused interventions</w:t>
      </w:r>
      <w:r w:rsidRPr="0040781D">
        <w:rPr>
          <w:rFonts w:cs="Times New Roman"/>
          <w:b/>
        </w:rPr>
        <w:t xml:space="preserve">. </w:t>
      </w:r>
      <w:r>
        <w:rPr>
          <w:rFonts w:cs="Times New Roman"/>
        </w:rPr>
        <w:t xml:space="preserve">The AAPTIP approach of reducing trafficking in the region by building capacity in multiple criminal justice institutions across seven countries is slow and difficult, with </w:t>
      </w:r>
      <w:r w:rsidR="00216E5B">
        <w:rPr>
          <w:rFonts w:cs="Times New Roman"/>
        </w:rPr>
        <w:t xml:space="preserve">uncertain </w:t>
      </w:r>
      <w:r>
        <w:rPr>
          <w:rFonts w:cs="Times New Roman"/>
        </w:rPr>
        <w:t xml:space="preserve">prospects. The capacity building work is high quality and has </w:t>
      </w:r>
      <w:r w:rsidR="00216E5B">
        <w:rPr>
          <w:rFonts w:cs="Times New Roman"/>
        </w:rPr>
        <w:t xml:space="preserve">built </w:t>
      </w:r>
      <w:r>
        <w:rPr>
          <w:rFonts w:cs="Times New Roman"/>
        </w:rPr>
        <w:t>a valuable set of relationships with counterpart institutions</w:t>
      </w:r>
      <w:r w:rsidR="00CD70FF">
        <w:rPr>
          <w:rFonts w:cs="Times New Roman"/>
        </w:rPr>
        <w:t xml:space="preserve">, and </w:t>
      </w:r>
      <w:r>
        <w:rPr>
          <w:rFonts w:cs="Times New Roman"/>
        </w:rPr>
        <w:t>should continue. However, it should be counterbalanced with more focused interventions that work with existing institutions and capacities to tackle specific trafficking issues, to generate more direct and immediate results.</w:t>
      </w:r>
    </w:p>
    <w:p w14:paraId="7A97964B" w14:textId="77777777" w:rsidR="00E260D0" w:rsidRDefault="00E260D0" w:rsidP="00FE5BFB">
      <w:pPr>
        <w:rPr>
          <w:rFonts w:cs="Times New Roman"/>
        </w:rPr>
      </w:pPr>
    </w:p>
    <w:p w14:paraId="246DC3EB" w14:textId="61039D76" w:rsidR="00E260D0" w:rsidRDefault="00E260D0" w:rsidP="00FE5BFB">
      <w:pPr>
        <w:ind w:left="720"/>
        <w:rPr>
          <w:rFonts w:cs="Times New Roman"/>
          <w:b/>
        </w:rPr>
      </w:pPr>
      <w:r>
        <w:rPr>
          <w:rFonts w:cs="Times New Roman"/>
          <w:b/>
        </w:rPr>
        <w:t>Recommendation 1</w:t>
      </w:r>
      <w:r w:rsidR="00216E5B">
        <w:rPr>
          <w:rFonts w:cs="Times New Roman"/>
          <w:b/>
        </w:rPr>
        <w:t>.2</w:t>
      </w:r>
      <w:r>
        <w:rPr>
          <w:rFonts w:cs="Times New Roman"/>
          <w:b/>
        </w:rPr>
        <w:t xml:space="preserve">: AAPTIP should use its knowledge of trafficking in the region and the capacities and interests of its counterpart institutions to identify </w:t>
      </w:r>
      <w:r w:rsidR="00E97A74">
        <w:rPr>
          <w:rFonts w:cs="Times New Roman"/>
          <w:b/>
        </w:rPr>
        <w:t xml:space="preserve">a </w:t>
      </w:r>
      <w:r>
        <w:rPr>
          <w:rFonts w:cs="Times New Roman"/>
          <w:b/>
        </w:rPr>
        <w:t>particular trafficking issue where a concentration of support could result in real impact within the life of the program.</w:t>
      </w:r>
    </w:p>
    <w:p w14:paraId="2201CDD6" w14:textId="77777777" w:rsidR="00E260D0" w:rsidRDefault="00E260D0" w:rsidP="00FE5BFB">
      <w:pPr>
        <w:rPr>
          <w:rFonts w:cs="Times New Roman"/>
          <w:b/>
        </w:rPr>
      </w:pPr>
    </w:p>
    <w:p w14:paraId="3A425ED0" w14:textId="3FB50353" w:rsidR="00E260D0" w:rsidRDefault="00E260D0" w:rsidP="00FE5BFB">
      <w:r>
        <w:rPr>
          <w:b/>
        </w:rPr>
        <w:t xml:space="preserve">Towards a problem-based approach to capacity development. </w:t>
      </w:r>
      <w:r>
        <w:t xml:space="preserve">AAPTIP has </w:t>
      </w:r>
      <w:r w:rsidR="00CD70FF">
        <w:t xml:space="preserve">helped to introduce </w:t>
      </w:r>
      <w:r>
        <w:t>better training techniques and good quality training content to its counterparts. Yet its capacity building approach remains narrow.</w:t>
      </w:r>
      <w:r w:rsidR="00FE5BFB">
        <w:t xml:space="preserve"> It has not invested sufficiently in in-depth analysis</w:t>
      </w:r>
      <w:r>
        <w:t xml:space="preserve"> of the most pressing constraints on counterpart performance, nor used its relationships to address them. Doing so would require empowering its national staff to use their knowledge and relationships to identify possible openings.</w:t>
      </w:r>
    </w:p>
    <w:p w14:paraId="1F3C23C3" w14:textId="77777777" w:rsidR="00E260D0" w:rsidRDefault="00E260D0" w:rsidP="00FE5BFB"/>
    <w:p w14:paraId="6134AD48" w14:textId="01B61585" w:rsidR="00E260D0" w:rsidRPr="0013195D" w:rsidRDefault="00E260D0" w:rsidP="00FE5BFB">
      <w:pPr>
        <w:ind w:left="720"/>
        <w:rPr>
          <w:b/>
        </w:rPr>
      </w:pPr>
      <w:r>
        <w:rPr>
          <w:b/>
        </w:rPr>
        <w:t xml:space="preserve">Recommendation </w:t>
      </w:r>
      <w:r w:rsidR="00216E5B">
        <w:rPr>
          <w:b/>
        </w:rPr>
        <w:t>1.3</w:t>
      </w:r>
      <w:r>
        <w:rPr>
          <w:b/>
        </w:rPr>
        <w:t xml:space="preserve">: AAPTIP should use its regular training work to build a stronger understanding of the performance constraints facing its counterpart institutions, including those related to the wider political economy, and make it an explicit function of advisers and national staff to identify opportunities to facilitate or broker solutions. </w:t>
      </w:r>
    </w:p>
    <w:p w14:paraId="0771DDCD" w14:textId="5DEBC9AE" w:rsidR="00E260D0" w:rsidRDefault="00E260D0" w:rsidP="00FE5BFB">
      <w:pPr>
        <w:rPr>
          <w:b/>
          <w:i/>
        </w:rPr>
      </w:pPr>
    </w:p>
    <w:p w14:paraId="331ABD3B" w14:textId="1E4D6018" w:rsidR="00AB77D6" w:rsidRDefault="00AB77D6" w:rsidP="00FE5BFB">
      <w:r>
        <w:rPr>
          <w:b/>
        </w:rPr>
        <w:t xml:space="preserve">Transnational investigative cooperation. </w:t>
      </w:r>
      <w:r>
        <w:t xml:space="preserve">AAPTIP’s TIC initiatives </w:t>
      </w:r>
      <w:r w:rsidR="00914DA7">
        <w:t>have demonstrated minimal impact</w:t>
      </w:r>
      <w:r>
        <w:t xml:space="preserve"> because they are not </w:t>
      </w:r>
      <w:r w:rsidR="00FE5BFB">
        <w:t xml:space="preserve">focused </w:t>
      </w:r>
      <w:r>
        <w:t xml:space="preserve">on areas where there are opportunities and appetite for bilateral </w:t>
      </w:r>
      <w:r w:rsidR="00CF5CBD">
        <w:t xml:space="preserve">or multilateral </w:t>
      </w:r>
      <w:r>
        <w:t xml:space="preserve">cooperation. It should adopt a more targeted approach, focusing on a limited number of bilateral initiatives where there is a real appetite for support. The </w:t>
      </w:r>
      <w:r w:rsidR="00E97A74">
        <w:t>adviser</w:t>
      </w:r>
      <w:r>
        <w:t>s supporting the work should have the time to follow up on bilateral meetings with advisory and mentoring support around specific cases and issues raised at the meetings.</w:t>
      </w:r>
    </w:p>
    <w:p w14:paraId="23DA5ACD" w14:textId="77777777" w:rsidR="00AB77D6" w:rsidRDefault="00AB77D6" w:rsidP="00FE5BFB"/>
    <w:p w14:paraId="0ADA2033" w14:textId="04DDBFE8" w:rsidR="00AB77D6" w:rsidRDefault="00AB77D6" w:rsidP="00FE5BFB">
      <w:pPr>
        <w:ind w:left="720"/>
        <w:rPr>
          <w:b/>
        </w:rPr>
      </w:pPr>
      <w:r>
        <w:rPr>
          <w:b/>
        </w:rPr>
        <w:t xml:space="preserve">Recommendation 1.4: AAPTIP should focus on </w:t>
      </w:r>
      <w:r w:rsidR="00E97A74">
        <w:rPr>
          <w:b/>
        </w:rPr>
        <w:t xml:space="preserve">a </w:t>
      </w:r>
      <w:r>
        <w:rPr>
          <w:b/>
        </w:rPr>
        <w:t>small number of Transnational Investigative Cooperation initiatives and provide a more complete package of support.</w:t>
      </w:r>
    </w:p>
    <w:p w14:paraId="39A4EFBA" w14:textId="7FC41ADA" w:rsidR="00AB77D6" w:rsidRDefault="00AB77D6" w:rsidP="00FE5BFB">
      <w:pPr>
        <w:rPr>
          <w:b/>
          <w:i/>
        </w:rPr>
      </w:pPr>
    </w:p>
    <w:p w14:paraId="3218EA91" w14:textId="15E29127" w:rsidR="007A380B" w:rsidRPr="00D9145A" w:rsidRDefault="007A380B" w:rsidP="00FE5BFB">
      <w:r>
        <w:rPr>
          <w:b/>
        </w:rPr>
        <w:t>Do no harm</w:t>
      </w:r>
      <w:r w:rsidR="00AB77D6">
        <w:rPr>
          <w:b/>
        </w:rPr>
        <w:t xml:space="preserve">. </w:t>
      </w:r>
      <w:r>
        <w:t xml:space="preserve">Capacity building for trafficking prosecutions in the regional context raises the prospect that more women and children will become involved in the criminal justice system as victim-witnesses, where they will be exposed to risks of harm. The </w:t>
      </w:r>
      <w:r w:rsidR="00FE5BFB">
        <w:t>‘</w:t>
      </w:r>
      <w:r>
        <w:t>do no harm</w:t>
      </w:r>
      <w:r w:rsidR="00FE5BFB">
        <w:t>’</w:t>
      </w:r>
      <w:r>
        <w:t xml:space="preserve"> principle obligates the program to monitor unintended harms and take more active steps to mitigate the risks. </w:t>
      </w:r>
    </w:p>
    <w:p w14:paraId="30EF8587" w14:textId="77777777" w:rsidR="00AB77D6" w:rsidRDefault="00AB77D6" w:rsidP="00FE5BFB"/>
    <w:p w14:paraId="1EEAAE4D" w14:textId="19B3F77E" w:rsidR="007A380B" w:rsidRDefault="00AB77D6" w:rsidP="00FE5BFB">
      <w:pPr>
        <w:ind w:left="720"/>
        <w:rPr>
          <w:b/>
        </w:rPr>
      </w:pPr>
      <w:r>
        <w:rPr>
          <w:b/>
        </w:rPr>
        <w:t>Recommendation 1</w:t>
      </w:r>
      <w:r w:rsidR="00D77242">
        <w:rPr>
          <w:b/>
        </w:rPr>
        <w:t>.5</w:t>
      </w:r>
      <w:r>
        <w:rPr>
          <w:b/>
        </w:rPr>
        <w:t xml:space="preserve">: AAPTIP should </w:t>
      </w:r>
      <w:r w:rsidR="007A380B">
        <w:rPr>
          <w:b/>
        </w:rPr>
        <w:t xml:space="preserve">be more active in promoting measures to minimise the risks to victim-witnesses, including by supporting the use of videotaped testimony, advocacy to end the system of compulsory shelters and linking </w:t>
      </w:r>
      <w:r w:rsidR="00D77242">
        <w:rPr>
          <w:b/>
        </w:rPr>
        <w:t>criminal justice agencies to NGOs able to offer additional support and services.</w:t>
      </w:r>
    </w:p>
    <w:p w14:paraId="1525DCFE" w14:textId="77777777" w:rsidR="003F516C" w:rsidRDefault="003F516C" w:rsidP="00FE5BFB">
      <w:pPr>
        <w:ind w:left="720"/>
        <w:rPr>
          <w:b/>
        </w:rPr>
      </w:pPr>
    </w:p>
    <w:p w14:paraId="372550C2" w14:textId="1B49E6E3" w:rsidR="003F516C" w:rsidRDefault="003F516C" w:rsidP="003F516C">
      <w:r>
        <w:rPr>
          <w:b/>
        </w:rPr>
        <w:t>Challenging entrenched gendered attitudes</w:t>
      </w:r>
      <w:r w:rsidR="00C0707D">
        <w:rPr>
          <w:b/>
        </w:rPr>
        <w:t>.</w:t>
      </w:r>
      <w:r>
        <w:rPr>
          <w:b/>
        </w:rPr>
        <w:t xml:space="preserve"> </w:t>
      </w:r>
      <w:r>
        <w:t xml:space="preserve">The program’s gender strategy includes a strong analysis of how trafficking is understood in the region in gendered terms and sets out a range of gender activities. However, it is clear that gendered attitudes remain entrenched among the counterparts, both in terms of their understanding of the trafficking phenomenon and the roles played by men and women within criminal justice agencies. </w:t>
      </w:r>
    </w:p>
    <w:p w14:paraId="5AFB8595" w14:textId="77777777" w:rsidR="003F516C" w:rsidRDefault="003F516C" w:rsidP="003F516C"/>
    <w:p w14:paraId="77E08A7F" w14:textId="77777777" w:rsidR="00B4612D" w:rsidRDefault="007652FA" w:rsidP="007652FA">
      <w:pPr>
        <w:ind w:left="720"/>
        <w:rPr>
          <w:b/>
          <w:bCs/>
        </w:rPr>
      </w:pPr>
      <w:r>
        <w:rPr>
          <w:b/>
          <w:bCs/>
        </w:rPr>
        <w:t>Recommendation 1.6: AAPTIP should test new approaches (moving beyond training) to challenge entrenched gendered roles and attitudes within the criminal justice sector.</w:t>
      </w:r>
      <w:r>
        <w:t xml:space="preserve">  </w:t>
      </w:r>
      <w:r>
        <w:rPr>
          <w:b/>
          <w:bCs/>
        </w:rPr>
        <w:t>For example, a different approach to labour trafficking could lead to greater awareness that men are victims (not only women and children).</w:t>
      </w:r>
    </w:p>
    <w:p w14:paraId="18DDC726" w14:textId="08427072" w:rsidR="00643177" w:rsidRDefault="007652FA" w:rsidP="007652FA">
      <w:pPr>
        <w:ind w:left="720"/>
        <w:rPr>
          <w:b/>
          <w:bCs/>
        </w:rPr>
      </w:pPr>
      <w:r>
        <w:rPr>
          <w:b/>
          <w:bCs/>
        </w:rPr>
        <w:t> </w:t>
      </w:r>
    </w:p>
    <w:p w14:paraId="14EFFE7B" w14:textId="3CACAB07" w:rsidR="00B4612D" w:rsidRDefault="00B4612D">
      <w:pPr>
        <w:rPr>
          <w:b/>
        </w:rPr>
      </w:pPr>
      <w:r>
        <w:rPr>
          <w:b/>
        </w:rPr>
        <w:br w:type="page"/>
      </w:r>
    </w:p>
    <w:p w14:paraId="15C21673" w14:textId="3858CD1F" w:rsidR="00D4315D" w:rsidRPr="00D9145A" w:rsidRDefault="00D77242" w:rsidP="00FE5BFB">
      <w:pPr>
        <w:pStyle w:val="ListParagraph"/>
        <w:numPr>
          <w:ilvl w:val="0"/>
          <w:numId w:val="38"/>
        </w:numPr>
        <w:ind w:left="360"/>
        <w:rPr>
          <w:b/>
          <w:i/>
        </w:rPr>
      </w:pPr>
      <w:r w:rsidRPr="00D9145A">
        <w:rPr>
          <w:b/>
          <w:i/>
        </w:rPr>
        <w:lastRenderedPageBreak/>
        <w:t>Operations</w:t>
      </w:r>
    </w:p>
    <w:p w14:paraId="5964623E" w14:textId="77777777" w:rsidR="00B4612D" w:rsidRDefault="00B4612D" w:rsidP="00FE5BFB">
      <w:pPr>
        <w:rPr>
          <w:b/>
          <w:i/>
        </w:rPr>
      </w:pPr>
    </w:p>
    <w:p w14:paraId="0E154C1E" w14:textId="4C142018" w:rsidR="0040781D" w:rsidRPr="00F06FFF" w:rsidRDefault="00F961F2" w:rsidP="00FE5BFB">
      <w:r>
        <w:rPr>
          <w:b/>
        </w:rPr>
        <w:t xml:space="preserve">Review of the </w:t>
      </w:r>
      <w:r w:rsidR="00E97A74">
        <w:rPr>
          <w:b/>
        </w:rPr>
        <w:t>‘</w:t>
      </w:r>
      <w:r>
        <w:rPr>
          <w:b/>
        </w:rPr>
        <w:t>h</w:t>
      </w:r>
      <w:r w:rsidRPr="00F06FFF">
        <w:rPr>
          <w:b/>
        </w:rPr>
        <w:t xml:space="preserve">ub </w:t>
      </w:r>
      <w:r w:rsidR="00F06FFF" w:rsidRPr="00F06FFF">
        <w:rPr>
          <w:b/>
        </w:rPr>
        <w:t>and spoke</w:t>
      </w:r>
      <w:r w:rsidR="00E97A74">
        <w:rPr>
          <w:b/>
        </w:rPr>
        <w:t>’</w:t>
      </w:r>
      <w:r w:rsidR="00F06FFF" w:rsidRPr="00F06FFF">
        <w:rPr>
          <w:b/>
        </w:rPr>
        <w:t xml:space="preserve"> delivery model. </w:t>
      </w:r>
      <w:r w:rsidR="00F06FFF">
        <w:t xml:space="preserve">AAPTIP’s delivery model is driving a broad but shallow engagement with partners, and incentivising a generic professional development model over customised interventions. It increases dependence on short-term international advisers, while giving them little time to understand the context and needs of partner institutions and identify strategic opportunities. </w:t>
      </w:r>
    </w:p>
    <w:p w14:paraId="6215D5CA" w14:textId="77777777" w:rsidR="005E26C9" w:rsidRDefault="005E26C9" w:rsidP="00FE5BFB">
      <w:pPr>
        <w:rPr>
          <w:rFonts w:cs="Times New Roman"/>
        </w:rPr>
      </w:pPr>
    </w:p>
    <w:p w14:paraId="712B696C" w14:textId="34D3152F" w:rsidR="00F06FFF" w:rsidRDefault="003E03F5" w:rsidP="00FE5BFB">
      <w:pPr>
        <w:ind w:left="720"/>
        <w:rPr>
          <w:b/>
        </w:rPr>
      </w:pPr>
      <w:r>
        <w:rPr>
          <w:b/>
        </w:rPr>
        <w:t xml:space="preserve">Recommendation </w:t>
      </w:r>
      <w:r w:rsidR="00D77242">
        <w:rPr>
          <w:b/>
        </w:rPr>
        <w:t>2.1</w:t>
      </w:r>
      <w:r w:rsidR="00F06FFF">
        <w:rPr>
          <w:b/>
        </w:rPr>
        <w:t xml:space="preserve">: </w:t>
      </w:r>
      <w:r w:rsidR="00D77242">
        <w:rPr>
          <w:b/>
        </w:rPr>
        <w:t>T</w:t>
      </w:r>
      <w:r w:rsidR="00F06FFF">
        <w:rPr>
          <w:b/>
        </w:rPr>
        <w:t xml:space="preserve">he AAPTIP team </w:t>
      </w:r>
      <w:r w:rsidR="00D77242">
        <w:rPr>
          <w:b/>
        </w:rPr>
        <w:t xml:space="preserve">should explore the possibilities for </w:t>
      </w:r>
      <w:r w:rsidR="00F06FFF">
        <w:rPr>
          <w:b/>
        </w:rPr>
        <w:t>mov</w:t>
      </w:r>
      <w:r w:rsidR="00D77242">
        <w:rPr>
          <w:b/>
        </w:rPr>
        <w:t>ing</w:t>
      </w:r>
      <w:r w:rsidR="00F06FFF">
        <w:rPr>
          <w:b/>
        </w:rPr>
        <w:t xml:space="preserve"> out of or significant</w:t>
      </w:r>
      <w:r w:rsidR="00AF0326">
        <w:rPr>
          <w:b/>
        </w:rPr>
        <w:t>ly</w:t>
      </w:r>
      <w:r w:rsidR="00F06FFF">
        <w:rPr>
          <w:b/>
        </w:rPr>
        <w:t xml:space="preserve"> reduc</w:t>
      </w:r>
      <w:r w:rsidR="00D77242">
        <w:rPr>
          <w:b/>
        </w:rPr>
        <w:t>ing</w:t>
      </w:r>
      <w:r w:rsidR="00F06FFF">
        <w:rPr>
          <w:b/>
        </w:rPr>
        <w:t xml:space="preserve"> its presence in some countries, in order to allow higher quality engagement in others. </w:t>
      </w:r>
    </w:p>
    <w:p w14:paraId="4FE36197" w14:textId="77777777" w:rsidR="00D77242" w:rsidRDefault="00D77242" w:rsidP="00FE5BFB">
      <w:pPr>
        <w:ind w:left="720"/>
        <w:rPr>
          <w:rFonts w:cs="Times New Roman"/>
        </w:rPr>
      </w:pPr>
    </w:p>
    <w:p w14:paraId="73923F50" w14:textId="196C4380" w:rsidR="00D77242" w:rsidRDefault="00D77242" w:rsidP="00FE5BFB">
      <w:r>
        <w:rPr>
          <w:b/>
        </w:rPr>
        <w:t xml:space="preserve">Monitoring and evaluation. </w:t>
      </w:r>
      <w:r>
        <w:t xml:space="preserve">The program’s inability to develop a coherent results framework to underpin its interventions has meant that it has gained little value from its substantial investment in M&amp;E. Given the difficulty of finding meaningful performance data, the M&amp;E team has defaulted to measuring what can be measured, but the information has limited utility for decision making. It may be unfeasible at this point to develop a clear strategic narrative for the </w:t>
      </w:r>
      <w:r w:rsidR="00EB57D9">
        <w:t>program</w:t>
      </w:r>
      <w:r>
        <w:t xml:space="preserve"> as a whole. The M&amp;E </w:t>
      </w:r>
      <w:r w:rsidR="00E97A74">
        <w:t>t</w:t>
      </w:r>
      <w:r>
        <w:t xml:space="preserve">eam may therefore be best advised to focus on developing clear intervention logics for a select group of projects (e.g., victim-witness support), focusing on identifying binding constraints on counterpart performance. </w:t>
      </w:r>
    </w:p>
    <w:p w14:paraId="4C93C703" w14:textId="77777777" w:rsidR="00D77242" w:rsidRDefault="00D77242" w:rsidP="00FE5BFB"/>
    <w:p w14:paraId="5C46AE1B" w14:textId="5C40C8C6" w:rsidR="00D77242" w:rsidRDefault="00D77242" w:rsidP="00FE5BFB">
      <w:pPr>
        <w:ind w:left="720"/>
        <w:rPr>
          <w:b/>
        </w:rPr>
      </w:pPr>
      <w:r>
        <w:rPr>
          <w:b/>
        </w:rPr>
        <w:t xml:space="preserve">Recommendation 2.2: The M&amp;E team should reduce its ambition and focus on developing clear intervention logics and a small basket of effectiveness indicators for a limited number of interventions, based on overcoming binding constraints on institutional performance. It might also take forward management of the new research and data collection agenda (see </w:t>
      </w:r>
      <w:r w:rsidR="00FE5BFB">
        <w:rPr>
          <w:b/>
        </w:rPr>
        <w:t>recommendation 3.3</w:t>
      </w:r>
      <w:r>
        <w:rPr>
          <w:b/>
        </w:rPr>
        <w:t xml:space="preserve">). </w:t>
      </w:r>
    </w:p>
    <w:p w14:paraId="2AA3AF6A" w14:textId="77777777" w:rsidR="00D77242" w:rsidRDefault="00D77242" w:rsidP="00FE5BFB">
      <w:pPr>
        <w:rPr>
          <w:rFonts w:cs="Times New Roman"/>
          <w:b/>
        </w:rPr>
      </w:pPr>
    </w:p>
    <w:p w14:paraId="2978478D" w14:textId="37B44A5C" w:rsidR="00F06FFF" w:rsidRDefault="00F961F2" w:rsidP="00FE5BFB">
      <w:pPr>
        <w:rPr>
          <w:rFonts w:cs="Times New Roman"/>
        </w:rPr>
      </w:pPr>
      <w:r>
        <w:rPr>
          <w:rFonts w:cs="Times New Roman"/>
          <w:b/>
        </w:rPr>
        <w:t>More devolved management and better use of national experts</w:t>
      </w:r>
      <w:r w:rsidR="00F06FFF">
        <w:rPr>
          <w:rFonts w:cs="Times New Roman"/>
          <w:b/>
        </w:rPr>
        <w:t xml:space="preserve">. </w:t>
      </w:r>
      <w:r w:rsidR="00F06FFF">
        <w:rPr>
          <w:rFonts w:cs="Times New Roman"/>
        </w:rPr>
        <w:t xml:space="preserve">AAPTIP’s highly centralised management structure </w:t>
      </w:r>
      <w:r w:rsidR="00AF0326">
        <w:rPr>
          <w:rFonts w:cs="Times New Roman"/>
        </w:rPr>
        <w:t>facilitat</w:t>
      </w:r>
      <w:r w:rsidR="00F06FFF">
        <w:rPr>
          <w:rFonts w:cs="Times New Roman"/>
        </w:rPr>
        <w:t xml:space="preserve">es efficient use of resources but disempowers country teams and devalues national expertise. AAPTIP has recruited high calibre national staff but </w:t>
      </w:r>
      <w:r w:rsidR="00107837">
        <w:rPr>
          <w:rFonts w:cs="Times New Roman"/>
        </w:rPr>
        <w:t xml:space="preserve">has </w:t>
      </w:r>
      <w:r w:rsidR="00F06FFF">
        <w:rPr>
          <w:rFonts w:cs="Times New Roman"/>
        </w:rPr>
        <w:t>consistent</w:t>
      </w:r>
      <w:r w:rsidR="00FE5BFB">
        <w:rPr>
          <w:rFonts w:cs="Times New Roman"/>
        </w:rPr>
        <w:t>ly</w:t>
      </w:r>
      <w:r w:rsidR="00F06FFF">
        <w:rPr>
          <w:rFonts w:cs="Times New Roman"/>
        </w:rPr>
        <w:t xml:space="preserve"> underutilised them.</w:t>
      </w:r>
    </w:p>
    <w:p w14:paraId="065DB4AF" w14:textId="77777777" w:rsidR="00F06FFF" w:rsidRDefault="00F06FFF" w:rsidP="00FE5BFB">
      <w:pPr>
        <w:rPr>
          <w:rFonts w:cs="Times New Roman"/>
        </w:rPr>
      </w:pPr>
    </w:p>
    <w:p w14:paraId="53E9437D" w14:textId="0436D7B2" w:rsidR="00F06FFF" w:rsidRDefault="00F06FFF" w:rsidP="00FE5BFB">
      <w:pPr>
        <w:ind w:left="720"/>
        <w:rPr>
          <w:rFonts w:cs="Times New Roman"/>
          <w:b/>
        </w:rPr>
      </w:pPr>
      <w:r>
        <w:rPr>
          <w:rFonts w:cs="Times New Roman"/>
          <w:b/>
        </w:rPr>
        <w:t>Recommendation</w:t>
      </w:r>
      <w:r w:rsidR="003E03F5">
        <w:rPr>
          <w:rFonts w:cs="Times New Roman"/>
          <w:b/>
        </w:rPr>
        <w:t xml:space="preserve"> </w:t>
      </w:r>
      <w:r w:rsidR="00D77242">
        <w:rPr>
          <w:rFonts w:cs="Times New Roman"/>
          <w:b/>
        </w:rPr>
        <w:t>2.3</w:t>
      </w:r>
      <w:r>
        <w:rPr>
          <w:rFonts w:cs="Times New Roman"/>
          <w:b/>
        </w:rPr>
        <w:t xml:space="preserve">: AAPTIP should redevelop the position of Country Program Coordinator to give </w:t>
      </w:r>
      <w:r w:rsidR="00AF0326">
        <w:rPr>
          <w:rFonts w:cs="Times New Roman"/>
          <w:b/>
        </w:rPr>
        <w:t>them</w:t>
      </w:r>
      <w:r>
        <w:rPr>
          <w:rFonts w:cs="Times New Roman"/>
          <w:b/>
        </w:rPr>
        <w:t xml:space="preserve"> more responsibility for identifying and managing strategic interventions</w:t>
      </w:r>
      <w:r w:rsidR="00D77242">
        <w:rPr>
          <w:rFonts w:cs="Times New Roman"/>
          <w:b/>
        </w:rPr>
        <w:t>, and should make greater use of national and regional experts in its team.</w:t>
      </w:r>
    </w:p>
    <w:p w14:paraId="36CEE8CE" w14:textId="77777777" w:rsidR="00F06FFF" w:rsidRDefault="00F06FFF" w:rsidP="00FE5BFB">
      <w:pPr>
        <w:ind w:left="720"/>
        <w:rPr>
          <w:rFonts w:cs="Times New Roman"/>
          <w:b/>
        </w:rPr>
      </w:pPr>
    </w:p>
    <w:p w14:paraId="3AC5EADF" w14:textId="412DEA60" w:rsidR="00494601" w:rsidRDefault="00F961F2" w:rsidP="00FE5BFB">
      <w:r>
        <w:rPr>
          <w:b/>
        </w:rPr>
        <w:t>Lighter administrative processes</w:t>
      </w:r>
      <w:r w:rsidR="00494601">
        <w:rPr>
          <w:b/>
        </w:rPr>
        <w:t xml:space="preserve">. </w:t>
      </w:r>
      <w:r w:rsidR="00494601">
        <w:t>AAPTIP’s administrative procedures and financial controls are rigorous but disproportionate. They detract value by taking too much time away from substantive delivery by country program teams.</w:t>
      </w:r>
    </w:p>
    <w:p w14:paraId="55D04427" w14:textId="77777777" w:rsidR="00494601" w:rsidRDefault="00494601" w:rsidP="00FE5BFB"/>
    <w:p w14:paraId="31D36F86" w14:textId="46FD7A2A" w:rsidR="00494601" w:rsidRPr="00494601" w:rsidRDefault="00494601" w:rsidP="00FE5BFB">
      <w:pPr>
        <w:ind w:left="720"/>
        <w:rPr>
          <w:b/>
        </w:rPr>
      </w:pPr>
      <w:r>
        <w:rPr>
          <w:b/>
        </w:rPr>
        <w:t xml:space="preserve">Recommendation </w:t>
      </w:r>
      <w:r w:rsidR="00D77242">
        <w:rPr>
          <w:b/>
        </w:rPr>
        <w:t>2.4</w:t>
      </w:r>
      <w:r>
        <w:rPr>
          <w:b/>
        </w:rPr>
        <w:t xml:space="preserve">: AAPTIP should undertake a ‘red tape’ review and suggest to DFAT which administrative and financial controls could be lightened. </w:t>
      </w:r>
    </w:p>
    <w:p w14:paraId="3407E8E8" w14:textId="5178C152" w:rsidR="00D77242" w:rsidRPr="00D9145A" w:rsidRDefault="00D77242" w:rsidP="00FE5BFB">
      <w:pPr>
        <w:pStyle w:val="ListParagraph"/>
        <w:numPr>
          <w:ilvl w:val="0"/>
          <w:numId w:val="38"/>
        </w:numPr>
        <w:ind w:left="360"/>
        <w:rPr>
          <w:b/>
          <w:i/>
        </w:rPr>
      </w:pPr>
      <w:r w:rsidRPr="00D9145A">
        <w:rPr>
          <w:b/>
          <w:i/>
        </w:rPr>
        <w:lastRenderedPageBreak/>
        <w:t>Research and advocacy</w:t>
      </w:r>
    </w:p>
    <w:p w14:paraId="2E7ECD65" w14:textId="77777777" w:rsidR="00D77242" w:rsidRDefault="00D77242" w:rsidP="00FE5BFB">
      <w:pPr>
        <w:rPr>
          <w:b/>
        </w:rPr>
      </w:pPr>
    </w:p>
    <w:p w14:paraId="519A6F9C" w14:textId="740128AD" w:rsidR="00D77242" w:rsidRDefault="00D77242" w:rsidP="00FE5BFB">
      <w:r>
        <w:rPr>
          <w:b/>
        </w:rPr>
        <w:t xml:space="preserve">Developing an explicit advocacy agenda. </w:t>
      </w:r>
      <w:r>
        <w:t xml:space="preserve">AAPTIP has taken the view that its relationships with its counterparts preclude it from pursuing an active advocacy and influencing agenda on trafficking. However, advocacy and influencing can take many forms; they do not have to be confrontational or pursued in public. AAPTIP is not taking full advantage of the opportunities its relationships offer to advance the anti-trafficking agenda. In particular, the program could leverage its position to try to influence how its partner countries respond to external pressures, encouraging and supporting them to implement meaningful reforms rather than superficial responses. </w:t>
      </w:r>
      <w:r w:rsidR="00FE5BFB">
        <w:t>DFAT could also do more to support the program through its diplomatic engagement.</w:t>
      </w:r>
    </w:p>
    <w:p w14:paraId="2CB89E4C" w14:textId="77777777" w:rsidR="00D77242" w:rsidRDefault="00D77242" w:rsidP="00FE5BFB"/>
    <w:p w14:paraId="6C5A6F95" w14:textId="113FB48B" w:rsidR="00FE5BFB" w:rsidRDefault="00D77242" w:rsidP="00FE5BFB">
      <w:pPr>
        <w:ind w:left="720"/>
        <w:rPr>
          <w:b/>
        </w:rPr>
      </w:pPr>
      <w:r>
        <w:rPr>
          <w:b/>
        </w:rPr>
        <w:t>Recommendation 3.1: AAPTIP should work with D</w:t>
      </w:r>
      <w:r w:rsidR="00CE1DA3">
        <w:rPr>
          <w:b/>
        </w:rPr>
        <w:t>F</w:t>
      </w:r>
      <w:r>
        <w:rPr>
          <w:b/>
        </w:rPr>
        <w:t xml:space="preserve">AT to formulate an explicit advocacy and influencing agenda, relating to particular countries, institutions or issues, and ensure that advisers use the opportunities created by their relationships to advance that agenda. </w:t>
      </w:r>
    </w:p>
    <w:p w14:paraId="6017FB2F" w14:textId="77777777" w:rsidR="00FE5BFB" w:rsidRDefault="00FE5BFB" w:rsidP="00FE5BFB">
      <w:pPr>
        <w:ind w:left="720"/>
        <w:rPr>
          <w:b/>
        </w:rPr>
      </w:pPr>
    </w:p>
    <w:p w14:paraId="419D8F4B" w14:textId="366A5AEA" w:rsidR="00D77242" w:rsidRPr="0013195D" w:rsidRDefault="00FE5BFB" w:rsidP="00FE5BFB">
      <w:pPr>
        <w:ind w:left="720"/>
        <w:rPr>
          <w:b/>
        </w:rPr>
      </w:pPr>
      <w:r>
        <w:rPr>
          <w:b/>
        </w:rPr>
        <w:t xml:space="preserve">Recommendation 3.2: </w:t>
      </w:r>
      <w:r w:rsidR="00D77242">
        <w:rPr>
          <w:b/>
        </w:rPr>
        <w:t xml:space="preserve">DFAT should consider how it can reinforce </w:t>
      </w:r>
      <w:r>
        <w:rPr>
          <w:b/>
        </w:rPr>
        <w:t xml:space="preserve">the anti-trafficking agenda </w:t>
      </w:r>
      <w:r w:rsidR="00D77242">
        <w:rPr>
          <w:b/>
        </w:rPr>
        <w:t>through its diplomatic engagements.</w:t>
      </w:r>
    </w:p>
    <w:p w14:paraId="548F073D" w14:textId="77777777" w:rsidR="00D77242" w:rsidRDefault="00D77242" w:rsidP="00FE5BFB">
      <w:pPr>
        <w:rPr>
          <w:b/>
        </w:rPr>
      </w:pPr>
    </w:p>
    <w:p w14:paraId="0E158495" w14:textId="1389BAF1" w:rsidR="00D77242" w:rsidRDefault="00D77242" w:rsidP="00FE5BFB">
      <w:r>
        <w:rPr>
          <w:b/>
        </w:rPr>
        <w:t xml:space="preserve">Research and evidence collection. </w:t>
      </w:r>
      <w:r>
        <w:t xml:space="preserve">Given the size of the program, AAPTIP has underinvested in research and analysis. After so many years of operation, it should be in a position to fill gaps in knowledge on trafficking in the region, as a regional public good. Given the significant underspend on the </w:t>
      </w:r>
      <w:r w:rsidR="00EB57D9">
        <w:t>program</w:t>
      </w:r>
      <w:r>
        <w:t xml:space="preserve">, there are resources available to address this. </w:t>
      </w:r>
    </w:p>
    <w:p w14:paraId="6A8BFE4D" w14:textId="77777777" w:rsidR="00D77242" w:rsidRDefault="00D77242" w:rsidP="00FE5BFB"/>
    <w:p w14:paraId="17A7B654" w14:textId="79E32D3F" w:rsidR="00D77242" w:rsidRDefault="00FE5BFB" w:rsidP="00FE5BFB">
      <w:pPr>
        <w:ind w:left="720"/>
        <w:rPr>
          <w:b/>
        </w:rPr>
      </w:pPr>
      <w:r>
        <w:rPr>
          <w:b/>
        </w:rPr>
        <w:t>Recommendation 3.3</w:t>
      </w:r>
      <w:r w:rsidR="00D77242" w:rsidRPr="0040781D">
        <w:rPr>
          <w:b/>
        </w:rPr>
        <w:t xml:space="preserve">: DFAT should work with the </w:t>
      </w:r>
      <w:r w:rsidR="00D77242">
        <w:rPr>
          <w:b/>
        </w:rPr>
        <w:t xml:space="preserve">AAPTIP team and external stakeholders </w:t>
      </w:r>
      <w:r w:rsidR="00D77242" w:rsidRPr="0040781D">
        <w:rPr>
          <w:b/>
        </w:rPr>
        <w:t xml:space="preserve">to identify a program of research </w:t>
      </w:r>
      <w:r w:rsidR="00D77242">
        <w:rPr>
          <w:b/>
        </w:rPr>
        <w:t xml:space="preserve">and data collection </w:t>
      </w:r>
      <w:r w:rsidR="00D77242" w:rsidRPr="0040781D">
        <w:rPr>
          <w:b/>
        </w:rPr>
        <w:t xml:space="preserve">that can </w:t>
      </w:r>
      <w:r w:rsidR="00D77242">
        <w:rPr>
          <w:b/>
        </w:rPr>
        <w:t>make a significant contribution to wider efforts to fight trafficking, as well as to inform future DFAT investments.</w:t>
      </w:r>
    </w:p>
    <w:p w14:paraId="268BA3E7" w14:textId="77777777" w:rsidR="009233AF" w:rsidRDefault="009233AF" w:rsidP="009233AF">
      <w:pPr>
        <w:ind w:left="720"/>
        <w:rPr>
          <w:b/>
        </w:rPr>
      </w:pPr>
    </w:p>
    <w:p w14:paraId="6582364B" w14:textId="286273D1" w:rsidR="00D5044B" w:rsidRDefault="00D5044B" w:rsidP="003E03F5">
      <w:pPr>
        <w:ind w:left="720"/>
        <w:rPr>
          <w:b/>
        </w:rPr>
      </w:pPr>
    </w:p>
    <w:p w14:paraId="6401DC49" w14:textId="429832AB" w:rsidR="00D5044B" w:rsidRDefault="00D5044B"/>
    <w:sectPr w:rsidR="00D5044B" w:rsidSect="00802EFE">
      <w:footerReference w:type="even" r:id="rId13"/>
      <w:footerReference w:type="default" r:id="rId14"/>
      <w:pgSz w:w="11900" w:h="16840"/>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1BAA1" w14:textId="77777777" w:rsidR="00AD67D3" w:rsidRDefault="00AD67D3" w:rsidP="003C5374">
      <w:r>
        <w:separator/>
      </w:r>
    </w:p>
  </w:endnote>
  <w:endnote w:type="continuationSeparator" w:id="0">
    <w:p w14:paraId="4B362621" w14:textId="77777777" w:rsidR="00AD67D3" w:rsidRDefault="00AD67D3" w:rsidP="003C5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7FCEF" w14:textId="77777777" w:rsidR="00AD67D3" w:rsidRDefault="00AD67D3" w:rsidP="003C53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7F4319" w14:textId="77777777" w:rsidR="00AD67D3" w:rsidRDefault="00AD67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87492"/>
      <w:docPartObj>
        <w:docPartGallery w:val="Page Numbers (Bottom of Page)"/>
        <w:docPartUnique/>
      </w:docPartObj>
    </w:sdtPr>
    <w:sdtEndPr>
      <w:rPr>
        <w:noProof/>
      </w:rPr>
    </w:sdtEndPr>
    <w:sdtContent>
      <w:p w14:paraId="6990A433" w14:textId="6D87ED6D" w:rsidR="00AD67D3" w:rsidRDefault="00AD67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F81EA7" w14:textId="77777777" w:rsidR="00AD67D3" w:rsidRDefault="00AD67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834E6" w14:textId="77777777" w:rsidR="00AD67D3" w:rsidRPr="0095021E" w:rsidRDefault="00AD67D3" w:rsidP="007C7814">
    <w:pPr>
      <w:pStyle w:val="Footer"/>
      <w:jc w:val="center"/>
      <w:rPr>
        <w:b/>
        <w:color w:val="984806" w:themeColor="accent6" w:themeShade="80"/>
        <w:sz w:val="28"/>
      </w:rPr>
    </w:pPr>
  </w:p>
  <w:p w14:paraId="6DC2286E" w14:textId="77777777" w:rsidR="00AD67D3" w:rsidRDefault="00AD67D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3D6BF" w14:textId="77777777" w:rsidR="00AD67D3" w:rsidRPr="0095021E" w:rsidRDefault="00AD67D3" w:rsidP="007C7814">
    <w:pPr>
      <w:pStyle w:val="Footer"/>
      <w:jc w:val="center"/>
      <w:rPr>
        <w:b/>
        <w:color w:val="984806" w:themeColor="accent6" w:themeShade="80"/>
        <w:sz w:val="28"/>
      </w:rPr>
    </w:pPr>
  </w:p>
  <w:p w14:paraId="717246A9" w14:textId="77777777" w:rsidR="00AD67D3" w:rsidRDefault="00AD67D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C9193" w14:textId="77777777" w:rsidR="00AD67D3" w:rsidRDefault="00AD67D3" w:rsidP="00B55E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798746" w14:textId="77777777" w:rsidR="00AD67D3" w:rsidRDefault="00AD67D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689BA" w14:textId="062E66AA" w:rsidR="00AD67D3" w:rsidRDefault="00AD67D3" w:rsidP="00B55E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74D39">
      <w:rPr>
        <w:rStyle w:val="PageNumber"/>
        <w:noProof/>
      </w:rPr>
      <w:t>15</w:t>
    </w:r>
    <w:r>
      <w:rPr>
        <w:rStyle w:val="PageNumber"/>
      </w:rPr>
      <w:fldChar w:fldCharType="end"/>
    </w:r>
  </w:p>
  <w:p w14:paraId="000E4FF5" w14:textId="77777777" w:rsidR="00AD67D3" w:rsidRDefault="00AD67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81083" w14:textId="77777777" w:rsidR="00AD67D3" w:rsidRDefault="00AD67D3" w:rsidP="003C5374">
      <w:r>
        <w:separator/>
      </w:r>
    </w:p>
  </w:footnote>
  <w:footnote w:type="continuationSeparator" w:id="0">
    <w:p w14:paraId="24A3E8E2" w14:textId="77777777" w:rsidR="00AD67D3" w:rsidRDefault="00AD67D3" w:rsidP="003C5374">
      <w:r>
        <w:continuationSeparator/>
      </w:r>
    </w:p>
  </w:footnote>
  <w:footnote w:id="1">
    <w:p w14:paraId="773D22F1" w14:textId="5E5464AE" w:rsidR="00AD67D3" w:rsidRPr="00CF230A" w:rsidRDefault="00AD67D3" w:rsidP="00506F87">
      <w:pPr>
        <w:pStyle w:val="FootnoteText"/>
        <w:tabs>
          <w:tab w:val="left" w:pos="426"/>
        </w:tabs>
        <w:ind w:left="426" w:hanging="426"/>
        <w:rPr>
          <w:sz w:val="18"/>
          <w:szCs w:val="18"/>
        </w:rPr>
      </w:pPr>
      <w:r w:rsidRPr="00CF230A">
        <w:rPr>
          <w:rStyle w:val="FootnoteReference"/>
          <w:sz w:val="18"/>
          <w:szCs w:val="18"/>
        </w:rPr>
        <w:footnoteRef/>
      </w:r>
      <w:r w:rsidRPr="00CF230A">
        <w:rPr>
          <w:sz w:val="18"/>
          <w:szCs w:val="18"/>
        </w:rPr>
        <w:t xml:space="preserve"> </w:t>
      </w:r>
      <w:r>
        <w:rPr>
          <w:sz w:val="18"/>
          <w:szCs w:val="18"/>
        </w:rPr>
        <w:tab/>
      </w:r>
      <w:r w:rsidRPr="00CF230A">
        <w:rPr>
          <w:sz w:val="18"/>
          <w:szCs w:val="18"/>
        </w:rPr>
        <w:t>UNODC</w:t>
      </w:r>
      <w:r>
        <w:rPr>
          <w:sz w:val="18"/>
          <w:szCs w:val="18"/>
        </w:rPr>
        <w:t>,</w:t>
      </w:r>
      <w:r w:rsidRPr="00CF230A">
        <w:rPr>
          <w:sz w:val="18"/>
          <w:szCs w:val="18"/>
        </w:rPr>
        <w:t xml:space="preserve"> Global Report on Trafficking</w:t>
      </w:r>
      <w:r>
        <w:rPr>
          <w:sz w:val="18"/>
          <w:szCs w:val="18"/>
        </w:rPr>
        <w:t xml:space="preserve"> in Persons, 2014, </w:t>
      </w:r>
      <w:r w:rsidR="00C50761" w:rsidRPr="00C50761">
        <w:rPr>
          <w:sz w:val="18"/>
          <w:szCs w:val="18"/>
        </w:rPr>
        <w:t>http://www.unodc.org/documents/data-and-analysis/glotip/GLOTIP_2014_full_report.pdf</w:t>
      </w:r>
    </w:p>
  </w:footnote>
  <w:footnote w:id="2">
    <w:p w14:paraId="37A720E7" w14:textId="6E8E798F" w:rsidR="00AD67D3" w:rsidRPr="00CF230A" w:rsidRDefault="00AD67D3" w:rsidP="00506F87">
      <w:pPr>
        <w:pStyle w:val="FootnoteText"/>
        <w:tabs>
          <w:tab w:val="left" w:pos="426"/>
        </w:tabs>
        <w:ind w:left="426" w:hanging="426"/>
        <w:jc w:val="both"/>
        <w:rPr>
          <w:sz w:val="18"/>
          <w:szCs w:val="18"/>
        </w:rPr>
      </w:pPr>
      <w:r w:rsidRPr="00CF230A">
        <w:rPr>
          <w:rStyle w:val="FootnoteReference"/>
          <w:sz w:val="18"/>
          <w:szCs w:val="18"/>
        </w:rPr>
        <w:footnoteRef/>
      </w:r>
      <w:r w:rsidRPr="00CF230A">
        <w:rPr>
          <w:sz w:val="18"/>
          <w:szCs w:val="18"/>
        </w:rPr>
        <w:t xml:space="preserve"> </w:t>
      </w:r>
      <w:r>
        <w:rPr>
          <w:sz w:val="18"/>
          <w:szCs w:val="18"/>
        </w:rPr>
        <w:tab/>
      </w:r>
      <w:r w:rsidRPr="00CF230A">
        <w:rPr>
          <w:sz w:val="18"/>
          <w:szCs w:val="18"/>
        </w:rPr>
        <w:t>Derks</w:t>
      </w:r>
      <w:r>
        <w:rPr>
          <w:sz w:val="18"/>
          <w:szCs w:val="18"/>
        </w:rPr>
        <w:t xml:space="preserve">, Annuska et al., </w:t>
      </w:r>
      <w:r>
        <w:rPr>
          <w:i/>
          <w:sz w:val="18"/>
          <w:szCs w:val="18"/>
        </w:rPr>
        <w:t>Review of a Decade of Research on Trafficking in Persons, Cambodia</w:t>
      </w:r>
      <w:r>
        <w:rPr>
          <w:sz w:val="18"/>
          <w:szCs w:val="18"/>
        </w:rPr>
        <w:t xml:space="preserve">, </w:t>
      </w:r>
      <w:r w:rsidRPr="00CF230A">
        <w:rPr>
          <w:sz w:val="18"/>
          <w:szCs w:val="18"/>
        </w:rPr>
        <w:t>2006</w:t>
      </w:r>
    </w:p>
  </w:footnote>
  <w:footnote w:id="3">
    <w:p w14:paraId="21A60613" w14:textId="001EFC59" w:rsidR="00AD67D3" w:rsidRPr="00CF230A" w:rsidRDefault="00AD67D3" w:rsidP="00506F87">
      <w:pPr>
        <w:pStyle w:val="FootnoteText"/>
        <w:tabs>
          <w:tab w:val="left" w:pos="426"/>
        </w:tabs>
        <w:ind w:left="426" w:hanging="426"/>
        <w:rPr>
          <w:sz w:val="18"/>
          <w:szCs w:val="18"/>
        </w:rPr>
      </w:pPr>
      <w:r w:rsidRPr="00CF230A">
        <w:rPr>
          <w:rStyle w:val="FootnoteReference"/>
          <w:sz w:val="18"/>
          <w:szCs w:val="18"/>
        </w:rPr>
        <w:footnoteRef/>
      </w:r>
      <w:r w:rsidRPr="00CF230A">
        <w:rPr>
          <w:sz w:val="18"/>
          <w:szCs w:val="18"/>
        </w:rPr>
        <w:t xml:space="preserve"> </w:t>
      </w:r>
      <w:r>
        <w:rPr>
          <w:sz w:val="18"/>
          <w:szCs w:val="18"/>
        </w:rPr>
        <w:tab/>
      </w:r>
      <w:r w:rsidRPr="00CF230A">
        <w:rPr>
          <w:sz w:val="18"/>
          <w:szCs w:val="18"/>
        </w:rPr>
        <w:t>United Nations Convention against Transnational Organised Crime and Protocol to Suppress, Prevent and Punish Trafficking in Persons Especially Women and Children; ASEAN (2015) Convention on Trafficking in Persons</w:t>
      </w:r>
    </w:p>
  </w:footnote>
  <w:footnote w:id="4">
    <w:p w14:paraId="6387529C" w14:textId="1DBB9C49" w:rsidR="00AD67D3" w:rsidRPr="00CF230A" w:rsidRDefault="00AD67D3" w:rsidP="00506F87">
      <w:pPr>
        <w:pStyle w:val="FootnoteText"/>
        <w:tabs>
          <w:tab w:val="left" w:pos="426"/>
        </w:tabs>
        <w:ind w:left="426" w:hanging="426"/>
        <w:rPr>
          <w:sz w:val="18"/>
          <w:szCs w:val="18"/>
        </w:rPr>
      </w:pPr>
      <w:r w:rsidRPr="00CF230A">
        <w:rPr>
          <w:rStyle w:val="FootnoteReference"/>
          <w:sz w:val="18"/>
          <w:szCs w:val="18"/>
        </w:rPr>
        <w:footnoteRef/>
      </w:r>
      <w:r w:rsidRPr="00CF230A">
        <w:rPr>
          <w:sz w:val="18"/>
          <w:szCs w:val="18"/>
        </w:rPr>
        <w:t xml:space="preserve"> </w:t>
      </w:r>
      <w:r>
        <w:rPr>
          <w:sz w:val="18"/>
          <w:szCs w:val="18"/>
        </w:rPr>
        <w:tab/>
      </w:r>
      <w:r>
        <w:rPr>
          <w:i/>
          <w:sz w:val="18"/>
          <w:szCs w:val="18"/>
        </w:rPr>
        <w:t xml:space="preserve">Protocol to Prevent, Suppress and Punish Trafficking in Persons Especially Women and Children, supplementing the United Nations Convention against Transnational Crime </w:t>
      </w:r>
      <w:r>
        <w:rPr>
          <w:sz w:val="18"/>
          <w:szCs w:val="18"/>
        </w:rPr>
        <w:t>(‘</w:t>
      </w:r>
      <w:r w:rsidRPr="00CF230A">
        <w:rPr>
          <w:sz w:val="18"/>
          <w:szCs w:val="18"/>
        </w:rPr>
        <w:t>Pa</w:t>
      </w:r>
      <w:r>
        <w:rPr>
          <w:sz w:val="18"/>
          <w:szCs w:val="18"/>
        </w:rPr>
        <w:t>l</w:t>
      </w:r>
      <w:r w:rsidRPr="00CF230A">
        <w:rPr>
          <w:sz w:val="18"/>
          <w:szCs w:val="18"/>
        </w:rPr>
        <w:t>ermo Protocol</w:t>
      </w:r>
      <w:r>
        <w:rPr>
          <w:sz w:val="18"/>
          <w:szCs w:val="18"/>
        </w:rPr>
        <w:t>’), November 2000</w:t>
      </w:r>
      <w:r w:rsidRPr="00C50761">
        <w:rPr>
          <w:sz w:val="18"/>
          <w:szCs w:val="18"/>
        </w:rPr>
        <w:t xml:space="preserve">, </w:t>
      </w:r>
      <w:r w:rsidR="00C50761" w:rsidRPr="00C50761">
        <w:rPr>
          <w:iCs/>
          <w:sz w:val="18"/>
          <w:szCs w:val="18"/>
        </w:rPr>
        <w:t>https://treaties.un.org/doc/source/docs/A_55_383-E.pdf</w:t>
      </w:r>
    </w:p>
  </w:footnote>
  <w:footnote w:id="5">
    <w:p w14:paraId="597916DE" w14:textId="2DDE6EA0" w:rsidR="00AD67D3" w:rsidRPr="00CF230A" w:rsidRDefault="00AD67D3" w:rsidP="00506F87">
      <w:pPr>
        <w:pStyle w:val="FootnoteText"/>
        <w:tabs>
          <w:tab w:val="left" w:pos="426"/>
        </w:tabs>
        <w:ind w:left="426" w:hanging="426"/>
        <w:rPr>
          <w:sz w:val="18"/>
          <w:szCs w:val="18"/>
        </w:rPr>
      </w:pPr>
      <w:r w:rsidRPr="00CF230A">
        <w:rPr>
          <w:rStyle w:val="FootnoteReference"/>
          <w:sz w:val="18"/>
          <w:szCs w:val="18"/>
        </w:rPr>
        <w:footnoteRef/>
      </w:r>
      <w:r w:rsidRPr="00CF230A">
        <w:rPr>
          <w:sz w:val="18"/>
          <w:szCs w:val="18"/>
        </w:rPr>
        <w:t xml:space="preserve"> </w:t>
      </w:r>
      <w:r>
        <w:rPr>
          <w:sz w:val="18"/>
          <w:szCs w:val="18"/>
        </w:rPr>
        <w:tab/>
      </w:r>
      <w:r w:rsidRPr="00CF230A">
        <w:rPr>
          <w:sz w:val="18"/>
          <w:szCs w:val="18"/>
        </w:rPr>
        <w:t xml:space="preserve">US Department of State, </w:t>
      </w:r>
      <w:r w:rsidRPr="00CF230A">
        <w:rPr>
          <w:i/>
          <w:sz w:val="18"/>
          <w:szCs w:val="18"/>
        </w:rPr>
        <w:t>Trafficking in Persons Report</w:t>
      </w:r>
      <w:r w:rsidRPr="00CF230A">
        <w:rPr>
          <w:sz w:val="18"/>
          <w:szCs w:val="18"/>
        </w:rPr>
        <w:t>, July 201</w:t>
      </w:r>
      <w:r>
        <w:rPr>
          <w:sz w:val="18"/>
          <w:szCs w:val="18"/>
        </w:rPr>
        <w:t>6</w:t>
      </w:r>
      <w:r w:rsidRPr="00CF230A">
        <w:rPr>
          <w:sz w:val="18"/>
          <w:szCs w:val="18"/>
        </w:rPr>
        <w:t xml:space="preserve">, </w:t>
      </w:r>
      <w:hyperlink r:id="rId1" w:history="1">
        <w:r w:rsidRPr="00F260A7">
          <w:rPr>
            <w:rStyle w:val="Hyperlink"/>
            <w:sz w:val="18"/>
            <w:szCs w:val="18"/>
          </w:rPr>
          <w:t>http://www.state.gov/documents/organization/258876.pdf</w:t>
        </w:r>
      </w:hyperlink>
    </w:p>
  </w:footnote>
  <w:footnote w:id="6">
    <w:p w14:paraId="156F2794" w14:textId="3FF74E17" w:rsidR="00AD67D3" w:rsidRPr="00CF230A" w:rsidRDefault="00AD67D3" w:rsidP="00506F87">
      <w:pPr>
        <w:pStyle w:val="FootnoteText"/>
        <w:tabs>
          <w:tab w:val="left" w:pos="426"/>
        </w:tabs>
        <w:ind w:left="426" w:hanging="426"/>
        <w:rPr>
          <w:sz w:val="18"/>
          <w:szCs w:val="18"/>
        </w:rPr>
      </w:pPr>
      <w:r w:rsidRPr="00CF230A">
        <w:rPr>
          <w:rStyle w:val="FootnoteReference"/>
          <w:sz w:val="18"/>
          <w:szCs w:val="18"/>
        </w:rPr>
        <w:footnoteRef/>
      </w:r>
      <w:r w:rsidRPr="00CF230A">
        <w:rPr>
          <w:sz w:val="18"/>
          <w:szCs w:val="18"/>
        </w:rPr>
        <w:t xml:space="preserve"> </w:t>
      </w:r>
      <w:r>
        <w:rPr>
          <w:sz w:val="18"/>
          <w:szCs w:val="18"/>
        </w:rPr>
        <w:tab/>
      </w:r>
      <w:r w:rsidRPr="00CF230A">
        <w:rPr>
          <w:sz w:val="18"/>
          <w:szCs w:val="18"/>
        </w:rPr>
        <w:t xml:space="preserve">Australia-Asia Program to </w:t>
      </w:r>
      <w:r>
        <w:rPr>
          <w:sz w:val="18"/>
          <w:szCs w:val="18"/>
        </w:rPr>
        <w:t>C</w:t>
      </w:r>
      <w:r w:rsidRPr="00CF230A">
        <w:rPr>
          <w:sz w:val="18"/>
          <w:szCs w:val="18"/>
        </w:rPr>
        <w:t xml:space="preserve">ombat </w:t>
      </w:r>
      <w:r>
        <w:rPr>
          <w:sz w:val="18"/>
          <w:szCs w:val="18"/>
        </w:rPr>
        <w:t>T</w:t>
      </w:r>
      <w:r w:rsidRPr="00CF230A">
        <w:rPr>
          <w:sz w:val="18"/>
          <w:szCs w:val="18"/>
        </w:rPr>
        <w:t>rafficking in Persons: Project Design Document, Version 5.0 redacted</w:t>
      </w:r>
    </w:p>
  </w:footnote>
  <w:footnote w:id="7">
    <w:p w14:paraId="644E25F1" w14:textId="094D3AFF" w:rsidR="00AD67D3" w:rsidRPr="00506F87" w:rsidRDefault="00AD67D3" w:rsidP="00506F87">
      <w:pPr>
        <w:pStyle w:val="FootnoteText"/>
        <w:tabs>
          <w:tab w:val="left" w:pos="426"/>
        </w:tabs>
        <w:ind w:left="426" w:hanging="426"/>
        <w:rPr>
          <w:sz w:val="18"/>
          <w:szCs w:val="18"/>
        </w:rPr>
      </w:pPr>
      <w:r w:rsidRPr="00CF230A">
        <w:rPr>
          <w:rStyle w:val="FootnoteReference"/>
          <w:sz w:val="18"/>
          <w:szCs w:val="18"/>
        </w:rPr>
        <w:footnoteRef/>
      </w:r>
      <w:r w:rsidRPr="00CF230A">
        <w:rPr>
          <w:sz w:val="18"/>
          <w:szCs w:val="18"/>
        </w:rPr>
        <w:t xml:space="preserve"> </w:t>
      </w:r>
      <w:r>
        <w:rPr>
          <w:sz w:val="18"/>
          <w:szCs w:val="18"/>
        </w:rPr>
        <w:tab/>
      </w:r>
      <w:r w:rsidRPr="00CF230A">
        <w:rPr>
          <w:sz w:val="18"/>
          <w:szCs w:val="18"/>
        </w:rPr>
        <w:t xml:space="preserve">AAPTIP (2016) </w:t>
      </w:r>
      <w:r w:rsidRPr="00506F87">
        <w:rPr>
          <w:i/>
          <w:sz w:val="18"/>
          <w:szCs w:val="18"/>
        </w:rPr>
        <w:t>Overarching Strategy</w:t>
      </w:r>
      <w:r w:rsidRPr="00CF230A">
        <w:rPr>
          <w:sz w:val="18"/>
          <w:szCs w:val="18"/>
        </w:rPr>
        <w:t xml:space="preserve"> (revised) and AAPTIP (2013</w:t>
      </w:r>
      <w:r w:rsidRPr="00506F87">
        <w:rPr>
          <w:i/>
          <w:sz w:val="18"/>
          <w:szCs w:val="18"/>
        </w:rPr>
        <w:t>) Capacity Development Strategy</w:t>
      </w:r>
    </w:p>
  </w:footnote>
  <w:footnote w:id="8">
    <w:p w14:paraId="1BC27751" w14:textId="1F6DDC7C" w:rsidR="00AD67D3" w:rsidRPr="00CF230A" w:rsidRDefault="00AD67D3" w:rsidP="00506F87">
      <w:pPr>
        <w:pStyle w:val="FootnoteText"/>
        <w:tabs>
          <w:tab w:val="left" w:pos="426"/>
        </w:tabs>
        <w:ind w:left="426" w:hanging="426"/>
        <w:rPr>
          <w:sz w:val="18"/>
          <w:szCs w:val="18"/>
        </w:rPr>
      </w:pPr>
      <w:r w:rsidRPr="00CF230A">
        <w:rPr>
          <w:rStyle w:val="FootnoteReference"/>
          <w:sz w:val="18"/>
          <w:szCs w:val="18"/>
        </w:rPr>
        <w:footnoteRef/>
      </w:r>
      <w:r w:rsidRPr="00CF230A">
        <w:rPr>
          <w:sz w:val="18"/>
          <w:szCs w:val="18"/>
        </w:rPr>
        <w:t xml:space="preserve"> </w:t>
      </w:r>
      <w:r>
        <w:rPr>
          <w:sz w:val="18"/>
          <w:szCs w:val="18"/>
        </w:rPr>
        <w:tab/>
      </w:r>
      <w:r w:rsidRPr="00CF230A">
        <w:rPr>
          <w:sz w:val="18"/>
          <w:szCs w:val="18"/>
        </w:rPr>
        <w:t xml:space="preserve">The cascade model of professional development usually involves four key steps: (i) revision of ASEAN endorsed guidelines, training curriculum, standard operating procedures, official approval and integration to national training institutions, (ii) training of trainers, (iii) piloting in two hot spot provinces and (iv) partner-funded integration to annual training plans </w:t>
      </w:r>
    </w:p>
  </w:footnote>
  <w:footnote w:id="9">
    <w:p w14:paraId="0E680F48" w14:textId="7EF720B7" w:rsidR="00AD67D3" w:rsidRPr="00CF230A" w:rsidRDefault="00AD67D3" w:rsidP="00506F87">
      <w:pPr>
        <w:pStyle w:val="FootnoteText"/>
        <w:tabs>
          <w:tab w:val="left" w:pos="426"/>
        </w:tabs>
        <w:ind w:left="426" w:hanging="426"/>
        <w:rPr>
          <w:sz w:val="18"/>
          <w:szCs w:val="18"/>
        </w:rPr>
      </w:pPr>
      <w:r w:rsidRPr="00CF230A">
        <w:rPr>
          <w:rStyle w:val="FootnoteReference"/>
          <w:sz w:val="18"/>
          <w:szCs w:val="18"/>
        </w:rPr>
        <w:footnoteRef/>
      </w:r>
      <w:r w:rsidRPr="00CF230A">
        <w:rPr>
          <w:sz w:val="18"/>
          <w:szCs w:val="18"/>
        </w:rPr>
        <w:t xml:space="preserve"> </w:t>
      </w:r>
      <w:r>
        <w:rPr>
          <w:sz w:val="18"/>
          <w:szCs w:val="18"/>
        </w:rPr>
        <w:tab/>
      </w:r>
      <w:r w:rsidRPr="00CF230A">
        <w:rPr>
          <w:sz w:val="18"/>
          <w:szCs w:val="18"/>
        </w:rPr>
        <w:t xml:space="preserve">OECD DAC </w:t>
      </w:r>
      <w:r>
        <w:rPr>
          <w:sz w:val="18"/>
          <w:szCs w:val="18"/>
        </w:rPr>
        <w:t xml:space="preserve">evaluation </w:t>
      </w:r>
      <w:r w:rsidRPr="00CF230A">
        <w:rPr>
          <w:sz w:val="18"/>
          <w:szCs w:val="18"/>
        </w:rPr>
        <w:t>criteria: relevance, effectiveness, efficiency, impact and sustainability</w:t>
      </w:r>
    </w:p>
  </w:footnote>
  <w:footnote w:id="10">
    <w:p w14:paraId="4F3BE76B" w14:textId="30EBA2D2" w:rsidR="00AD67D3" w:rsidRPr="00CF230A" w:rsidRDefault="00AD67D3" w:rsidP="00506F87">
      <w:pPr>
        <w:pStyle w:val="FootnoteText"/>
        <w:tabs>
          <w:tab w:val="left" w:pos="426"/>
        </w:tabs>
        <w:ind w:left="426" w:hanging="426"/>
        <w:rPr>
          <w:sz w:val="18"/>
          <w:szCs w:val="18"/>
        </w:rPr>
      </w:pPr>
      <w:r w:rsidRPr="00CF230A">
        <w:rPr>
          <w:rStyle w:val="FootnoteReference"/>
          <w:sz w:val="18"/>
          <w:szCs w:val="18"/>
        </w:rPr>
        <w:footnoteRef/>
      </w:r>
      <w:r w:rsidRPr="00CF230A">
        <w:rPr>
          <w:sz w:val="18"/>
          <w:szCs w:val="18"/>
        </w:rPr>
        <w:t xml:space="preserve"> </w:t>
      </w:r>
      <w:r>
        <w:rPr>
          <w:sz w:val="18"/>
          <w:szCs w:val="18"/>
        </w:rPr>
        <w:tab/>
      </w:r>
      <w:r w:rsidRPr="00CF230A">
        <w:rPr>
          <w:sz w:val="18"/>
          <w:szCs w:val="18"/>
        </w:rPr>
        <w:t xml:space="preserve">Government of Australia, </w:t>
      </w:r>
      <w:r w:rsidRPr="00CF230A">
        <w:rPr>
          <w:i/>
          <w:sz w:val="18"/>
          <w:szCs w:val="18"/>
        </w:rPr>
        <w:t>Australia’s National Action Plan to Combat Human Trafficking and Slavery 2015-19</w:t>
      </w:r>
      <w:r w:rsidRPr="00CF230A">
        <w:rPr>
          <w:sz w:val="18"/>
          <w:szCs w:val="18"/>
        </w:rPr>
        <w:t xml:space="preserve">, 2014, </w:t>
      </w:r>
      <w:r w:rsidR="00436605" w:rsidRPr="00987976">
        <w:rPr>
          <w:sz w:val="18"/>
          <w:szCs w:val="18"/>
        </w:rPr>
        <w:t>https://www.ag.gov.au/CrimeAndCorruption/HumanTrafficking/Documents/Trafficking-NationalActionPlanToCombatHumanTraffickingAndSlavery2015-19.pdf</w:t>
      </w:r>
    </w:p>
  </w:footnote>
  <w:footnote w:id="11">
    <w:p w14:paraId="41E600E4" w14:textId="02F48AF4" w:rsidR="00AD67D3" w:rsidRPr="00CF230A" w:rsidRDefault="00AD67D3" w:rsidP="00506F87">
      <w:pPr>
        <w:pStyle w:val="FootnoteText"/>
        <w:tabs>
          <w:tab w:val="left" w:pos="426"/>
        </w:tabs>
        <w:ind w:left="426" w:hanging="426"/>
        <w:rPr>
          <w:sz w:val="18"/>
          <w:szCs w:val="18"/>
        </w:rPr>
      </w:pPr>
      <w:r w:rsidRPr="00CF230A">
        <w:rPr>
          <w:rStyle w:val="FootnoteReference"/>
          <w:sz w:val="18"/>
          <w:szCs w:val="18"/>
        </w:rPr>
        <w:footnoteRef/>
      </w:r>
      <w:r w:rsidRPr="00CF230A">
        <w:rPr>
          <w:sz w:val="18"/>
          <w:szCs w:val="18"/>
        </w:rPr>
        <w:t xml:space="preserve"> </w:t>
      </w:r>
      <w:r>
        <w:rPr>
          <w:sz w:val="18"/>
          <w:szCs w:val="18"/>
        </w:rPr>
        <w:tab/>
      </w:r>
      <w:r w:rsidRPr="00CF230A">
        <w:rPr>
          <w:sz w:val="18"/>
          <w:szCs w:val="18"/>
        </w:rPr>
        <w:t xml:space="preserve">Government of Australia, </w:t>
      </w:r>
      <w:r w:rsidRPr="00CF230A">
        <w:rPr>
          <w:i/>
          <w:sz w:val="18"/>
          <w:szCs w:val="18"/>
        </w:rPr>
        <w:t>Amplifying Our Impact: Australia’s International Strategy to Combat Human Trafficking and Slavery</w:t>
      </w:r>
      <w:r w:rsidRPr="00CF230A">
        <w:rPr>
          <w:sz w:val="18"/>
          <w:szCs w:val="18"/>
        </w:rPr>
        <w:t xml:space="preserve">, March 2016, </w:t>
      </w:r>
      <w:r w:rsidR="00436605" w:rsidRPr="00987976">
        <w:rPr>
          <w:sz w:val="18"/>
          <w:szCs w:val="18"/>
        </w:rPr>
        <w:t>http://dfat.gov.au/about-us/publications/Documents/amplifying-our-impact-australias-international-strategy-to-combat-human-trafficking-and-slavery.pdf</w:t>
      </w:r>
    </w:p>
  </w:footnote>
  <w:footnote w:id="12">
    <w:p w14:paraId="1832E978" w14:textId="18D2B19E" w:rsidR="00AD67D3" w:rsidRPr="00D9145A" w:rsidRDefault="00AD67D3" w:rsidP="00B7401B">
      <w:pPr>
        <w:pStyle w:val="FootnoteText"/>
        <w:rPr>
          <w:sz w:val="18"/>
          <w:szCs w:val="18"/>
        </w:rPr>
      </w:pPr>
      <w:r w:rsidRPr="00516ACA">
        <w:rPr>
          <w:rStyle w:val="FootnoteReference"/>
          <w:sz w:val="18"/>
          <w:szCs w:val="18"/>
        </w:rPr>
        <w:footnoteRef/>
      </w:r>
      <w:r w:rsidRPr="00516ACA">
        <w:rPr>
          <w:sz w:val="18"/>
          <w:szCs w:val="18"/>
        </w:rPr>
        <w:t xml:space="preserve"> </w:t>
      </w:r>
      <w:r w:rsidRPr="00D9145A">
        <w:rPr>
          <w:sz w:val="18"/>
          <w:szCs w:val="18"/>
        </w:rPr>
        <w:t xml:space="preserve"> AAPTIP, </w:t>
      </w:r>
      <w:r w:rsidRPr="00D9145A">
        <w:rPr>
          <w:i/>
          <w:sz w:val="18"/>
          <w:szCs w:val="18"/>
        </w:rPr>
        <w:t>Overarching Strategy 2014-2018</w:t>
      </w:r>
      <w:r w:rsidRPr="00516ACA">
        <w:rPr>
          <w:sz w:val="18"/>
          <w:szCs w:val="18"/>
        </w:rPr>
        <w:t xml:space="preserve">, </w:t>
      </w:r>
      <w:r>
        <w:rPr>
          <w:sz w:val="18"/>
          <w:szCs w:val="18"/>
        </w:rPr>
        <w:t xml:space="preserve">version August 2014, </w:t>
      </w:r>
      <w:r w:rsidRPr="00516ACA">
        <w:rPr>
          <w:sz w:val="18"/>
          <w:szCs w:val="18"/>
        </w:rPr>
        <w:t>p. 1</w:t>
      </w:r>
    </w:p>
  </w:footnote>
  <w:footnote w:id="13">
    <w:p w14:paraId="1ED7A004" w14:textId="53395424" w:rsidR="00AD67D3" w:rsidRPr="00CF230A" w:rsidRDefault="00AD67D3" w:rsidP="00506F87">
      <w:pPr>
        <w:pStyle w:val="FootnoteText"/>
        <w:tabs>
          <w:tab w:val="left" w:pos="426"/>
        </w:tabs>
        <w:ind w:left="426" w:hanging="426"/>
        <w:rPr>
          <w:sz w:val="18"/>
          <w:szCs w:val="18"/>
        </w:rPr>
      </w:pPr>
      <w:r w:rsidRPr="00CF230A">
        <w:rPr>
          <w:rStyle w:val="FootnoteReference"/>
          <w:sz w:val="18"/>
          <w:szCs w:val="18"/>
        </w:rPr>
        <w:footnoteRef/>
      </w:r>
      <w:r w:rsidRPr="00CF230A">
        <w:rPr>
          <w:sz w:val="18"/>
          <w:szCs w:val="18"/>
        </w:rPr>
        <w:t xml:space="preserve"> </w:t>
      </w:r>
      <w:r>
        <w:rPr>
          <w:sz w:val="18"/>
          <w:szCs w:val="18"/>
        </w:rPr>
        <w:tab/>
      </w:r>
      <w:r w:rsidRPr="00CF230A">
        <w:rPr>
          <w:sz w:val="18"/>
          <w:szCs w:val="18"/>
        </w:rPr>
        <w:t xml:space="preserve">AAPTIP, </w:t>
      </w:r>
      <w:r w:rsidRPr="00CF230A">
        <w:rPr>
          <w:i/>
          <w:sz w:val="18"/>
          <w:szCs w:val="18"/>
        </w:rPr>
        <w:t>Overarching Strategy 2014-2018</w:t>
      </w:r>
      <w:r w:rsidRPr="00CF230A">
        <w:rPr>
          <w:sz w:val="18"/>
          <w:szCs w:val="18"/>
        </w:rPr>
        <w:t>,</w:t>
      </w:r>
      <w:r>
        <w:rPr>
          <w:sz w:val="18"/>
          <w:szCs w:val="18"/>
        </w:rPr>
        <w:t xml:space="preserve"> version August 2014</w:t>
      </w:r>
      <w:r w:rsidRPr="00CF230A">
        <w:rPr>
          <w:sz w:val="18"/>
          <w:szCs w:val="18"/>
        </w:rPr>
        <w:t xml:space="preserve"> </w:t>
      </w:r>
    </w:p>
  </w:footnote>
  <w:footnote w:id="14">
    <w:p w14:paraId="78FA73B4" w14:textId="6B615FAA" w:rsidR="00AD67D3" w:rsidRPr="00CF230A" w:rsidRDefault="00AD67D3" w:rsidP="00506F87">
      <w:pPr>
        <w:pStyle w:val="FootnoteText"/>
        <w:tabs>
          <w:tab w:val="left" w:pos="426"/>
        </w:tabs>
        <w:ind w:left="426" w:hanging="426"/>
        <w:rPr>
          <w:sz w:val="18"/>
          <w:szCs w:val="18"/>
          <w:lang w:val="en-US"/>
        </w:rPr>
      </w:pPr>
      <w:r w:rsidRPr="00CF230A">
        <w:rPr>
          <w:rStyle w:val="FootnoteReference"/>
          <w:sz w:val="18"/>
          <w:szCs w:val="18"/>
        </w:rPr>
        <w:footnoteRef/>
      </w:r>
      <w:r w:rsidRPr="00CF230A">
        <w:rPr>
          <w:sz w:val="18"/>
          <w:szCs w:val="18"/>
        </w:rPr>
        <w:t xml:space="preserve"> </w:t>
      </w:r>
      <w:r>
        <w:rPr>
          <w:sz w:val="18"/>
          <w:szCs w:val="18"/>
        </w:rPr>
        <w:tab/>
      </w:r>
      <w:r w:rsidRPr="00CF230A">
        <w:rPr>
          <w:sz w:val="18"/>
          <w:szCs w:val="18"/>
        </w:rPr>
        <w:t xml:space="preserve">Our findings echo those of a DFAT review undertaken during the latter part of 2015, following loss of some key country program staff. </w:t>
      </w:r>
      <w:r w:rsidRPr="00CF230A">
        <w:rPr>
          <w:sz w:val="18"/>
          <w:szCs w:val="18"/>
          <w:lang w:val="en-US"/>
        </w:rPr>
        <w:t xml:space="preserve">AAPTIP Country Program Coordinator Review, </w:t>
      </w:r>
      <w:r>
        <w:rPr>
          <w:sz w:val="18"/>
          <w:szCs w:val="18"/>
          <w:lang w:val="en-US"/>
        </w:rPr>
        <w:t xml:space="preserve">DFAT, </w:t>
      </w:r>
      <w:r w:rsidRPr="00CF230A">
        <w:rPr>
          <w:sz w:val="18"/>
          <w:szCs w:val="18"/>
          <w:lang w:val="en-US"/>
        </w:rPr>
        <w:t>October-November 2015</w:t>
      </w:r>
      <w:r>
        <w:rPr>
          <w:sz w:val="18"/>
          <w:szCs w:val="18"/>
          <w:lang w:val="en-US"/>
        </w:rPr>
        <w:t>.</w:t>
      </w:r>
    </w:p>
  </w:footnote>
  <w:footnote w:id="15">
    <w:p w14:paraId="2A3483C7" w14:textId="74ED1459" w:rsidR="00AD67D3" w:rsidRPr="00CF230A" w:rsidRDefault="00AD67D3" w:rsidP="00506F87">
      <w:pPr>
        <w:pStyle w:val="FootnoteText"/>
        <w:tabs>
          <w:tab w:val="left" w:pos="426"/>
        </w:tabs>
        <w:ind w:left="426" w:hanging="426"/>
        <w:rPr>
          <w:sz w:val="18"/>
          <w:szCs w:val="18"/>
          <w:lang w:val="en-US"/>
        </w:rPr>
      </w:pPr>
      <w:r w:rsidRPr="00CF230A">
        <w:rPr>
          <w:rStyle w:val="FootnoteReference"/>
          <w:sz w:val="18"/>
          <w:szCs w:val="18"/>
        </w:rPr>
        <w:footnoteRef/>
      </w:r>
      <w:r w:rsidRPr="00CF230A">
        <w:rPr>
          <w:sz w:val="18"/>
          <w:szCs w:val="18"/>
        </w:rPr>
        <w:t xml:space="preserve"> </w:t>
      </w:r>
      <w:r>
        <w:rPr>
          <w:sz w:val="18"/>
          <w:szCs w:val="18"/>
        </w:rPr>
        <w:tab/>
      </w:r>
      <w:r w:rsidRPr="00CF230A">
        <w:rPr>
          <w:sz w:val="18"/>
          <w:szCs w:val="18"/>
          <w:lang w:val="en-US"/>
        </w:rPr>
        <w:t>ICR</w:t>
      </w:r>
      <w:r>
        <w:rPr>
          <w:sz w:val="18"/>
          <w:szCs w:val="18"/>
          <w:lang w:val="en-US"/>
        </w:rPr>
        <w:t>,</w:t>
      </w:r>
      <w:r w:rsidRPr="00CF230A">
        <w:rPr>
          <w:sz w:val="18"/>
          <w:szCs w:val="18"/>
          <w:lang w:val="en-US"/>
        </w:rPr>
        <w:t xml:space="preserve"> </w:t>
      </w:r>
      <w:r w:rsidRPr="00506F87">
        <w:rPr>
          <w:i/>
          <w:sz w:val="18"/>
          <w:szCs w:val="18"/>
          <w:lang w:val="en-US"/>
        </w:rPr>
        <w:t>ARTIP Independent Completion Report</w:t>
      </w:r>
      <w:r>
        <w:rPr>
          <w:sz w:val="18"/>
          <w:szCs w:val="18"/>
          <w:lang w:val="en-US"/>
        </w:rPr>
        <w:t>, 2012</w:t>
      </w:r>
    </w:p>
  </w:footnote>
  <w:footnote w:id="16">
    <w:p w14:paraId="3BB045D4" w14:textId="2FE57152" w:rsidR="00AD67D3" w:rsidRPr="00CF230A" w:rsidRDefault="00AD67D3" w:rsidP="00506F87">
      <w:pPr>
        <w:pStyle w:val="FootnoteText"/>
        <w:tabs>
          <w:tab w:val="left" w:pos="426"/>
        </w:tabs>
        <w:ind w:left="426" w:hanging="426"/>
        <w:rPr>
          <w:sz w:val="18"/>
          <w:szCs w:val="18"/>
          <w:lang w:val="en-US"/>
        </w:rPr>
      </w:pPr>
      <w:r w:rsidRPr="00CF230A">
        <w:rPr>
          <w:rStyle w:val="FootnoteReference"/>
          <w:sz w:val="18"/>
          <w:szCs w:val="18"/>
        </w:rPr>
        <w:footnoteRef/>
      </w:r>
      <w:r w:rsidRPr="00CF230A">
        <w:rPr>
          <w:sz w:val="18"/>
          <w:szCs w:val="18"/>
        </w:rPr>
        <w:t xml:space="preserve"> </w:t>
      </w:r>
      <w:r>
        <w:rPr>
          <w:sz w:val="18"/>
          <w:szCs w:val="18"/>
        </w:rPr>
        <w:tab/>
        <w:t>‘</w:t>
      </w:r>
      <w:r w:rsidRPr="00CF230A">
        <w:rPr>
          <w:sz w:val="18"/>
          <w:szCs w:val="18"/>
          <w:lang w:val="en-US"/>
        </w:rPr>
        <w:t xml:space="preserve">Hot </w:t>
      </w:r>
      <w:r>
        <w:rPr>
          <w:sz w:val="18"/>
          <w:szCs w:val="18"/>
          <w:lang w:val="en-US"/>
        </w:rPr>
        <w:t>s</w:t>
      </w:r>
      <w:r w:rsidRPr="00CF230A">
        <w:rPr>
          <w:sz w:val="18"/>
          <w:szCs w:val="18"/>
          <w:lang w:val="en-US"/>
        </w:rPr>
        <w:t>pots’ are usually provinces which have a high trafficking case load, usually made up of prostitution cases involving women and children.</w:t>
      </w:r>
    </w:p>
  </w:footnote>
  <w:footnote w:id="17">
    <w:p w14:paraId="5A1EF49C" w14:textId="33CEB737" w:rsidR="00AD67D3" w:rsidRPr="00CF230A" w:rsidRDefault="00AD67D3" w:rsidP="00506F87">
      <w:pPr>
        <w:pStyle w:val="FootnoteText"/>
        <w:tabs>
          <w:tab w:val="left" w:pos="426"/>
        </w:tabs>
        <w:ind w:left="426" w:hanging="426"/>
        <w:jc w:val="both"/>
        <w:rPr>
          <w:sz w:val="18"/>
          <w:szCs w:val="18"/>
        </w:rPr>
      </w:pPr>
      <w:r w:rsidRPr="00CF230A">
        <w:rPr>
          <w:rStyle w:val="FootnoteReference"/>
          <w:sz w:val="18"/>
          <w:szCs w:val="18"/>
        </w:rPr>
        <w:footnoteRef/>
      </w:r>
      <w:r w:rsidRPr="00CF230A">
        <w:rPr>
          <w:sz w:val="18"/>
          <w:szCs w:val="18"/>
        </w:rPr>
        <w:t xml:space="preserve"> </w:t>
      </w:r>
      <w:r>
        <w:rPr>
          <w:sz w:val="18"/>
          <w:szCs w:val="18"/>
        </w:rPr>
        <w:tab/>
      </w:r>
      <w:r w:rsidRPr="00CF230A">
        <w:rPr>
          <w:sz w:val="18"/>
          <w:szCs w:val="18"/>
        </w:rPr>
        <w:t>AAPTIP Internal TIC Review. An internal AAPTIP email exchange from 26 January 2016 states</w:t>
      </w:r>
      <w:r>
        <w:rPr>
          <w:sz w:val="18"/>
          <w:szCs w:val="18"/>
        </w:rPr>
        <w:t xml:space="preserve"> </w:t>
      </w:r>
      <w:r w:rsidRPr="00CF230A">
        <w:rPr>
          <w:sz w:val="18"/>
          <w:szCs w:val="18"/>
        </w:rPr>
        <w:t xml:space="preserve">that the program has “invested a lot of money since 2004 [in TIC] to improve information sharing [between partners] and [is] not seeing the results.”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203"/>
    <w:multiLevelType w:val="hybridMultilevel"/>
    <w:tmpl w:val="211470C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F27A9F"/>
    <w:multiLevelType w:val="hybridMultilevel"/>
    <w:tmpl w:val="14F09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66CAE"/>
    <w:multiLevelType w:val="hybridMultilevel"/>
    <w:tmpl w:val="16424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E260C"/>
    <w:multiLevelType w:val="hybridMultilevel"/>
    <w:tmpl w:val="A1FCA95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316E1"/>
    <w:multiLevelType w:val="hybridMultilevel"/>
    <w:tmpl w:val="6060D60A"/>
    <w:lvl w:ilvl="0" w:tplc="D97C0166">
      <w:start w:val="1"/>
      <w:numFmt w:val="lowerLetter"/>
      <w:lvlText w:val="%1)"/>
      <w:lvlJc w:val="left"/>
      <w:pPr>
        <w:ind w:left="928" w:hanging="360"/>
      </w:pPr>
      <w:rPr>
        <w:rFonts w:ascii="Arial" w:hAnsi="Arial" w:cs="Aria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764344"/>
    <w:multiLevelType w:val="hybridMultilevel"/>
    <w:tmpl w:val="6D385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326F2"/>
    <w:multiLevelType w:val="hybridMultilevel"/>
    <w:tmpl w:val="86620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B678C1"/>
    <w:multiLevelType w:val="hybridMultilevel"/>
    <w:tmpl w:val="D2545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8103D2"/>
    <w:multiLevelType w:val="hybridMultilevel"/>
    <w:tmpl w:val="3E60650E"/>
    <w:lvl w:ilvl="0" w:tplc="25BE524A">
      <w:start w:val="1"/>
      <w:numFmt w:val="low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74501A"/>
    <w:multiLevelType w:val="multilevel"/>
    <w:tmpl w:val="6C28D0C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685A97"/>
    <w:multiLevelType w:val="hybridMultilevel"/>
    <w:tmpl w:val="3C8E8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834D34"/>
    <w:multiLevelType w:val="hybridMultilevel"/>
    <w:tmpl w:val="011AA586"/>
    <w:lvl w:ilvl="0" w:tplc="12D4AF0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600642"/>
    <w:multiLevelType w:val="hybridMultilevel"/>
    <w:tmpl w:val="6F741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9B0658"/>
    <w:multiLevelType w:val="hybridMultilevel"/>
    <w:tmpl w:val="F7703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C90465"/>
    <w:multiLevelType w:val="multilevel"/>
    <w:tmpl w:val="516AA86A"/>
    <w:lvl w:ilvl="0">
      <w:start w:val="1"/>
      <w:numFmt w:val="decimal"/>
      <w:lvlText w:val="%1"/>
      <w:lvlJc w:val="left"/>
      <w:pPr>
        <w:ind w:left="108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15" w15:restartNumberingAfterBreak="0">
    <w:nsid w:val="379E5918"/>
    <w:multiLevelType w:val="hybridMultilevel"/>
    <w:tmpl w:val="66321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415B74"/>
    <w:multiLevelType w:val="hybridMultilevel"/>
    <w:tmpl w:val="5492C0DA"/>
    <w:lvl w:ilvl="0" w:tplc="100A971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101F3D"/>
    <w:multiLevelType w:val="hybridMultilevel"/>
    <w:tmpl w:val="6224687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1EB2532"/>
    <w:multiLevelType w:val="hybridMultilevel"/>
    <w:tmpl w:val="5258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A03E07"/>
    <w:multiLevelType w:val="hybridMultilevel"/>
    <w:tmpl w:val="8EA2771A"/>
    <w:lvl w:ilvl="0" w:tplc="BF967A76">
      <w:start w:val="4"/>
      <w:numFmt w:val="bullet"/>
      <w:pStyle w:val="ListBullet"/>
      <w:lvlText w:val=""/>
      <w:lvlJc w:val="left"/>
      <w:pPr>
        <w:ind w:left="360" w:hanging="360"/>
      </w:pPr>
      <w:rPr>
        <w:rFonts w:ascii="Wingdings" w:hAnsi="Wingdings" w:cstheme="minorBidi" w:hint="default"/>
        <w:color w:val="DA2201"/>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B616DC"/>
    <w:multiLevelType w:val="hybridMultilevel"/>
    <w:tmpl w:val="72AEEE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C12B11"/>
    <w:multiLevelType w:val="hybridMultilevel"/>
    <w:tmpl w:val="D1D8D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F37386"/>
    <w:multiLevelType w:val="hybridMultilevel"/>
    <w:tmpl w:val="74C89FC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3466211"/>
    <w:multiLevelType w:val="hybridMultilevel"/>
    <w:tmpl w:val="1BA260F4"/>
    <w:lvl w:ilvl="0" w:tplc="8AE866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4B3158"/>
    <w:multiLevelType w:val="hybridMultilevel"/>
    <w:tmpl w:val="64B84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946DC1"/>
    <w:multiLevelType w:val="hybridMultilevel"/>
    <w:tmpl w:val="855C9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1D438B"/>
    <w:multiLevelType w:val="hybridMultilevel"/>
    <w:tmpl w:val="AEDE07F0"/>
    <w:lvl w:ilvl="0" w:tplc="3A289E5C">
      <w:start w:val="2016"/>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912909"/>
    <w:multiLevelType w:val="hybridMultilevel"/>
    <w:tmpl w:val="1592E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3A3C24"/>
    <w:multiLevelType w:val="hybridMultilevel"/>
    <w:tmpl w:val="AD3A15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FB0FC8"/>
    <w:multiLevelType w:val="multilevel"/>
    <w:tmpl w:val="516AA8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CA831A0"/>
    <w:multiLevelType w:val="hybridMultilevel"/>
    <w:tmpl w:val="20E66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BB50E7"/>
    <w:multiLevelType w:val="hybridMultilevel"/>
    <w:tmpl w:val="CFCC4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F014E3"/>
    <w:multiLevelType w:val="hybridMultilevel"/>
    <w:tmpl w:val="45961758"/>
    <w:lvl w:ilvl="0" w:tplc="12D4AF0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011C56"/>
    <w:multiLevelType w:val="hybridMultilevel"/>
    <w:tmpl w:val="AD3A15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7F687F"/>
    <w:multiLevelType w:val="hybridMultilevel"/>
    <w:tmpl w:val="2CFAC6DA"/>
    <w:lvl w:ilvl="0" w:tplc="A8904AF0">
      <w:numFmt w:val="bullet"/>
      <w:lvlText w:val="-"/>
      <w:lvlJc w:val="left"/>
      <w:pPr>
        <w:ind w:left="720" w:hanging="360"/>
      </w:pPr>
      <w:rPr>
        <w:rFonts w:ascii="Calibri" w:eastAsiaTheme="minorEastAs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7F7F53"/>
    <w:multiLevelType w:val="hybridMultilevel"/>
    <w:tmpl w:val="E78EC72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F7E5FC3"/>
    <w:multiLevelType w:val="hybridMultilevel"/>
    <w:tmpl w:val="35882CCC"/>
    <w:lvl w:ilvl="0" w:tplc="ED66FBB6">
      <w:start w:val="1"/>
      <w:numFmt w:val="decimal"/>
      <w:lvlText w:val="%1."/>
      <w:lvlJc w:val="left"/>
      <w:pPr>
        <w:ind w:left="720" w:hanging="360"/>
      </w:pPr>
      <w:rPr>
        <w:b w:val="0"/>
      </w:rPr>
    </w:lvl>
    <w:lvl w:ilvl="1" w:tplc="D12C1BE6">
      <w:start w:val="1"/>
      <w:numFmt w:val="lowerLetter"/>
      <w:lvlText w:val="%2."/>
      <w:lvlJc w:val="left"/>
      <w:pPr>
        <w:ind w:left="1440" w:hanging="360"/>
      </w:pPr>
      <w:rPr>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5"/>
  </w:num>
  <w:num w:numId="3">
    <w:abstractNumId w:val="2"/>
  </w:num>
  <w:num w:numId="4">
    <w:abstractNumId w:val="30"/>
  </w:num>
  <w:num w:numId="5">
    <w:abstractNumId w:val="9"/>
    <w:lvlOverride w:ilvl="0">
      <w:lvl w:ilvl="0">
        <w:start w:val="1"/>
        <w:numFmt w:val="decimal"/>
        <w:pStyle w:val="Heading1"/>
        <w:lvlText w:val="%1."/>
        <w:lvlJc w:val="left"/>
        <w:pPr>
          <w:ind w:left="360" w:hanging="360"/>
        </w:pPr>
        <w:rPr>
          <w:rFonts w:hint="default"/>
          <w:color w:val="984806" w:themeColor="accent6" w:themeShade="80"/>
        </w:rPr>
      </w:lvl>
    </w:lvlOverride>
    <w:lvlOverride w:ilvl="1">
      <w:lvl w:ilvl="1">
        <w:start w:val="1"/>
        <w:numFmt w:val="decimal"/>
        <w:pStyle w:val="Heading2"/>
        <w:lvlText w:val="%1.%2"/>
        <w:lvlJc w:val="left"/>
        <w:pPr>
          <w:ind w:left="0" w:firstLine="0"/>
        </w:pPr>
        <w:rPr>
          <w:rFonts w:hint="default"/>
        </w:rPr>
      </w:lvl>
    </w:lvlOverride>
    <w:lvlOverride w:ilvl="2">
      <w:lvl w:ilvl="2">
        <w:start w:val="1"/>
        <w:numFmt w:val="decimal"/>
        <w:pStyle w:val="Heading3"/>
        <w:lvlText w:val="%1.%2.%3"/>
        <w:lvlJc w:val="left"/>
        <w:pPr>
          <w:ind w:left="0" w:firstLine="0"/>
        </w:pPr>
        <w:rPr>
          <w:rFonts w:hint="default"/>
          <w:b w:val="0"/>
          <w:i/>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0"/>
  </w:num>
  <w:num w:numId="7">
    <w:abstractNumId w:val="13"/>
  </w:num>
  <w:num w:numId="8">
    <w:abstractNumId w:val="33"/>
  </w:num>
  <w:num w:numId="9">
    <w:abstractNumId w:val="25"/>
  </w:num>
  <w:num w:numId="10">
    <w:abstractNumId w:val="31"/>
  </w:num>
  <w:num w:numId="11">
    <w:abstractNumId w:val="18"/>
  </w:num>
  <w:num w:numId="12">
    <w:abstractNumId w:val="28"/>
  </w:num>
  <w:num w:numId="13">
    <w:abstractNumId w:val="7"/>
  </w:num>
  <w:num w:numId="14">
    <w:abstractNumId w:val="5"/>
  </w:num>
  <w:num w:numId="15">
    <w:abstractNumId w:val="19"/>
  </w:num>
  <w:num w:numId="16">
    <w:abstractNumId w:val="1"/>
  </w:num>
  <w:num w:numId="17">
    <w:abstractNumId w:val="10"/>
  </w:num>
  <w:num w:numId="18">
    <w:abstractNumId w:val="9"/>
    <w:lvlOverride w:ilvl="0">
      <w:lvl w:ilvl="0">
        <w:start w:val="1"/>
        <w:numFmt w:val="decimal"/>
        <w:pStyle w:val="Heading1"/>
        <w:lvlText w:val="%1."/>
        <w:lvlJc w:val="left"/>
        <w:pPr>
          <w:ind w:left="360" w:hanging="360"/>
        </w:pPr>
        <w:rPr>
          <w:rFonts w:hint="default"/>
          <w:color w:val="984806" w:themeColor="accent6" w:themeShade="80"/>
        </w:rPr>
      </w:lvl>
    </w:lvlOverride>
    <w:lvlOverride w:ilvl="1">
      <w:lvl w:ilvl="1">
        <w:start w:val="1"/>
        <w:numFmt w:val="decimal"/>
        <w:pStyle w:val="Heading2"/>
        <w:lvlText w:val="%1.%2"/>
        <w:lvlJc w:val="left"/>
        <w:pPr>
          <w:ind w:left="0" w:firstLine="0"/>
        </w:pPr>
        <w:rPr>
          <w:rFonts w:hint="default"/>
        </w:rPr>
      </w:lvl>
    </w:lvlOverride>
    <w:lvlOverride w:ilvl="2">
      <w:lvl w:ilvl="2">
        <w:start w:val="1"/>
        <w:numFmt w:val="decimal"/>
        <w:pStyle w:val="Heading3"/>
        <w:lvlText w:val="%1.%2.%3"/>
        <w:lvlJc w:val="left"/>
        <w:pPr>
          <w:ind w:left="0" w:firstLine="0"/>
        </w:pPr>
        <w:rPr>
          <w:rFonts w:hint="default"/>
          <w:b w:val="0"/>
          <w:i/>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34"/>
  </w:num>
  <w:num w:numId="20">
    <w:abstractNumId w:val="32"/>
  </w:num>
  <w:num w:numId="21">
    <w:abstractNumId w:val="11"/>
  </w:num>
  <w:num w:numId="22">
    <w:abstractNumId w:val="24"/>
  </w:num>
  <w:num w:numId="23">
    <w:abstractNumId w:val="22"/>
  </w:num>
  <w:num w:numId="24">
    <w:abstractNumId w:val="27"/>
  </w:num>
  <w:num w:numId="25">
    <w:abstractNumId w:val="17"/>
  </w:num>
  <w:num w:numId="26">
    <w:abstractNumId w:val="14"/>
  </w:num>
  <w:num w:numId="27">
    <w:abstractNumId w:val="29"/>
  </w:num>
  <w:num w:numId="28">
    <w:abstractNumId w:val="0"/>
  </w:num>
  <w:num w:numId="29">
    <w:abstractNumId w:val="36"/>
  </w:num>
  <w:num w:numId="30">
    <w:abstractNumId w:val="4"/>
  </w:num>
  <w:num w:numId="31">
    <w:abstractNumId w:val="12"/>
  </w:num>
  <w:num w:numId="32">
    <w:abstractNumId w:val="21"/>
  </w:num>
  <w:num w:numId="33">
    <w:abstractNumId w:val="3"/>
  </w:num>
  <w:num w:numId="34">
    <w:abstractNumId w:val="16"/>
  </w:num>
  <w:num w:numId="35">
    <w:abstractNumId w:val="35"/>
  </w:num>
  <w:num w:numId="36">
    <w:abstractNumId w:val="6"/>
  </w:num>
  <w:num w:numId="37">
    <w:abstractNumId w:val="8"/>
  </w:num>
  <w:num w:numId="38">
    <w:abstractNumId w:val="23"/>
  </w:num>
  <w:num w:numId="39">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BD9"/>
    <w:rsid w:val="00001F01"/>
    <w:rsid w:val="00003D51"/>
    <w:rsid w:val="000139DC"/>
    <w:rsid w:val="00023619"/>
    <w:rsid w:val="00026853"/>
    <w:rsid w:val="00026E7E"/>
    <w:rsid w:val="000309F8"/>
    <w:rsid w:val="00032268"/>
    <w:rsid w:val="0003352F"/>
    <w:rsid w:val="00035F33"/>
    <w:rsid w:val="000361D5"/>
    <w:rsid w:val="00043863"/>
    <w:rsid w:val="000463E5"/>
    <w:rsid w:val="00051A7C"/>
    <w:rsid w:val="00054B0D"/>
    <w:rsid w:val="00064F96"/>
    <w:rsid w:val="00066E65"/>
    <w:rsid w:val="00071B57"/>
    <w:rsid w:val="00072074"/>
    <w:rsid w:val="00075FC5"/>
    <w:rsid w:val="00076ECF"/>
    <w:rsid w:val="0008192A"/>
    <w:rsid w:val="00081A03"/>
    <w:rsid w:val="00084B3F"/>
    <w:rsid w:val="00090745"/>
    <w:rsid w:val="0009457D"/>
    <w:rsid w:val="000967F4"/>
    <w:rsid w:val="000A1679"/>
    <w:rsid w:val="000A5F5A"/>
    <w:rsid w:val="000B1A20"/>
    <w:rsid w:val="000B3281"/>
    <w:rsid w:val="000C0B56"/>
    <w:rsid w:val="000D0602"/>
    <w:rsid w:val="000D1FDB"/>
    <w:rsid w:val="000D2178"/>
    <w:rsid w:val="000D6540"/>
    <w:rsid w:val="000E02FB"/>
    <w:rsid w:val="000E5259"/>
    <w:rsid w:val="000F08CE"/>
    <w:rsid w:val="000F3B99"/>
    <w:rsid w:val="00102374"/>
    <w:rsid w:val="00105F4B"/>
    <w:rsid w:val="00107837"/>
    <w:rsid w:val="001126B3"/>
    <w:rsid w:val="00112A07"/>
    <w:rsid w:val="0011512D"/>
    <w:rsid w:val="001205C5"/>
    <w:rsid w:val="00122554"/>
    <w:rsid w:val="00125872"/>
    <w:rsid w:val="001270D2"/>
    <w:rsid w:val="0013195D"/>
    <w:rsid w:val="00134A16"/>
    <w:rsid w:val="00140384"/>
    <w:rsid w:val="0014230C"/>
    <w:rsid w:val="00142889"/>
    <w:rsid w:val="00145589"/>
    <w:rsid w:val="001556A6"/>
    <w:rsid w:val="00157EC8"/>
    <w:rsid w:val="00166A5E"/>
    <w:rsid w:val="001670EB"/>
    <w:rsid w:val="001721F5"/>
    <w:rsid w:val="00176290"/>
    <w:rsid w:val="001769EA"/>
    <w:rsid w:val="00177B59"/>
    <w:rsid w:val="0018049B"/>
    <w:rsid w:val="00191310"/>
    <w:rsid w:val="00192D8C"/>
    <w:rsid w:val="0019424B"/>
    <w:rsid w:val="00195255"/>
    <w:rsid w:val="001A1A58"/>
    <w:rsid w:val="001C33C5"/>
    <w:rsid w:val="001D583D"/>
    <w:rsid w:val="001D7646"/>
    <w:rsid w:val="001E16E1"/>
    <w:rsid w:val="001E1F74"/>
    <w:rsid w:val="001E49B9"/>
    <w:rsid w:val="0020303B"/>
    <w:rsid w:val="00203917"/>
    <w:rsid w:val="00204099"/>
    <w:rsid w:val="00204CBE"/>
    <w:rsid w:val="002116C5"/>
    <w:rsid w:val="00216E5B"/>
    <w:rsid w:val="00220212"/>
    <w:rsid w:val="0022062B"/>
    <w:rsid w:val="00225E58"/>
    <w:rsid w:val="002270A8"/>
    <w:rsid w:val="00227106"/>
    <w:rsid w:val="0023288B"/>
    <w:rsid w:val="00234C5A"/>
    <w:rsid w:val="00241A33"/>
    <w:rsid w:val="00242515"/>
    <w:rsid w:val="00243E0A"/>
    <w:rsid w:val="002561FD"/>
    <w:rsid w:val="00265E48"/>
    <w:rsid w:val="0026651B"/>
    <w:rsid w:val="002734A7"/>
    <w:rsid w:val="002762E2"/>
    <w:rsid w:val="0028042F"/>
    <w:rsid w:val="0028373A"/>
    <w:rsid w:val="0028583D"/>
    <w:rsid w:val="00293158"/>
    <w:rsid w:val="00294799"/>
    <w:rsid w:val="002A00F9"/>
    <w:rsid w:val="002A1BC8"/>
    <w:rsid w:val="002A534B"/>
    <w:rsid w:val="002A6A97"/>
    <w:rsid w:val="002A6CC7"/>
    <w:rsid w:val="002B0E81"/>
    <w:rsid w:val="002B3FDB"/>
    <w:rsid w:val="002B472B"/>
    <w:rsid w:val="002B5292"/>
    <w:rsid w:val="002B6DC0"/>
    <w:rsid w:val="002B7B68"/>
    <w:rsid w:val="002C0755"/>
    <w:rsid w:val="002C142C"/>
    <w:rsid w:val="002D2E0D"/>
    <w:rsid w:val="002D3560"/>
    <w:rsid w:val="002D4930"/>
    <w:rsid w:val="002E0741"/>
    <w:rsid w:val="002E3BC7"/>
    <w:rsid w:val="002E6BAE"/>
    <w:rsid w:val="002E7819"/>
    <w:rsid w:val="002F1EE7"/>
    <w:rsid w:val="002F39CF"/>
    <w:rsid w:val="002F40FC"/>
    <w:rsid w:val="00302641"/>
    <w:rsid w:val="003029A6"/>
    <w:rsid w:val="00305C87"/>
    <w:rsid w:val="00306A0E"/>
    <w:rsid w:val="00307724"/>
    <w:rsid w:val="00311F5C"/>
    <w:rsid w:val="0032363D"/>
    <w:rsid w:val="003323B9"/>
    <w:rsid w:val="003376D2"/>
    <w:rsid w:val="0034330C"/>
    <w:rsid w:val="003457D1"/>
    <w:rsid w:val="00345985"/>
    <w:rsid w:val="00346FB9"/>
    <w:rsid w:val="00353ABC"/>
    <w:rsid w:val="003546A2"/>
    <w:rsid w:val="00354C7A"/>
    <w:rsid w:val="003562E1"/>
    <w:rsid w:val="00360ED8"/>
    <w:rsid w:val="00362088"/>
    <w:rsid w:val="00362845"/>
    <w:rsid w:val="003645C0"/>
    <w:rsid w:val="00364A7D"/>
    <w:rsid w:val="003744AC"/>
    <w:rsid w:val="0038709C"/>
    <w:rsid w:val="0038792F"/>
    <w:rsid w:val="0039363B"/>
    <w:rsid w:val="00395C84"/>
    <w:rsid w:val="003966C2"/>
    <w:rsid w:val="003A2EA7"/>
    <w:rsid w:val="003B080B"/>
    <w:rsid w:val="003B586B"/>
    <w:rsid w:val="003C0585"/>
    <w:rsid w:val="003C5374"/>
    <w:rsid w:val="003D4522"/>
    <w:rsid w:val="003D63ED"/>
    <w:rsid w:val="003E03F5"/>
    <w:rsid w:val="003E0F35"/>
    <w:rsid w:val="003E51AA"/>
    <w:rsid w:val="003F2767"/>
    <w:rsid w:val="003F2DBE"/>
    <w:rsid w:val="003F3013"/>
    <w:rsid w:val="003F516C"/>
    <w:rsid w:val="003F5D6E"/>
    <w:rsid w:val="003F7631"/>
    <w:rsid w:val="0040445E"/>
    <w:rsid w:val="0040781D"/>
    <w:rsid w:val="00410DB8"/>
    <w:rsid w:val="004110F8"/>
    <w:rsid w:val="0041262A"/>
    <w:rsid w:val="004177B0"/>
    <w:rsid w:val="004204DC"/>
    <w:rsid w:val="004227D5"/>
    <w:rsid w:val="00423FB0"/>
    <w:rsid w:val="004254BD"/>
    <w:rsid w:val="00431FAC"/>
    <w:rsid w:val="00436605"/>
    <w:rsid w:val="00442102"/>
    <w:rsid w:val="00442B82"/>
    <w:rsid w:val="004466B8"/>
    <w:rsid w:val="004530BC"/>
    <w:rsid w:val="00453C51"/>
    <w:rsid w:val="00454C18"/>
    <w:rsid w:val="00456A86"/>
    <w:rsid w:val="004608B4"/>
    <w:rsid w:val="004621C7"/>
    <w:rsid w:val="004642B5"/>
    <w:rsid w:val="00473F0B"/>
    <w:rsid w:val="004770DF"/>
    <w:rsid w:val="00477AC9"/>
    <w:rsid w:val="00492A47"/>
    <w:rsid w:val="00494601"/>
    <w:rsid w:val="004A3B3C"/>
    <w:rsid w:val="004B07C8"/>
    <w:rsid w:val="004B660E"/>
    <w:rsid w:val="004B6A2B"/>
    <w:rsid w:val="004B7A47"/>
    <w:rsid w:val="004C4993"/>
    <w:rsid w:val="004C4A80"/>
    <w:rsid w:val="004C52D3"/>
    <w:rsid w:val="004D0D70"/>
    <w:rsid w:val="004D1681"/>
    <w:rsid w:val="004D1D22"/>
    <w:rsid w:val="004D5DB2"/>
    <w:rsid w:val="004D6113"/>
    <w:rsid w:val="004E14F8"/>
    <w:rsid w:val="004E23FB"/>
    <w:rsid w:val="004F0C01"/>
    <w:rsid w:val="004F44D9"/>
    <w:rsid w:val="004F4CFB"/>
    <w:rsid w:val="00500D99"/>
    <w:rsid w:val="0050199B"/>
    <w:rsid w:val="00502855"/>
    <w:rsid w:val="0050329C"/>
    <w:rsid w:val="00504FA1"/>
    <w:rsid w:val="00506B3A"/>
    <w:rsid w:val="00506F87"/>
    <w:rsid w:val="005101B7"/>
    <w:rsid w:val="00512445"/>
    <w:rsid w:val="005144C1"/>
    <w:rsid w:val="00516ACA"/>
    <w:rsid w:val="00523E31"/>
    <w:rsid w:val="00530EA2"/>
    <w:rsid w:val="005348D5"/>
    <w:rsid w:val="00534AD0"/>
    <w:rsid w:val="00544929"/>
    <w:rsid w:val="005464F1"/>
    <w:rsid w:val="0054664E"/>
    <w:rsid w:val="00560C36"/>
    <w:rsid w:val="00562AF7"/>
    <w:rsid w:val="00563A59"/>
    <w:rsid w:val="00573DDF"/>
    <w:rsid w:val="005774E8"/>
    <w:rsid w:val="0057766E"/>
    <w:rsid w:val="00593ECE"/>
    <w:rsid w:val="005A03AF"/>
    <w:rsid w:val="005A185D"/>
    <w:rsid w:val="005A5119"/>
    <w:rsid w:val="005A74CD"/>
    <w:rsid w:val="005B7AB6"/>
    <w:rsid w:val="005C0CC5"/>
    <w:rsid w:val="005C5FC7"/>
    <w:rsid w:val="005C5FD9"/>
    <w:rsid w:val="005D2070"/>
    <w:rsid w:val="005D547B"/>
    <w:rsid w:val="005E26BD"/>
    <w:rsid w:val="005E26C9"/>
    <w:rsid w:val="005E50D2"/>
    <w:rsid w:val="005E7076"/>
    <w:rsid w:val="005F0A44"/>
    <w:rsid w:val="005F74F2"/>
    <w:rsid w:val="00601416"/>
    <w:rsid w:val="00605D0B"/>
    <w:rsid w:val="00612359"/>
    <w:rsid w:val="00614396"/>
    <w:rsid w:val="00615839"/>
    <w:rsid w:val="00615D3E"/>
    <w:rsid w:val="00622B8E"/>
    <w:rsid w:val="00626EB9"/>
    <w:rsid w:val="00630229"/>
    <w:rsid w:val="00631324"/>
    <w:rsid w:val="006377E8"/>
    <w:rsid w:val="006405C1"/>
    <w:rsid w:val="0064103B"/>
    <w:rsid w:val="00643177"/>
    <w:rsid w:val="00643903"/>
    <w:rsid w:val="006523F6"/>
    <w:rsid w:val="006542B8"/>
    <w:rsid w:val="006573B2"/>
    <w:rsid w:val="00660A98"/>
    <w:rsid w:val="00660BD9"/>
    <w:rsid w:val="00660EBF"/>
    <w:rsid w:val="0066174C"/>
    <w:rsid w:val="00670472"/>
    <w:rsid w:val="00671AB0"/>
    <w:rsid w:val="00680DAA"/>
    <w:rsid w:val="00684E7C"/>
    <w:rsid w:val="00685572"/>
    <w:rsid w:val="00685F81"/>
    <w:rsid w:val="006952C7"/>
    <w:rsid w:val="006A17AA"/>
    <w:rsid w:val="006A54DC"/>
    <w:rsid w:val="006A60C7"/>
    <w:rsid w:val="006B27A5"/>
    <w:rsid w:val="006B5022"/>
    <w:rsid w:val="006B6A71"/>
    <w:rsid w:val="006C07E3"/>
    <w:rsid w:val="006C5A80"/>
    <w:rsid w:val="006C7420"/>
    <w:rsid w:val="006C7DD4"/>
    <w:rsid w:val="006D44D8"/>
    <w:rsid w:val="006F0EB4"/>
    <w:rsid w:val="006F1B61"/>
    <w:rsid w:val="006F44D5"/>
    <w:rsid w:val="007036B8"/>
    <w:rsid w:val="00713A55"/>
    <w:rsid w:val="007142C7"/>
    <w:rsid w:val="0071731E"/>
    <w:rsid w:val="00720700"/>
    <w:rsid w:val="007229E2"/>
    <w:rsid w:val="00722B21"/>
    <w:rsid w:val="00725F6C"/>
    <w:rsid w:val="00731D5C"/>
    <w:rsid w:val="00733CE5"/>
    <w:rsid w:val="007372BA"/>
    <w:rsid w:val="00737522"/>
    <w:rsid w:val="007454DF"/>
    <w:rsid w:val="007560CE"/>
    <w:rsid w:val="00760A8E"/>
    <w:rsid w:val="007652FA"/>
    <w:rsid w:val="0076534B"/>
    <w:rsid w:val="00767BE8"/>
    <w:rsid w:val="00770FC6"/>
    <w:rsid w:val="00775759"/>
    <w:rsid w:val="00783606"/>
    <w:rsid w:val="007911DA"/>
    <w:rsid w:val="0079694E"/>
    <w:rsid w:val="007A04F4"/>
    <w:rsid w:val="007A29CE"/>
    <w:rsid w:val="007A380B"/>
    <w:rsid w:val="007A3E59"/>
    <w:rsid w:val="007A6056"/>
    <w:rsid w:val="007A72E0"/>
    <w:rsid w:val="007A763E"/>
    <w:rsid w:val="007B05A2"/>
    <w:rsid w:val="007B2E17"/>
    <w:rsid w:val="007C2B7F"/>
    <w:rsid w:val="007C7814"/>
    <w:rsid w:val="007D0505"/>
    <w:rsid w:val="007D3D21"/>
    <w:rsid w:val="007D5ED4"/>
    <w:rsid w:val="007D6994"/>
    <w:rsid w:val="007E08B1"/>
    <w:rsid w:val="007E0FB2"/>
    <w:rsid w:val="007E288E"/>
    <w:rsid w:val="007E33F2"/>
    <w:rsid w:val="007F0F07"/>
    <w:rsid w:val="007F216C"/>
    <w:rsid w:val="007F5D1A"/>
    <w:rsid w:val="00802EFE"/>
    <w:rsid w:val="0080387C"/>
    <w:rsid w:val="00803BCC"/>
    <w:rsid w:val="00804DA9"/>
    <w:rsid w:val="0080555E"/>
    <w:rsid w:val="0080569A"/>
    <w:rsid w:val="00806CF9"/>
    <w:rsid w:val="00815312"/>
    <w:rsid w:val="0082075B"/>
    <w:rsid w:val="00826538"/>
    <w:rsid w:val="0082746C"/>
    <w:rsid w:val="00834CB0"/>
    <w:rsid w:val="0083577E"/>
    <w:rsid w:val="00842EEC"/>
    <w:rsid w:val="00843821"/>
    <w:rsid w:val="008443D4"/>
    <w:rsid w:val="00847FCB"/>
    <w:rsid w:val="00860607"/>
    <w:rsid w:val="00860E89"/>
    <w:rsid w:val="00861A04"/>
    <w:rsid w:val="00861A42"/>
    <w:rsid w:val="00865A0E"/>
    <w:rsid w:val="00877153"/>
    <w:rsid w:val="00882541"/>
    <w:rsid w:val="00885121"/>
    <w:rsid w:val="00885FC6"/>
    <w:rsid w:val="0088606A"/>
    <w:rsid w:val="00886A82"/>
    <w:rsid w:val="008916A6"/>
    <w:rsid w:val="00897A08"/>
    <w:rsid w:val="008A08F3"/>
    <w:rsid w:val="008A5A81"/>
    <w:rsid w:val="008A6961"/>
    <w:rsid w:val="008B0F6E"/>
    <w:rsid w:val="008B6769"/>
    <w:rsid w:val="008B7F3A"/>
    <w:rsid w:val="008C22A6"/>
    <w:rsid w:val="008C2CCC"/>
    <w:rsid w:val="008C2E31"/>
    <w:rsid w:val="008C7E4A"/>
    <w:rsid w:val="008D01D0"/>
    <w:rsid w:val="008D23E6"/>
    <w:rsid w:val="008D5518"/>
    <w:rsid w:val="008E1F4A"/>
    <w:rsid w:val="008E66A5"/>
    <w:rsid w:val="008F0B87"/>
    <w:rsid w:val="008F1EAB"/>
    <w:rsid w:val="0090454D"/>
    <w:rsid w:val="00904F90"/>
    <w:rsid w:val="00914DA7"/>
    <w:rsid w:val="00916C9E"/>
    <w:rsid w:val="00917AB1"/>
    <w:rsid w:val="00917E1A"/>
    <w:rsid w:val="009208D4"/>
    <w:rsid w:val="009233AF"/>
    <w:rsid w:val="00924D85"/>
    <w:rsid w:val="00927AED"/>
    <w:rsid w:val="00930206"/>
    <w:rsid w:val="0093323B"/>
    <w:rsid w:val="00934645"/>
    <w:rsid w:val="00936CB1"/>
    <w:rsid w:val="009378FC"/>
    <w:rsid w:val="0094429E"/>
    <w:rsid w:val="0095021E"/>
    <w:rsid w:val="00954C90"/>
    <w:rsid w:val="00956DEF"/>
    <w:rsid w:val="0096051F"/>
    <w:rsid w:val="00963E79"/>
    <w:rsid w:val="009648A4"/>
    <w:rsid w:val="00965A3F"/>
    <w:rsid w:val="00966429"/>
    <w:rsid w:val="0097407A"/>
    <w:rsid w:val="00987976"/>
    <w:rsid w:val="00992316"/>
    <w:rsid w:val="00992C4D"/>
    <w:rsid w:val="00995DC5"/>
    <w:rsid w:val="009A3686"/>
    <w:rsid w:val="009B2C00"/>
    <w:rsid w:val="009B6CF7"/>
    <w:rsid w:val="009B71D9"/>
    <w:rsid w:val="009C0522"/>
    <w:rsid w:val="009C12EB"/>
    <w:rsid w:val="009C1951"/>
    <w:rsid w:val="009C3083"/>
    <w:rsid w:val="009C5251"/>
    <w:rsid w:val="009C640C"/>
    <w:rsid w:val="009D3C20"/>
    <w:rsid w:val="009F443E"/>
    <w:rsid w:val="00A02084"/>
    <w:rsid w:val="00A07255"/>
    <w:rsid w:val="00A07326"/>
    <w:rsid w:val="00A16D9E"/>
    <w:rsid w:val="00A17BF9"/>
    <w:rsid w:val="00A221E6"/>
    <w:rsid w:val="00A222F0"/>
    <w:rsid w:val="00A24714"/>
    <w:rsid w:val="00A26573"/>
    <w:rsid w:val="00A30D3B"/>
    <w:rsid w:val="00A343D0"/>
    <w:rsid w:val="00A3604D"/>
    <w:rsid w:val="00A41A02"/>
    <w:rsid w:val="00A43FB6"/>
    <w:rsid w:val="00A51AB4"/>
    <w:rsid w:val="00A524A5"/>
    <w:rsid w:val="00A57F5F"/>
    <w:rsid w:val="00A60E31"/>
    <w:rsid w:val="00A65F6A"/>
    <w:rsid w:val="00A67FB5"/>
    <w:rsid w:val="00A8119C"/>
    <w:rsid w:val="00A83F8D"/>
    <w:rsid w:val="00A8706B"/>
    <w:rsid w:val="00A87674"/>
    <w:rsid w:val="00A877D4"/>
    <w:rsid w:val="00A87A13"/>
    <w:rsid w:val="00A91702"/>
    <w:rsid w:val="00A91ABF"/>
    <w:rsid w:val="00A92F9D"/>
    <w:rsid w:val="00A943B4"/>
    <w:rsid w:val="00AB2AFA"/>
    <w:rsid w:val="00AB481B"/>
    <w:rsid w:val="00AB77D6"/>
    <w:rsid w:val="00AC6783"/>
    <w:rsid w:val="00AD0D8B"/>
    <w:rsid w:val="00AD0FA5"/>
    <w:rsid w:val="00AD2F28"/>
    <w:rsid w:val="00AD67D3"/>
    <w:rsid w:val="00AE05CF"/>
    <w:rsid w:val="00AE16B3"/>
    <w:rsid w:val="00AE2046"/>
    <w:rsid w:val="00AE60ED"/>
    <w:rsid w:val="00AE6E5E"/>
    <w:rsid w:val="00AF0326"/>
    <w:rsid w:val="00AF0377"/>
    <w:rsid w:val="00AF07E6"/>
    <w:rsid w:val="00AF3430"/>
    <w:rsid w:val="00B019E3"/>
    <w:rsid w:val="00B06D7F"/>
    <w:rsid w:val="00B075A2"/>
    <w:rsid w:val="00B07EE3"/>
    <w:rsid w:val="00B13A7D"/>
    <w:rsid w:val="00B13FA1"/>
    <w:rsid w:val="00B14B1C"/>
    <w:rsid w:val="00B217D6"/>
    <w:rsid w:val="00B22073"/>
    <w:rsid w:val="00B270A3"/>
    <w:rsid w:val="00B37971"/>
    <w:rsid w:val="00B439B8"/>
    <w:rsid w:val="00B4612D"/>
    <w:rsid w:val="00B51845"/>
    <w:rsid w:val="00B527EF"/>
    <w:rsid w:val="00B55E61"/>
    <w:rsid w:val="00B60B2B"/>
    <w:rsid w:val="00B61D8C"/>
    <w:rsid w:val="00B62C99"/>
    <w:rsid w:val="00B6769A"/>
    <w:rsid w:val="00B72256"/>
    <w:rsid w:val="00B72D64"/>
    <w:rsid w:val="00B7401B"/>
    <w:rsid w:val="00B819F3"/>
    <w:rsid w:val="00B82598"/>
    <w:rsid w:val="00B82A60"/>
    <w:rsid w:val="00BA6A98"/>
    <w:rsid w:val="00BA6CD7"/>
    <w:rsid w:val="00BB1FEB"/>
    <w:rsid w:val="00BB5F5E"/>
    <w:rsid w:val="00BB78D4"/>
    <w:rsid w:val="00BC7EF3"/>
    <w:rsid w:val="00BD095E"/>
    <w:rsid w:val="00BD4730"/>
    <w:rsid w:val="00BE14E1"/>
    <w:rsid w:val="00BE1CAD"/>
    <w:rsid w:val="00BF2222"/>
    <w:rsid w:val="00BF53E7"/>
    <w:rsid w:val="00BF554D"/>
    <w:rsid w:val="00C00C7B"/>
    <w:rsid w:val="00C0707D"/>
    <w:rsid w:val="00C12AF2"/>
    <w:rsid w:val="00C1407E"/>
    <w:rsid w:val="00C15ED0"/>
    <w:rsid w:val="00C16C6D"/>
    <w:rsid w:val="00C2165C"/>
    <w:rsid w:val="00C22167"/>
    <w:rsid w:val="00C22A63"/>
    <w:rsid w:val="00C2456B"/>
    <w:rsid w:val="00C24BB4"/>
    <w:rsid w:val="00C27CF7"/>
    <w:rsid w:val="00C311C1"/>
    <w:rsid w:val="00C454B5"/>
    <w:rsid w:val="00C46E7F"/>
    <w:rsid w:val="00C50761"/>
    <w:rsid w:val="00C51AFB"/>
    <w:rsid w:val="00C52C11"/>
    <w:rsid w:val="00C53076"/>
    <w:rsid w:val="00C532C8"/>
    <w:rsid w:val="00C54EFF"/>
    <w:rsid w:val="00C60BFE"/>
    <w:rsid w:val="00C626B8"/>
    <w:rsid w:val="00C72565"/>
    <w:rsid w:val="00C76AB4"/>
    <w:rsid w:val="00C813FE"/>
    <w:rsid w:val="00C85168"/>
    <w:rsid w:val="00C85740"/>
    <w:rsid w:val="00C86AF6"/>
    <w:rsid w:val="00C91F75"/>
    <w:rsid w:val="00C978A6"/>
    <w:rsid w:val="00CA2DFF"/>
    <w:rsid w:val="00CA3119"/>
    <w:rsid w:val="00CA4BC4"/>
    <w:rsid w:val="00CA580E"/>
    <w:rsid w:val="00CB0081"/>
    <w:rsid w:val="00CB31CE"/>
    <w:rsid w:val="00CB67EB"/>
    <w:rsid w:val="00CB6CF2"/>
    <w:rsid w:val="00CC08F3"/>
    <w:rsid w:val="00CC2862"/>
    <w:rsid w:val="00CC6D52"/>
    <w:rsid w:val="00CD1C4E"/>
    <w:rsid w:val="00CD70FF"/>
    <w:rsid w:val="00CD721E"/>
    <w:rsid w:val="00CE1265"/>
    <w:rsid w:val="00CE17BC"/>
    <w:rsid w:val="00CE1DA3"/>
    <w:rsid w:val="00CF0581"/>
    <w:rsid w:val="00CF230A"/>
    <w:rsid w:val="00CF2B12"/>
    <w:rsid w:val="00CF55B4"/>
    <w:rsid w:val="00CF5CBD"/>
    <w:rsid w:val="00CF6EB1"/>
    <w:rsid w:val="00D023F0"/>
    <w:rsid w:val="00D14410"/>
    <w:rsid w:val="00D17AD8"/>
    <w:rsid w:val="00D24E62"/>
    <w:rsid w:val="00D34F38"/>
    <w:rsid w:val="00D421FF"/>
    <w:rsid w:val="00D4315D"/>
    <w:rsid w:val="00D4593A"/>
    <w:rsid w:val="00D5044B"/>
    <w:rsid w:val="00D517DB"/>
    <w:rsid w:val="00D52289"/>
    <w:rsid w:val="00D543D6"/>
    <w:rsid w:val="00D546E3"/>
    <w:rsid w:val="00D61F07"/>
    <w:rsid w:val="00D62EC2"/>
    <w:rsid w:val="00D642FB"/>
    <w:rsid w:val="00D64B7B"/>
    <w:rsid w:val="00D64E7E"/>
    <w:rsid w:val="00D66A7B"/>
    <w:rsid w:val="00D67B42"/>
    <w:rsid w:val="00D77242"/>
    <w:rsid w:val="00D77E77"/>
    <w:rsid w:val="00D80496"/>
    <w:rsid w:val="00D805DA"/>
    <w:rsid w:val="00D806F1"/>
    <w:rsid w:val="00D811EC"/>
    <w:rsid w:val="00D8295F"/>
    <w:rsid w:val="00D8497C"/>
    <w:rsid w:val="00D9145A"/>
    <w:rsid w:val="00D93B06"/>
    <w:rsid w:val="00D951DB"/>
    <w:rsid w:val="00D97C9E"/>
    <w:rsid w:val="00DA1588"/>
    <w:rsid w:val="00DA1E74"/>
    <w:rsid w:val="00DA4834"/>
    <w:rsid w:val="00DB3A4A"/>
    <w:rsid w:val="00DB52B6"/>
    <w:rsid w:val="00DB7F90"/>
    <w:rsid w:val="00DC3536"/>
    <w:rsid w:val="00DC39D6"/>
    <w:rsid w:val="00DC4A47"/>
    <w:rsid w:val="00DC6156"/>
    <w:rsid w:val="00DC7BCD"/>
    <w:rsid w:val="00DD2C6A"/>
    <w:rsid w:val="00DD5118"/>
    <w:rsid w:val="00DE2959"/>
    <w:rsid w:val="00DF0535"/>
    <w:rsid w:val="00DF4129"/>
    <w:rsid w:val="00DF6EB0"/>
    <w:rsid w:val="00E04F45"/>
    <w:rsid w:val="00E05542"/>
    <w:rsid w:val="00E055D7"/>
    <w:rsid w:val="00E14ABE"/>
    <w:rsid w:val="00E14EE2"/>
    <w:rsid w:val="00E20FC2"/>
    <w:rsid w:val="00E256E8"/>
    <w:rsid w:val="00E25DA5"/>
    <w:rsid w:val="00E260D0"/>
    <w:rsid w:val="00E321E2"/>
    <w:rsid w:val="00E335ED"/>
    <w:rsid w:val="00E34C27"/>
    <w:rsid w:val="00E37236"/>
    <w:rsid w:val="00E41053"/>
    <w:rsid w:val="00E44DD3"/>
    <w:rsid w:val="00E46045"/>
    <w:rsid w:val="00E54914"/>
    <w:rsid w:val="00E6108F"/>
    <w:rsid w:val="00E76CCD"/>
    <w:rsid w:val="00E90B2B"/>
    <w:rsid w:val="00E9192D"/>
    <w:rsid w:val="00E92083"/>
    <w:rsid w:val="00E93CF0"/>
    <w:rsid w:val="00E97A74"/>
    <w:rsid w:val="00EA1E26"/>
    <w:rsid w:val="00EA5B2C"/>
    <w:rsid w:val="00EB035E"/>
    <w:rsid w:val="00EB1585"/>
    <w:rsid w:val="00EB17F2"/>
    <w:rsid w:val="00EB1996"/>
    <w:rsid w:val="00EB1B1F"/>
    <w:rsid w:val="00EB21A8"/>
    <w:rsid w:val="00EB57D9"/>
    <w:rsid w:val="00EB592D"/>
    <w:rsid w:val="00EB5DAB"/>
    <w:rsid w:val="00EC644F"/>
    <w:rsid w:val="00ED1A04"/>
    <w:rsid w:val="00ED2406"/>
    <w:rsid w:val="00EE0D19"/>
    <w:rsid w:val="00EE1000"/>
    <w:rsid w:val="00EE7A3F"/>
    <w:rsid w:val="00EF004A"/>
    <w:rsid w:val="00EF0D9A"/>
    <w:rsid w:val="00EF48C3"/>
    <w:rsid w:val="00F06F1B"/>
    <w:rsid w:val="00F06FFF"/>
    <w:rsid w:val="00F142E9"/>
    <w:rsid w:val="00F1669F"/>
    <w:rsid w:val="00F1780F"/>
    <w:rsid w:val="00F201CB"/>
    <w:rsid w:val="00F20CD1"/>
    <w:rsid w:val="00F2455F"/>
    <w:rsid w:val="00F260A7"/>
    <w:rsid w:val="00F30391"/>
    <w:rsid w:val="00F30F65"/>
    <w:rsid w:val="00F409BD"/>
    <w:rsid w:val="00F412B4"/>
    <w:rsid w:val="00F50F7A"/>
    <w:rsid w:val="00F51351"/>
    <w:rsid w:val="00F575C7"/>
    <w:rsid w:val="00F608C8"/>
    <w:rsid w:val="00F622E8"/>
    <w:rsid w:val="00F70634"/>
    <w:rsid w:val="00F71B1C"/>
    <w:rsid w:val="00F74D39"/>
    <w:rsid w:val="00F8269E"/>
    <w:rsid w:val="00F828FA"/>
    <w:rsid w:val="00F90972"/>
    <w:rsid w:val="00F961F2"/>
    <w:rsid w:val="00FA12F8"/>
    <w:rsid w:val="00FA6586"/>
    <w:rsid w:val="00FB3C91"/>
    <w:rsid w:val="00FC0B61"/>
    <w:rsid w:val="00FC5A89"/>
    <w:rsid w:val="00FC5F53"/>
    <w:rsid w:val="00FE23F3"/>
    <w:rsid w:val="00FE2C23"/>
    <w:rsid w:val="00FE5BFB"/>
    <w:rsid w:val="00FE686F"/>
    <w:rsid w:val="00FF1D01"/>
    <w:rsid w:val="00FF1F78"/>
    <w:rsid w:val="00FF59F1"/>
    <w:rsid w:val="00FF6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51756D"/>
  <w14:defaultImageDpi w14:val="300"/>
  <w15:docId w15:val="{678A282B-AA57-4A2E-885F-91F3EB98C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0D2"/>
    <w:rPr>
      <w:rFonts w:ascii="Calibri" w:hAnsi="Calibri"/>
      <w:lang w:val="en-GB"/>
    </w:rPr>
  </w:style>
  <w:style w:type="paragraph" w:styleId="Heading1">
    <w:name w:val="heading 1"/>
    <w:basedOn w:val="Heading2"/>
    <w:next w:val="Normal"/>
    <w:link w:val="Heading1Char"/>
    <w:uiPriority w:val="9"/>
    <w:qFormat/>
    <w:rsid w:val="006D44D8"/>
    <w:pPr>
      <w:numPr>
        <w:ilvl w:val="0"/>
        <w:numId w:val="1"/>
      </w:numPr>
      <w:outlineLvl w:val="0"/>
    </w:pPr>
    <w:rPr>
      <w:color w:val="984806" w:themeColor="accent6" w:themeShade="80"/>
      <w:sz w:val="28"/>
    </w:rPr>
  </w:style>
  <w:style w:type="paragraph" w:styleId="Heading2">
    <w:name w:val="heading 2"/>
    <w:basedOn w:val="Normal"/>
    <w:next w:val="Normal"/>
    <w:link w:val="Heading2Char"/>
    <w:uiPriority w:val="9"/>
    <w:unhideWhenUsed/>
    <w:qFormat/>
    <w:rsid w:val="008E66A5"/>
    <w:pPr>
      <w:keepNext/>
      <w:keepLines/>
      <w:numPr>
        <w:ilvl w:val="1"/>
        <w:numId w:val="5"/>
      </w:numPr>
      <w:spacing w:before="200" w:after="200"/>
      <w:outlineLvl w:val="1"/>
    </w:pPr>
    <w:rPr>
      <w:b/>
      <w:color w:val="000000" w:themeColor="text1"/>
    </w:rPr>
  </w:style>
  <w:style w:type="paragraph" w:styleId="Heading3">
    <w:name w:val="heading 3"/>
    <w:basedOn w:val="Heading2"/>
    <w:next w:val="Normal"/>
    <w:link w:val="Heading3Char"/>
    <w:uiPriority w:val="9"/>
    <w:unhideWhenUsed/>
    <w:qFormat/>
    <w:rsid w:val="008E66A5"/>
    <w:pPr>
      <w:numPr>
        <w:ilvl w:val="2"/>
      </w:numPr>
      <w:outlineLvl w:val="2"/>
    </w:pPr>
    <w:rPr>
      <w:b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
    <w:basedOn w:val="Normal"/>
    <w:link w:val="ListParagraphChar"/>
    <w:uiPriority w:val="34"/>
    <w:qFormat/>
    <w:rsid w:val="00660BD9"/>
    <w:pPr>
      <w:ind w:left="720"/>
      <w:contextualSpacing/>
    </w:pPr>
  </w:style>
  <w:style w:type="table" w:styleId="TableGrid">
    <w:name w:val="Table Grid"/>
    <w:basedOn w:val="TableNormal"/>
    <w:uiPriority w:val="39"/>
    <w:rsid w:val="00765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53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534B"/>
    <w:rPr>
      <w:rFonts w:ascii="Lucida Grande" w:hAnsi="Lucida Grande" w:cs="Lucida Grande"/>
      <w:sz w:val="18"/>
      <w:szCs w:val="18"/>
    </w:rPr>
  </w:style>
  <w:style w:type="paragraph" w:styleId="Footer">
    <w:name w:val="footer"/>
    <w:basedOn w:val="Normal"/>
    <w:link w:val="FooterChar"/>
    <w:uiPriority w:val="99"/>
    <w:unhideWhenUsed/>
    <w:rsid w:val="003C5374"/>
    <w:pPr>
      <w:tabs>
        <w:tab w:val="center" w:pos="4320"/>
        <w:tab w:val="right" w:pos="8640"/>
      </w:tabs>
    </w:pPr>
  </w:style>
  <w:style w:type="character" w:customStyle="1" w:styleId="FooterChar">
    <w:name w:val="Footer Char"/>
    <w:basedOn w:val="DefaultParagraphFont"/>
    <w:link w:val="Footer"/>
    <w:uiPriority w:val="99"/>
    <w:rsid w:val="003C5374"/>
  </w:style>
  <w:style w:type="character" w:styleId="PageNumber">
    <w:name w:val="page number"/>
    <w:basedOn w:val="DefaultParagraphFont"/>
    <w:uiPriority w:val="99"/>
    <w:semiHidden/>
    <w:unhideWhenUsed/>
    <w:rsid w:val="003C5374"/>
  </w:style>
  <w:style w:type="table" w:styleId="LightList-Accent1">
    <w:name w:val="Light List Accent 1"/>
    <w:basedOn w:val="TableNormal"/>
    <w:uiPriority w:val="61"/>
    <w:rsid w:val="001E49B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rsid w:val="001E49B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1E49B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6">
    <w:name w:val="Light List Accent 6"/>
    <w:basedOn w:val="TableNormal"/>
    <w:uiPriority w:val="61"/>
    <w:rsid w:val="001E49B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List-Accent5">
    <w:name w:val="Light List Accent 5"/>
    <w:basedOn w:val="TableNormal"/>
    <w:uiPriority w:val="61"/>
    <w:rsid w:val="001E49B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eading2Char">
    <w:name w:val="Heading 2 Char"/>
    <w:basedOn w:val="DefaultParagraphFont"/>
    <w:link w:val="Heading2"/>
    <w:uiPriority w:val="9"/>
    <w:rsid w:val="008E66A5"/>
    <w:rPr>
      <w:rFonts w:ascii="Calibri" w:hAnsi="Calibri"/>
      <w:b/>
      <w:color w:val="000000" w:themeColor="text1"/>
      <w:lang w:val="en-GB"/>
    </w:rPr>
  </w:style>
  <w:style w:type="character" w:customStyle="1" w:styleId="Heading3Char">
    <w:name w:val="Heading 3 Char"/>
    <w:basedOn w:val="DefaultParagraphFont"/>
    <w:link w:val="Heading3"/>
    <w:uiPriority w:val="9"/>
    <w:rsid w:val="008E66A5"/>
    <w:rPr>
      <w:rFonts w:ascii="Calibri" w:hAnsi="Calibri"/>
      <w:i/>
      <w:color w:val="000000" w:themeColor="text1"/>
      <w:lang w:val="en-GB"/>
    </w:rPr>
  </w:style>
  <w:style w:type="character" w:customStyle="1" w:styleId="Heading1Char">
    <w:name w:val="Heading 1 Char"/>
    <w:basedOn w:val="DefaultParagraphFont"/>
    <w:link w:val="Heading1"/>
    <w:uiPriority w:val="9"/>
    <w:rsid w:val="006D44D8"/>
    <w:rPr>
      <w:rFonts w:ascii="Calibri" w:hAnsi="Calibri"/>
      <w:b/>
      <w:color w:val="984806" w:themeColor="accent6" w:themeShade="80"/>
      <w:sz w:val="28"/>
      <w:lang w:val="en-GB"/>
    </w:rPr>
  </w:style>
  <w:style w:type="character" w:customStyle="1" w:styleId="ListParagraphChar">
    <w:name w:val="List Paragraph Char"/>
    <w:aliases w:val="References Char"/>
    <w:link w:val="ListParagraph"/>
    <w:uiPriority w:val="34"/>
    <w:rsid w:val="00354C7A"/>
  </w:style>
  <w:style w:type="paragraph" w:styleId="FootnoteText">
    <w:name w:val="footnote text"/>
    <w:basedOn w:val="Normal"/>
    <w:link w:val="FootnoteTextChar"/>
    <w:uiPriority w:val="99"/>
    <w:unhideWhenUsed/>
    <w:rsid w:val="00B6769A"/>
  </w:style>
  <w:style w:type="character" w:customStyle="1" w:styleId="FootnoteTextChar">
    <w:name w:val="Footnote Text Char"/>
    <w:basedOn w:val="DefaultParagraphFont"/>
    <w:link w:val="FootnoteText"/>
    <w:uiPriority w:val="99"/>
    <w:rsid w:val="00B6769A"/>
  </w:style>
  <w:style w:type="character" w:styleId="FootnoteReference">
    <w:name w:val="footnote reference"/>
    <w:basedOn w:val="DefaultParagraphFont"/>
    <w:uiPriority w:val="99"/>
    <w:unhideWhenUsed/>
    <w:rsid w:val="00B6769A"/>
    <w:rPr>
      <w:vertAlign w:val="superscript"/>
    </w:rPr>
  </w:style>
  <w:style w:type="character" w:styleId="CommentReference">
    <w:name w:val="annotation reference"/>
    <w:basedOn w:val="DefaultParagraphFont"/>
    <w:uiPriority w:val="99"/>
    <w:semiHidden/>
    <w:unhideWhenUsed/>
    <w:rsid w:val="000967F4"/>
    <w:rPr>
      <w:sz w:val="18"/>
      <w:szCs w:val="18"/>
    </w:rPr>
  </w:style>
  <w:style w:type="paragraph" w:styleId="CommentText">
    <w:name w:val="annotation text"/>
    <w:basedOn w:val="Normal"/>
    <w:link w:val="CommentTextChar"/>
    <w:uiPriority w:val="99"/>
    <w:unhideWhenUsed/>
    <w:rsid w:val="000967F4"/>
  </w:style>
  <w:style w:type="character" w:customStyle="1" w:styleId="CommentTextChar">
    <w:name w:val="Comment Text Char"/>
    <w:basedOn w:val="DefaultParagraphFont"/>
    <w:link w:val="CommentText"/>
    <w:uiPriority w:val="99"/>
    <w:rsid w:val="000967F4"/>
  </w:style>
  <w:style w:type="paragraph" w:styleId="CommentSubject">
    <w:name w:val="annotation subject"/>
    <w:basedOn w:val="CommentText"/>
    <w:next w:val="CommentText"/>
    <w:link w:val="CommentSubjectChar"/>
    <w:uiPriority w:val="99"/>
    <w:semiHidden/>
    <w:unhideWhenUsed/>
    <w:rsid w:val="000967F4"/>
    <w:rPr>
      <w:b/>
      <w:bCs/>
      <w:sz w:val="20"/>
      <w:szCs w:val="20"/>
    </w:rPr>
  </w:style>
  <w:style w:type="character" w:customStyle="1" w:styleId="CommentSubjectChar">
    <w:name w:val="Comment Subject Char"/>
    <w:basedOn w:val="CommentTextChar"/>
    <w:link w:val="CommentSubject"/>
    <w:uiPriority w:val="99"/>
    <w:semiHidden/>
    <w:rsid w:val="000967F4"/>
    <w:rPr>
      <w:b/>
      <w:bCs/>
      <w:sz w:val="20"/>
      <w:szCs w:val="20"/>
    </w:rPr>
  </w:style>
  <w:style w:type="paragraph" w:styleId="Header">
    <w:name w:val="header"/>
    <w:basedOn w:val="Normal"/>
    <w:link w:val="HeaderChar"/>
    <w:uiPriority w:val="99"/>
    <w:unhideWhenUsed/>
    <w:rsid w:val="007C7814"/>
    <w:pPr>
      <w:tabs>
        <w:tab w:val="center" w:pos="4513"/>
        <w:tab w:val="right" w:pos="9026"/>
      </w:tabs>
    </w:pPr>
  </w:style>
  <w:style w:type="character" w:customStyle="1" w:styleId="HeaderChar">
    <w:name w:val="Header Char"/>
    <w:basedOn w:val="DefaultParagraphFont"/>
    <w:link w:val="Header"/>
    <w:uiPriority w:val="99"/>
    <w:rsid w:val="007C7814"/>
  </w:style>
  <w:style w:type="character" w:styleId="Hyperlink">
    <w:name w:val="Hyperlink"/>
    <w:basedOn w:val="DefaultParagraphFont"/>
    <w:uiPriority w:val="99"/>
    <w:unhideWhenUsed/>
    <w:rsid w:val="007C7814"/>
    <w:rPr>
      <w:color w:val="0000FF" w:themeColor="hyperlink"/>
      <w:u w:val="single"/>
    </w:rPr>
  </w:style>
  <w:style w:type="paragraph" w:styleId="TOCHeading">
    <w:name w:val="TOC Heading"/>
    <w:basedOn w:val="Heading1"/>
    <w:next w:val="Normal"/>
    <w:uiPriority w:val="39"/>
    <w:unhideWhenUsed/>
    <w:qFormat/>
    <w:rsid w:val="0095021E"/>
    <w:pPr>
      <w:numPr>
        <w:numId w:val="0"/>
      </w:num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95021E"/>
    <w:pPr>
      <w:tabs>
        <w:tab w:val="left" w:pos="480"/>
        <w:tab w:val="right" w:leader="dot" w:pos="8290"/>
      </w:tabs>
      <w:spacing w:before="120" w:after="100"/>
    </w:pPr>
    <w:rPr>
      <w:b/>
      <w:noProof/>
    </w:rPr>
  </w:style>
  <w:style w:type="paragraph" w:styleId="TOC2">
    <w:name w:val="toc 2"/>
    <w:basedOn w:val="Normal"/>
    <w:next w:val="Normal"/>
    <w:autoRedefine/>
    <w:uiPriority w:val="39"/>
    <w:unhideWhenUsed/>
    <w:rsid w:val="0095021E"/>
    <w:pPr>
      <w:tabs>
        <w:tab w:val="right" w:leader="dot" w:pos="8290"/>
      </w:tabs>
      <w:spacing w:after="40"/>
      <w:ind w:left="238"/>
    </w:pPr>
  </w:style>
  <w:style w:type="paragraph" w:styleId="TOC3">
    <w:name w:val="toc 3"/>
    <w:basedOn w:val="Normal"/>
    <w:next w:val="Normal"/>
    <w:autoRedefine/>
    <w:uiPriority w:val="39"/>
    <w:unhideWhenUsed/>
    <w:rsid w:val="0095021E"/>
    <w:pPr>
      <w:spacing w:after="100"/>
      <w:ind w:left="480"/>
    </w:pPr>
  </w:style>
  <w:style w:type="paragraph" w:styleId="ListBullet">
    <w:name w:val="List Bullet"/>
    <w:basedOn w:val="ListParagraph"/>
    <w:link w:val="ListBulletChar"/>
    <w:uiPriority w:val="99"/>
    <w:qFormat/>
    <w:rsid w:val="00A43FB6"/>
    <w:pPr>
      <w:numPr>
        <w:numId w:val="15"/>
      </w:numPr>
      <w:spacing w:after="120" w:line="280" w:lineRule="atLeast"/>
      <w:ind w:left="357" w:hanging="357"/>
      <w:contextualSpacing w:val="0"/>
    </w:pPr>
    <w:rPr>
      <w:rFonts w:ascii="Arial" w:eastAsiaTheme="minorHAnsi" w:hAnsi="Arial"/>
      <w:sz w:val="20"/>
      <w:szCs w:val="22"/>
      <w:lang w:val="en-AU" w:bidi="th-TH"/>
    </w:rPr>
  </w:style>
  <w:style w:type="character" w:customStyle="1" w:styleId="ListBulletChar">
    <w:name w:val="List Bullet Char"/>
    <w:link w:val="ListBullet"/>
    <w:uiPriority w:val="99"/>
    <w:rsid w:val="00A43FB6"/>
    <w:rPr>
      <w:rFonts w:ascii="Arial" w:eastAsiaTheme="minorHAnsi" w:hAnsi="Arial"/>
      <w:sz w:val="20"/>
      <w:szCs w:val="22"/>
      <w:lang w:val="en-AU" w:bidi="th-TH"/>
    </w:rPr>
  </w:style>
  <w:style w:type="character" w:styleId="FollowedHyperlink">
    <w:name w:val="FollowedHyperlink"/>
    <w:basedOn w:val="DefaultParagraphFont"/>
    <w:uiPriority w:val="99"/>
    <w:semiHidden/>
    <w:unhideWhenUsed/>
    <w:rsid w:val="00861A04"/>
    <w:rPr>
      <w:color w:val="800080" w:themeColor="followedHyperlink"/>
      <w:u w:val="single"/>
    </w:rPr>
  </w:style>
  <w:style w:type="paragraph" w:styleId="Revision">
    <w:name w:val="Revision"/>
    <w:hidden/>
    <w:uiPriority w:val="99"/>
    <w:semiHidden/>
    <w:rsid w:val="00CB0081"/>
    <w:rPr>
      <w:rFonts w:ascii="Calibri" w:hAnsi="Calibri"/>
      <w:lang w:val="en-GB"/>
    </w:rPr>
  </w:style>
  <w:style w:type="paragraph" w:customStyle="1" w:styleId="Default">
    <w:name w:val="Default"/>
    <w:rsid w:val="00473F0B"/>
    <w:pPr>
      <w:autoSpaceDE w:val="0"/>
      <w:autoSpaceDN w:val="0"/>
      <w:adjustRightInd w:val="0"/>
    </w:pPr>
    <w:rPr>
      <w:rFonts w:ascii="Calibri" w:eastAsiaTheme="minorHAnsi" w:hAnsi="Calibri" w:cs="Calibri"/>
      <w:color w:val="000000"/>
      <w:lang w:val="en-GB"/>
    </w:rPr>
  </w:style>
  <w:style w:type="character" w:styleId="HTMLCite">
    <w:name w:val="HTML Cite"/>
    <w:basedOn w:val="DefaultParagraphFont"/>
    <w:uiPriority w:val="99"/>
    <w:semiHidden/>
    <w:unhideWhenUsed/>
    <w:rsid w:val="00C507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434141">
      <w:bodyDiv w:val="1"/>
      <w:marLeft w:val="0"/>
      <w:marRight w:val="0"/>
      <w:marTop w:val="0"/>
      <w:marBottom w:val="0"/>
      <w:divBdr>
        <w:top w:val="none" w:sz="0" w:space="0" w:color="auto"/>
        <w:left w:val="none" w:sz="0" w:space="0" w:color="auto"/>
        <w:bottom w:val="none" w:sz="0" w:space="0" w:color="auto"/>
        <w:right w:val="none" w:sz="0" w:space="0" w:color="auto"/>
      </w:divBdr>
    </w:div>
    <w:div w:id="1411149714">
      <w:bodyDiv w:val="1"/>
      <w:marLeft w:val="0"/>
      <w:marRight w:val="0"/>
      <w:marTop w:val="0"/>
      <w:marBottom w:val="0"/>
      <w:divBdr>
        <w:top w:val="none" w:sz="0" w:space="0" w:color="auto"/>
        <w:left w:val="none" w:sz="0" w:space="0" w:color="auto"/>
        <w:bottom w:val="none" w:sz="0" w:space="0" w:color="auto"/>
        <w:right w:val="none" w:sz="0" w:space="0" w:color="auto"/>
      </w:divBdr>
    </w:div>
    <w:div w:id="1462116670">
      <w:bodyDiv w:val="1"/>
      <w:marLeft w:val="0"/>
      <w:marRight w:val="0"/>
      <w:marTop w:val="0"/>
      <w:marBottom w:val="0"/>
      <w:divBdr>
        <w:top w:val="none" w:sz="0" w:space="0" w:color="auto"/>
        <w:left w:val="none" w:sz="0" w:space="0" w:color="auto"/>
        <w:bottom w:val="none" w:sz="0" w:space="0" w:color="auto"/>
        <w:right w:val="none" w:sz="0" w:space="0" w:color="auto"/>
      </w:divBdr>
    </w:div>
    <w:div w:id="1638024769">
      <w:bodyDiv w:val="1"/>
      <w:marLeft w:val="0"/>
      <w:marRight w:val="0"/>
      <w:marTop w:val="0"/>
      <w:marBottom w:val="0"/>
      <w:divBdr>
        <w:top w:val="none" w:sz="0" w:space="0" w:color="auto"/>
        <w:left w:val="none" w:sz="0" w:space="0" w:color="auto"/>
        <w:bottom w:val="none" w:sz="0" w:space="0" w:color="auto"/>
        <w:right w:val="none" w:sz="0" w:space="0" w:color="auto"/>
      </w:divBdr>
    </w:div>
    <w:div w:id="2090157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ulhas.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www.state.gov/documents/organization/25887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5965EB-C66D-4CA9-BB01-FE6276540FE0}"/>
</file>

<file path=customXml/itemProps2.xml><?xml version="1.0" encoding="utf-8"?>
<ds:datastoreItem xmlns:ds="http://schemas.openxmlformats.org/officeDocument/2006/customXml" ds:itemID="{5407D53E-FC60-4476-BD72-182DE39FE6A3}"/>
</file>

<file path=customXml/itemProps3.xml><?xml version="1.0" encoding="utf-8"?>
<ds:datastoreItem xmlns:ds="http://schemas.openxmlformats.org/officeDocument/2006/customXml" ds:itemID="{0101CA83-111B-4F14-84F4-369E7862AD4E}"/>
</file>

<file path=customXml/itemProps4.xml><?xml version="1.0" encoding="utf-8"?>
<ds:datastoreItem xmlns:ds="http://schemas.openxmlformats.org/officeDocument/2006/customXml" ds:itemID="{32396214-1898-4198-A66A-14EBAEB05C16}"/>
</file>

<file path=docProps/app.xml><?xml version="1.0" encoding="utf-8"?>
<Properties xmlns="http://schemas.openxmlformats.org/officeDocument/2006/extended-properties" xmlns:vt="http://schemas.openxmlformats.org/officeDocument/2006/docPropsVTypes">
  <Template>Normal.dotm</Template>
  <TotalTime>10</TotalTime>
  <Pages>21</Pages>
  <Words>8104</Words>
  <Characters>46195</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Hext Consulting</Company>
  <LinksUpToDate>false</LinksUpToDate>
  <CharactersWithSpaces>54191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Hext Consulting</dc:creator>
  <cp:lastModifiedBy>Lane, Rebecca</cp:lastModifiedBy>
  <cp:revision>6</cp:revision>
  <cp:lastPrinted>2016-05-19T22:17:00Z</cp:lastPrinted>
  <dcterms:created xsi:type="dcterms:W3CDTF">2016-12-22T03:15:00Z</dcterms:created>
  <dcterms:modified xsi:type="dcterms:W3CDTF">2016-12-23T00:25:00Z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8185ca33-4c78-449b-ba0c-198914ae79dd</vt:lpwstr>
  </property>
  <property fmtid="{D5CDD505-2E9C-101B-9397-08002B2CF9AE}" pid="3" name="hptrimdataset">
    <vt:lpwstr>CH</vt:lpwstr>
  </property>
  <property fmtid="{D5CDD505-2E9C-101B-9397-08002B2CF9AE}" pid="4" name="hptrimfileref">
    <vt:lpwstr>16/14609</vt:lpwstr>
  </property>
  <property fmtid="{D5CDD505-2E9C-101B-9397-08002B2CF9AE}" pid="5" name="hptrimrecordref">
    <vt:lpwstr/>
  </property>
  <property fmtid="{D5CDD505-2E9C-101B-9397-08002B2CF9AE}" pid="6" name="SEC">
    <vt:lpwstr>UNCLASSIFIED</vt:lpwstr>
  </property>
  <property fmtid="{D5CDD505-2E9C-101B-9397-08002B2CF9AE}" pid="7" name="DLM">
    <vt:lpwstr>No DLM</vt:lpwstr>
  </property>
  <property fmtid="{D5CDD505-2E9C-101B-9397-08002B2CF9AE}" pid="8" name="ContentTypeId">
    <vt:lpwstr>0x01010050F19AC2165D2E47A5E6B7F563E4CF00</vt:lpwstr>
  </property>
  <property fmtid="{D5CDD505-2E9C-101B-9397-08002B2CF9AE}" pid="9" name="Order">
    <vt:r8>1078000</vt:r8>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ies>
</file>