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F4B" w:rsidRPr="00770305" w:rsidRDefault="005D3F4B" w:rsidP="004F4797">
      <w:pPr>
        <w:pStyle w:val="DocName"/>
        <w:pBdr>
          <w:top w:val="single" w:sz="4" w:space="12" w:color="FF9900"/>
          <w:bottom w:val="single" w:sz="4" w:space="5" w:color="FF9900"/>
        </w:pBdr>
        <w:shd w:val="clear" w:color="auto" w:fill="FFFFCC"/>
        <w:spacing w:line="360" w:lineRule="auto"/>
        <w:rPr>
          <w:rFonts w:cs="Arial"/>
          <w:sz w:val="24"/>
          <w:lang w:eastAsia="en-AU"/>
        </w:rPr>
      </w:pPr>
      <w:bookmarkStart w:id="0" w:name="_GoBack"/>
      <w:bookmarkEnd w:id="0"/>
      <w:r w:rsidRPr="00770305">
        <w:rPr>
          <w:rFonts w:cs="Arial"/>
          <w:sz w:val="24"/>
          <w:lang w:eastAsia="en-AU"/>
        </w:rPr>
        <w:t xml:space="preserve">Independent </w:t>
      </w:r>
      <w:r w:rsidR="00957AD7" w:rsidRPr="00770305">
        <w:rPr>
          <w:rFonts w:cs="Arial"/>
          <w:sz w:val="24"/>
          <w:lang w:eastAsia="en-AU"/>
        </w:rPr>
        <w:t>Progress Report</w:t>
      </w:r>
      <w:r w:rsidR="003D6E0A" w:rsidRPr="00770305">
        <w:rPr>
          <w:rFonts w:cs="Arial"/>
          <w:sz w:val="24"/>
          <w:lang w:eastAsia="en-AU"/>
        </w:rPr>
        <w:t xml:space="preserve"> of</w:t>
      </w:r>
      <w:r w:rsidRPr="00770305">
        <w:rPr>
          <w:rFonts w:cs="Arial"/>
          <w:sz w:val="24"/>
          <w:lang w:eastAsia="en-AU"/>
        </w:rPr>
        <w:t xml:space="preserve"> </w:t>
      </w:r>
      <w:r w:rsidR="009C1206" w:rsidRPr="00770305">
        <w:rPr>
          <w:rFonts w:cs="Arial"/>
          <w:sz w:val="24"/>
          <w:lang w:eastAsia="en-AU"/>
        </w:rPr>
        <w:t xml:space="preserve">the </w:t>
      </w:r>
      <w:r w:rsidR="00957AD7" w:rsidRPr="00770305">
        <w:rPr>
          <w:rFonts w:cs="Arial"/>
          <w:sz w:val="24"/>
          <w:lang w:eastAsia="en-AU"/>
        </w:rPr>
        <w:t>Australia Africa Partnerships Facility</w:t>
      </w:r>
    </w:p>
    <w:p w:rsidR="003D6E0A" w:rsidRPr="00770305" w:rsidRDefault="005D3F4B" w:rsidP="003D6E0A">
      <w:pPr>
        <w:pStyle w:val="DocName"/>
        <w:pBdr>
          <w:top w:val="single" w:sz="4" w:space="12" w:color="FF9900"/>
          <w:bottom w:val="single" w:sz="4" w:space="5" w:color="FF9900"/>
        </w:pBdr>
        <w:shd w:val="clear" w:color="auto" w:fill="FFFFCC"/>
        <w:spacing w:line="360" w:lineRule="auto"/>
        <w:rPr>
          <w:rFonts w:cs="Arial"/>
          <w:sz w:val="24"/>
          <w:lang w:eastAsia="en-AU"/>
        </w:rPr>
      </w:pPr>
      <w:r w:rsidRPr="00770305">
        <w:rPr>
          <w:rFonts w:cs="Arial"/>
          <w:sz w:val="24"/>
          <w:lang w:eastAsia="en-AU"/>
        </w:rPr>
        <w:t>M</w:t>
      </w:r>
      <w:r w:rsidR="005477B9" w:rsidRPr="00770305">
        <w:rPr>
          <w:rFonts w:cs="Arial"/>
          <w:sz w:val="24"/>
          <w:lang w:eastAsia="en-AU"/>
        </w:rPr>
        <w:t>ANAGEMENT RESPONSE</w:t>
      </w:r>
    </w:p>
    <w:p w:rsidR="005477B9" w:rsidRPr="00770305" w:rsidRDefault="005477B9" w:rsidP="006C54A3">
      <w:pPr>
        <w:tabs>
          <w:tab w:val="left" w:pos="1539"/>
        </w:tabs>
        <w:spacing w:before="360"/>
        <w:rPr>
          <w:rFonts w:cs="Arial"/>
          <w:lang w:eastAsia="en-AU"/>
        </w:rPr>
      </w:pPr>
      <w:r w:rsidRPr="00770305">
        <w:rPr>
          <w:rFonts w:cs="Arial"/>
          <w:lang w:eastAsia="en-AU"/>
        </w:rPr>
        <w:t xml:space="preserve">Prepared by: </w:t>
      </w:r>
      <w:r w:rsidR="006C54A3" w:rsidRPr="00770305">
        <w:rPr>
          <w:rFonts w:cs="Arial"/>
          <w:lang w:eastAsia="en-AU"/>
        </w:rPr>
        <w:tab/>
      </w:r>
      <w:r w:rsidR="00402A6A" w:rsidRPr="00770305">
        <w:rPr>
          <w:rFonts w:cs="Arial"/>
          <w:lang w:eastAsia="en-AU"/>
        </w:rPr>
        <w:t>Anh Thu Nguyen</w:t>
      </w:r>
      <w:r w:rsidR="00A23913">
        <w:rPr>
          <w:rFonts w:cs="Arial"/>
          <w:lang w:eastAsia="en-AU"/>
        </w:rPr>
        <w:t>/Gaye Moore</w:t>
      </w:r>
    </w:p>
    <w:p w:rsidR="005477B9" w:rsidRPr="00770305" w:rsidRDefault="005477B9" w:rsidP="006C54A3">
      <w:pPr>
        <w:tabs>
          <w:tab w:val="left" w:pos="1539"/>
        </w:tabs>
        <w:rPr>
          <w:rFonts w:cs="Arial"/>
          <w:lang w:eastAsia="en-AU"/>
        </w:rPr>
      </w:pPr>
      <w:r w:rsidRPr="00770305">
        <w:rPr>
          <w:rFonts w:cs="Arial"/>
          <w:lang w:eastAsia="en-AU"/>
        </w:rPr>
        <w:t xml:space="preserve">Approved by: </w:t>
      </w:r>
      <w:r w:rsidR="006C54A3" w:rsidRPr="00770305">
        <w:rPr>
          <w:rFonts w:cs="Arial"/>
          <w:lang w:eastAsia="en-AU"/>
        </w:rPr>
        <w:tab/>
      </w:r>
      <w:r w:rsidR="00F46942">
        <w:rPr>
          <w:rFonts w:cs="Arial"/>
          <w:lang w:eastAsia="en-AU"/>
        </w:rPr>
        <w:t>Catherine Gill, A/g AS AFB</w:t>
      </w:r>
    </w:p>
    <w:p w:rsidR="005477B9" w:rsidRPr="00770305" w:rsidRDefault="005477B9" w:rsidP="006C54A3">
      <w:pPr>
        <w:tabs>
          <w:tab w:val="left" w:pos="1539"/>
        </w:tabs>
        <w:rPr>
          <w:rFonts w:cs="Arial"/>
          <w:lang w:eastAsia="en-AU"/>
        </w:rPr>
      </w:pPr>
      <w:r w:rsidRPr="00770305">
        <w:rPr>
          <w:rFonts w:cs="Arial"/>
          <w:lang w:eastAsia="en-AU"/>
        </w:rPr>
        <w:t xml:space="preserve">Date Approved: </w:t>
      </w:r>
      <w:r w:rsidR="006C54A3" w:rsidRPr="00770305">
        <w:rPr>
          <w:rFonts w:cs="Arial"/>
          <w:lang w:eastAsia="en-AU"/>
        </w:rPr>
        <w:tab/>
      </w:r>
      <w:r w:rsidR="00F46942">
        <w:rPr>
          <w:rFonts w:cs="Arial"/>
          <w:lang w:eastAsia="en-AU"/>
        </w:rPr>
        <w:t>October</w:t>
      </w:r>
      <w:r w:rsidR="00A23913">
        <w:rPr>
          <w:rFonts w:cs="Arial"/>
          <w:lang w:eastAsia="en-AU"/>
        </w:rPr>
        <w:t xml:space="preserve"> 2014</w:t>
      </w:r>
    </w:p>
    <w:p w:rsidR="00F36188" w:rsidRPr="00770305" w:rsidRDefault="00F36188" w:rsidP="00883CDD">
      <w:pPr>
        <w:pStyle w:val="Heading2"/>
        <w:spacing w:before="480"/>
      </w:pPr>
      <w:r w:rsidRPr="00770305">
        <w:t>Aid Activity Summary</w:t>
      </w:r>
      <w:r w:rsidR="00614397" w:rsidRPr="00770305">
        <w:t>:</w:t>
      </w:r>
    </w:p>
    <w:p w:rsidR="00883CDD" w:rsidRPr="00770305" w:rsidRDefault="00883CDD" w:rsidP="00F36188">
      <w:pPr>
        <w:rPr>
          <w:rFonts w:cs="Arial"/>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bottom w:w="57" w:type="dxa"/>
        </w:tblCellMar>
        <w:tblLook w:val="01E0" w:firstRow="1" w:lastRow="1" w:firstColumn="1" w:lastColumn="1" w:noHBand="0" w:noVBand="0"/>
      </w:tblPr>
      <w:tblGrid>
        <w:gridCol w:w="2235"/>
        <w:gridCol w:w="2126"/>
        <w:gridCol w:w="1701"/>
        <w:gridCol w:w="3223"/>
      </w:tblGrid>
      <w:tr w:rsidR="00F36188" w:rsidRPr="00FF714F" w:rsidTr="00CB3EA1">
        <w:trPr>
          <w:cantSplit/>
          <w:tblHeader/>
        </w:trPr>
        <w:tc>
          <w:tcPr>
            <w:tcW w:w="2235" w:type="dxa"/>
            <w:shd w:val="clear" w:color="auto" w:fill="E0E0E0"/>
            <w:vAlign w:val="center"/>
          </w:tcPr>
          <w:p w:rsidR="00F36188" w:rsidRPr="00770305" w:rsidRDefault="00F36188" w:rsidP="003F7C64">
            <w:pPr>
              <w:pStyle w:val="Table-normal-text"/>
              <w:rPr>
                <w:rFonts w:cs="Arial"/>
                <w:b/>
              </w:rPr>
            </w:pPr>
            <w:r w:rsidRPr="00770305">
              <w:rPr>
                <w:rFonts w:cs="Arial"/>
                <w:b/>
              </w:rPr>
              <w:t>Aid Activity Name</w:t>
            </w:r>
          </w:p>
        </w:tc>
        <w:tc>
          <w:tcPr>
            <w:tcW w:w="7050" w:type="dxa"/>
            <w:gridSpan w:val="3"/>
            <w:shd w:val="clear" w:color="auto" w:fill="E0E0E0"/>
            <w:vAlign w:val="center"/>
          </w:tcPr>
          <w:p w:rsidR="00F36188" w:rsidRPr="00FF714F" w:rsidRDefault="00E56012" w:rsidP="00E56012">
            <w:pPr>
              <w:pStyle w:val="Table-normal-text"/>
              <w:rPr>
                <w:rFonts w:cs="Arial"/>
                <w:b/>
              </w:rPr>
            </w:pPr>
            <w:r w:rsidRPr="00770305">
              <w:rPr>
                <w:rFonts w:cs="Arial"/>
                <w:b/>
              </w:rPr>
              <w:t>Australia Africa Partnerships Facility</w:t>
            </w:r>
          </w:p>
        </w:tc>
      </w:tr>
      <w:tr w:rsidR="00F36188" w:rsidRPr="00FF714F" w:rsidTr="00CB3EA1">
        <w:trPr>
          <w:cantSplit/>
        </w:trPr>
        <w:tc>
          <w:tcPr>
            <w:tcW w:w="2235" w:type="dxa"/>
            <w:shd w:val="clear" w:color="auto" w:fill="auto"/>
          </w:tcPr>
          <w:p w:rsidR="00F36188" w:rsidRPr="00FF714F" w:rsidRDefault="00F36188" w:rsidP="003F7C64">
            <w:pPr>
              <w:pStyle w:val="Table-normal-text"/>
              <w:rPr>
                <w:rFonts w:cs="Arial"/>
              </w:rPr>
            </w:pPr>
            <w:r w:rsidRPr="00FF714F">
              <w:rPr>
                <w:rFonts w:cs="Arial"/>
              </w:rPr>
              <w:t>AidWorks initiative number</w:t>
            </w:r>
          </w:p>
        </w:tc>
        <w:tc>
          <w:tcPr>
            <w:tcW w:w="7050" w:type="dxa"/>
            <w:gridSpan w:val="3"/>
            <w:shd w:val="clear" w:color="auto" w:fill="auto"/>
          </w:tcPr>
          <w:p w:rsidR="00F36188" w:rsidRPr="00FF714F" w:rsidRDefault="00402A6A" w:rsidP="009C1206">
            <w:pPr>
              <w:pStyle w:val="Table-normal-text"/>
              <w:rPr>
                <w:rFonts w:cs="Arial"/>
              </w:rPr>
            </w:pPr>
            <w:r w:rsidRPr="00FF714F">
              <w:rPr>
                <w:rFonts w:cs="Arial"/>
              </w:rPr>
              <w:t>INJ018</w:t>
            </w:r>
          </w:p>
        </w:tc>
      </w:tr>
      <w:tr w:rsidR="00F36188" w:rsidRPr="00FF714F" w:rsidTr="00CB3EA1">
        <w:trPr>
          <w:cantSplit/>
        </w:trPr>
        <w:tc>
          <w:tcPr>
            <w:tcW w:w="2235" w:type="dxa"/>
            <w:shd w:val="clear" w:color="auto" w:fill="auto"/>
          </w:tcPr>
          <w:p w:rsidR="00F36188" w:rsidRPr="00FF714F" w:rsidRDefault="00F36188" w:rsidP="003F7C64">
            <w:pPr>
              <w:pStyle w:val="Table-normal-text"/>
              <w:rPr>
                <w:rFonts w:cs="Arial"/>
              </w:rPr>
            </w:pPr>
            <w:r w:rsidRPr="00FF714F">
              <w:rPr>
                <w:rFonts w:cs="Arial"/>
              </w:rPr>
              <w:t>Commencement date</w:t>
            </w:r>
          </w:p>
        </w:tc>
        <w:tc>
          <w:tcPr>
            <w:tcW w:w="2126" w:type="dxa"/>
            <w:shd w:val="clear" w:color="auto" w:fill="auto"/>
          </w:tcPr>
          <w:p w:rsidR="00F36188" w:rsidRPr="00FF714F" w:rsidRDefault="00402A6A" w:rsidP="003F7C64">
            <w:pPr>
              <w:pStyle w:val="Table-normal-text"/>
              <w:rPr>
                <w:rFonts w:cs="Arial"/>
              </w:rPr>
            </w:pPr>
            <w:r w:rsidRPr="00FF714F">
              <w:rPr>
                <w:rFonts w:cs="Arial"/>
              </w:rPr>
              <w:t>December 2009</w:t>
            </w:r>
          </w:p>
        </w:tc>
        <w:tc>
          <w:tcPr>
            <w:tcW w:w="1701" w:type="dxa"/>
            <w:shd w:val="clear" w:color="auto" w:fill="auto"/>
          </w:tcPr>
          <w:p w:rsidR="00F36188" w:rsidRPr="00FF714F" w:rsidRDefault="00F36188" w:rsidP="003F7C64">
            <w:pPr>
              <w:pStyle w:val="Table-normal-text"/>
              <w:rPr>
                <w:rFonts w:cs="Arial"/>
              </w:rPr>
            </w:pPr>
            <w:r w:rsidRPr="00FF714F">
              <w:rPr>
                <w:rFonts w:cs="Arial"/>
              </w:rPr>
              <w:t>Completion date</w:t>
            </w:r>
          </w:p>
        </w:tc>
        <w:tc>
          <w:tcPr>
            <w:tcW w:w="3223" w:type="dxa"/>
            <w:shd w:val="clear" w:color="auto" w:fill="auto"/>
          </w:tcPr>
          <w:p w:rsidR="00F36188" w:rsidRPr="00FF714F" w:rsidRDefault="00B059CB" w:rsidP="003F7C64">
            <w:pPr>
              <w:pStyle w:val="Table-normal-text"/>
              <w:rPr>
                <w:rFonts w:cs="Arial"/>
              </w:rPr>
            </w:pPr>
            <w:r>
              <w:rPr>
                <w:rFonts w:cs="Arial"/>
              </w:rPr>
              <w:t>June 2015</w:t>
            </w:r>
          </w:p>
        </w:tc>
      </w:tr>
      <w:tr w:rsidR="00F36188" w:rsidRPr="00FF714F" w:rsidTr="00CB3EA1">
        <w:trPr>
          <w:cantSplit/>
        </w:trPr>
        <w:tc>
          <w:tcPr>
            <w:tcW w:w="2235" w:type="dxa"/>
            <w:shd w:val="clear" w:color="auto" w:fill="auto"/>
          </w:tcPr>
          <w:p w:rsidR="00F36188" w:rsidRPr="00FF714F" w:rsidRDefault="00F36188" w:rsidP="003F7C64">
            <w:pPr>
              <w:pStyle w:val="Table-normal-text"/>
              <w:rPr>
                <w:rFonts w:cs="Arial"/>
              </w:rPr>
            </w:pPr>
            <w:r w:rsidRPr="00FF714F">
              <w:rPr>
                <w:rFonts w:cs="Arial"/>
              </w:rPr>
              <w:t>Total Australian $</w:t>
            </w:r>
          </w:p>
        </w:tc>
        <w:tc>
          <w:tcPr>
            <w:tcW w:w="7050" w:type="dxa"/>
            <w:gridSpan w:val="3"/>
            <w:shd w:val="clear" w:color="auto" w:fill="auto"/>
          </w:tcPr>
          <w:p w:rsidR="00F36188" w:rsidRPr="00FF714F" w:rsidRDefault="009C1206" w:rsidP="00402A6A">
            <w:pPr>
              <w:pStyle w:val="Table-normal-text"/>
              <w:rPr>
                <w:rFonts w:cs="Arial"/>
              </w:rPr>
            </w:pPr>
            <w:r w:rsidRPr="00FF714F">
              <w:rPr>
                <w:rFonts w:cs="Arial"/>
              </w:rPr>
              <w:t>$</w:t>
            </w:r>
            <w:r w:rsidR="00402A6A" w:rsidRPr="00FF714F">
              <w:rPr>
                <w:rFonts w:cs="Arial"/>
              </w:rPr>
              <w:t>125,000,000</w:t>
            </w:r>
            <w:r w:rsidR="00770305" w:rsidRPr="00FF714F">
              <w:rPr>
                <w:rFonts w:cs="Arial"/>
              </w:rPr>
              <w:t xml:space="preserve"> (excluding GST)</w:t>
            </w:r>
          </w:p>
        </w:tc>
      </w:tr>
      <w:tr w:rsidR="00F36188" w:rsidRPr="00FF714F" w:rsidTr="00CB3EA1">
        <w:trPr>
          <w:cantSplit/>
        </w:trPr>
        <w:tc>
          <w:tcPr>
            <w:tcW w:w="2235" w:type="dxa"/>
            <w:shd w:val="clear" w:color="auto" w:fill="auto"/>
          </w:tcPr>
          <w:p w:rsidR="00F36188" w:rsidRPr="00FF714F" w:rsidRDefault="00F36188" w:rsidP="003F7C64">
            <w:pPr>
              <w:pStyle w:val="Table-normal-text"/>
              <w:rPr>
                <w:rFonts w:cs="Arial"/>
              </w:rPr>
            </w:pPr>
            <w:r w:rsidRPr="00FF714F">
              <w:rPr>
                <w:rFonts w:cs="Arial"/>
              </w:rPr>
              <w:t>Total other $</w:t>
            </w:r>
          </w:p>
        </w:tc>
        <w:tc>
          <w:tcPr>
            <w:tcW w:w="7050" w:type="dxa"/>
            <w:gridSpan w:val="3"/>
            <w:shd w:val="clear" w:color="auto" w:fill="auto"/>
          </w:tcPr>
          <w:p w:rsidR="00F36188" w:rsidRPr="00FF714F" w:rsidRDefault="009C1206" w:rsidP="003F7C64">
            <w:pPr>
              <w:pStyle w:val="Table-normal-text"/>
              <w:rPr>
                <w:rFonts w:cs="Arial"/>
              </w:rPr>
            </w:pPr>
            <w:r w:rsidRPr="00FF714F">
              <w:rPr>
                <w:rFonts w:cs="Arial"/>
              </w:rPr>
              <w:t>N</w:t>
            </w:r>
            <w:r w:rsidR="003B1F8C" w:rsidRPr="00FF714F">
              <w:rPr>
                <w:rFonts w:cs="Arial"/>
              </w:rPr>
              <w:t>o financial contribution from other donors</w:t>
            </w:r>
          </w:p>
        </w:tc>
      </w:tr>
      <w:tr w:rsidR="00F36188" w:rsidRPr="00FF714F" w:rsidTr="00CB3EA1">
        <w:trPr>
          <w:cantSplit/>
        </w:trPr>
        <w:tc>
          <w:tcPr>
            <w:tcW w:w="2235" w:type="dxa"/>
            <w:shd w:val="clear" w:color="auto" w:fill="auto"/>
          </w:tcPr>
          <w:p w:rsidR="00F36188" w:rsidRPr="00FF714F" w:rsidRDefault="00F36188" w:rsidP="003F7C64">
            <w:pPr>
              <w:pStyle w:val="Table-normal-text"/>
              <w:rPr>
                <w:rFonts w:cs="Arial"/>
              </w:rPr>
            </w:pPr>
            <w:r w:rsidRPr="00FF714F">
              <w:rPr>
                <w:rFonts w:cs="Arial"/>
              </w:rPr>
              <w:t>Delivery organisation(s)</w:t>
            </w:r>
          </w:p>
        </w:tc>
        <w:tc>
          <w:tcPr>
            <w:tcW w:w="7050" w:type="dxa"/>
            <w:gridSpan w:val="3"/>
            <w:shd w:val="clear" w:color="auto" w:fill="auto"/>
          </w:tcPr>
          <w:p w:rsidR="00F36188" w:rsidRPr="00FF714F" w:rsidRDefault="00402A6A" w:rsidP="00402A6A">
            <w:pPr>
              <w:pStyle w:val="Table-normal-text"/>
              <w:rPr>
                <w:rFonts w:cs="Arial"/>
              </w:rPr>
            </w:pPr>
            <w:r w:rsidRPr="00FF714F">
              <w:rPr>
                <w:rFonts w:cs="Arial"/>
              </w:rPr>
              <w:t>Cardno Emerging Market</w:t>
            </w:r>
            <w:r w:rsidR="00D4399C" w:rsidRPr="00FF714F">
              <w:rPr>
                <w:rFonts w:cs="Arial"/>
              </w:rPr>
              <w:t>s</w:t>
            </w:r>
            <w:r w:rsidRPr="00FF714F">
              <w:rPr>
                <w:rFonts w:cs="Arial"/>
              </w:rPr>
              <w:t xml:space="preserve">  </w:t>
            </w:r>
          </w:p>
        </w:tc>
      </w:tr>
      <w:tr w:rsidR="00F36188" w:rsidRPr="00FF714F" w:rsidTr="00CB3EA1">
        <w:trPr>
          <w:cantSplit/>
        </w:trPr>
        <w:tc>
          <w:tcPr>
            <w:tcW w:w="2235" w:type="dxa"/>
            <w:shd w:val="clear" w:color="auto" w:fill="auto"/>
          </w:tcPr>
          <w:p w:rsidR="00F36188" w:rsidRPr="00FF714F" w:rsidRDefault="00F36188" w:rsidP="003F7C64">
            <w:pPr>
              <w:pStyle w:val="Table-normal-text"/>
              <w:rPr>
                <w:rFonts w:cs="Arial"/>
              </w:rPr>
            </w:pPr>
            <w:r w:rsidRPr="00FF714F">
              <w:rPr>
                <w:rFonts w:cs="Arial"/>
              </w:rPr>
              <w:t>Country/Region</w:t>
            </w:r>
          </w:p>
        </w:tc>
        <w:tc>
          <w:tcPr>
            <w:tcW w:w="7050" w:type="dxa"/>
            <w:gridSpan w:val="3"/>
            <w:shd w:val="clear" w:color="auto" w:fill="auto"/>
          </w:tcPr>
          <w:p w:rsidR="00F36188" w:rsidRPr="00FF714F" w:rsidRDefault="00402A6A" w:rsidP="00402A6A">
            <w:pPr>
              <w:pStyle w:val="Table-normal-text"/>
              <w:rPr>
                <w:rFonts w:cs="Arial"/>
              </w:rPr>
            </w:pPr>
            <w:r w:rsidRPr="00FF714F">
              <w:rPr>
                <w:rFonts w:cs="Arial"/>
              </w:rPr>
              <w:t>Africa Regional</w:t>
            </w:r>
          </w:p>
        </w:tc>
      </w:tr>
      <w:tr w:rsidR="00394FD3" w:rsidRPr="00FF714F" w:rsidTr="00CB3EA1">
        <w:trPr>
          <w:cantSplit/>
        </w:trPr>
        <w:tc>
          <w:tcPr>
            <w:tcW w:w="2235" w:type="dxa"/>
            <w:shd w:val="clear" w:color="auto" w:fill="auto"/>
          </w:tcPr>
          <w:p w:rsidR="00394FD3" w:rsidRPr="00FF714F" w:rsidRDefault="00394FD3" w:rsidP="00EA784C">
            <w:pPr>
              <w:pStyle w:val="Table-normal-text"/>
              <w:rPr>
                <w:rFonts w:cs="Arial"/>
              </w:rPr>
            </w:pPr>
            <w:r w:rsidRPr="00FF714F">
              <w:rPr>
                <w:rFonts w:cs="Arial"/>
              </w:rPr>
              <w:t>Primary Sector</w:t>
            </w:r>
          </w:p>
        </w:tc>
        <w:tc>
          <w:tcPr>
            <w:tcW w:w="7050" w:type="dxa"/>
            <w:gridSpan w:val="3"/>
            <w:shd w:val="clear" w:color="auto" w:fill="auto"/>
          </w:tcPr>
          <w:p w:rsidR="00394FD3" w:rsidRPr="00FF714F" w:rsidRDefault="009C1206" w:rsidP="00EA784C">
            <w:pPr>
              <w:pStyle w:val="Table-normal-text"/>
              <w:rPr>
                <w:rFonts w:cs="Arial"/>
              </w:rPr>
            </w:pPr>
            <w:r w:rsidRPr="00FF714F">
              <w:rPr>
                <w:rFonts w:cs="Arial"/>
              </w:rPr>
              <w:t>Various</w:t>
            </w:r>
          </w:p>
        </w:tc>
      </w:tr>
      <w:tr w:rsidR="00F36188" w:rsidRPr="00FF714F" w:rsidTr="00CB3EA1">
        <w:trPr>
          <w:cantSplit/>
        </w:trPr>
        <w:tc>
          <w:tcPr>
            <w:tcW w:w="2235" w:type="dxa"/>
            <w:shd w:val="clear" w:color="auto" w:fill="auto"/>
          </w:tcPr>
          <w:p w:rsidR="00F36188" w:rsidRPr="00FF714F" w:rsidRDefault="00394FD3" w:rsidP="003F7C64">
            <w:pPr>
              <w:pStyle w:val="Table-normal-text"/>
              <w:rPr>
                <w:rFonts w:cs="Arial"/>
              </w:rPr>
            </w:pPr>
            <w:r w:rsidRPr="00FF714F">
              <w:rPr>
                <w:rFonts w:cs="Arial"/>
              </w:rPr>
              <w:t>Aid activity objective</w:t>
            </w:r>
          </w:p>
        </w:tc>
        <w:tc>
          <w:tcPr>
            <w:tcW w:w="7050" w:type="dxa"/>
            <w:gridSpan w:val="3"/>
            <w:shd w:val="clear" w:color="auto" w:fill="auto"/>
          </w:tcPr>
          <w:p w:rsidR="00F36188" w:rsidRPr="00FF714F" w:rsidRDefault="00402A6A" w:rsidP="00402A6A">
            <w:pPr>
              <w:pStyle w:val="Table-normal-text"/>
              <w:rPr>
                <w:rFonts w:cs="Arial"/>
                <w:szCs w:val="16"/>
              </w:rPr>
            </w:pPr>
            <w:r w:rsidRPr="00FF714F">
              <w:rPr>
                <w:rFonts w:cs="Arial"/>
                <w:szCs w:val="16"/>
              </w:rPr>
              <w:t>AAPF b</w:t>
            </w:r>
            <w:r w:rsidR="009C1206" w:rsidRPr="00FF714F">
              <w:rPr>
                <w:rFonts w:cs="Arial"/>
                <w:szCs w:val="16"/>
              </w:rPr>
              <w:t xml:space="preserve">egan operating in </w:t>
            </w:r>
            <w:r w:rsidRPr="00FF714F">
              <w:rPr>
                <w:rFonts w:cs="Arial"/>
                <w:szCs w:val="16"/>
              </w:rPr>
              <w:t xml:space="preserve">December </w:t>
            </w:r>
            <w:r w:rsidR="009C1206" w:rsidRPr="00FF714F">
              <w:rPr>
                <w:rFonts w:cs="Arial"/>
                <w:szCs w:val="16"/>
              </w:rPr>
              <w:t>20</w:t>
            </w:r>
            <w:r w:rsidRPr="00FF714F">
              <w:rPr>
                <w:rFonts w:cs="Arial"/>
                <w:szCs w:val="16"/>
              </w:rPr>
              <w:t>09</w:t>
            </w:r>
            <w:r w:rsidR="009C1206" w:rsidRPr="00FF714F">
              <w:rPr>
                <w:rFonts w:cs="Arial"/>
                <w:szCs w:val="16"/>
              </w:rPr>
              <w:t xml:space="preserve"> </w:t>
            </w:r>
            <w:r w:rsidRPr="00FF714F">
              <w:rPr>
                <w:rFonts w:cs="Arial"/>
                <w:szCs w:val="16"/>
              </w:rPr>
              <w:t xml:space="preserve">to enable the </w:t>
            </w:r>
            <w:r w:rsidRPr="00FF714F">
              <w:rPr>
                <w:rFonts w:cs="Arial"/>
                <w:szCs w:val="20"/>
              </w:rPr>
              <w:t xml:space="preserve">Australian Government to broaden and strengthen Australia’s links with a growing number of African countries. </w:t>
            </w:r>
          </w:p>
        </w:tc>
      </w:tr>
    </w:tbl>
    <w:p w:rsidR="00F36188" w:rsidRPr="00FF714F" w:rsidRDefault="00123C3E" w:rsidP="00123C3E">
      <w:pPr>
        <w:pStyle w:val="Heading2"/>
      </w:pPr>
      <w:r w:rsidRPr="00FF714F">
        <w:t>Independent Evaluation Summary</w:t>
      </w:r>
    </w:p>
    <w:p w:rsidR="00C15E27" w:rsidRPr="00FF714F" w:rsidRDefault="00C15E27" w:rsidP="00C15E27">
      <w:pPr>
        <w:rPr>
          <w:rFonts w:cs="Arial"/>
        </w:rPr>
      </w:pPr>
      <w:r w:rsidRPr="00FF714F">
        <w:rPr>
          <w:rFonts w:cs="Arial"/>
          <w:b/>
        </w:rPr>
        <w:t xml:space="preserve">Evaluation Objective: </w:t>
      </w:r>
      <w:r w:rsidRPr="00FF714F">
        <w:rPr>
          <w:rFonts w:cs="Arial"/>
        </w:rPr>
        <w:t xml:space="preserve">The current </w:t>
      </w:r>
      <w:r w:rsidR="00E56012" w:rsidRPr="00FF714F">
        <w:rPr>
          <w:rFonts w:cs="Arial"/>
        </w:rPr>
        <w:t xml:space="preserve">phase of the Australia Africa Partnerships </w:t>
      </w:r>
      <w:r w:rsidRPr="00FF714F">
        <w:rPr>
          <w:rFonts w:cs="Arial"/>
        </w:rPr>
        <w:t xml:space="preserve">Facility </w:t>
      </w:r>
      <w:r w:rsidR="00E56012" w:rsidRPr="00FF714F">
        <w:rPr>
          <w:rFonts w:cs="Arial"/>
        </w:rPr>
        <w:t xml:space="preserve">(the Facility) </w:t>
      </w:r>
      <w:r w:rsidRPr="00FF714F">
        <w:rPr>
          <w:rFonts w:cs="Arial"/>
        </w:rPr>
        <w:t>will end in June 201</w:t>
      </w:r>
      <w:r w:rsidR="00B059CB">
        <w:rPr>
          <w:rFonts w:cs="Arial"/>
        </w:rPr>
        <w:t>5</w:t>
      </w:r>
      <w:r w:rsidRPr="00FF714F">
        <w:rPr>
          <w:rFonts w:cs="Arial"/>
        </w:rPr>
        <w:t xml:space="preserve">. To inform management decision regarding </w:t>
      </w:r>
      <w:r w:rsidRPr="00770305">
        <w:rPr>
          <w:rFonts w:cs="Arial"/>
          <w:sz w:val="18"/>
          <w:szCs w:val="20"/>
          <w:lang w:eastAsia="zh-CN"/>
        </w:rPr>
        <w:t>the scope and shape of funding through AAPF until the end of the current phase</w:t>
      </w:r>
      <w:r w:rsidRPr="00FF714F">
        <w:rPr>
          <w:rFonts w:cs="Arial"/>
        </w:rPr>
        <w:t xml:space="preserve"> and in preparation for any continuing assistance under the AAPF</w:t>
      </w:r>
      <w:r w:rsidR="001C1A90" w:rsidRPr="00FF714F">
        <w:rPr>
          <w:rFonts w:cs="Arial"/>
        </w:rPr>
        <w:t>,</w:t>
      </w:r>
      <w:r w:rsidRPr="00FF714F">
        <w:rPr>
          <w:rFonts w:cs="Arial"/>
        </w:rPr>
        <w:t xml:space="preserve"> or </w:t>
      </w:r>
      <w:r w:rsidR="00BB4653" w:rsidRPr="00FF714F">
        <w:rPr>
          <w:rFonts w:cs="Arial"/>
        </w:rPr>
        <w:t>a successor program</w:t>
      </w:r>
      <w:r w:rsidRPr="00FF714F">
        <w:rPr>
          <w:rFonts w:cs="Arial"/>
        </w:rPr>
        <w:t>, this review assessed the</w:t>
      </w:r>
      <w:r w:rsidR="007321A0" w:rsidRPr="00770305">
        <w:rPr>
          <w:rFonts w:cs="Arial"/>
        </w:rPr>
        <w:t xml:space="preserve"> </w:t>
      </w:r>
      <w:r w:rsidR="007321A0" w:rsidRPr="00FF714F">
        <w:rPr>
          <w:rFonts w:cs="Arial"/>
        </w:rPr>
        <w:t>relevance, effectiveness, and efficiency</w:t>
      </w:r>
      <w:r w:rsidRPr="00FF714F">
        <w:rPr>
          <w:rFonts w:cs="Arial"/>
        </w:rPr>
        <w:t xml:space="preserve"> of the AAPF in responding to development needs in Africa. The review had two principle objectives: </w:t>
      </w:r>
    </w:p>
    <w:p w:rsidR="00C15E27" w:rsidRPr="00FF714F" w:rsidRDefault="00C15E27" w:rsidP="00C15E27">
      <w:pPr>
        <w:numPr>
          <w:ilvl w:val="0"/>
          <w:numId w:val="7"/>
        </w:numPr>
        <w:rPr>
          <w:rFonts w:cs="Arial"/>
        </w:rPr>
      </w:pPr>
      <w:r w:rsidRPr="00FF714F">
        <w:rPr>
          <w:rFonts w:cs="Arial"/>
          <w:b/>
        </w:rPr>
        <w:t>The first was a retrospective assessment</w:t>
      </w:r>
      <w:r w:rsidRPr="00FF714F">
        <w:rPr>
          <w:rFonts w:cs="Arial"/>
        </w:rPr>
        <w:t xml:space="preserve">; a comprehensive review of AAPF against the criteria set out in </w:t>
      </w:r>
      <w:r w:rsidR="007E67B8">
        <w:rPr>
          <w:rFonts w:cs="Arial"/>
        </w:rPr>
        <w:t>DFAT</w:t>
      </w:r>
      <w:r w:rsidR="007E67B8" w:rsidRPr="00FF714F">
        <w:rPr>
          <w:rFonts w:cs="Arial"/>
        </w:rPr>
        <w:t xml:space="preserve">’s </w:t>
      </w:r>
      <w:r w:rsidRPr="00FF714F">
        <w:rPr>
          <w:rFonts w:cs="Arial"/>
        </w:rPr>
        <w:t>Guidel</w:t>
      </w:r>
      <w:r w:rsidR="007321A0" w:rsidRPr="00FF714F">
        <w:rPr>
          <w:rFonts w:cs="Arial"/>
        </w:rPr>
        <w:t>ines with a particular focus on</w:t>
      </w:r>
      <w:r w:rsidR="007321A0" w:rsidRPr="00770305">
        <w:rPr>
          <w:rFonts w:cs="Arial"/>
        </w:rPr>
        <w:t>: (i) the operational management of the facility as a whole; </w:t>
      </w:r>
      <w:r w:rsidR="008D73F0" w:rsidRPr="00FF714F">
        <w:rPr>
          <w:rFonts w:cs="Arial"/>
        </w:rPr>
        <w:t xml:space="preserve">and </w:t>
      </w:r>
      <w:r w:rsidR="007321A0" w:rsidRPr="00FF714F">
        <w:rPr>
          <w:rFonts w:cs="Arial"/>
        </w:rPr>
        <w:t>(ii) an independent assessment of the quality of a sample of activities.</w:t>
      </w:r>
    </w:p>
    <w:p w:rsidR="00C15E27" w:rsidRPr="00FF714F" w:rsidRDefault="00C15E27" w:rsidP="00C15E27">
      <w:pPr>
        <w:numPr>
          <w:ilvl w:val="0"/>
          <w:numId w:val="7"/>
        </w:numPr>
        <w:rPr>
          <w:rFonts w:cs="Arial"/>
        </w:rPr>
      </w:pPr>
      <w:r w:rsidRPr="00FF714F">
        <w:rPr>
          <w:rFonts w:cs="Arial"/>
          <w:b/>
        </w:rPr>
        <w:t>The second was prospective</w:t>
      </w:r>
      <w:r w:rsidRPr="00FF714F">
        <w:rPr>
          <w:rFonts w:cs="Arial"/>
        </w:rPr>
        <w:t xml:space="preserve">; the review team was tasked to make recommendations for improving the delivery and effectiveness of a mechanism such as AAPF to improve capacity building in the continent, including by </w:t>
      </w:r>
      <w:r w:rsidR="007321A0" w:rsidRPr="00FF714F">
        <w:rPr>
          <w:rFonts w:cs="Arial"/>
        </w:rPr>
        <w:t xml:space="preserve">(iii) </w:t>
      </w:r>
      <w:r w:rsidRPr="00770305">
        <w:rPr>
          <w:rFonts w:cs="Arial"/>
        </w:rPr>
        <w:t>considering the shape and size of the facility required to support Australia’s changing focus in Africa</w:t>
      </w:r>
      <w:r w:rsidRPr="00FF714F">
        <w:rPr>
          <w:rFonts w:cs="Arial"/>
        </w:rPr>
        <w:t>.</w:t>
      </w:r>
    </w:p>
    <w:p w:rsidR="00123C3E" w:rsidRPr="00FF714F" w:rsidRDefault="00123C3E" w:rsidP="00123C3E">
      <w:pPr>
        <w:rPr>
          <w:rFonts w:cs="Arial"/>
        </w:rPr>
      </w:pPr>
      <w:r w:rsidRPr="00770305">
        <w:rPr>
          <w:rFonts w:cs="Arial"/>
          <w:b/>
        </w:rPr>
        <w:t>Evaluation Completion Date:</w:t>
      </w:r>
      <w:r w:rsidR="00394FD3" w:rsidRPr="00770305">
        <w:rPr>
          <w:rFonts w:cs="Arial"/>
          <w:b/>
        </w:rPr>
        <w:t xml:space="preserve"> </w:t>
      </w:r>
      <w:r w:rsidR="001C1A90" w:rsidRPr="00FF714F">
        <w:rPr>
          <w:rFonts w:cs="Arial"/>
        </w:rPr>
        <w:t>June</w:t>
      </w:r>
      <w:r w:rsidR="00394FD3" w:rsidRPr="00FF714F">
        <w:rPr>
          <w:rFonts w:cs="Arial"/>
        </w:rPr>
        <w:t xml:space="preserve"> 201</w:t>
      </w:r>
      <w:r w:rsidR="009A384E" w:rsidRPr="00FF714F">
        <w:rPr>
          <w:rFonts w:cs="Arial"/>
        </w:rPr>
        <w:t>3</w:t>
      </w:r>
    </w:p>
    <w:p w:rsidR="00123C3E" w:rsidRPr="00FF714F" w:rsidRDefault="00123C3E" w:rsidP="00123C3E">
      <w:pPr>
        <w:rPr>
          <w:rFonts w:cs="Arial"/>
        </w:rPr>
      </w:pPr>
      <w:r w:rsidRPr="00FF714F">
        <w:rPr>
          <w:rFonts w:cs="Arial"/>
          <w:b/>
        </w:rPr>
        <w:t>Evaluation Team:</w:t>
      </w:r>
      <w:r w:rsidR="00394FD3" w:rsidRPr="00FF714F">
        <w:rPr>
          <w:rFonts w:cs="Arial"/>
          <w:b/>
        </w:rPr>
        <w:t xml:space="preserve"> </w:t>
      </w:r>
      <w:r w:rsidR="009A384E" w:rsidRPr="00FF714F">
        <w:rPr>
          <w:rFonts w:cs="Arial"/>
        </w:rPr>
        <w:t>Kaye Bysouth</w:t>
      </w:r>
      <w:r w:rsidR="009A384E" w:rsidRPr="00FF714F">
        <w:rPr>
          <w:rFonts w:cs="Arial"/>
          <w:b/>
        </w:rPr>
        <w:t xml:space="preserve">, </w:t>
      </w:r>
      <w:r w:rsidR="009A384E" w:rsidRPr="00FF714F">
        <w:rPr>
          <w:rFonts w:cs="Arial"/>
        </w:rPr>
        <w:t>Team Leader</w:t>
      </w:r>
      <w:r w:rsidR="009A384E" w:rsidRPr="002D0746">
        <w:rPr>
          <w:rFonts w:cs="Arial"/>
        </w:rPr>
        <w:t>;</w:t>
      </w:r>
      <w:r w:rsidR="009A384E" w:rsidRPr="00FF714F">
        <w:rPr>
          <w:rFonts w:cs="Arial"/>
          <w:b/>
        </w:rPr>
        <w:t xml:space="preserve"> </w:t>
      </w:r>
      <w:r w:rsidR="009A384E" w:rsidRPr="00FF714F">
        <w:rPr>
          <w:rFonts w:cs="Arial"/>
        </w:rPr>
        <w:t>Paul Crawford</w:t>
      </w:r>
      <w:r w:rsidR="005A0254" w:rsidRPr="00FF714F">
        <w:rPr>
          <w:rFonts w:cs="Arial"/>
        </w:rPr>
        <w:t xml:space="preserve">, Monitoring and Evaluation </w:t>
      </w:r>
      <w:r w:rsidR="00BB4653" w:rsidRPr="00FF714F">
        <w:rPr>
          <w:rFonts w:cs="Arial"/>
        </w:rPr>
        <w:t>S</w:t>
      </w:r>
      <w:r w:rsidR="005A0254" w:rsidRPr="00FF714F">
        <w:rPr>
          <w:rFonts w:cs="Arial"/>
        </w:rPr>
        <w:t>pecialist;</w:t>
      </w:r>
      <w:r w:rsidR="00857615" w:rsidRPr="00FF714F">
        <w:rPr>
          <w:rFonts w:cs="Arial"/>
        </w:rPr>
        <w:t xml:space="preserve"> Julie Mundy, Capacity Development/Partnerships Specialis</w:t>
      </w:r>
      <w:r w:rsidR="00BD03E4" w:rsidRPr="00FF714F">
        <w:rPr>
          <w:rFonts w:cs="Arial"/>
        </w:rPr>
        <w:t>t</w:t>
      </w:r>
      <w:r w:rsidR="00607F13" w:rsidRPr="00FF714F">
        <w:rPr>
          <w:rFonts w:cs="Arial"/>
        </w:rPr>
        <w:t>.</w:t>
      </w:r>
    </w:p>
    <w:p w:rsidR="00123C3E" w:rsidRPr="00FF714F" w:rsidRDefault="005477B9" w:rsidP="005477B9">
      <w:pPr>
        <w:pStyle w:val="Heading2"/>
      </w:pPr>
      <w:r w:rsidRPr="00FF714F">
        <w:t>Management Response</w:t>
      </w:r>
    </w:p>
    <w:p w:rsidR="006D7CCE" w:rsidRPr="00FF714F" w:rsidRDefault="006D7CCE" w:rsidP="006D7CCE">
      <w:pPr>
        <w:rPr>
          <w:rFonts w:cs="Arial"/>
          <w:b/>
          <w:szCs w:val="20"/>
        </w:rPr>
      </w:pPr>
      <w:r w:rsidRPr="00FF714F">
        <w:rPr>
          <w:rFonts w:cs="Arial"/>
          <w:b/>
          <w:szCs w:val="20"/>
        </w:rPr>
        <w:t xml:space="preserve">Brief overview of </w:t>
      </w:r>
      <w:r w:rsidR="007E67B8">
        <w:rPr>
          <w:rFonts w:cs="Arial"/>
          <w:b/>
          <w:szCs w:val="20"/>
        </w:rPr>
        <w:t>DFAT</w:t>
      </w:r>
      <w:r w:rsidR="007E67B8" w:rsidRPr="00FF714F">
        <w:rPr>
          <w:rFonts w:cs="Arial"/>
          <w:b/>
          <w:szCs w:val="20"/>
        </w:rPr>
        <w:t xml:space="preserve">’s </w:t>
      </w:r>
      <w:r w:rsidRPr="00FF714F">
        <w:rPr>
          <w:rFonts w:cs="Arial"/>
          <w:b/>
          <w:szCs w:val="20"/>
        </w:rPr>
        <w:t>assessment of the quality of the report</w:t>
      </w:r>
    </w:p>
    <w:p w:rsidR="006C528B" w:rsidRPr="00FF714F" w:rsidRDefault="007E67B8" w:rsidP="00D4399C">
      <w:pPr>
        <w:numPr>
          <w:ilvl w:val="0"/>
          <w:numId w:val="36"/>
        </w:numPr>
        <w:rPr>
          <w:rFonts w:cs="Arial"/>
          <w:lang w:eastAsia="en-AU"/>
        </w:rPr>
      </w:pPr>
      <w:r>
        <w:rPr>
          <w:rFonts w:cs="Arial"/>
          <w:lang w:eastAsia="en-AU"/>
        </w:rPr>
        <w:t>DFAT</w:t>
      </w:r>
      <w:r w:rsidRPr="00FF714F">
        <w:rPr>
          <w:rFonts w:cs="Arial"/>
          <w:lang w:eastAsia="en-AU"/>
        </w:rPr>
        <w:t xml:space="preserve"> </w:t>
      </w:r>
      <w:r w:rsidR="002B76E9" w:rsidRPr="00FF714F">
        <w:rPr>
          <w:rFonts w:cs="Arial"/>
          <w:lang w:eastAsia="en-AU"/>
        </w:rPr>
        <w:t xml:space="preserve">is committed to the efficient and effective delivery of Australian aid, and periodically commissions independent reviews of key development programs. The Independent Progress Review (IPR) of the AAPF provided an opportunity to assess the operational management of the AAPF and to inform future </w:t>
      </w:r>
      <w:r w:rsidR="002B76E9" w:rsidRPr="00FF714F">
        <w:rPr>
          <w:rFonts w:cs="Arial"/>
          <w:lang w:eastAsia="en-AU"/>
        </w:rPr>
        <w:lastRenderedPageBreak/>
        <w:t>planning regarding the scope and shape of the AAPF</w:t>
      </w:r>
      <w:r w:rsidR="00D604A2" w:rsidRPr="00FF714F">
        <w:rPr>
          <w:rFonts w:cs="Arial"/>
          <w:lang w:eastAsia="en-AU"/>
        </w:rPr>
        <w:t xml:space="preserve"> in the event of an extension to the existing program, or the potential design of a successor program</w:t>
      </w:r>
      <w:r w:rsidR="002B76E9" w:rsidRPr="00FF714F">
        <w:rPr>
          <w:rFonts w:cs="Arial"/>
          <w:lang w:eastAsia="en-AU"/>
        </w:rPr>
        <w:t xml:space="preserve">. </w:t>
      </w:r>
    </w:p>
    <w:p w:rsidR="00D4399C" w:rsidRPr="00FF714F" w:rsidRDefault="00F57B72" w:rsidP="00D4399C">
      <w:pPr>
        <w:numPr>
          <w:ilvl w:val="0"/>
          <w:numId w:val="36"/>
        </w:numPr>
        <w:rPr>
          <w:rFonts w:cs="Arial"/>
          <w:lang w:eastAsia="en-AU"/>
        </w:rPr>
      </w:pPr>
      <w:r w:rsidRPr="00FF714F">
        <w:rPr>
          <w:rFonts w:cs="Arial"/>
          <w:lang w:eastAsia="en-AU"/>
        </w:rPr>
        <w:t xml:space="preserve">During the review period (2009-2012) the AAPF funded 113 activities across 54 countries. </w:t>
      </w:r>
      <w:r w:rsidR="006C528B" w:rsidRPr="00FF714F">
        <w:rPr>
          <w:rFonts w:cs="Arial"/>
          <w:lang w:eastAsia="en-AU"/>
        </w:rPr>
        <w:t xml:space="preserve">DFAT recognises </w:t>
      </w:r>
      <w:r w:rsidRPr="00FF714F">
        <w:rPr>
          <w:rFonts w:cs="Arial"/>
          <w:lang w:eastAsia="en-AU"/>
        </w:rPr>
        <w:t xml:space="preserve">the challenges associated with </w:t>
      </w:r>
      <w:r w:rsidR="006C528B" w:rsidRPr="00FF714F">
        <w:rPr>
          <w:rFonts w:cs="Arial"/>
          <w:lang w:eastAsia="en-AU"/>
        </w:rPr>
        <w:t xml:space="preserve">evaluating the AAPF, given </w:t>
      </w:r>
      <w:r w:rsidRPr="00FF714F">
        <w:rPr>
          <w:rFonts w:cs="Arial"/>
          <w:lang w:eastAsia="en-AU"/>
        </w:rPr>
        <w:t xml:space="preserve">the spread of </w:t>
      </w:r>
      <w:r w:rsidR="006C528B" w:rsidRPr="00FF714F">
        <w:rPr>
          <w:rFonts w:cs="Arial"/>
          <w:lang w:eastAsia="en-AU"/>
        </w:rPr>
        <w:t xml:space="preserve">activities and </w:t>
      </w:r>
      <w:r w:rsidRPr="00FF714F">
        <w:rPr>
          <w:rFonts w:cs="Arial"/>
          <w:lang w:eastAsia="en-AU"/>
        </w:rPr>
        <w:t>the time and resources available for the IPR</w:t>
      </w:r>
      <w:r w:rsidR="006C528B" w:rsidRPr="00FF714F">
        <w:rPr>
          <w:rFonts w:cs="Arial"/>
          <w:lang w:eastAsia="en-AU"/>
        </w:rPr>
        <w:t xml:space="preserve">.  We support the agreed </w:t>
      </w:r>
      <w:r w:rsidRPr="00FF714F">
        <w:rPr>
          <w:rFonts w:cs="Arial"/>
          <w:lang w:eastAsia="en-AU"/>
        </w:rPr>
        <w:t>purposive sampl</w:t>
      </w:r>
      <w:r w:rsidR="006C528B" w:rsidRPr="00FF714F">
        <w:rPr>
          <w:rFonts w:cs="Arial"/>
          <w:lang w:eastAsia="en-AU"/>
        </w:rPr>
        <w:t>ing method</w:t>
      </w:r>
      <w:r w:rsidRPr="00FF714F">
        <w:rPr>
          <w:rFonts w:cs="Arial"/>
          <w:lang w:eastAsia="en-AU"/>
        </w:rPr>
        <w:t xml:space="preserve"> of </w:t>
      </w:r>
      <w:r w:rsidR="006C528B" w:rsidRPr="00FF714F">
        <w:rPr>
          <w:rFonts w:cs="Arial"/>
          <w:lang w:eastAsia="en-AU"/>
        </w:rPr>
        <w:t xml:space="preserve">selecting </w:t>
      </w:r>
      <w:r w:rsidRPr="00FF714F">
        <w:rPr>
          <w:rFonts w:cs="Arial"/>
          <w:lang w:eastAsia="en-AU"/>
        </w:rPr>
        <w:t>15 activities and field visit</w:t>
      </w:r>
      <w:r w:rsidR="006C528B" w:rsidRPr="00FF714F">
        <w:rPr>
          <w:rFonts w:cs="Arial"/>
          <w:lang w:eastAsia="en-AU"/>
        </w:rPr>
        <w:t>s</w:t>
      </w:r>
      <w:r w:rsidRPr="00FF714F">
        <w:rPr>
          <w:rFonts w:cs="Arial"/>
          <w:lang w:eastAsia="en-AU"/>
        </w:rPr>
        <w:t xml:space="preserve"> to 4 countries. </w:t>
      </w:r>
      <w:r w:rsidR="006C528B" w:rsidRPr="00FF714F">
        <w:rPr>
          <w:rFonts w:cs="Arial"/>
          <w:lang w:eastAsia="en-AU"/>
        </w:rPr>
        <w:t>We agree that t</w:t>
      </w:r>
      <w:r w:rsidRPr="00FF714F">
        <w:rPr>
          <w:rFonts w:cs="Arial"/>
          <w:lang w:eastAsia="en-AU"/>
        </w:rPr>
        <w:t xml:space="preserve">he purposive sample </w:t>
      </w:r>
      <w:r w:rsidR="006C528B" w:rsidRPr="00FF714F">
        <w:rPr>
          <w:rFonts w:cs="Arial"/>
          <w:lang w:eastAsia="en-AU"/>
        </w:rPr>
        <w:t xml:space="preserve">was </w:t>
      </w:r>
      <w:r w:rsidRPr="00FF714F">
        <w:rPr>
          <w:rFonts w:cs="Arial"/>
          <w:lang w:eastAsia="en-AU"/>
        </w:rPr>
        <w:t xml:space="preserve">sufficient to meet the </w:t>
      </w:r>
      <w:r w:rsidR="007321A0" w:rsidRPr="00FF714F">
        <w:rPr>
          <w:rFonts w:cs="Arial"/>
          <w:lang w:eastAsia="en-AU"/>
        </w:rPr>
        <w:t xml:space="preserve">objectives (i) and (ii) </w:t>
      </w:r>
      <w:r w:rsidRPr="00FF714F">
        <w:rPr>
          <w:rFonts w:cs="Arial"/>
          <w:lang w:eastAsia="en-AU"/>
        </w:rPr>
        <w:t xml:space="preserve">of the IPR, but </w:t>
      </w:r>
      <w:r w:rsidR="006C528B" w:rsidRPr="00FF714F">
        <w:rPr>
          <w:rFonts w:cs="Arial"/>
          <w:lang w:eastAsia="en-AU"/>
        </w:rPr>
        <w:t>was not</w:t>
      </w:r>
      <w:r w:rsidRPr="00FF714F">
        <w:rPr>
          <w:rFonts w:cs="Arial"/>
          <w:lang w:eastAsia="en-AU"/>
        </w:rPr>
        <w:t xml:space="preserve"> representative of the whole AAPF</w:t>
      </w:r>
      <w:r w:rsidR="00335D76" w:rsidRPr="00FF714F">
        <w:rPr>
          <w:rFonts w:cs="Arial"/>
          <w:lang w:eastAsia="en-AU"/>
        </w:rPr>
        <w:t xml:space="preserve"> dur</w:t>
      </w:r>
      <w:r w:rsidR="007157CF" w:rsidRPr="00FF714F">
        <w:rPr>
          <w:rFonts w:cs="Arial"/>
          <w:lang w:eastAsia="en-AU"/>
        </w:rPr>
        <w:t>i</w:t>
      </w:r>
      <w:r w:rsidR="00335D76" w:rsidRPr="00FF714F">
        <w:rPr>
          <w:rFonts w:cs="Arial"/>
          <w:lang w:eastAsia="en-AU"/>
        </w:rPr>
        <w:t>ng the review period (2009-2012)</w:t>
      </w:r>
      <w:r w:rsidRPr="00FF714F">
        <w:rPr>
          <w:rFonts w:cs="Arial"/>
          <w:lang w:eastAsia="en-AU"/>
        </w:rPr>
        <w:t xml:space="preserve">. </w:t>
      </w:r>
      <w:r w:rsidR="007321A0" w:rsidRPr="00FF714F">
        <w:rPr>
          <w:rFonts w:cs="Arial"/>
          <w:lang w:eastAsia="en-AU"/>
        </w:rPr>
        <w:t>A</w:t>
      </w:r>
      <w:r w:rsidR="00D4399C" w:rsidRPr="00FF714F">
        <w:rPr>
          <w:rFonts w:cs="Arial"/>
          <w:lang w:eastAsia="en-AU"/>
        </w:rPr>
        <w:t xml:space="preserve">s the third objective of the review was to “consider shape and size of the facility required to support Australia’s changing focus in Africa”, </w:t>
      </w:r>
      <w:r w:rsidR="007321A0" w:rsidRPr="00FF714F">
        <w:rPr>
          <w:rFonts w:cs="Arial"/>
          <w:lang w:eastAsia="en-AU"/>
        </w:rPr>
        <w:t xml:space="preserve">it </w:t>
      </w:r>
      <w:r w:rsidR="006C528B" w:rsidRPr="00FF714F">
        <w:rPr>
          <w:rFonts w:cs="Arial"/>
          <w:lang w:eastAsia="en-AU"/>
        </w:rPr>
        <w:t xml:space="preserve">was </w:t>
      </w:r>
      <w:r w:rsidR="007321A0" w:rsidRPr="00FF714F">
        <w:rPr>
          <w:rFonts w:cs="Arial"/>
          <w:lang w:eastAsia="en-AU"/>
        </w:rPr>
        <w:t xml:space="preserve">reasonable to expect the </w:t>
      </w:r>
      <w:r w:rsidR="006C528B" w:rsidRPr="00FF714F">
        <w:rPr>
          <w:rFonts w:cs="Arial"/>
          <w:lang w:eastAsia="en-AU"/>
        </w:rPr>
        <w:t xml:space="preserve">review </w:t>
      </w:r>
      <w:r w:rsidR="007321A0" w:rsidRPr="00FF714F">
        <w:rPr>
          <w:rFonts w:cs="Arial"/>
          <w:lang w:eastAsia="en-AU"/>
        </w:rPr>
        <w:t xml:space="preserve">team to consider </w:t>
      </w:r>
      <w:r w:rsidR="00D4399C" w:rsidRPr="00FF714F">
        <w:rPr>
          <w:rFonts w:cs="Arial"/>
          <w:lang w:eastAsia="en-AU"/>
        </w:rPr>
        <w:t xml:space="preserve">the changes that </w:t>
      </w:r>
      <w:r w:rsidR="006C528B" w:rsidRPr="00FF714F">
        <w:rPr>
          <w:rFonts w:cs="Arial"/>
          <w:lang w:eastAsia="en-AU"/>
        </w:rPr>
        <w:t xml:space="preserve">were </w:t>
      </w:r>
      <w:r w:rsidR="00D4399C" w:rsidRPr="00FF714F">
        <w:rPr>
          <w:rFonts w:cs="Arial"/>
          <w:lang w:eastAsia="en-AU"/>
        </w:rPr>
        <w:t xml:space="preserve">taking place in the first 6 months of 2012-13. </w:t>
      </w:r>
      <w:r w:rsidR="006C528B" w:rsidRPr="00FF714F">
        <w:rPr>
          <w:rFonts w:cs="Arial"/>
          <w:lang w:eastAsia="en-AU"/>
        </w:rPr>
        <w:t xml:space="preserve">DFAT </w:t>
      </w:r>
      <w:r w:rsidR="00FC1548">
        <w:rPr>
          <w:rFonts w:cs="Arial"/>
          <w:lang w:eastAsia="en-AU"/>
        </w:rPr>
        <w:t>provided</w:t>
      </w:r>
      <w:r w:rsidR="00D4399C" w:rsidRPr="00FF714F">
        <w:rPr>
          <w:rFonts w:cs="Arial"/>
          <w:lang w:eastAsia="en-AU"/>
        </w:rPr>
        <w:t xml:space="preserve"> the </w:t>
      </w:r>
      <w:r w:rsidR="007321A0" w:rsidRPr="00FF714F">
        <w:rPr>
          <w:rFonts w:cs="Arial"/>
          <w:lang w:eastAsia="en-AU"/>
        </w:rPr>
        <w:t>IPR team</w:t>
      </w:r>
      <w:r w:rsidR="00D4399C" w:rsidRPr="00FF714F">
        <w:rPr>
          <w:rFonts w:cs="Arial"/>
          <w:lang w:eastAsia="en-AU"/>
        </w:rPr>
        <w:t xml:space="preserve"> full access to information of the AAPF operation</w:t>
      </w:r>
      <w:r w:rsidR="006C528B" w:rsidRPr="00FF714F">
        <w:rPr>
          <w:rFonts w:cs="Arial"/>
          <w:lang w:eastAsia="en-AU"/>
        </w:rPr>
        <w:t>s</w:t>
      </w:r>
      <w:r w:rsidR="00D4399C" w:rsidRPr="00FF714F">
        <w:rPr>
          <w:rFonts w:cs="Arial"/>
          <w:lang w:eastAsia="en-AU"/>
        </w:rPr>
        <w:t xml:space="preserve"> during this period.  </w:t>
      </w:r>
    </w:p>
    <w:p w:rsidR="006719C2" w:rsidRDefault="00FC1548" w:rsidP="002B76E9">
      <w:pPr>
        <w:numPr>
          <w:ilvl w:val="0"/>
          <w:numId w:val="36"/>
        </w:numPr>
        <w:rPr>
          <w:rFonts w:cs="Arial"/>
          <w:lang w:eastAsia="en-AU"/>
        </w:rPr>
      </w:pPr>
      <w:r>
        <w:rPr>
          <w:rFonts w:cs="Arial"/>
          <w:lang w:eastAsia="en-AU"/>
        </w:rPr>
        <w:t xml:space="preserve">The review provides some helpful suggestions </w:t>
      </w:r>
      <w:r w:rsidR="000D724D">
        <w:rPr>
          <w:rFonts w:cs="Arial"/>
          <w:lang w:eastAsia="en-AU"/>
        </w:rPr>
        <w:t xml:space="preserve">in improving </w:t>
      </w:r>
      <w:r>
        <w:rPr>
          <w:rFonts w:cs="Arial"/>
          <w:lang w:eastAsia="en-AU"/>
        </w:rPr>
        <w:t xml:space="preserve">the </w:t>
      </w:r>
      <w:r w:rsidR="000D724D">
        <w:rPr>
          <w:rFonts w:cs="Arial"/>
          <w:lang w:eastAsia="en-AU"/>
        </w:rPr>
        <w:t xml:space="preserve">systems and overall </w:t>
      </w:r>
      <w:r>
        <w:rPr>
          <w:rFonts w:cs="Arial"/>
          <w:lang w:eastAsia="en-AU"/>
        </w:rPr>
        <w:t>management of the AAPF</w:t>
      </w:r>
      <w:r w:rsidR="000D724D">
        <w:rPr>
          <w:rFonts w:cs="Arial"/>
          <w:lang w:eastAsia="en-AU"/>
        </w:rPr>
        <w:t xml:space="preserve">. It also provides some good analysis on the </w:t>
      </w:r>
      <w:r>
        <w:rPr>
          <w:rFonts w:cs="Arial"/>
          <w:lang w:eastAsia="en-AU"/>
        </w:rPr>
        <w:t xml:space="preserve">achievements </w:t>
      </w:r>
      <w:r w:rsidR="000D724D">
        <w:rPr>
          <w:rFonts w:cs="Arial"/>
          <w:lang w:eastAsia="en-AU"/>
        </w:rPr>
        <w:t>of the AAPF but also areas to consider to achieve more sustainable</w:t>
      </w:r>
      <w:r>
        <w:rPr>
          <w:rFonts w:cs="Arial"/>
          <w:lang w:eastAsia="en-AU"/>
        </w:rPr>
        <w:t xml:space="preserve"> impact. </w:t>
      </w:r>
      <w:r w:rsidR="006C528B" w:rsidRPr="00FF714F">
        <w:rPr>
          <w:rFonts w:cs="Arial"/>
          <w:lang w:eastAsia="en-AU"/>
        </w:rPr>
        <w:t xml:space="preserve">DFAT </w:t>
      </w:r>
      <w:r>
        <w:rPr>
          <w:rFonts w:cs="Arial"/>
          <w:lang w:eastAsia="en-AU"/>
        </w:rPr>
        <w:t>agrees with the majority of the recommendations and has already actioned or is actio</w:t>
      </w:r>
      <w:r w:rsidR="000D724D">
        <w:rPr>
          <w:rFonts w:cs="Arial"/>
          <w:lang w:eastAsia="en-AU"/>
        </w:rPr>
        <w:t>ning agreed recommendations.</w:t>
      </w:r>
      <w:r>
        <w:rPr>
          <w:rFonts w:cs="Arial"/>
          <w:lang w:eastAsia="en-AU"/>
        </w:rPr>
        <w:t xml:space="preserve"> </w:t>
      </w:r>
    </w:p>
    <w:p w:rsidR="002B76E9" w:rsidRPr="00FF714F" w:rsidRDefault="000D724D" w:rsidP="002B76E9">
      <w:pPr>
        <w:numPr>
          <w:ilvl w:val="0"/>
          <w:numId w:val="36"/>
        </w:numPr>
        <w:rPr>
          <w:rFonts w:cs="Arial"/>
          <w:lang w:eastAsia="en-AU"/>
        </w:rPr>
      </w:pPr>
      <w:r>
        <w:rPr>
          <w:rFonts w:cs="Arial"/>
          <w:lang w:eastAsia="en-AU"/>
        </w:rPr>
        <w:t>However, we do not agree with all recommendation</w:t>
      </w:r>
      <w:r w:rsidR="007E67B8">
        <w:rPr>
          <w:rFonts w:cs="Arial"/>
          <w:lang w:eastAsia="en-AU"/>
        </w:rPr>
        <w:t>s</w:t>
      </w:r>
      <w:r>
        <w:rPr>
          <w:rFonts w:cs="Arial"/>
          <w:lang w:eastAsia="en-AU"/>
        </w:rPr>
        <w:t xml:space="preserve"> a</w:t>
      </w:r>
      <w:r w:rsidR="006719C2">
        <w:rPr>
          <w:rFonts w:cs="Arial"/>
          <w:lang w:eastAsia="en-AU"/>
        </w:rPr>
        <w:t>n</w:t>
      </w:r>
      <w:r>
        <w:rPr>
          <w:rFonts w:cs="Arial"/>
          <w:lang w:eastAsia="en-AU"/>
        </w:rPr>
        <w:t xml:space="preserve">d believe </w:t>
      </w:r>
      <w:r w:rsidR="006C528B" w:rsidRPr="00FF714F">
        <w:rPr>
          <w:rFonts w:cs="Arial"/>
          <w:lang w:eastAsia="en-AU"/>
        </w:rPr>
        <w:t>s</w:t>
      </w:r>
      <w:r w:rsidR="002B76E9" w:rsidRPr="00FF714F">
        <w:rPr>
          <w:rFonts w:cs="Arial"/>
          <w:lang w:eastAsia="en-AU"/>
        </w:rPr>
        <w:t xml:space="preserve">ome </w:t>
      </w:r>
      <w:r>
        <w:rPr>
          <w:rFonts w:cs="Arial"/>
          <w:lang w:eastAsia="en-AU"/>
        </w:rPr>
        <w:t xml:space="preserve">of the </w:t>
      </w:r>
      <w:r w:rsidR="002B76E9" w:rsidRPr="00FF714F">
        <w:rPr>
          <w:rFonts w:cs="Arial"/>
          <w:lang w:eastAsia="en-AU"/>
        </w:rPr>
        <w:t xml:space="preserve">conclusions in the report are not </w:t>
      </w:r>
      <w:r w:rsidR="006719C2">
        <w:rPr>
          <w:rFonts w:cs="Arial"/>
          <w:lang w:eastAsia="en-AU"/>
        </w:rPr>
        <w:t xml:space="preserve">adequately </w:t>
      </w:r>
      <w:r w:rsidR="002B76E9" w:rsidRPr="00FF714F">
        <w:rPr>
          <w:rFonts w:cs="Arial"/>
          <w:lang w:eastAsia="en-AU"/>
        </w:rPr>
        <w:t xml:space="preserve">backed up by </w:t>
      </w:r>
      <w:r w:rsidR="006C528B" w:rsidRPr="00FF714F">
        <w:rPr>
          <w:rFonts w:cs="Arial"/>
          <w:lang w:eastAsia="en-AU"/>
        </w:rPr>
        <w:t xml:space="preserve">clear </w:t>
      </w:r>
      <w:r w:rsidR="002B76E9" w:rsidRPr="00FF714F">
        <w:rPr>
          <w:rFonts w:cs="Arial"/>
          <w:lang w:eastAsia="en-AU"/>
        </w:rPr>
        <w:t>supporting evidence</w:t>
      </w:r>
      <w:r w:rsidR="006C528B" w:rsidRPr="00FF714F">
        <w:rPr>
          <w:rFonts w:cs="Arial"/>
          <w:lang w:eastAsia="en-AU"/>
        </w:rPr>
        <w:t>. Use of</w:t>
      </w:r>
      <w:r w:rsidR="002B76E9" w:rsidRPr="00FF714F">
        <w:rPr>
          <w:rFonts w:cs="Arial"/>
          <w:lang w:eastAsia="en-AU"/>
        </w:rPr>
        <w:t xml:space="preserve"> anecdotal comments and references </w:t>
      </w:r>
      <w:r w:rsidR="0059562A" w:rsidRPr="00FF714F">
        <w:rPr>
          <w:rFonts w:cs="Arial"/>
          <w:lang w:eastAsia="en-AU"/>
        </w:rPr>
        <w:t>to</w:t>
      </w:r>
      <w:r w:rsidR="002B76E9" w:rsidRPr="00FF714F">
        <w:rPr>
          <w:rFonts w:cs="Arial"/>
          <w:lang w:eastAsia="en-AU"/>
        </w:rPr>
        <w:t xml:space="preserve"> individual</w:t>
      </w:r>
      <w:r w:rsidR="0059562A" w:rsidRPr="00FF714F">
        <w:rPr>
          <w:rFonts w:cs="Arial"/>
          <w:lang w:eastAsia="en-AU"/>
        </w:rPr>
        <w:t>s</w:t>
      </w:r>
      <w:r w:rsidR="002B76E9" w:rsidRPr="00FF714F">
        <w:rPr>
          <w:rFonts w:cs="Arial"/>
          <w:lang w:eastAsia="en-AU"/>
        </w:rPr>
        <w:t xml:space="preserve"> interviewed </w:t>
      </w:r>
      <w:r w:rsidR="004301E3" w:rsidRPr="00FF714F">
        <w:rPr>
          <w:rFonts w:cs="Arial"/>
          <w:lang w:eastAsia="en-AU"/>
        </w:rPr>
        <w:t xml:space="preserve">are </w:t>
      </w:r>
      <w:r w:rsidR="0059562A" w:rsidRPr="00FF714F">
        <w:rPr>
          <w:rFonts w:cs="Arial"/>
          <w:lang w:eastAsia="en-AU"/>
        </w:rPr>
        <w:t xml:space="preserve">often </w:t>
      </w:r>
      <w:r w:rsidR="004301E3" w:rsidRPr="00FF714F">
        <w:rPr>
          <w:rFonts w:cs="Arial"/>
          <w:lang w:eastAsia="en-AU"/>
        </w:rPr>
        <w:t>drawn on or used to back</w:t>
      </w:r>
      <w:r w:rsidR="00EE5927">
        <w:rPr>
          <w:rFonts w:cs="Arial"/>
          <w:lang w:eastAsia="en-AU"/>
        </w:rPr>
        <w:t xml:space="preserve"> </w:t>
      </w:r>
      <w:r w:rsidR="004301E3" w:rsidRPr="00FF714F">
        <w:rPr>
          <w:rFonts w:cs="Arial"/>
          <w:lang w:eastAsia="en-AU"/>
        </w:rPr>
        <w:t>up broader claims</w:t>
      </w:r>
      <w:r w:rsidR="00D1128E" w:rsidRPr="00FF714F">
        <w:rPr>
          <w:rFonts w:cs="Arial"/>
          <w:lang w:eastAsia="en-AU"/>
        </w:rPr>
        <w:t xml:space="preserve"> without other supporting evidence</w:t>
      </w:r>
      <w:r w:rsidR="004301E3" w:rsidRPr="00FF714F">
        <w:rPr>
          <w:rFonts w:cs="Arial"/>
          <w:lang w:eastAsia="en-AU"/>
        </w:rPr>
        <w:t>. T</w:t>
      </w:r>
      <w:r w:rsidR="002B76E9" w:rsidRPr="00FF714F">
        <w:rPr>
          <w:rFonts w:cs="Arial"/>
          <w:lang w:eastAsia="en-AU"/>
        </w:rPr>
        <w:t xml:space="preserve">he report does not indicate the degree </w:t>
      </w:r>
      <w:r w:rsidR="00D1128E" w:rsidRPr="00FF714F">
        <w:rPr>
          <w:rFonts w:cs="Arial"/>
          <w:lang w:eastAsia="en-AU"/>
        </w:rPr>
        <w:t xml:space="preserve">to which </w:t>
      </w:r>
      <w:r w:rsidR="002B76E9" w:rsidRPr="00FF714F">
        <w:rPr>
          <w:rFonts w:cs="Arial"/>
          <w:lang w:eastAsia="en-AU"/>
        </w:rPr>
        <w:t xml:space="preserve">the </w:t>
      </w:r>
      <w:r w:rsidR="0059562A" w:rsidRPr="00FF714F">
        <w:rPr>
          <w:rFonts w:cs="Arial"/>
          <w:lang w:eastAsia="en-AU"/>
        </w:rPr>
        <w:t xml:space="preserve">individual </w:t>
      </w:r>
      <w:r w:rsidR="002B76E9" w:rsidRPr="00FF714F">
        <w:rPr>
          <w:rFonts w:cs="Arial"/>
          <w:lang w:eastAsia="en-AU"/>
        </w:rPr>
        <w:t>views are shared across respondents</w:t>
      </w:r>
      <w:r w:rsidR="004301E3" w:rsidRPr="00FF714F">
        <w:rPr>
          <w:rFonts w:cs="Arial"/>
          <w:lang w:eastAsia="en-AU"/>
        </w:rPr>
        <w:t xml:space="preserve"> and if the information is brought together from a range of sources</w:t>
      </w:r>
      <w:r w:rsidR="002B76E9" w:rsidRPr="00FF714F">
        <w:rPr>
          <w:rFonts w:cs="Arial"/>
          <w:lang w:eastAsia="en-AU"/>
        </w:rPr>
        <w:t xml:space="preserve">. As a result it can be difficult to determine what the evidence base is behind some of the </w:t>
      </w:r>
      <w:r w:rsidR="00D1128E" w:rsidRPr="00FF714F">
        <w:rPr>
          <w:rFonts w:cs="Arial"/>
          <w:lang w:eastAsia="en-AU"/>
        </w:rPr>
        <w:t>conclusions in the review</w:t>
      </w:r>
      <w:r w:rsidR="002B76E9" w:rsidRPr="00FF714F">
        <w:rPr>
          <w:rFonts w:cs="Arial"/>
          <w:lang w:eastAsia="en-AU"/>
        </w:rPr>
        <w:t xml:space="preserve">. In </w:t>
      </w:r>
      <w:r w:rsidR="0034483C">
        <w:rPr>
          <w:rFonts w:cs="Arial"/>
          <w:lang w:eastAsia="en-AU"/>
        </w:rPr>
        <w:t xml:space="preserve">a number of </w:t>
      </w:r>
      <w:r w:rsidR="002B76E9" w:rsidRPr="00FF714F">
        <w:rPr>
          <w:rFonts w:cs="Arial"/>
          <w:lang w:eastAsia="en-AU"/>
        </w:rPr>
        <w:t xml:space="preserve">instances there is supplementary information to which the IPR report </w:t>
      </w:r>
      <w:r w:rsidR="0059562A" w:rsidRPr="00FF714F">
        <w:rPr>
          <w:rFonts w:cs="Arial"/>
          <w:lang w:eastAsia="en-AU"/>
        </w:rPr>
        <w:t xml:space="preserve">makes </w:t>
      </w:r>
      <w:r w:rsidR="002B76E9" w:rsidRPr="00FF714F">
        <w:rPr>
          <w:rFonts w:cs="Arial"/>
          <w:lang w:eastAsia="en-AU"/>
        </w:rPr>
        <w:t>no reference (such as progress reports, Activity Completion Reports, financial update</w:t>
      </w:r>
      <w:r w:rsidR="0059562A" w:rsidRPr="00FF714F">
        <w:rPr>
          <w:rFonts w:cs="Arial"/>
          <w:lang w:eastAsia="en-AU"/>
        </w:rPr>
        <w:t>s</w:t>
      </w:r>
      <w:r w:rsidR="002B76E9" w:rsidRPr="00FF714F">
        <w:rPr>
          <w:rFonts w:cs="Arial"/>
          <w:lang w:eastAsia="en-AU"/>
        </w:rPr>
        <w:t>, quality reports, reviews). In a number of instances this information contradicts the findings of the IPR.</w:t>
      </w:r>
    </w:p>
    <w:p w:rsidR="006D7CCE" w:rsidRPr="00FF714F" w:rsidRDefault="006D7CCE" w:rsidP="006D7CCE">
      <w:pPr>
        <w:numPr>
          <w:ilvl w:val="0"/>
          <w:numId w:val="36"/>
        </w:numPr>
        <w:rPr>
          <w:rFonts w:cs="Arial"/>
          <w:b/>
          <w:i/>
        </w:rPr>
      </w:pPr>
      <w:r w:rsidRPr="00FF714F">
        <w:rPr>
          <w:rFonts w:cs="Arial"/>
          <w:lang w:eastAsia="en-AU"/>
        </w:rPr>
        <w:t xml:space="preserve">Overall, </w:t>
      </w:r>
      <w:r w:rsidR="008978BF" w:rsidRPr="00FF714F">
        <w:rPr>
          <w:rFonts w:cs="Arial"/>
          <w:lang w:eastAsia="en-AU"/>
        </w:rPr>
        <w:t xml:space="preserve">DFAT feels </w:t>
      </w:r>
      <w:r w:rsidRPr="00FF714F">
        <w:rPr>
          <w:rFonts w:cs="Arial"/>
          <w:lang w:eastAsia="en-AU"/>
        </w:rPr>
        <w:t xml:space="preserve">the IPR </w:t>
      </w:r>
      <w:r w:rsidR="008978BF" w:rsidRPr="00FF714F">
        <w:rPr>
          <w:rFonts w:cs="Arial"/>
          <w:lang w:eastAsia="en-AU"/>
        </w:rPr>
        <w:t>does not</w:t>
      </w:r>
      <w:r w:rsidRPr="00FF714F">
        <w:rPr>
          <w:rFonts w:cs="Arial"/>
          <w:lang w:eastAsia="en-AU"/>
        </w:rPr>
        <w:t xml:space="preserve"> acknowledge how the AAPF has shaped a strong platform for longer</w:t>
      </w:r>
      <w:r w:rsidR="00D1128E" w:rsidRPr="00FF714F">
        <w:rPr>
          <w:rFonts w:cs="Arial"/>
          <w:lang w:eastAsia="en-AU"/>
        </w:rPr>
        <w:t>-</w:t>
      </w:r>
      <w:r w:rsidRPr="00FF714F">
        <w:rPr>
          <w:rFonts w:cs="Arial"/>
          <w:lang w:eastAsia="en-AU"/>
        </w:rPr>
        <w:t xml:space="preserve">term investments and engagement in </w:t>
      </w:r>
      <w:r w:rsidR="00D1128E" w:rsidRPr="00FF714F">
        <w:rPr>
          <w:rFonts w:cs="Arial"/>
          <w:lang w:eastAsia="en-AU"/>
        </w:rPr>
        <w:t xml:space="preserve">Africa particularly, but not limited to, the area of </w:t>
      </w:r>
      <w:r w:rsidR="007E67B8">
        <w:rPr>
          <w:rFonts w:cs="Arial"/>
          <w:lang w:eastAsia="en-AU"/>
        </w:rPr>
        <w:t>Extractives for Growth</w:t>
      </w:r>
      <w:r w:rsidRPr="00FF714F">
        <w:rPr>
          <w:rFonts w:cs="Arial"/>
          <w:lang w:eastAsia="en-AU"/>
        </w:rPr>
        <w:t xml:space="preserve">. </w:t>
      </w:r>
      <w:r w:rsidR="006719C2">
        <w:rPr>
          <w:rFonts w:cs="Arial"/>
        </w:rPr>
        <w:t>T</w:t>
      </w:r>
      <w:r w:rsidR="008978BF" w:rsidRPr="00FF714F">
        <w:rPr>
          <w:rFonts w:cs="Arial"/>
        </w:rPr>
        <w:t>he</w:t>
      </w:r>
      <w:r w:rsidRPr="00FF714F">
        <w:rPr>
          <w:rFonts w:cs="Arial"/>
        </w:rPr>
        <w:t xml:space="preserve"> AAPF </w:t>
      </w:r>
      <w:r w:rsidR="006719C2">
        <w:rPr>
          <w:rFonts w:cs="Arial"/>
        </w:rPr>
        <w:t xml:space="preserve">was central to supporting </w:t>
      </w:r>
      <w:r w:rsidR="004356AA" w:rsidRPr="00FF714F">
        <w:rPr>
          <w:rFonts w:cs="Arial"/>
        </w:rPr>
        <w:t>the African Union in the promotion of the African Mining Vision</w:t>
      </w:r>
      <w:r w:rsidR="006719C2">
        <w:rPr>
          <w:rFonts w:cs="Arial"/>
        </w:rPr>
        <w:t xml:space="preserve">. Through the AAPF Australia was the first donor to support the </w:t>
      </w:r>
      <w:r w:rsidR="004356AA" w:rsidRPr="00FF714F">
        <w:rPr>
          <w:rFonts w:cs="Arial"/>
        </w:rPr>
        <w:t xml:space="preserve">establishment of the </w:t>
      </w:r>
      <w:r w:rsidRPr="00FF714F">
        <w:rPr>
          <w:rFonts w:cs="Arial"/>
        </w:rPr>
        <w:t xml:space="preserve">African Minerals Development Centre which </w:t>
      </w:r>
      <w:r w:rsidR="006719C2">
        <w:rPr>
          <w:rFonts w:cs="Arial"/>
        </w:rPr>
        <w:t>is becoming the primary Africa centre for sharing best practice and improving transparency in the mining sector.</w:t>
      </w:r>
      <w:r w:rsidRPr="00FF714F">
        <w:rPr>
          <w:rFonts w:cs="Arial"/>
        </w:rPr>
        <w:t xml:space="preserve"> </w:t>
      </w:r>
    </w:p>
    <w:p w:rsidR="002A1BE1" w:rsidRPr="00FF714F" w:rsidRDefault="002A1BE1" w:rsidP="006D7CCE">
      <w:pPr>
        <w:numPr>
          <w:ilvl w:val="0"/>
          <w:numId w:val="36"/>
        </w:numPr>
        <w:rPr>
          <w:rFonts w:cs="Arial"/>
          <w:szCs w:val="20"/>
        </w:rPr>
      </w:pPr>
      <w:r w:rsidRPr="00FF714F">
        <w:rPr>
          <w:rFonts w:cs="Arial"/>
          <w:lang w:eastAsia="en-AU"/>
        </w:rPr>
        <w:t>The</w:t>
      </w:r>
      <w:r w:rsidRPr="00FF714F">
        <w:rPr>
          <w:rFonts w:cs="Arial"/>
          <w:szCs w:val="20"/>
        </w:rPr>
        <w:t xml:space="preserve"> </w:t>
      </w:r>
      <w:r w:rsidRPr="00FF714F">
        <w:rPr>
          <w:rFonts w:cs="Arial"/>
          <w:lang w:eastAsia="en-AU"/>
        </w:rPr>
        <w:t>IPR</w:t>
      </w:r>
      <w:r w:rsidRPr="00FF714F">
        <w:rPr>
          <w:rFonts w:cs="Arial"/>
          <w:szCs w:val="20"/>
        </w:rPr>
        <w:t xml:space="preserve"> (p. 8) </w:t>
      </w:r>
      <w:r w:rsidR="008978BF" w:rsidRPr="00FF714F">
        <w:rPr>
          <w:rFonts w:cs="Arial"/>
          <w:szCs w:val="20"/>
        </w:rPr>
        <w:t xml:space="preserve">states </w:t>
      </w:r>
      <w:r w:rsidRPr="00FF714F">
        <w:rPr>
          <w:rFonts w:cs="Arial"/>
          <w:szCs w:val="20"/>
        </w:rPr>
        <w:t>that the AAPF ‘</w:t>
      </w:r>
      <w:r w:rsidRPr="00FF714F">
        <w:rPr>
          <w:rFonts w:cs="Arial"/>
          <w:i/>
          <w:szCs w:val="20"/>
        </w:rPr>
        <w:t>would appear to have been highly successful in meeting the diplomatic intent of its objectives… that the best possible development outcomes were achieved within the context of a rapidly deployed aid modality, disbursi</w:t>
      </w:r>
      <w:r w:rsidR="009A7415">
        <w:rPr>
          <w:rFonts w:cs="Arial"/>
          <w:i/>
          <w:szCs w:val="20"/>
        </w:rPr>
        <w:t xml:space="preserve">ng a rapidly expanding budget. </w:t>
      </w:r>
      <w:r w:rsidRPr="00FF714F">
        <w:rPr>
          <w:rFonts w:cs="Arial"/>
          <w:i/>
          <w:szCs w:val="20"/>
        </w:rPr>
        <w:t>However, with the exception of work in mining for development, many of the achievements of the AAPF have yet to be capitalised upon</w:t>
      </w:r>
      <w:r w:rsidRPr="00FF714F">
        <w:rPr>
          <w:rFonts w:cs="Arial"/>
          <w:szCs w:val="20"/>
        </w:rPr>
        <w:t xml:space="preserve">.’ </w:t>
      </w:r>
      <w:r w:rsidR="008978BF" w:rsidRPr="00FF714F">
        <w:rPr>
          <w:rFonts w:cs="Arial"/>
          <w:szCs w:val="20"/>
        </w:rPr>
        <w:t xml:space="preserve">We </w:t>
      </w:r>
      <w:r w:rsidR="00D535C9" w:rsidRPr="00FF714F">
        <w:rPr>
          <w:rFonts w:cs="Arial"/>
          <w:szCs w:val="20"/>
        </w:rPr>
        <w:t xml:space="preserve">agree with this statement and </w:t>
      </w:r>
      <w:r w:rsidR="008978BF" w:rsidRPr="00FF714F">
        <w:rPr>
          <w:rFonts w:cs="Arial"/>
          <w:szCs w:val="20"/>
        </w:rPr>
        <w:t>note that t</w:t>
      </w:r>
      <w:r w:rsidRPr="00FF714F">
        <w:rPr>
          <w:rFonts w:cs="Arial"/>
          <w:szCs w:val="20"/>
        </w:rPr>
        <w:t xml:space="preserve">his is not contradictory to </w:t>
      </w:r>
      <w:r w:rsidR="008978BF" w:rsidRPr="00FF714F">
        <w:rPr>
          <w:rFonts w:cs="Arial"/>
          <w:szCs w:val="20"/>
        </w:rPr>
        <w:t xml:space="preserve">DFAT’s </w:t>
      </w:r>
      <w:r w:rsidRPr="00FF714F">
        <w:rPr>
          <w:rFonts w:cs="Arial"/>
          <w:szCs w:val="20"/>
        </w:rPr>
        <w:t xml:space="preserve">approach in implementing the AAPF. In the early phase of the AAPF, the </w:t>
      </w:r>
      <w:r w:rsidR="004356AA" w:rsidRPr="00FF714F">
        <w:rPr>
          <w:rFonts w:cs="Arial"/>
          <w:szCs w:val="20"/>
        </w:rPr>
        <w:t>F</w:t>
      </w:r>
      <w:r w:rsidR="008978BF" w:rsidRPr="00FF714F">
        <w:rPr>
          <w:rFonts w:cs="Arial"/>
          <w:szCs w:val="20"/>
        </w:rPr>
        <w:t xml:space="preserve">acility </w:t>
      </w:r>
      <w:r w:rsidRPr="00FF714F">
        <w:rPr>
          <w:rFonts w:cs="Arial"/>
          <w:szCs w:val="20"/>
        </w:rPr>
        <w:t xml:space="preserve">allowed the aid program to test </w:t>
      </w:r>
      <w:r w:rsidR="00D535C9" w:rsidRPr="00FF714F">
        <w:rPr>
          <w:rFonts w:cs="Arial"/>
          <w:szCs w:val="20"/>
        </w:rPr>
        <w:t>our potential support</w:t>
      </w:r>
      <w:r w:rsidR="008978BF" w:rsidRPr="00FF714F">
        <w:rPr>
          <w:rFonts w:cs="Arial"/>
          <w:szCs w:val="20"/>
        </w:rPr>
        <w:t xml:space="preserve"> in </w:t>
      </w:r>
      <w:r w:rsidRPr="00FF714F">
        <w:rPr>
          <w:rFonts w:cs="Arial"/>
          <w:szCs w:val="20"/>
        </w:rPr>
        <w:t xml:space="preserve">a range of countries and sectors. As the </w:t>
      </w:r>
      <w:r w:rsidR="00D535C9" w:rsidRPr="00FF714F">
        <w:rPr>
          <w:rFonts w:cs="Arial"/>
          <w:szCs w:val="20"/>
        </w:rPr>
        <w:t xml:space="preserve">expanded aid </w:t>
      </w:r>
      <w:r w:rsidRPr="00FF714F">
        <w:rPr>
          <w:rFonts w:cs="Arial"/>
          <w:szCs w:val="20"/>
        </w:rPr>
        <w:t xml:space="preserve">program </w:t>
      </w:r>
      <w:r w:rsidR="00D535C9" w:rsidRPr="00FF714F">
        <w:rPr>
          <w:rFonts w:cs="Arial"/>
          <w:szCs w:val="20"/>
        </w:rPr>
        <w:t xml:space="preserve">in Africa </w:t>
      </w:r>
      <w:r w:rsidRPr="00FF714F">
        <w:rPr>
          <w:rFonts w:cs="Arial"/>
          <w:szCs w:val="20"/>
        </w:rPr>
        <w:t xml:space="preserve">has matured, AAPF has increasingly focused </w:t>
      </w:r>
      <w:r w:rsidR="00D535C9" w:rsidRPr="00FF714F">
        <w:rPr>
          <w:rFonts w:cs="Arial"/>
          <w:szCs w:val="20"/>
        </w:rPr>
        <w:t>activities i</w:t>
      </w:r>
      <w:r w:rsidRPr="00FF714F">
        <w:rPr>
          <w:rFonts w:cs="Arial"/>
          <w:szCs w:val="20"/>
        </w:rPr>
        <w:t>n areas where Australia has particular expertise</w:t>
      </w:r>
      <w:r w:rsidR="00D535C9" w:rsidRPr="00FF714F">
        <w:rPr>
          <w:rFonts w:cs="Arial"/>
          <w:szCs w:val="20"/>
        </w:rPr>
        <w:t xml:space="preserve"> (mining governance being a particular example)</w:t>
      </w:r>
      <w:r w:rsidRPr="00FF714F">
        <w:rPr>
          <w:rFonts w:cs="Arial"/>
          <w:szCs w:val="20"/>
        </w:rPr>
        <w:t xml:space="preserve">. </w:t>
      </w:r>
    </w:p>
    <w:p w:rsidR="00A43381" w:rsidRPr="00FF714F" w:rsidRDefault="00A43381" w:rsidP="00F120B9">
      <w:pPr>
        <w:numPr>
          <w:ilvl w:val="0"/>
          <w:numId w:val="36"/>
        </w:numPr>
        <w:rPr>
          <w:rFonts w:cs="Arial"/>
          <w:lang w:eastAsia="en-AU"/>
        </w:rPr>
      </w:pPr>
      <w:r w:rsidRPr="00FF714F">
        <w:rPr>
          <w:rFonts w:cs="Arial"/>
        </w:rPr>
        <w:t xml:space="preserve">The IPR </w:t>
      </w:r>
      <w:r w:rsidRPr="00FF714F">
        <w:rPr>
          <w:rFonts w:cs="Arial"/>
          <w:szCs w:val="20"/>
          <w:lang w:eastAsia="en-AU"/>
        </w:rPr>
        <w:t>comments</w:t>
      </w:r>
      <w:r w:rsidRPr="00FF714F">
        <w:rPr>
          <w:rFonts w:cs="Arial"/>
        </w:rPr>
        <w:t xml:space="preserve"> that </w:t>
      </w:r>
      <w:r w:rsidRPr="00FF714F">
        <w:rPr>
          <w:rFonts w:cs="Arial"/>
          <w:i/>
        </w:rPr>
        <w:t>“in most cases, the facility is not the appropriate modality to deepen development relationships in the absence of a coherent ‘aid architecture</w:t>
      </w:r>
      <w:r w:rsidRPr="00FF714F">
        <w:rPr>
          <w:rFonts w:cs="Arial"/>
        </w:rPr>
        <w:t xml:space="preserve">”. </w:t>
      </w:r>
      <w:r w:rsidR="003E36DD" w:rsidRPr="00FF714F">
        <w:rPr>
          <w:rFonts w:cs="Arial"/>
        </w:rPr>
        <w:t xml:space="preserve">DFAT agrees </w:t>
      </w:r>
      <w:r w:rsidR="006719C2">
        <w:rPr>
          <w:rFonts w:cs="Arial"/>
        </w:rPr>
        <w:t xml:space="preserve">that the AAPF alone is not the right modality to sustain and deepen long term development relationships, however, when it supports broader bilateral investments in the agricultural and extractives sector it </w:t>
      </w:r>
      <w:r w:rsidR="00AA05B6">
        <w:rPr>
          <w:rFonts w:cs="Arial"/>
        </w:rPr>
        <w:t xml:space="preserve">has proven to be a very effective way of providing relevant technical expertise. Without the AAPF, DFAT would often not have had the </w:t>
      </w:r>
      <w:r w:rsidR="00F46942">
        <w:rPr>
          <w:rFonts w:cs="Arial"/>
        </w:rPr>
        <w:t>partner</w:t>
      </w:r>
      <w:r w:rsidR="00AA05B6">
        <w:rPr>
          <w:rFonts w:cs="Arial"/>
        </w:rPr>
        <w:t xml:space="preserve">ships in place to build longer term development programs. </w:t>
      </w:r>
    </w:p>
    <w:p w:rsidR="007B4DDE" w:rsidRPr="00F46942" w:rsidRDefault="007B4DDE" w:rsidP="00F46942">
      <w:pPr>
        <w:numPr>
          <w:ilvl w:val="0"/>
          <w:numId w:val="36"/>
        </w:numPr>
        <w:rPr>
          <w:rFonts w:cs="Arial"/>
          <w:lang w:eastAsia="en-AU"/>
        </w:rPr>
      </w:pPr>
      <w:r w:rsidRPr="00F46942">
        <w:rPr>
          <w:rFonts w:cs="Arial"/>
          <w:lang w:eastAsia="en-AU"/>
        </w:rPr>
        <w:t xml:space="preserve">In relation to the IPR critique of the PAF (Appendix H), DFAT acknowledges the benefits in having a performance framework which clearly articulates measures for success or achievement of investment outcomes, however notes that this is </w:t>
      </w:r>
      <w:r w:rsidR="00F46942">
        <w:rPr>
          <w:rFonts w:cs="Arial"/>
          <w:lang w:eastAsia="en-AU"/>
        </w:rPr>
        <w:t>more challenging</w:t>
      </w:r>
      <w:r w:rsidRPr="00F46942">
        <w:rPr>
          <w:rFonts w:cs="Arial"/>
          <w:lang w:eastAsia="en-AU"/>
        </w:rPr>
        <w:t xml:space="preserve"> with a Facility mechanism. DFAT will incorporate the lessons learned in performance and quality in the design of any successor program.</w:t>
      </w:r>
    </w:p>
    <w:p w:rsidR="00190F1A" w:rsidRPr="00770305" w:rsidRDefault="00402951" w:rsidP="006753A1">
      <w:pPr>
        <w:numPr>
          <w:ilvl w:val="0"/>
          <w:numId w:val="36"/>
        </w:numPr>
        <w:rPr>
          <w:rFonts w:cs="Arial"/>
          <w:lang w:eastAsia="en-AU"/>
        </w:rPr>
      </w:pPr>
      <w:r w:rsidRPr="00FF714F">
        <w:rPr>
          <w:rFonts w:cs="Arial"/>
          <w:lang w:eastAsia="en-AU"/>
        </w:rPr>
        <w:t xml:space="preserve">Some of the proposed research questions did not receive much attention. For example, under ‘efficiency’ the following questions were </w:t>
      </w:r>
      <w:r w:rsidR="00D6531B" w:rsidRPr="00FF714F">
        <w:rPr>
          <w:rFonts w:cs="Arial"/>
          <w:lang w:eastAsia="en-AU"/>
        </w:rPr>
        <w:t xml:space="preserve">only </w:t>
      </w:r>
      <w:r w:rsidRPr="00FF714F">
        <w:rPr>
          <w:rFonts w:cs="Arial"/>
          <w:lang w:eastAsia="en-AU"/>
        </w:rPr>
        <w:t>addressed</w:t>
      </w:r>
      <w:r w:rsidR="00D6531B" w:rsidRPr="00FF714F">
        <w:rPr>
          <w:rFonts w:cs="Arial"/>
          <w:lang w:eastAsia="en-AU"/>
        </w:rPr>
        <w:t xml:space="preserve"> to a limited extent</w:t>
      </w:r>
      <w:r w:rsidRPr="00FF714F">
        <w:rPr>
          <w:rFonts w:cs="Arial"/>
          <w:lang w:eastAsia="en-AU"/>
        </w:rPr>
        <w:t>: ‘Are the monitoring, reporting, acquittal and risk management processes adequate? Have the monitoring, reporting, acquittal and risk management processes been implemented to the required standard? If not, why not?’</w:t>
      </w:r>
    </w:p>
    <w:p w:rsidR="00931275" w:rsidRPr="00FF714F" w:rsidRDefault="006753A1" w:rsidP="00931275">
      <w:pPr>
        <w:numPr>
          <w:ilvl w:val="0"/>
          <w:numId w:val="36"/>
        </w:numPr>
        <w:rPr>
          <w:rFonts w:cs="Arial"/>
          <w:lang w:eastAsia="en-AU"/>
        </w:rPr>
      </w:pPr>
      <w:r w:rsidRPr="00FF714F">
        <w:rPr>
          <w:rFonts w:cs="Arial"/>
          <w:szCs w:val="20"/>
          <w:lang w:eastAsia="en-AU"/>
        </w:rPr>
        <w:t>The</w:t>
      </w:r>
      <w:r w:rsidRPr="00FF714F">
        <w:rPr>
          <w:rFonts w:cs="Arial"/>
          <w:lang w:eastAsia="en-AU"/>
        </w:rPr>
        <w:t xml:space="preserve"> IPR outlines significant management challenges and duplication created in implementing the AAPF. </w:t>
      </w:r>
      <w:r w:rsidR="0043626F" w:rsidRPr="00FF714F">
        <w:rPr>
          <w:rFonts w:cs="Arial"/>
          <w:lang w:eastAsia="en-AU"/>
        </w:rPr>
        <w:t xml:space="preserve">Many of the management points raised in the report have merit and DFAT </w:t>
      </w:r>
      <w:r w:rsidR="00D6531B" w:rsidRPr="00FF714F">
        <w:rPr>
          <w:rFonts w:cs="Arial"/>
          <w:lang w:eastAsia="en-AU"/>
        </w:rPr>
        <w:t xml:space="preserve">has </w:t>
      </w:r>
      <w:r w:rsidR="00F46942">
        <w:rPr>
          <w:rFonts w:cs="Arial"/>
          <w:lang w:eastAsia="en-AU"/>
        </w:rPr>
        <w:t xml:space="preserve">considered </w:t>
      </w:r>
      <w:r w:rsidR="0043626F" w:rsidRPr="00FF714F">
        <w:rPr>
          <w:rFonts w:cs="Arial"/>
          <w:lang w:eastAsia="en-AU"/>
        </w:rPr>
        <w:t>how to streamline decision making and implementation of the AAPF. However, s</w:t>
      </w:r>
      <w:r w:rsidR="005E2BE2" w:rsidRPr="00FF714F">
        <w:rPr>
          <w:rFonts w:cs="Arial"/>
          <w:lang w:eastAsia="en-AU"/>
        </w:rPr>
        <w:t>ome of these conclusions appear to be influenced by a</w:t>
      </w:r>
      <w:r w:rsidRPr="00FF714F">
        <w:rPr>
          <w:rFonts w:cs="Arial"/>
          <w:lang w:eastAsia="en-AU"/>
        </w:rPr>
        <w:t xml:space="preserve"> lack of </w:t>
      </w:r>
      <w:r w:rsidR="005E2BE2" w:rsidRPr="00FF714F">
        <w:rPr>
          <w:rFonts w:cs="Arial"/>
          <w:lang w:eastAsia="en-AU"/>
        </w:rPr>
        <w:t xml:space="preserve">consideration of the </w:t>
      </w:r>
      <w:r w:rsidRPr="00FF714F">
        <w:rPr>
          <w:rFonts w:cs="Arial"/>
          <w:lang w:eastAsia="en-AU"/>
        </w:rPr>
        <w:t xml:space="preserve">historical context around the </w:t>
      </w:r>
      <w:r w:rsidR="0043626F" w:rsidRPr="00FF714F">
        <w:rPr>
          <w:rFonts w:cs="Arial"/>
          <w:lang w:eastAsia="en-AU"/>
        </w:rPr>
        <w:t>chan</w:t>
      </w:r>
      <w:r w:rsidR="00D6531B" w:rsidRPr="00FF714F">
        <w:rPr>
          <w:rFonts w:cs="Arial"/>
          <w:lang w:eastAsia="en-AU"/>
        </w:rPr>
        <w:t>g</w:t>
      </w:r>
      <w:r w:rsidR="0043626F" w:rsidRPr="00FF714F">
        <w:rPr>
          <w:rFonts w:cs="Arial"/>
          <w:lang w:eastAsia="en-AU"/>
        </w:rPr>
        <w:t xml:space="preserve">ing </w:t>
      </w:r>
      <w:r w:rsidRPr="00FF714F">
        <w:rPr>
          <w:rFonts w:cs="Arial"/>
          <w:lang w:eastAsia="en-AU"/>
        </w:rPr>
        <w:t>resourcing of the Africa program and the operating context of the AAPF.</w:t>
      </w:r>
      <w:r w:rsidR="005E2BE2" w:rsidRPr="00FF714F">
        <w:rPr>
          <w:rFonts w:cs="Arial"/>
          <w:lang w:eastAsia="en-AU"/>
        </w:rPr>
        <w:t xml:space="preserve">  Specifically:</w:t>
      </w:r>
    </w:p>
    <w:p w:rsidR="006753A1" w:rsidRPr="00FF714F" w:rsidRDefault="006753A1" w:rsidP="00931275">
      <w:pPr>
        <w:numPr>
          <w:ilvl w:val="1"/>
          <w:numId w:val="36"/>
        </w:numPr>
        <w:rPr>
          <w:rFonts w:cs="Arial"/>
          <w:lang w:eastAsia="en-AU"/>
        </w:rPr>
      </w:pPr>
      <w:r w:rsidRPr="00FF714F">
        <w:rPr>
          <w:rFonts w:cs="Arial"/>
          <w:lang w:eastAsia="en-AU"/>
        </w:rPr>
        <w:lastRenderedPageBreak/>
        <w:t xml:space="preserve">The IPR </w:t>
      </w:r>
      <w:r w:rsidR="005E2BE2" w:rsidRPr="00FF714F">
        <w:rPr>
          <w:rFonts w:cs="Arial"/>
          <w:lang w:eastAsia="en-AU"/>
        </w:rPr>
        <w:t>does not</w:t>
      </w:r>
      <w:r w:rsidRPr="00FF714F">
        <w:rPr>
          <w:rFonts w:cs="Arial"/>
          <w:lang w:eastAsia="en-AU"/>
        </w:rPr>
        <w:t xml:space="preserve"> acknowledge the </w:t>
      </w:r>
      <w:r w:rsidR="00E402C1" w:rsidRPr="00FF714F">
        <w:rPr>
          <w:rFonts w:cs="Arial"/>
          <w:lang w:eastAsia="en-AU"/>
        </w:rPr>
        <w:t xml:space="preserve">need to adapt management arrangements to cater for the </w:t>
      </w:r>
      <w:r w:rsidR="005E2BE2" w:rsidRPr="00FF714F">
        <w:rPr>
          <w:rFonts w:cs="Arial"/>
          <w:lang w:eastAsia="en-AU"/>
        </w:rPr>
        <w:t xml:space="preserve">considerable </w:t>
      </w:r>
      <w:r w:rsidRPr="00FF714F">
        <w:rPr>
          <w:rFonts w:cs="Arial"/>
          <w:lang w:eastAsia="en-AU"/>
        </w:rPr>
        <w:t xml:space="preserve">change in the Africa program and resources from when the AAPF was first established in 2009 until the end of 2012. </w:t>
      </w:r>
      <w:r w:rsidR="00E402C1" w:rsidRPr="00FF714F">
        <w:rPr>
          <w:rFonts w:cs="Arial"/>
          <w:lang w:eastAsia="en-AU"/>
        </w:rPr>
        <w:t>Over this period</w:t>
      </w:r>
      <w:r w:rsidR="005E2BE2" w:rsidRPr="00FF714F">
        <w:rPr>
          <w:rFonts w:cs="Arial"/>
          <w:lang w:eastAsia="en-AU"/>
        </w:rPr>
        <w:t xml:space="preserve">, </w:t>
      </w:r>
      <w:r w:rsidR="00014DA9">
        <w:rPr>
          <w:rFonts w:cs="Arial"/>
          <w:lang w:eastAsia="en-AU"/>
        </w:rPr>
        <w:t>the number of staff in the</w:t>
      </w:r>
      <w:r w:rsidR="00E402C1" w:rsidRPr="00FF714F">
        <w:rPr>
          <w:rFonts w:cs="Arial"/>
          <w:lang w:eastAsia="en-AU"/>
        </w:rPr>
        <w:t xml:space="preserve"> Africa</w:t>
      </w:r>
      <w:r w:rsidR="005E2BE2" w:rsidRPr="00FF714F">
        <w:rPr>
          <w:rFonts w:cs="Arial"/>
          <w:lang w:eastAsia="en-AU"/>
        </w:rPr>
        <w:t xml:space="preserve"> program</w:t>
      </w:r>
      <w:r w:rsidR="000D0A09">
        <w:rPr>
          <w:rFonts w:cs="Arial"/>
          <w:lang w:eastAsia="en-AU"/>
        </w:rPr>
        <w:t xml:space="preserve"> </w:t>
      </w:r>
      <w:r w:rsidR="00014DA9">
        <w:rPr>
          <w:rFonts w:cs="Arial"/>
          <w:lang w:eastAsia="en-AU"/>
        </w:rPr>
        <w:t xml:space="preserve">has increased </w:t>
      </w:r>
      <w:r w:rsidR="000D0A09">
        <w:rPr>
          <w:rFonts w:cs="Arial"/>
          <w:lang w:eastAsia="en-AU"/>
        </w:rPr>
        <w:t>significantly</w:t>
      </w:r>
      <w:r w:rsidR="009A7415">
        <w:rPr>
          <w:rFonts w:cs="Arial"/>
          <w:lang w:eastAsia="en-AU"/>
        </w:rPr>
        <w:t xml:space="preserve"> in Canberra and African posts</w:t>
      </w:r>
      <w:r w:rsidR="00014DA9">
        <w:rPr>
          <w:rFonts w:cs="Arial"/>
          <w:lang w:eastAsia="en-AU"/>
        </w:rPr>
        <w:t>.</w:t>
      </w:r>
      <w:r w:rsidR="00E402C1" w:rsidRPr="00FF714F">
        <w:rPr>
          <w:rFonts w:cs="Arial"/>
          <w:lang w:eastAsia="en-AU"/>
        </w:rPr>
        <w:t xml:space="preserve"> </w:t>
      </w:r>
      <w:r w:rsidRPr="00FF714F">
        <w:rPr>
          <w:rFonts w:cs="Arial"/>
          <w:lang w:eastAsia="en-AU"/>
        </w:rPr>
        <w:t xml:space="preserve">As a program that </w:t>
      </w:r>
      <w:r w:rsidR="002E0A7E" w:rsidRPr="00FF714F">
        <w:rPr>
          <w:rFonts w:cs="Arial"/>
          <w:lang w:eastAsia="en-AU"/>
        </w:rPr>
        <w:t xml:space="preserve">had </w:t>
      </w:r>
      <w:r w:rsidRPr="00FF714F">
        <w:rPr>
          <w:rFonts w:cs="Arial"/>
          <w:lang w:eastAsia="en-AU"/>
        </w:rPr>
        <w:t xml:space="preserve">considerable program and political risks attached to it, it is </w:t>
      </w:r>
      <w:r w:rsidR="002E0A7E" w:rsidRPr="00FF714F">
        <w:rPr>
          <w:rFonts w:cs="Arial"/>
          <w:lang w:eastAsia="en-AU"/>
        </w:rPr>
        <w:t xml:space="preserve">understandable </w:t>
      </w:r>
      <w:r w:rsidRPr="00FF714F">
        <w:rPr>
          <w:rFonts w:cs="Arial"/>
          <w:lang w:eastAsia="en-AU"/>
        </w:rPr>
        <w:t xml:space="preserve">that there is debate and different views as to how decentralised such a program could be and how much can be </w:t>
      </w:r>
      <w:r w:rsidR="00E402C1" w:rsidRPr="00FF714F">
        <w:rPr>
          <w:rFonts w:cs="Arial"/>
          <w:lang w:eastAsia="en-AU"/>
        </w:rPr>
        <w:t>managed by a contractor</w:t>
      </w:r>
      <w:r w:rsidRPr="00FF714F">
        <w:rPr>
          <w:rFonts w:cs="Arial"/>
          <w:lang w:eastAsia="en-AU"/>
        </w:rPr>
        <w:t xml:space="preserve">. </w:t>
      </w:r>
    </w:p>
    <w:p w:rsidR="006753A1" w:rsidRPr="00FF714F" w:rsidRDefault="006753A1" w:rsidP="00931275">
      <w:pPr>
        <w:numPr>
          <w:ilvl w:val="1"/>
          <w:numId w:val="36"/>
        </w:numPr>
        <w:rPr>
          <w:rFonts w:cs="Arial"/>
          <w:lang w:eastAsia="en-AU"/>
        </w:rPr>
      </w:pPr>
      <w:r w:rsidRPr="00FF714F">
        <w:rPr>
          <w:rFonts w:cs="Arial"/>
          <w:lang w:eastAsia="en-AU"/>
        </w:rPr>
        <w:t xml:space="preserve">The nature of engagement with multilateral, regional and some bilateral organisations requires </w:t>
      </w:r>
      <w:r w:rsidR="00E402C1" w:rsidRPr="00FF714F">
        <w:rPr>
          <w:rFonts w:cs="Arial"/>
          <w:lang w:eastAsia="en-AU"/>
        </w:rPr>
        <w:t xml:space="preserve">DFAT </w:t>
      </w:r>
      <w:r w:rsidRPr="00FF714F">
        <w:rPr>
          <w:rFonts w:cs="Arial"/>
          <w:lang w:eastAsia="en-AU"/>
        </w:rPr>
        <w:t xml:space="preserve">to retain </w:t>
      </w:r>
      <w:r w:rsidR="00E402C1" w:rsidRPr="00FF714F">
        <w:rPr>
          <w:rFonts w:cs="Arial"/>
          <w:lang w:eastAsia="en-AU"/>
        </w:rPr>
        <w:t xml:space="preserve">some </w:t>
      </w:r>
      <w:r w:rsidRPr="00FF714F">
        <w:rPr>
          <w:rFonts w:cs="Arial"/>
          <w:lang w:eastAsia="en-AU"/>
        </w:rPr>
        <w:t>direct management responsibi</w:t>
      </w:r>
      <w:r w:rsidR="009A7415">
        <w:rPr>
          <w:rFonts w:cs="Arial"/>
          <w:lang w:eastAsia="en-AU"/>
        </w:rPr>
        <w:t xml:space="preserve">lity of individual activities. </w:t>
      </w:r>
      <w:r w:rsidRPr="00FF714F">
        <w:rPr>
          <w:rFonts w:cs="Arial"/>
          <w:lang w:eastAsia="en-AU"/>
        </w:rPr>
        <w:t>This approach is also recommended by the AAPF Operational Review conducted in August 2012. The contract includes a flexible scope of services to allow for flexible utilisation of the MC</w:t>
      </w:r>
      <w:r w:rsidR="00D6531B" w:rsidRPr="00FF714F">
        <w:rPr>
          <w:rFonts w:cs="Arial"/>
          <w:lang w:eastAsia="en-AU"/>
        </w:rPr>
        <w:t xml:space="preserve"> depending on the context</w:t>
      </w:r>
      <w:r w:rsidRPr="00FF714F">
        <w:rPr>
          <w:rFonts w:cs="Arial"/>
          <w:lang w:eastAsia="en-AU"/>
        </w:rPr>
        <w:t xml:space="preserve">. In our view, this </w:t>
      </w:r>
      <w:r w:rsidR="00D6531B" w:rsidRPr="00FF714F">
        <w:rPr>
          <w:rFonts w:cs="Arial"/>
          <w:lang w:eastAsia="en-AU"/>
        </w:rPr>
        <w:t>wa</w:t>
      </w:r>
      <w:r w:rsidRPr="00FF714F">
        <w:rPr>
          <w:rFonts w:cs="Arial"/>
          <w:lang w:eastAsia="en-AU"/>
        </w:rPr>
        <w:t>s an efficient way of utilising the MC expertise to achieve results in circumstance</w:t>
      </w:r>
      <w:r w:rsidR="002E0A7E" w:rsidRPr="00FF714F">
        <w:rPr>
          <w:rFonts w:cs="Arial"/>
          <w:lang w:eastAsia="en-AU"/>
        </w:rPr>
        <w:t>s</w:t>
      </w:r>
      <w:r w:rsidRPr="00FF714F">
        <w:rPr>
          <w:rFonts w:cs="Arial"/>
          <w:lang w:eastAsia="en-AU"/>
        </w:rPr>
        <w:t xml:space="preserve"> where </w:t>
      </w:r>
      <w:r w:rsidR="00E402C1" w:rsidRPr="00FF714F">
        <w:rPr>
          <w:rFonts w:cs="Arial"/>
          <w:lang w:eastAsia="en-AU"/>
        </w:rPr>
        <w:t xml:space="preserve">DFAT </w:t>
      </w:r>
      <w:r w:rsidR="002E0A7E" w:rsidRPr="00FF714F">
        <w:rPr>
          <w:rFonts w:cs="Arial"/>
          <w:lang w:eastAsia="en-AU"/>
        </w:rPr>
        <w:t xml:space="preserve">may not have the in-house resources </w:t>
      </w:r>
      <w:r w:rsidRPr="00FF714F">
        <w:rPr>
          <w:rFonts w:cs="Arial"/>
          <w:lang w:eastAsia="en-AU"/>
        </w:rPr>
        <w:t>to directly manage</w:t>
      </w:r>
      <w:r w:rsidR="002E0A7E" w:rsidRPr="00FF714F">
        <w:rPr>
          <w:rFonts w:cs="Arial"/>
          <w:lang w:eastAsia="en-AU"/>
        </w:rPr>
        <w:t xml:space="preserve"> or monitor</w:t>
      </w:r>
      <w:r w:rsidRPr="00FF714F">
        <w:rPr>
          <w:rFonts w:cs="Arial"/>
          <w:lang w:eastAsia="en-AU"/>
        </w:rPr>
        <w:t xml:space="preserve"> individual activities.</w:t>
      </w:r>
    </w:p>
    <w:p w:rsidR="002A1BE1" w:rsidRPr="00FF714F" w:rsidRDefault="002A1BE1" w:rsidP="002A1BE1">
      <w:pPr>
        <w:numPr>
          <w:ilvl w:val="1"/>
          <w:numId w:val="36"/>
        </w:numPr>
        <w:rPr>
          <w:rFonts w:cs="Arial"/>
          <w:szCs w:val="20"/>
          <w:lang w:eastAsia="en-AU"/>
        </w:rPr>
      </w:pPr>
      <w:r w:rsidRPr="00FF714F">
        <w:rPr>
          <w:rFonts w:cs="Arial"/>
          <w:lang w:eastAsia="en-AU"/>
        </w:rPr>
        <w:t>The</w:t>
      </w:r>
      <w:r w:rsidRPr="00FF714F">
        <w:rPr>
          <w:rFonts w:cs="Arial"/>
          <w:szCs w:val="20"/>
          <w:lang w:eastAsia="en-AU"/>
        </w:rPr>
        <w:t xml:space="preserve"> </w:t>
      </w:r>
      <w:r w:rsidRPr="00FF714F">
        <w:rPr>
          <w:rFonts w:cs="Arial"/>
          <w:lang w:eastAsia="en-AU"/>
        </w:rPr>
        <w:t>IPR</w:t>
      </w:r>
      <w:r w:rsidRPr="00FF714F">
        <w:rPr>
          <w:rFonts w:cs="Arial"/>
          <w:szCs w:val="20"/>
          <w:lang w:eastAsia="en-AU"/>
        </w:rPr>
        <w:t xml:space="preserve"> comment</w:t>
      </w:r>
      <w:r w:rsidR="002E0A7E" w:rsidRPr="00FF714F">
        <w:rPr>
          <w:rFonts w:cs="Arial"/>
          <w:szCs w:val="20"/>
          <w:lang w:eastAsia="en-AU"/>
        </w:rPr>
        <w:t>s</w:t>
      </w:r>
      <w:r w:rsidRPr="00FF714F">
        <w:rPr>
          <w:rFonts w:cs="Arial"/>
          <w:szCs w:val="20"/>
          <w:lang w:eastAsia="en-AU"/>
        </w:rPr>
        <w:t xml:space="preserve"> that “</w:t>
      </w:r>
      <w:r w:rsidRPr="00FF714F">
        <w:rPr>
          <w:rFonts w:cs="Arial"/>
          <w:i/>
          <w:szCs w:val="20"/>
          <w:lang w:eastAsia="en-AU"/>
        </w:rPr>
        <w:t>The MC attests that the nature and level of tasking has dropped substantially</w:t>
      </w:r>
      <w:r w:rsidRPr="00FF714F">
        <w:rPr>
          <w:rFonts w:cs="Arial"/>
          <w:szCs w:val="20"/>
          <w:lang w:eastAsia="en-AU"/>
        </w:rPr>
        <w:t xml:space="preserve">” (p.16). </w:t>
      </w:r>
      <w:r w:rsidR="002E0A7E" w:rsidRPr="00FF714F">
        <w:rPr>
          <w:rFonts w:cs="Arial"/>
          <w:szCs w:val="20"/>
          <w:lang w:eastAsia="en-AU"/>
        </w:rPr>
        <w:t xml:space="preserve">In DFAT’s opinion, this is a </w:t>
      </w:r>
      <w:r w:rsidRPr="00FF714F">
        <w:rPr>
          <w:rFonts w:cs="Arial"/>
          <w:szCs w:val="20"/>
          <w:lang w:eastAsia="en-AU"/>
        </w:rPr>
        <w:t xml:space="preserve">reflection of the decreased number of requests for AAPF support that require the MC’s </w:t>
      </w:r>
      <w:r w:rsidR="002E0A7E" w:rsidRPr="00FF714F">
        <w:rPr>
          <w:rFonts w:cs="Arial"/>
          <w:szCs w:val="20"/>
          <w:lang w:eastAsia="en-AU"/>
        </w:rPr>
        <w:t xml:space="preserve">involvement, </w:t>
      </w:r>
      <w:r w:rsidRPr="00FF714F">
        <w:rPr>
          <w:rFonts w:cs="Arial"/>
          <w:szCs w:val="20"/>
          <w:lang w:eastAsia="en-AU"/>
        </w:rPr>
        <w:t>due to</w:t>
      </w:r>
      <w:r w:rsidR="002E0A7E" w:rsidRPr="00FF714F">
        <w:rPr>
          <w:rFonts w:cs="Arial"/>
          <w:szCs w:val="20"/>
          <w:lang w:eastAsia="en-AU"/>
        </w:rPr>
        <w:t xml:space="preserve"> the</w:t>
      </w:r>
      <w:r w:rsidRPr="00FF714F">
        <w:rPr>
          <w:rFonts w:cs="Arial"/>
          <w:szCs w:val="20"/>
          <w:lang w:eastAsia="en-AU"/>
        </w:rPr>
        <w:t xml:space="preserve"> shift </w:t>
      </w:r>
      <w:r w:rsidR="002E0A7E" w:rsidRPr="00FF714F">
        <w:rPr>
          <w:rFonts w:cs="Arial"/>
          <w:szCs w:val="20"/>
          <w:lang w:eastAsia="en-AU"/>
        </w:rPr>
        <w:t xml:space="preserve">in </w:t>
      </w:r>
      <w:r w:rsidRPr="00FF714F">
        <w:rPr>
          <w:rFonts w:cs="Arial"/>
          <w:szCs w:val="20"/>
          <w:lang w:eastAsia="en-AU"/>
        </w:rPr>
        <w:t>focus from rapid expansion to longer-term engagement.</w:t>
      </w:r>
    </w:p>
    <w:p w:rsidR="00BD554A" w:rsidRPr="00FF714F" w:rsidRDefault="002A1BE1" w:rsidP="00BD554A">
      <w:pPr>
        <w:numPr>
          <w:ilvl w:val="1"/>
          <w:numId w:val="36"/>
        </w:numPr>
        <w:rPr>
          <w:rFonts w:cs="Arial"/>
          <w:szCs w:val="20"/>
          <w:lang w:eastAsia="en-AU"/>
        </w:rPr>
      </w:pPr>
      <w:r w:rsidRPr="00FF714F">
        <w:rPr>
          <w:rFonts w:cs="Arial"/>
          <w:lang w:eastAsia="en-AU"/>
        </w:rPr>
        <w:t>There</w:t>
      </w:r>
      <w:r w:rsidRPr="00FF714F">
        <w:rPr>
          <w:rFonts w:cs="Arial"/>
          <w:szCs w:val="20"/>
          <w:lang w:eastAsia="en-AU"/>
        </w:rPr>
        <w:t xml:space="preserve"> are several</w:t>
      </w:r>
      <w:r w:rsidRPr="00770305">
        <w:rPr>
          <w:rFonts w:cs="Arial"/>
          <w:szCs w:val="20"/>
          <w:lang w:eastAsia="en-AU"/>
        </w:rPr>
        <w:t xml:space="preserve"> references </w:t>
      </w:r>
      <w:r w:rsidRPr="00FF714F">
        <w:rPr>
          <w:rFonts w:cs="Arial"/>
          <w:szCs w:val="20"/>
          <w:lang w:eastAsia="en-AU"/>
        </w:rPr>
        <w:t xml:space="preserve">(p.17) regarding the financial approval processes which could be more balanced. </w:t>
      </w:r>
      <w:r w:rsidR="002E0A7E" w:rsidRPr="00FF714F">
        <w:rPr>
          <w:rFonts w:cs="Arial"/>
          <w:szCs w:val="20"/>
          <w:lang w:eastAsia="en-AU"/>
        </w:rPr>
        <w:t>For example, t</w:t>
      </w:r>
      <w:r w:rsidRPr="00FF714F">
        <w:rPr>
          <w:rFonts w:cs="Arial"/>
          <w:szCs w:val="20"/>
          <w:lang w:eastAsia="en-AU"/>
        </w:rPr>
        <w:t>he comment that “</w:t>
      </w:r>
      <w:r w:rsidRPr="00FF714F">
        <w:rPr>
          <w:rFonts w:cs="Arial"/>
          <w:i/>
          <w:szCs w:val="20"/>
          <w:lang w:eastAsia="en-AU"/>
        </w:rPr>
        <w:t xml:space="preserve">The processes related to financial approval are of particular and growing concern to the MC.  </w:t>
      </w:r>
      <w:r w:rsidRPr="00FF714F">
        <w:rPr>
          <w:rFonts w:cs="Arial"/>
          <w:bCs/>
          <w:i/>
          <w:szCs w:val="20"/>
          <w:lang w:eastAsia="en-AU"/>
        </w:rPr>
        <w:t>Funds for implementation are paid in advance, not as reimbursables</w:t>
      </w:r>
      <w:r w:rsidRPr="00FF714F">
        <w:rPr>
          <w:rFonts w:cs="Arial"/>
          <w:bCs/>
          <w:szCs w:val="20"/>
          <w:lang w:eastAsia="en-AU"/>
        </w:rPr>
        <w:t>”</w:t>
      </w:r>
      <w:r w:rsidR="000D0A09">
        <w:rPr>
          <w:rFonts w:cs="Arial"/>
          <w:bCs/>
          <w:szCs w:val="20"/>
          <w:lang w:eastAsia="en-AU"/>
        </w:rPr>
        <w:t>. The report does not note that:</w:t>
      </w:r>
      <w:r w:rsidRPr="00FF714F">
        <w:rPr>
          <w:rFonts w:cs="Arial"/>
          <w:bCs/>
          <w:szCs w:val="20"/>
          <w:lang w:eastAsia="en-AU"/>
        </w:rPr>
        <w:t xml:space="preserve"> (i) the pre-payment model was </w:t>
      </w:r>
      <w:r w:rsidR="0043626F" w:rsidRPr="00FF714F">
        <w:rPr>
          <w:rFonts w:cs="Arial"/>
          <w:bCs/>
          <w:szCs w:val="20"/>
          <w:lang w:eastAsia="en-AU"/>
        </w:rPr>
        <w:t>included in</w:t>
      </w:r>
      <w:r w:rsidRPr="00FF714F">
        <w:rPr>
          <w:rFonts w:cs="Arial"/>
          <w:bCs/>
          <w:szCs w:val="20"/>
          <w:lang w:eastAsia="en-AU"/>
        </w:rPr>
        <w:t xml:space="preserve"> the tender document </w:t>
      </w:r>
      <w:r w:rsidR="0043626F" w:rsidRPr="00FF714F">
        <w:rPr>
          <w:rFonts w:cs="Arial"/>
          <w:bCs/>
          <w:szCs w:val="20"/>
          <w:lang w:eastAsia="en-AU"/>
        </w:rPr>
        <w:t xml:space="preserve">for the </w:t>
      </w:r>
      <w:r w:rsidRPr="00FF714F">
        <w:rPr>
          <w:rFonts w:cs="Arial"/>
          <w:bCs/>
          <w:szCs w:val="20"/>
          <w:lang w:eastAsia="en-AU"/>
        </w:rPr>
        <w:t>AAPF;</w:t>
      </w:r>
      <w:r w:rsidR="0043626F" w:rsidRPr="00FF714F">
        <w:rPr>
          <w:rFonts w:cs="Arial"/>
          <w:bCs/>
          <w:szCs w:val="20"/>
          <w:lang w:eastAsia="en-AU"/>
        </w:rPr>
        <w:t xml:space="preserve"> and</w:t>
      </w:r>
      <w:r w:rsidRPr="00FF714F">
        <w:rPr>
          <w:rFonts w:cs="Arial"/>
          <w:szCs w:val="20"/>
          <w:lang w:eastAsia="en-AU"/>
        </w:rPr>
        <w:t xml:space="preserve"> (ii) </w:t>
      </w:r>
      <w:r w:rsidR="0043626F" w:rsidRPr="00FF714F">
        <w:rPr>
          <w:rFonts w:cs="Arial"/>
          <w:szCs w:val="20"/>
          <w:lang w:eastAsia="en-AU"/>
        </w:rPr>
        <w:t xml:space="preserve">the </w:t>
      </w:r>
      <w:r w:rsidRPr="00FF714F">
        <w:rPr>
          <w:rFonts w:cs="Arial"/>
          <w:szCs w:val="20"/>
          <w:lang w:eastAsia="en-AU"/>
        </w:rPr>
        <w:t>p</w:t>
      </w:r>
      <w:r w:rsidRPr="00FF714F">
        <w:rPr>
          <w:rFonts w:cs="Arial"/>
          <w:bCs/>
          <w:szCs w:val="20"/>
          <w:lang w:eastAsia="en-AU"/>
        </w:rPr>
        <w:t xml:space="preserve">re-payment arrangement </w:t>
      </w:r>
      <w:r w:rsidR="0043626F" w:rsidRPr="00FF714F">
        <w:rPr>
          <w:rFonts w:cs="Arial"/>
          <w:bCs/>
          <w:szCs w:val="20"/>
          <w:lang w:eastAsia="en-AU"/>
        </w:rPr>
        <w:t>wa</w:t>
      </w:r>
      <w:r w:rsidRPr="00FF714F">
        <w:rPr>
          <w:rFonts w:cs="Arial"/>
          <w:bCs/>
          <w:szCs w:val="20"/>
          <w:lang w:eastAsia="en-AU"/>
        </w:rPr>
        <w:t xml:space="preserve">s subsequently included in the Basis of Payment </w:t>
      </w:r>
      <w:r w:rsidR="0043626F" w:rsidRPr="00FF714F">
        <w:rPr>
          <w:rFonts w:cs="Arial"/>
          <w:bCs/>
          <w:szCs w:val="20"/>
          <w:lang w:eastAsia="en-AU"/>
        </w:rPr>
        <w:t xml:space="preserve">negotiated and agreed with the </w:t>
      </w:r>
      <w:r w:rsidRPr="00FF714F">
        <w:rPr>
          <w:rFonts w:cs="Arial"/>
          <w:bCs/>
          <w:szCs w:val="20"/>
          <w:lang w:eastAsia="en-AU"/>
        </w:rPr>
        <w:t>MC.</w:t>
      </w:r>
    </w:p>
    <w:p w:rsidR="00EE092D" w:rsidRPr="00FF714F" w:rsidRDefault="007D65A9" w:rsidP="00EE092D">
      <w:pPr>
        <w:numPr>
          <w:ilvl w:val="1"/>
          <w:numId w:val="36"/>
        </w:numPr>
        <w:rPr>
          <w:rFonts w:cs="Arial"/>
          <w:lang w:eastAsia="en-AU"/>
        </w:rPr>
      </w:pPr>
      <w:r w:rsidRPr="00FF714F">
        <w:rPr>
          <w:rFonts w:cs="Arial"/>
          <w:lang w:eastAsia="en-AU"/>
        </w:rPr>
        <w:t xml:space="preserve">The IPR also notes </w:t>
      </w:r>
      <w:r w:rsidR="00730ECF" w:rsidRPr="00FF714F">
        <w:rPr>
          <w:rFonts w:cs="Arial"/>
          <w:lang w:eastAsia="en-AU"/>
        </w:rPr>
        <w:t>“there being a lack of any single person who has a clear understanding of the actual expenditure”</w:t>
      </w:r>
      <w:r w:rsidR="000D0A09">
        <w:rPr>
          <w:rFonts w:cs="Arial"/>
          <w:lang w:eastAsia="en-AU"/>
        </w:rPr>
        <w:t xml:space="preserve">. </w:t>
      </w:r>
      <w:r w:rsidRPr="00FF714F">
        <w:rPr>
          <w:rFonts w:cs="Arial"/>
          <w:lang w:eastAsia="en-AU"/>
        </w:rPr>
        <w:t xml:space="preserve">DFAT </w:t>
      </w:r>
      <w:r w:rsidR="008147AF">
        <w:rPr>
          <w:rFonts w:cs="Arial"/>
          <w:lang w:eastAsia="en-AU"/>
        </w:rPr>
        <w:t xml:space="preserve">disagrees with the comment as the </w:t>
      </w:r>
      <w:r w:rsidRPr="00FF714F">
        <w:rPr>
          <w:rFonts w:cs="Arial"/>
          <w:lang w:eastAsia="en-AU"/>
        </w:rPr>
        <w:t>AAPF program manager in Pretoria maintains a database tracking all AAPF actual and pipeline expenditure</w:t>
      </w:r>
      <w:r w:rsidR="000D0A09">
        <w:rPr>
          <w:rFonts w:cs="Arial"/>
          <w:lang w:eastAsia="en-AU"/>
        </w:rPr>
        <w:t>, which is regularly reviewed by the AAPF managing contractor and DFAT senior management</w:t>
      </w:r>
      <w:r w:rsidRPr="00FF714F">
        <w:rPr>
          <w:rFonts w:cs="Arial"/>
          <w:lang w:eastAsia="en-AU"/>
        </w:rPr>
        <w:t xml:space="preserve">. </w:t>
      </w:r>
    </w:p>
    <w:p w:rsidR="00EE092D" w:rsidRPr="00FF714F" w:rsidRDefault="00EE092D" w:rsidP="00EE092D">
      <w:pPr>
        <w:ind w:left="1080"/>
        <w:rPr>
          <w:rFonts w:cs="Arial"/>
          <w:lang w:eastAsia="en-AU"/>
        </w:rPr>
      </w:pPr>
    </w:p>
    <w:p w:rsidR="006D7CCE" w:rsidRPr="00FF714F" w:rsidRDefault="006D7CCE" w:rsidP="006D7CCE">
      <w:pPr>
        <w:rPr>
          <w:rFonts w:cs="Arial"/>
          <w:b/>
          <w:szCs w:val="20"/>
        </w:rPr>
      </w:pPr>
      <w:r w:rsidRPr="00FF714F">
        <w:rPr>
          <w:rFonts w:cs="Arial"/>
          <w:b/>
          <w:szCs w:val="20"/>
        </w:rPr>
        <w:t>Assessment of a sample of activities</w:t>
      </w:r>
    </w:p>
    <w:p w:rsidR="00CE34CA" w:rsidRPr="00770305" w:rsidRDefault="00CE34CA" w:rsidP="006753A1">
      <w:pPr>
        <w:numPr>
          <w:ilvl w:val="0"/>
          <w:numId w:val="36"/>
        </w:numPr>
        <w:rPr>
          <w:rFonts w:cs="Arial"/>
          <w:szCs w:val="20"/>
        </w:rPr>
      </w:pPr>
      <w:r w:rsidRPr="00FF714F">
        <w:rPr>
          <w:rFonts w:cs="Arial"/>
          <w:lang w:eastAsia="en-AU"/>
        </w:rPr>
        <w:t>Five</w:t>
      </w:r>
      <w:r w:rsidRPr="00FF714F">
        <w:rPr>
          <w:rFonts w:eastAsia="Calibri" w:cs="Arial"/>
          <w:szCs w:val="20"/>
        </w:rPr>
        <w:t xml:space="preserve"> activities are noted as</w:t>
      </w:r>
      <w:r w:rsidR="00B979AF" w:rsidRPr="00FF714F">
        <w:rPr>
          <w:rFonts w:eastAsia="Calibri" w:cs="Arial"/>
          <w:szCs w:val="20"/>
        </w:rPr>
        <w:t xml:space="preserve"> having</w:t>
      </w:r>
      <w:r w:rsidRPr="00FF714F">
        <w:rPr>
          <w:rFonts w:eastAsia="Calibri" w:cs="Arial"/>
          <w:szCs w:val="20"/>
        </w:rPr>
        <w:t xml:space="preserve"> “</w:t>
      </w:r>
      <w:r w:rsidRPr="00770305">
        <w:rPr>
          <w:rFonts w:cs="Arial"/>
          <w:szCs w:val="20"/>
        </w:rPr>
        <w:t xml:space="preserve">less than positive results” </w:t>
      </w:r>
      <w:r w:rsidRPr="00FF714F">
        <w:rPr>
          <w:rFonts w:eastAsia="Calibri" w:cs="Arial"/>
          <w:szCs w:val="20"/>
        </w:rPr>
        <w:t>(p.</w:t>
      </w:r>
      <w:r w:rsidR="00000341" w:rsidRPr="00FF714F">
        <w:rPr>
          <w:rFonts w:eastAsia="Calibri" w:cs="Arial"/>
          <w:szCs w:val="20"/>
        </w:rPr>
        <w:t>10 &amp; 11</w:t>
      </w:r>
      <w:r w:rsidRPr="00FF714F">
        <w:rPr>
          <w:rFonts w:eastAsia="Calibri" w:cs="Arial"/>
          <w:szCs w:val="20"/>
        </w:rPr>
        <w:t xml:space="preserve">). </w:t>
      </w:r>
      <w:r w:rsidR="00B979AF" w:rsidRPr="00FF714F">
        <w:rPr>
          <w:rFonts w:eastAsia="Calibri" w:cs="Arial"/>
          <w:szCs w:val="20"/>
        </w:rPr>
        <w:t>We provide the following comments in response to this rating</w:t>
      </w:r>
      <w:r w:rsidRPr="00FF714F">
        <w:rPr>
          <w:rFonts w:eastAsia="Calibri" w:cs="Arial"/>
          <w:szCs w:val="20"/>
        </w:rPr>
        <w:t>:</w:t>
      </w:r>
    </w:p>
    <w:p w:rsidR="00CE34CA" w:rsidRPr="00FF714F" w:rsidRDefault="00CE34CA" w:rsidP="00CE34CA">
      <w:pPr>
        <w:numPr>
          <w:ilvl w:val="1"/>
          <w:numId w:val="9"/>
        </w:numPr>
        <w:spacing w:before="0" w:after="200"/>
        <w:rPr>
          <w:rFonts w:eastAsia="Calibri" w:cs="Arial"/>
          <w:szCs w:val="20"/>
        </w:rPr>
      </w:pPr>
      <w:r w:rsidRPr="00FF714F">
        <w:rPr>
          <w:rFonts w:eastAsia="Calibri" w:cs="Arial"/>
          <w:i/>
          <w:szCs w:val="20"/>
        </w:rPr>
        <w:t>Mozambique Tete Planning</w:t>
      </w:r>
      <w:r w:rsidRPr="00FF714F">
        <w:rPr>
          <w:rFonts w:eastAsia="Calibri" w:cs="Arial"/>
          <w:szCs w:val="20"/>
        </w:rPr>
        <w:t xml:space="preserve"> – </w:t>
      </w:r>
      <w:r w:rsidRPr="00770305">
        <w:rPr>
          <w:rFonts w:cs="Arial"/>
        </w:rPr>
        <w:t xml:space="preserve">the source quoted had </w:t>
      </w:r>
      <w:r w:rsidR="00D66CCE" w:rsidRPr="00FF714F">
        <w:rPr>
          <w:rFonts w:cs="Arial"/>
        </w:rPr>
        <w:t xml:space="preserve">a very limited </w:t>
      </w:r>
      <w:r w:rsidRPr="00FF714F">
        <w:rPr>
          <w:rFonts w:cs="Arial"/>
        </w:rPr>
        <w:t>role in project activities, being based in Tete Province as opposed to Maputo</w:t>
      </w:r>
      <w:r w:rsidR="00D66CCE" w:rsidRPr="00FF714F">
        <w:rPr>
          <w:rFonts w:cs="Arial"/>
        </w:rPr>
        <w:t xml:space="preserve">. As a result of </w:t>
      </w:r>
      <w:r w:rsidR="000D0A09">
        <w:rPr>
          <w:rFonts w:cs="Arial"/>
        </w:rPr>
        <w:t>constraints within</w:t>
      </w:r>
      <w:r w:rsidR="00D66CCE" w:rsidRPr="00FF714F">
        <w:rPr>
          <w:rFonts w:cs="Arial"/>
        </w:rPr>
        <w:t xml:space="preserve"> the Mozambique counterpart </w:t>
      </w:r>
      <w:r w:rsidRPr="00FF714F">
        <w:rPr>
          <w:rFonts w:cs="Arial"/>
        </w:rPr>
        <w:t xml:space="preserve">ministry, remaining funds </w:t>
      </w:r>
      <w:r w:rsidR="00D66CCE" w:rsidRPr="00FF714F">
        <w:rPr>
          <w:rFonts w:cs="Arial"/>
        </w:rPr>
        <w:t xml:space="preserve">from the activity </w:t>
      </w:r>
      <w:r w:rsidRPr="00FF714F">
        <w:rPr>
          <w:rFonts w:cs="Arial"/>
        </w:rPr>
        <w:t xml:space="preserve">were transferred to another ministry. The </w:t>
      </w:r>
      <w:r w:rsidR="00D66CCE" w:rsidRPr="00FF714F">
        <w:rPr>
          <w:rFonts w:cs="Arial"/>
        </w:rPr>
        <w:t xml:space="preserve">resulting </w:t>
      </w:r>
      <w:r w:rsidRPr="00FF714F">
        <w:rPr>
          <w:rFonts w:cs="Arial"/>
        </w:rPr>
        <w:t xml:space="preserve">activity is </w:t>
      </w:r>
      <w:r w:rsidR="00D66CCE" w:rsidRPr="00FF714F">
        <w:rPr>
          <w:rFonts w:cs="Arial"/>
        </w:rPr>
        <w:t>ongoing</w:t>
      </w:r>
      <w:r w:rsidRPr="00FF714F">
        <w:rPr>
          <w:rFonts w:cs="Arial"/>
        </w:rPr>
        <w:t>.</w:t>
      </w:r>
    </w:p>
    <w:p w:rsidR="00CE34CA" w:rsidRPr="00FF714F" w:rsidRDefault="00CE34CA" w:rsidP="00CE34CA">
      <w:pPr>
        <w:numPr>
          <w:ilvl w:val="1"/>
          <w:numId w:val="9"/>
        </w:numPr>
        <w:spacing w:before="0" w:after="200"/>
        <w:rPr>
          <w:rFonts w:cs="Arial"/>
        </w:rPr>
      </w:pPr>
      <w:r w:rsidRPr="00FF714F">
        <w:rPr>
          <w:rFonts w:eastAsia="Calibri" w:cs="Arial"/>
          <w:i/>
          <w:szCs w:val="20"/>
        </w:rPr>
        <w:t>Diplomatic Training</w:t>
      </w:r>
      <w:r w:rsidRPr="00FF714F">
        <w:rPr>
          <w:rFonts w:eastAsia="Calibri" w:cs="Arial"/>
          <w:szCs w:val="20"/>
        </w:rPr>
        <w:t xml:space="preserve"> – </w:t>
      </w:r>
      <w:r w:rsidR="000572C9" w:rsidRPr="00FF714F">
        <w:rPr>
          <w:rFonts w:eastAsia="Calibri" w:cs="Arial"/>
          <w:szCs w:val="20"/>
        </w:rPr>
        <w:t xml:space="preserve">although acknowledging the comment on requests for more Australian content, </w:t>
      </w:r>
      <w:r w:rsidR="000572C9" w:rsidRPr="00FF714F">
        <w:rPr>
          <w:rFonts w:cs="Arial"/>
        </w:rPr>
        <w:t>f</w:t>
      </w:r>
      <w:r w:rsidRPr="00FF714F">
        <w:rPr>
          <w:rFonts w:cs="Arial"/>
        </w:rPr>
        <w:t xml:space="preserve">eedback from course participants </w:t>
      </w:r>
      <w:r w:rsidR="000572C9" w:rsidRPr="00FF714F">
        <w:rPr>
          <w:rFonts w:cs="Arial"/>
        </w:rPr>
        <w:t xml:space="preserve">(gained through surveys distributed on the final day of the course and those distributed one month after course completion) </w:t>
      </w:r>
      <w:r w:rsidRPr="00FF714F">
        <w:rPr>
          <w:rFonts w:cs="Arial"/>
        </w:rPr>
        <w:t xml:space="preserve">has been positive, with participants noting that the training program had increased their skills and confidence in areas relevant to their work.  </w:t>
      </w:r>
      <w:r w:rsidR="000572C9" w:rsidRPr="00FF714F">
        <w:rPr>
          <w:rFonts w:cs="Arial"/>
        </w:rPr>
        <w:t>P</w:t>
      </w:r>
      <w:r w:rsidRPr="00FF714F">
        <w:rPr>
          <w:rFonts w:cs="Arial"/>
        </w:rPr>
        <w:t>articipants also reported that they had shared knowledge gained from the training with others in their workplace, strengthening not only individual capacity but institutional capacity.  The courses have also helped raise Australia’s profile among both participants and institutional partners in Africa.</w:t>
      </w:r>
    </w:p>
    <w:p w:rsidR="000572C9" w:rsidRPr="00FF714F" w:rsidRDefault="000572C9" w:rsidP="000572C9">
      <w:pPr>
        <w:numPr>
          <w:ilvl w:val="1"/>
          <w:numId w:val="9"/>
        </w:numPr>
        <w:spacing w:before="0" w:after="200"/>
        <w:rPr>
          <w:rFonts w:eastAsia="Calibri" w:cs="Arial"/>
          <w:szCs w:val="20"/>
        </w:rPr>
      </w:pPr>
      <w:r w:rsidRPr="00FF714F">
        <w:rPr>
          <w:rFonts w:eastAsia="Calibri" w:cs="Arial"/>
          <w:i/>
          <w:szCs w:val="20"/>
        </w:rPr>
        <w:t>ACIAR</w:t>
      </w:r>
      <w:r w:rsidRPr="00FF714F">
        <w:rPr>
          <w:rFonts w:eastAsia="Calibri" w:cs="Arial"/>
          <w:szCs w:val="20"/>
        </w:rPr>
        <w:t xml:space="preserve"> - The AAPF support through ACIAR was designed to be </w:t>
      </w:r>
      <w:r w:rsidR="000D0A09">
        <w:rPr>
          <w:rFonts w:eastAsia="Calibri" w:cs="Arial"/>
          <w:szCs w:val="20"/>
        </w:rPr>
        <w:t>a rapid</w:t>
      </w:r>
      <w:r w:rsidRPr="00FF714F">
        <w:rPr>
          <w:rFonts w:eastAsia="Calibri" w:cs="Arial"/>
          <w:szCs w:val="20"/>
        </w:rPr>
        <w:t xml:space="preserve"> response to local needs and demands - including pilot studies and capacity building. ACIAR considers that across all activities, bilateral relations have been strengthened with more than 10 African countries. The work in southern Africa was innovative and led to a</w:t>
      </w:r>
      <w:r w:rsidR="00D66CCE" w:rsidRPr="00FF714F">
        <w:rPr>
          <w:rFonts w:eastAsia="Calibri" w:cs="Arial"/>
          <w:szCs w:val="20"/>
        </w:rPr>
        <w:t xml:space="preserve"> grant under the A</w:t>
      </w:r>
      <w:r w:rsidR="000D0A09">
        <w:rPr>
          <w:rFonts w:eastAsia="Calibri" w:cs="Arial"/>
          <w:szCs w:val="20"/>
        </w:rPr>
        <w:t xml:space="preserve">ustralian </w:t>
      </w:r>
      <w:r w:rsidR="00D66CCE" w:rsidRPr="00FF714F">
        <w:rPr>
          <w:rFonts w:eastAsia="Calibri" w:cs="Arial"/>
          <w:szCs w:val="20"/>
        </w:rPr>
        <w:t xml:space="preserve">Development Research Awards </w:t>
      </w:r>
      <w:r w:rsidR="000D0A09">
        <w:rPr>
          <w:rFonts w:eastAsia="Calibri" w:cs="Arial"/>
          <w:szCs w:val="20"/>
        </w:rPr>
        <w:t>Scheme</w:t>
      </w:r>
      <w:r w:rsidRPr="00FF714F">
        <w:rPr>
          <w:rFonts w:eastAsia="Calibri" w:cs="Arial"/>
          <w:szCs w:val="20"/>
        </w:rPr>
        <w:t>. ACIAR considers the remarks in the IPR need to be supported by wider evidence.</w:t>
      </w:r>
    </w:p>
    <w:p w:rsidR="005D0895" w:rsidRPr="00FF714F" w:rsidRDefault="00CE34CA" w:rsidP="005D0895">
      <w:pPr>
        <w:numPr>
          <w:ilvl w:val="1"/>
          <w:numId w:val="9"/>
        </w:numPr>
        <w:spacing w:before="0" w:after="200"/>
        <w:rPr>
          <w:rFonts w:eastAsia="Calibri" w:cs="Arial"/>
          <w:szCs w:val="20"/>
        </w:rPr>
      </w:pPr>
      <w:r w:rsidRPr="00FF714F">
        <w:rPr>
          <w:rFonts w:eastAsia="Calibri" w:cs="Arial"/>
          <w:i/>
          <w:szCs w:val="20"/>
        </w:rPr>
        <w:t>AFRITAC South</w:t>
      </w:r>
      <w:r w:rsidRPr="00FF714F">
        <w:rPr>
          <w:rFonts w:eastAsia="Calibri" w:cs="Arial"/>
          <w:szCs w:val="20"/>
        </w:rPr>
        <w:t xml:space="preserve"> – </w:t>
      </w:r>
      <w:r w:rsidR="00F546C2" w:rsidRPr="00FF714F">
        <w:rPr>
          <w:rFonts w:eastAsia="Calibri" w:cs="Arial"/>
          <w:szCs w:val="20"/>
        </w:rPr>
        <w:t>although “comparatively minor”, Australia’s contribution</w:t>
      </w:r>
      <w:r w:rsidRPr="00FF714F">
        <w:rPr>
          <w:rFonts w:eastAsia="Calibri" w:cs="Arial"/>
          <w:szCs w:val="20"/>
        </w:rPr>
        <w:t xml:space="preserve"> was the initial seed funding that prompted the IMF to create an Africa Training Institute</w:t>
      </w:r>
      <w:r w:rsidR="00F546C2" w:rsidRPr="00FF714F">
        <w:rPr>
          <w:rFonts w:eastAsia="Calibri" w:cs="Arial"/>
          <w:szCs w:val="20"/>
        </w:rPr>
        <w:t xml:space="preserve"> (ATI)</w:t>
      </w:r>
      <w:r w:rsidRPr="00FF714F">
        <w:rPr>
          <w:rFonts w:eastAsia="Calibri" w:cs="Arial"/>
          <w:szCs w:val="20"/>
        </w:rPr>
        <w:t xml:space="preserve">. Australia’s </w:t>
      </w:r>
      <w:r w:rsidR="00F546C2" w:rsidRPr="00FF714F">
        <w:rPr>
          <w:rFonts w:eastAsia="Calibri" w:cs="Arial"/>
          <w:szCs w:val="20"/>
        </w:rPr>
        <w:t xml:space="preserve">subsequent </w:t>
      </w:r>
      <w:r w:rsidRPr="00FF714F">
        <w:rPr>
          <w:rFonts w:eastAsia="Calibri" w:cs="Arial"/>
          <w:szCs w:val="20"/>
        </w:rPr>
        <w:t xml:space="preserve">catalytic funding for the </w:t>
      </w:r>
      <w:r w:rsidR="00F546C2" w:rsidRPr="00FF714F">
        <w:rPr>
          <w:rFonts w:eastAsia="Calibri" w:cs="Arial"/>
          <w:szCs w:val="20"/>
        </w:rPr>
        <w:t xml:space="preserve">ATI </w:t>
      </w:r>
      <w:r w:rsidRPr="00FF714F">
        <w:rPr>
          <w:rFonts w:eastAsia="Calibri" w:cs="Arial"/>
          <w:szCs w:val="20"/>
        </w:rPr>
        <w:t xml:space="preserve">and further contributions to enable recent training of Comorian Government officials in Mauritius was </w:t>
      </w:r>
      <w:r w:rsidR="00F546C2" w:rsidRPr="00FF714F">
        <w:rPr>
          <w:rFonts w:eastAsia="Calibri" w:cs="Arial"/>
          <w:szCs w:val="20"/>
        </w:rPr>
        <w:t xml:space="preserve">considered </w:t>
      </w:r>
      <w:r w:rsidRPr="00FF714F">
        <w:rPr>
          <w:rFonts w:eastAsia="Calibri" w:cs="Arial"/>
          <w:szCs w:val="20"/>
        </w:rPr>
        <w:t xml:space="preserve">by the IMF as best practice by a donor partner </w:t>
      </w:r>
      <w:r w:rsidR="00F546C2" w:rsidRPr="00FF714F">
        <w:rPr>
          <w:rFonts w:eastAsia="Calibri" w:cs="Arial"/>
          <w:szCs w:val="20"/>
        </w:rPr>
        <w:t>in</w:t>
      </w:r>
      <w:r w:rsidRPr="00FF714F">
        <w:rPr>
          <w:rFonts w:eastAsia="Calibri" w:cs="Arial"/>
          <w:szCs w:val="20"/>
        </w:rPr>
        <w:t xml:space="preserve"> </w:t>
      </w:r>
      <w:r w:rsidR="00D66CCE" w:rsidRPr="00FF714F">
        <w:rPr>
          <w:rFonts w:eastAsia="Calibri" w:cs="Arial"/>
          <w:szCs w:val="20"/>
        </w:rPr>
        <w:t xml:space="preserve">enabling </w:t>
      </w:r>
      <w:r w:rsidRPr="00FF714F">
        <w:rPr>
          <w:rFonts w:eastAsia="Calibri" w:cs="Arial"/>
          <w:szCs w:val="20"/>
        </w:rPr>
        <w:t>south-south cooperation.</w:t>
      </w:r>
    </w:p>
    <w:p w:rsidR="00511141" w:rsidRPr="00FF714F" w:rsidRDefault="00511141" w:rsidP="007A333D">
      <w:pPr>
        <w:pStyle w:val="Heading2"/>
        <w:rPr>
          <w:rFonts w:eastAsia="Calibri"/>
          <w:szCs w:val="20"/>
        </w:rPr>
        <w:sectPr w:rsidR="00511141" w:rsidRPr="00FF714F" w:rsidSect="002E5D40">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567" w:footer="601" w:gutter="0"/>
          <w:cols w:space="708"/>
          <w:docGrid w:linePitch="360"/>
        </w:sectPr>
      </w:pPr>
    </w:p>
    <w:p w:rsidR="00C62CCF" w:rsidRPr="00FF714F" w:rsidRDefault="00CF09DE" w:rsidP="007A333D">
      <w:pPr>
        <w:pStyle w:val="Heading2"/>
      </w:pPr>
      <w:r w:rsidRPr="00FF714F">
        <w:rPr>
          <w:rFonts w:eastAsia="Calibri"/>
          <w:szCs w:val="20"/>
        </w:rPr>
        <w:lastRenderedPageBreak/>
        <w:t>DFAT</w:t>
      </w:r>
      <w:r w:rsidR="00C62CCF" w:rsidRPr="00770305">
        <w:t>’s r</w:t>
      </w:r>
      <w:r w:rsidR="00C62CCF" w:rsidRPr="00FF714F">
        <w:t>esponse to the specific recommendations made in the report</w:t>
      </w:r>
    </w:p>
    <w:p w:rsidR="00710BCF" w:rsidRPr="00FF714F" w:rsidRDefault="00CF09DE" w:rsidP="00AC3581">
      <w:pPr>
        <w:spacing w:after="120"/>
        <w:rPr>
          <w:rFonts w:cs="Arial"/>
        </w:rPr>
      </w:pPr>
      <w:r w:rsidRPr="00FF714F">
        <w:rPr>
          <w:rFonts w:cs="Arial"/>
        </w:rPr>
        <w:t xml:space="preserve">DFAT </w:t>
      </w:r>
      <w:r w:rsidR="00FC51FA" w:rsidRPr="00FF714F">
        <w:rPr>
          <w:rFonts w:cs="Arial"/>
        </w:rPr>
        <w:t xml:space="preserve">agrees with </w:t>
      </w:r>
      <w:r w:rsidR="00857615" w:rsidRPr="00FF714F">
        <w:rPr>
          <w:rFonts w:cs="Arial"/>
        </w:rPr>
        <w:t>some of the</w:t>
      </w:r>
      <w:r w:rsidR="00710BCF" w:rsidRPr="00FF714F">
        <w:rPr>
          <w:rFonts w:cs="Arial"/>
        </w:rPr>
        <w:t xml:space="preserve"> recommendations in the review and will take appropriate actions to fulfil the recommendations, as outlined below.</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bottom w:w="57" w:type="dxa"/>
        </w:tblCellMar>
        <w:tblLook w:val="04A0" w:firstRow="1" w:lastRow="0" w:firstColumn="1" w:lastColumn="0" w:noHBand="0" w:noVBand="1"/>
      </w:tblPr>
      <w:tblGrid>
        <w:gridCol w:w="3227"/>
        <w:gridCol w:w="6520"/>
        <w:gridCol w:w="2552"/>
        <w:gridCol w:w="2410"/>
      </w:tblGrid>
      <w:tr w:rsidR="00511141" w:rsidRPr="00FF714F" w:rsidTr="00FF714F">
        <w:trPr>
          <w:cantSplit/>
          <w:tblHeader/>
        </w:trPr>
        <w:tc>
          <w:tcPr>
            <w:tcW w:w="3227" w:type="dxa"/>
            <w:shd w:val="clear" w:color="auto" w:fill="FFEC9B"/>
            <w:vAlign w:val="center"/>
          </w:tcPr>
          <w:p w:rsidR="00511141" w:rsidRPr="00FF714F" w:rsidRDefault="00511141" w:rsidP="00511141">
            <w:pPr>
              <w:pStyle w:val="Heading2"/>
              <w:spacing w:before="120" w:after="120"/>
              <w:jc w:val="center"/>
              <w:rPr>
                <w:sz w:val="20"/>
                <w:szCs w:val="20"/>
              </w:rPr>
            </w:pPr>
            <w:r w:rsidRPr="00FF714F">
              <w:rPr>
                <w:sz w:val="20"/>
                <w:szCs w:val="20"/>
              </w:rPr>
              <w:t>Recommendation</w:t>
            </w:r>
          </w:p>
        </w:tc>
        <w:tc>
          <w:tcPr>
            <w:tcW w:w="6520" w:type="dxa"/>
            <w:tcBorders>
              <w:right w:val="single" w:sz="4" w:space="0" w:color="auto"/>
            </w:tcBorders>
            <w:shd w:val="clear" w:color="auto" w:fill="FFEC9B"/>
            <w:vAlign w:val="center"/>
          </w:tcPr>
          <w:p w:rsidR="00511141" w:rsidRPr="00FF714F" w:rsidRDefault="00511141" w:rsidP="00511141">
            <w:pPr>
              <w:spacing w:after="120"/>
              <w:jc w:val="center"/>
              <w:rPr>
                <w:rFonts w:cs="Arial"/>
                <w:b/>
                <w:szCs w:val="20"/>
              </w:rPr>
            </w:pPr>
            <w:r w:rsidRPr="00FF714F">
              <w:rPr>
                <w:rFonts w:cs="Arial"/>
                <w:b/>
                <w:szCs w:val="20"/>
              </w:rPr>
              <w:t>Response</w:t>
            </w:r>
          </w:p>
        </w:tc>
        <w:tc>
          <w:tcPr>
            <w:tcW w:w="2552" w:type="dxa"/>
            <w:tcBorders>
              <w:left w:val="single" w:sz="4" w:space="0" w:color="auto"/>
            </w:tcBorders>
            <w:shd w:val="clear" w:color="auto" w:fill="FFEC9B"/>
            <w:vAlign w:val="center"/>
          </w:tcPr>
          <w:p w:rsidR="00511141" w:rsidRPr="00FF714F" w:rsidRDefault="00511141" w:rsidP="00511141">
            <w:pPr>
              <w:spacing w:after="120"/>
              <w:jc w:val="center"/>
              <w:rPr>
                <w:rFonts w:cs="Arial"/>
                <w:b/>
                <w:szCs w:val="20"/>
              </w:rPr>
            </w:pPr>
            <w:r w:rsidRPr="00FF714F">
              <w:rPr>
                <w:rFonts w:cs="Arial"/>
                <w:b/>
                <w:szCs w:val="20"/>
              </w:rPr>
              <w:t>Actions</w:t>
            </w:r>
          </w:p>
        </w:tc>
        <w:tc>
          <w:tcPr>
            <w:tcW w:w="2410" w:type="dxa"/>
            <w:tcBorders>
              <w:left w:val="single" w:sz="4" w:space="0" w:color="auto"/>
            </w:tcBorders>
            <w:shd w:val="clear" w:color="auto" w:fill="FFEC9B"/>
            <w:vAlign w:val="center"/>
          </w:tcPr>
          <w:p w:rsidR="00511141" w:rsidRPr="00FF714F" w:rsidRDefault="00511141" w:rsidP="00511141">
            <w:pPr>
              <w:spacing w:after="120"/>
              <w:jc w:val="center"/>
              <w:rPr>
                <w:rFonts w:cs="Arial"/>
                <w:szCs w:val="20"/>
              </w:rPr>
            </w:pPr>
            <w:r w:rsidRPr="00FF714F">
              <w:rPr>
                <w:b/>
                <w:szCs w:val="20"/>
              </w:rPr>
              <w:t>Responsibility</w:t>
            </w:r>
          </w:p>
        </w:tc>
      </w:tr>
      <w:tr w:rsidR="00511141" w:rsidRPr="00FF714F" w:rsidTr="00FF714F">
        <w:trPr>
          <w:cantSplit/>
          <w:trHeight w:val="885"/>
        </w:trPr>
        <w:tc>
          <w:tcPr>
            <w:tcW w:w="3227" w:type="dxa"/>
            <w:shd w:val="clear" w:color="auto" w:fill="auto"/>
          </w:tcPr>
          <w:p w:rsidR="00511141" w:rsidRPr="00FF714F" w:rsidRDefault="00511141" w:rsidP="00511141">
            <w:pPr>
              <w:numPr>
                <w:ilvl w:val="0"/>
                <w:numId w:val="43"/>
              </w:numPr>
              <w:spacing w:after="120"/>
            </w:pPr>
            <w:r w:rsidRPr="00FF714F">
              <w:t>The AAPF objectives are reformulated to reflect the role of the facility in providing ‘niche assistance’ within the context of the Africa Program Strategy and ‘aid architecture’.</w:t>
            </w:r>
          </w:p>
        </w:tc>
        <w:tc>
          <w:tcPr>
            <w:tcW w:w="6520" w:type="dxa"/>
            <w:tcBorders>
              <w:right w:val="single" w:sz="4" w:space="0" w:color="auto"/>
            </w:tcBorders>
            <w:shd w:val="clear" w:color="auto" w:fill="auto"/>
          </w:tcPr>
          <w:p w:rsidR="00511141" w:rsidRPr="00FF714F" w:rsidRDefault="00511141" w:rsidP="00511141">
            <w:pPr>
              <w:spacing w:after="120"/>
              <w:rPr>
                <w:rFonts w:cs="Arial"/>
              </w:rPr>
            </w:pPr>
            <w:r w:rsidRPr="00770305">
              <w:rPr>
                <w:rFonts w:cs="Arial"/>
              </w:rPr>
              <w:t>Noted</w:t>
            </w:r>
          </w:p>
          <w:p w:rsidR="00511141" w:rsidRPr="00FF714F" w:rsidRDefault="00511141" w:rsidP="00FF714F">
            <w:pPr>
              <w:numPr>
                <w:ilvl w:val="1"/>
                <w:numId w:val="43"/>
              </w:numPr>
              <w:spacing w:after="120"/>
              <w:ind w:left="459"/>
              <w:rPr>
                <w:rFonts w:cs="Arial"/>
              </w:rPr>
            </w:pPr>
            <w:r w:rsidRPr="00FF714F">
              <w:rPr>
                <w:rFonts w:cs="Arial"/>
                <w:szCs w:val="20"/>
                <w:lang w:eastAsia="en-AU"/>
              </w:rPr>
              <w:t xml:space="preserve">While DFAT </w:t>
            </w:r>
            <w:r w:rsidRPr="00FF714F">
              <w:rPr>
                <w:rFonts w:cs="Arial"/>
                <w:szCs w:val="20"/>
                <w:u w:val="single"/>
                <w:lang w:eastAsia="en-AU"/>
              </w:rPr>
              <w:t>agrees</w:t>
            </w:r>
            <w:r w:rsidRPr="00770305">
              <w:rPr>
                <w:rFonts w:cs="Arial"/>
                <w:szCs w:val="20"/>
                <w:lang w:eastAsia="en-AU"/>
              </w:rPr>
              <w:t xml:space="preserve"> </w:t>
            </w:r>
            <w:r w:rsidRPr="00FF714F">
              <w:rPr>
                <w:rFonts w:cs="Arial"/>
                <w:szCs w:val="20"/>
                <w:lang w:eastAsia="en-AU"/>
              </w:rPr>
              <w:t xml:space="preserve">with focussing the AAPF on providing ‘niche </w:t>
            </w:r>
            <w:r w:rsidRPr="00FF714F">
              <w:t>assistance’</w:t>
            </w:r>
            <w:r w:rsidRPr="00FF714F">
              <w:rPr>
                <w:rFonts w:cs="Arial"/>
                <w:szCs w:val="20"/>
                <w:lang w:eastAsia="en-AU"/>
              </w:rPr>
              <w:t xml:space="preserve"> </w:t>
            </w:r>
            <w:r w:rsidR="002B2CF7" w:rsidRPr="00FF714F">
              <w:rPr>
                <w:rFonts w:cs="Arial"/>
                <w:szCs w:val="20"/>
                <w:lang w:eastAsia="en-AU"/>
              </w:rPr>
              <w:t xml:space="preserve">for development and cost effectiveness reasons </w:t>
            </w:r>
            <w:r w:rsidRPr="00FF714F">
              <w:rPr>
                <w:rFonts w:cs="Arial"/>
                <w:szCs w:val="20"/>
                <w:lang w:eastAsia="en-AU"/>
              </w:rPr>
              <w:t xml:space="preserve">(p. 20), this recommendation will be considered </w:t>
            </w:r>
            <w:r w:rsidR="008147AF">
              <w:rPr>
                <w:rFonts w:cs="Arial"/>
                <w:szCs w:val="20"/>
                <w:lang w:eastAsia="en-AU"/>
              </w:rPr>
              <w:t>in line with the</w:t>
            </w:r>
            <w:r w:rsidR="000D0A09">
              <w:rPr>
                <w:rFonts w:cs="Arial"/>
                <w:szCs w:val="20"/>
                <w:lang w:eastAsia="en-AU"/>
              </w:rPr>
              <w:t xml:space="preserve"> consolidation of the Africa program</w:t>
            </w:r>
            <w:r w:rsidR="009A7415">
              <w:rPr>
                <w:rFonts w:cs="Arial"/>
                <w:szCs w:val="20"/>
                <w:lang w:eastAsia="en-AU"/>
              </w:rPr>
              <w:t>’s geographic and sectoral focus</w:t>
            </w:r>
            <w:r w:rsidR="000D0A09">
              <w:rPr>
                <w:rFonts w:cs="Arial"/>
                <w:szCs w:val="20"/>
                <w:lang w:eastAsia="en-AU"/>
              </w:rPr>
              <w:t xml:space="preserve"> and budget</w:t>
            </w:r>
            <w:r w:rsidR="008147AF">
              <w:rPr>
                <w:rFonts w:cs="Arial"/>
                <w:szCs w:val="20"/>
                <w:lang w:eastAsia="en-AU"/>
              </w:rPr>
              <w:t xml:space="preserve">. </w:t>
            </w:r>
            <w:r w:rsidRPr="00FF714F">
              <w:rPr>
                <w:rFonts w:cs="Arial"/>
                <w:szCs w:val="20"/>
                <w:lang w:eastAsia="en-AU"/>
              </w:rPr>
              <w:t xml:space="preserve">We note that whole of Government consultations undertaken in 2013 highlighted the importance </w:t>
            </w:r>
            <w:r w:rsidR="000D0A09">
              <w:rPr>
                <w:rFonts w:cs="Arial"/>
              </w:rPr>
              <w:t>of</w:t>
            </w:r>
            <w:r w:rsidRPr="00FF714F">
              <w:rPr>
                <w:rFonts w:cs="Arial"/>
              </w:rPr>
              <w:t xml:space="preserve"> Australia to continue to be a flexible and responsive donor </w:t>
            </w:r>
            <w:r w:rsidR="00301945" w:rsidRPr="00FF714F">
              <w:rPr>
                <w:rFonts w:cs="Arial"/>
              </w:rPr>
              <w:t xml:space="preserve">in Africa </w:t>
            </w:r>
            <w:r w:rsidRPr="00FF714F">
              <w:rPr>
                <w:rFonts w:cs="Arial"/>
              </w:rPr>
              <w:t>within our chosen areas of work. Multi-country delivery mechanisms like AAPF are highly valued by African governments and help Australia to maintain a basic level of support across the continent</w:t>
            </w:r>
            <w:r w:rsidR="002B2CF7" w:rsidRPr="00FF714F">
              <w:rPr>
                <w:rFonts w:cs="Arial"/>
              </w:rPr>
              <w:t>, particularly in areas of Australian expertise</w:t>
            </w:r>
            <w:r w:rsidRPr="00FF714F">
              <w:rPr>
                <w:rFonts w:cs="Arial"/>
              </w:rPr>
              <w:t>.</w:t>
            </w:r>
          </w:p>
          <w:p w:rsidR="00511141" w:rsidRPr="00FF714F" w:rsidRDefault="007E67B8" w:rsidP="000D0A09">
            <w:pPr>
              <w:numPr>
                <w:ilvl w:val="1"/>
                <w:numId w:val="43"/>
              </w:numPr>
              <w:spacing w:after="120"/>
              <w:ind w:left="459"/>
              <w:rPr>
                <w:rFonts w:cs="Arial"/>
              </w:rPr>
            </w:pPr>
            <w:r>
              <w:rPr>
                <w:rFonts w:cs="Arial"/>
              </w:rPr>
              <w:t>DFAT</w:t>
            </w:r>
            <w:r w:rsidRPr="00FF714F">
              <w:rPr>
                <w:rFonts w:cs="Arial"/>
              </w:rPr>
              <w:t xml:space="preserve"> </w:t>
            </w:r>
            <w:r w:rsidR="00156CC8">
              <w:rPr>
                <w:rFonts w:cs="Arial"/>
              </w:rPr>
              <w:t xml:space="preserve">will review the objectives of the AAPF program and their relevance as a wider review of the Africa program and </w:t>
            </w:r>
            <w:r w:rsidR="000D0A09">
              <w:rPr>
                <w:rFonts w:cs="Arial"/>
              </w:rPr>
              <w:t>the design of a successor program focussed on extractives governance.</w:t>
            </w:r>
          </w:p>
        </w:tc>
        <w:tc>
          <w:tcPr>
            <w:tcW w:w="2552" w:type="dxa"/>
            <w:tcBorders>
              <w:left w:val="single" w:sz="4" w:space="0" w:color="auto"/>
            </w:tcBorders>
            <w:shd w:val="clear" w:color="auto" w:fill="auto"/>
          </w:tcPr>
          <w:p w:rsidR="0069535C" w:rsidRPr="00FF714F" w:rsidRDefault="0069535C" w:rsidP="00FF714F">
            <w:pPr>
              <w:numPr>
                <w:ilvl w:val="1"/>
                <w:numId w:val="36"/>
              </w:numPr>
              <w:spacing w:after="120"/>
              <w:ind w:left="318"/>
              <w:rPr>
                <w:rFonts w:cs="Arial"/>
              </w:rPr>
            </w:pPr>
            <w:r w:rsidRPr="00FF714F">
              <w:rPr>
                <w:rFonts w:cs="Arial"/>
              </w:rPr>
              <w:t>For consideration in: (i) a</w:t>
            </w:r>
            <w:r w:rsidR="002B2CF7" w:rsidRPr="00FF714F">
              <w:rPr>
                <w:rFonts w:cs="Arial"/>
              </w:rPr>
              <w:t>ny</w:t>
            </w:r>
            <w:r w:rsidRPr="00FF714F">
              <w:rPr>
                <w:rFonts w:cs="Arial"/>
              </w:rPr>
              <w:t xml:space="preserve"> possible extension to the current AAPF contract; and</w:t>
            </w:r>
          </w:p>
          <w:p w:rsidR="00511141" w:rsidRPr="00FF714F" w:rsidRDefault="0069535C" w:rsidP="00FF714F">
            <w:pPr>
              <w:spacing w:after="120"/>
              <w:ind w:left="318"/>
              <w:rPr>
                <w:rFonts w:cs="Arial"/>
              </w:rPr>
            </w:pPr>
            <w:r w:rsidRPr="00FF714F">
              <w:rPr>
                <w:rFonts w:cs="Arial"/>
              </w:rPr>
              <w:t>(ii) the design of any successor program.</w:t>
            </w:r>
          </w:p>
          <w:p w:rsidR="0069535C" w:rsidRPr="00FF714F" w:rsidRDefault="0069535C" w:rsidP="00FF714F">
            <w:pPr>
              <w:numPr>
                <w:ilvl w:val="1"/>
                <w:numId w:val="36"/>
              </w:numPr>
              <w:spacing w:after="120"/>
              <w:ind w:left="318"/>
              <w:rPr>
                <w:rFonts w:cs="Arial"/>
              </w:rPr>
            </w:pPr>
            <w:r w:rsidRPr="00FF714F">
              <w:rPr>
                <w:rFonts w:cs="Arial"/>
              </w:rPr>
              <w:t>For consideration in the design of any successor program</w:t>
            </w:r>
          </w:p>
        </w:tc>
        <w:tc>
          <w:tcPr>
            <w:tcW w:w="2410" w:type="dxa"/>
            <w:tcBorders>
              <w:left w:val="single" w:sz="4" w:space="0" w:color="auto"/>
            </w:tcBorders>
            <w:shd w:val="clear" w:color="auto" w:fill="auto"/>
          </w:tcPr>
          <w:p w:rsidR="00511141" w:rsidRPr="00FF714F" w:rsidRDefault="0069535C" w:rsidP="00511141">
            <w:pPr>
              <w:spacing w:after="120"/>
              <w:rPr>
                <w:rFonts w:cs="Arial"/>
              </w:rPr>
            </w:pPr>
            <w:r w:rsidRPr="00FF714F">
              <w:rPr>
                <w:rFonts w:cs="Arial"/>
              </w:rPr>
              <w:t>DFAT Pretoria</w:t>
            </w:r>
          </w:p>
          <w:p w:rsidR="0069535C" w:rsidRPr="00FF714F" w:rsidRDefault="0069535C" w:rsidP="00511141">
            <w:pPr>
              <w:spacing w:after="120"/>
              <w:rPr>
                <w:rFonts w:cs="Arial"/>
              </w:rPr>
            </w:pPr>
          </w:p>
          <w:p w:rsidR="0069535C" w:rsidRPr="00FF714F" w:rsidRDefault="0069535C" w:rsidP="00511141">
            <w:pPr>
              <w:spacing w:after="120"/>
              <w:rPr>
                <w:rFonts w:cs="Arial"/>
              </w:rPr>
            </w:pPr>
          </w:p>
          <w:p w:rsidR="0069535C" w:rsidRPr="00FF714F" w:rsidRDefault="0069535C" w:rsidP="00511141">
            <w:pPr>
              <w:spacing w:after="120"/>
              <w:rPr>
                <w:rFonts w:cs="Arial"/>
              </w:rPr>
            </w:pPr>
          </w:p>
          <w:p w:rsidR="0069535C" w:rsidRPr="00FF714F" w:rsidRDefault="0069535C" w:rsidP="00511141">
            <w:pPr>
              <w:spacing w:after="120"/>
              <w:rPr>
                <w:rFonts w:cs="Arial"/>
              </w:rPr>
            </w:pPr>
            <w:r w:rsidRPr="00FF714F">
              <w:rPr>
                <w:rFonts w:cs="Arial"/>
              </w:rPr>
              <w:t>DFAT Pretoria</w:t>
            </w:r>
          </w:p>
          <w:p w:rsidR="0069535C" w:rsidRPr="00FF714F" w:rsidRDefault="0069535C" w:rsidP="00511141">
            <w:pPr>
              <w:spacing w:after="120"/>
              <w:rPr>
                <w:rFonts w:cs="Arial"/>
              </w:rPr>
            </w:pPr>
          </w:p>
          <w:p w:rsidR="0069535C" w:rsidRPr="00FF714F" w:rsidRDefault="0069535C" w:rsidP="00511141">
            <w:pPr>
              <w:spacing w:after="120"/>
              <w:rPr>
                <w:rFonts w:cs="Arial"/>
              </w:rPr>
            </w:pPr>
            <w:r w:rsidRPr="00FF714F">
              <w:rPr>
                <w:rFonts w:cs="Arial"/>
              </w:rPr>
              <w:t xml:space="preserve">DFAT </w:t>
            </w:r>
            <w:r w:rsidR="00D24CB8">
              <w:rPr>
                <w:rFonts w:cs="Arial"/>
              </w:rPr>
              <w:t xml:space="preserve">Canberra and </w:t>
            </w:r>
            <w:r w:rsidRPr="00FF714F">
              <w:rPr>
                <w:rFonts w:cs="Arial"/>
              </w:rPr>
              <w:t>Pretoria</w:t>
            </w:r>
          </w:p>
        </w:tc>
      </w:tr>
      <w:tr w:rsidR="00511141" w:rsidRPr="00FF714F" w:rsidTr="00FF714F">
        <w:trPr>
          <w:cantSplit/>
          <w:trHeight w:val="885"/>
        </w:trPr>
        <w:tc>
          <w:tcPr>
            <w:tcW w:w="3227" w:type="dxa"/>
            <w:shd w:val="clear" w:color="auto" w:fill="auto"/>
          </w:tcPr>
          <w:p w:rsidR="00511141" w:rsidRPr="00FF714F" w:rsidRDefault="00511141" w:rsidP="00511141">
            <w:pPr>
              <w:numPr>
                <w:ilvl w:val="0"/>
                <w:numId w:val="43"/>
              </w:numPr>
              <w:spacing w:after="120"/>
            </w:pPr>
            <w:r w:rsidRPr="00FF714F">
              <w:t>Relevant AusAID country and sub-regional strategies are required to discuss choices of aid modality, including the role for the AAPF and links with the rest of the program</w:t>
            </w:r>
          </w:p>
        </w:tc>
        <w:tc>
          <w:tcPr>
            <w:tcW w:w="6520" w:type="dxa"/>
            <w:tcBorders>
              <w:right w:val="single" w:sz="4" w:space="0" w:color="auto"/>
            </w:tcBorders>
            <w:shd w:val="clear" w:color="auto" w:fill="auto"/>
          </w:tcPr>
          <w:p w:rsidR="00511141" w:rsidRPr="00770305" w:rsidRDefault="00511141" w:rsidP="00511141">
            <w:pPr>
              <w:spacing w:after="120"/>
              <w:rPr>
                <w:rFonts w:cs="Arial"/>
              </w:rPr>
            </w:pPr>
            <w:r w:rsidRPr="00770305">
              <w:rPr>
                <w:rFonts w:cs="Arial"/>
              </w:rPr>
              <w:t>Noted</w:t>
            </w:r>
          </w:p>
          <w:p w:rsidR="00511141" w:rsidRPr="00FF714F" w:rsidRDefault="00511141" w:rsidP="00F22CB7">
            <w:pPr>
              <w:spacing w:after="120"/>
              <w:rPr>
                <w:rFonts w:cs="Arial"/>
              </w:rPr>
            </w:pPr>
            <w:r w:rsidRPr="00FF714F">
              <w:rPr>
                <w:rFonts w:cs="Arial"/>
                <w:szCs w:val="20"/>
              </w:rPr>
              <w:t xml:space="preserve">DFAT </w:t>
            </w:r>
            <w:r w:rsidRPr="00FF714F">
              <w:rPr>
                <w:rFonts w:cs="Arial"/>
                <w:szCs w:val="20"/>
                <w:u w:val="single"/>
              </w:rPr>
              <w:t>agrees</w:t>
            </w:r>
            <w:r w:rsidR="009A7415">
              <w:rPr>
                <w:rFonts w:cs="Arial"/>
                <w:szCs w:val="20"/>
              </w:rPr>
              <w:t xml:space="preserve"> with this recommendation</w:t>
            </w:r>
            <w:r w:rsidRPr="00770305">
              <w:rPr>
                <w:rFonts w:cs="Arial"/>
                <w:szCs w:val="20"/>
              </w:rPr>
              <w:t xml:space="preserve"> </w:t>
            </w:r>
            <w:r w:rsidR="00156CC8">
              <w:rPr>
                <w:rFonts w:cs="Arial"/>
                <w:szCs w:val="20"/>
              </w:rPr>
              <w:t xml:space="preserve">and it is being </w:t>
            </w:r>
            <w:r w:rsidR="00F22CB7">
              <w:rPr>
                <w:rFonts w:cs="Arial"/>
                <w:szCs w:val="20"/>
              </w:rPr>
              <w:t>considered</w:t>
            </w:r>
            <w:r w:rsidR="00156CC8">
              <w:rPr>
                <w:rFonts w:cs="Arial"/>
                <w:szCs w:val="20"/>
              </w:rPr>
              <w:t xml:space="preserve"> as part of the </w:t>
            </w:r>
            <w:r w:rsidR="003037CD">
              <w:rPr>
                <w:rFonts w:cs="Arial"/>
                <w:szCs w:val="20"/>
              </w:rPr>
              <w:t>development of an Aid Investment Plan.</w:t>
            </w:r>
            <w:r w:rsidR="00156CC8">
              <w:rPr>
                <w:rFonts w:cs="Arial"/>
                <w:szCs w:val="20"/>
              </w:rPr>
              <w:t xml:space="preserve"> </w:t>
            </w:r>
          </w:p>
        </w:tc>
        <w:tc>
          <w:tcPr>
            <w:tcW w:w="2552" w:type="dxa"/>
            <w:tcBorders>
              <w:left w:val="single" w:sz="4" w:space="0" w:color="auto"/>
            </w:tcBorders>
            <w:shd w:val="clear" w:color="auto" w:fill="auto"/>
          </w:tcPr>
          <w:p w:rsidR="00511141" w:rsidRPr="00FF714F" w:rsidRDefault="000243C1" w:rsidP="00511141">
            <w:pPr>
              <w:spacing w:after="120"/>
              <w:rPr>
                <w:rFonts w:cs="Arial"/>
              </w:rPr>
            </w:pPr>
            <w:r w:rsidRPr="00FF714F">
              <w:rPr>
                <w:rFonts w:cs="Arial"/>
              </w:rPr>
              <w:t xml:space="preserve">For consideration in development of any future African </w:t>
            </w:r>
            <w:r w:rsidRPr="00FF714F">
              <w:t>country and sub-regional strategies.</w:t>
            </w:r>
          </w:p>
        </w:tc>
        <w:tc>
          <w:tcPr>
            <w:tcW w:w="2410" w:type="dxa"/>
            <w:tcBorders>
              <w:left w:val="single" w:sz="4" w:space="0" w:color="auto"/>
            </w:tcBorders>
            <w:shd w:val="clear" w:color="auto" w:fill="auto"/>
          </w:tcPr>
          <w:p w:rsidR="00511141" w:rsidRPr="00FF714F" w:rsidRDefault="00511141" w:rsidP="00511141">
            <w:pPr>
              <w:spacing w:after="120"/>
              <w:rPr>
                <w:rFonts w:cs="Arial"/>
              </w:rPr>
            </w:pPr>
            <w:r w:rsidRPr="00FF714F">
              <w:rPr>
                <w:rFonts w:cs="Arial"/>
              </w:rPr>
              <w:t>DFAT Africa Branch, Canberra</w:t>
            </w:r>
          </w:p>
        </w:tc>
      </w:tr>
      <w:tr w:rsidR="00511141" w:rsidRPr="00FF714F" w:rsidTr="00FF714F">
        <w:trPr>
          <w:cantSplit/>
          <w:trHeight w:val="885"/>
        </w:trPr>
        <w:tc>
          <w:tcPr>
            <w:tcW w:w="3227" w:type="dxa"/>
            <w:shd w:val="clear" w:color="auto" w:fill="auto"/>
          </w:tcPr>
          <w:p w:rsidR="00511141" w:rsidRPr="00FF714F" w:rsidRDefault="00511141" w:rsidP="00511141">
            <w:pPr>
              <w:numPr>
                <w:ilvl w:val="0"/>
                <w:numId w:val="43"/>
              </w:numPr>
              <w:spacing w:after="120"/>
            </w:pPr>
            <w:r w:rsidRPr="00FF714F">
              <w:lastRenderedPageBreak/>
              <w:t>A Joint Workshop is conducted involving AusAID staff from Posts and MC personnel to: (i) Carry out an audit of relationships formed with PG organisations as a result of AAPF funding; (ii) Determine the future of these relationships within the context of the emerging Africa Program Strategy; (iii) Decide upon the appropriate aid modality to handle on-going relationships with priority PG organisations</w:t>
            </w:r>
          </w:p>
        </w:tc>
        <w:tc>
          <w:tcPr>
            <w:tcW w:w="6520" w:type="dxa"/>
            <w:tcBorders>
              <w:right w:val="single" w:sz="4" w:space="0" w:color="auto"/>
            </w:tcBorders>
            <w:shd w:val="clear" w:color="auto" w:fill="auto"/>
          </w:tcPr>
          <w:p w:rsidR="00511141" w:rsidRPr="00FF714F" w:rsidRDefault="00511141" w:rsidP="00511141">
            <w:pPr>
              <w:spacing w:after="120"/>
              <w:rPr>
                <w:rFonts w:cs="Arial"/>
              </w:rPr>
            </w:pPr>
            <w:r w:rsidRPr="00FF714F">
              <w:rPr>
                <w:rFonts w:cs="Arial"/>
              </w:rPr>
              <w:t>Agree</w:t>
            </w:r>
          </w:p>
          <w:p w:rsidR="00511141" w:rsidRPr="00FF714F" w:rsidRDefault="00511141" w:rsidP="00FF714F">
            <w:pPr>
              <w:numPr>
                <w:ilvl w:val="1"/>
                <w:numId w:val="43"/>
              </w:numPr>
              <w:ind w:left="459"/>
              <w:rPr>
                <w:rFonts w:cs="Arial"/>
                <w:szCs w:val="20"/>
              </w:rPr>
            </w:pPr>
            <w:r w:rsidRPr="00FF714F">
              <w:rPr>
                <w:rFonts w:cs="Arial"/>
                <w:szCs w:val="20"/>
              </w:rPr>
              <w:t xml:space="preserve">DFAT </w:t>
            </w:r>
            <w:r w:rsidR="002B2CF7" w:rsidRPr="00FF714F">
              <w:rPr>
                <w:rFonts w:cs="Arial"/>
                <w:szCs w:val="20"/>
              </w:rPr>
              <w:t xml:space="preserve">has </w:t>
            </w:r>
            <w:r w:rsidRPr="00FF714F">
              <w:rPr>
                <w:rFonts w:cs="Arial"/>
                <w:szCs w:val="20"/>
              </w:rPr>
              <w:t>engage</w:t>
            </w:r>
            <w:r w:rsidR="002B2CF7" w:rsidRPr="00FF714F">
              <w:rPr>
                <w:rFonts w:cs="Arial"/>
                <w:szCs w:val="20"/>
              </w:rPr>
              <w:t>d</w:t>
            </w:r>
            <w:r w:rsidRPr="00FF714F">
              <w:rPr>
                <w:rFonts w:cs="Arial"/>
                <w:szCs w:val="20"/>
              </w:rPr>
              <w:t xml:space="preserve"> Cardno to undertake a relationship audit on a regional basis.  </w:t>
            </w:r>
            <w:r w:rsidR="00156CC8">
              <w:rPr>
                <w:rFonts w:cs="Arial"/>
                <w:szCs w:val="20"/>
              </w:rPr>
              <w:t xml:space="preserve">This will include with African Governments, other Australian Government departments, multilateral and regional partners and relevant universities. </w:t>
            </w:r>
            <w:r w:rsidRPr="00FF714F">
              <w:rPr>
                <w:rFonts w:cs="Arial"/>
                <w:szCs w:val="20"/>
              </w:rPr>
              <w:t xml:space="preserve">The relationship audit </w:t>
            </w:r>
            <w:r w:rsidR="00156CC8">
              <w:rPr>
                <w:rFonts w:cs="Arial"/>
                <w:szCs w:val="20"/>
              </w:rPr>
              <w:t xml:space="preserve">will </w:t>
            </w:r>
            <w:r w:rsidRPr="00FF714F">
              <w:rPr>
                <w:rFonts w:cs="Arial"/>
                <w:szCs w:val="20"/>
              </w:rPr>
              <w:t>identif</w:t>
            </w:r>
            <w:r w:rsidR="00156CC8">
              <w:rPr>
                <w:rFonts w:cs="Arial"/>
                <w:szCs w:val="20"/>
              </w:rPr>
              <w:t>y</w:t>
            </w:r>
            <w:r w:rsidRPr="00FF714F">
              <w:rPr>
                <w:rFonts w:cs="Arial"/>
                <w:szCs w:val="20"/>
              </w:rPr>
              <w:t>:</w:t>
            </w:r>
          </w:p>
          <w:p w:rsidR="00511141" w:rsidRPr="00FF714F" w:rsidRDefault="00511141" w:rsidP="00301945">
            <w:pPr>
              <w:numPr>
                <w:ilvl w:val="0"/>
                <w:numId w:val="42"/>
              </w:numPr>
              <w:ind w:hanging="261"/>
              <w:rPr>
                <w:rFonts w:cs="Arial"/>
                <w:szCs w:val="20"/>
              </w:rPr>
            </w:pPr>
            <w:r w:rsidRPr="00FF714F">
              <w:rPr>
                <w:rFonts w:cs="Arial"/>
                <w:szCs w:val="20"/>
              </w:rPr>
              <w:t>The relationships developed through the AAPF</w:t>
            </w:r>
          </w:p>
          <w:p w:rsidR="00511141" w:rsidRPr="00FF714F" w:rsidRDefault="00511141" w:rsidP="00301945">
            <w:pPr>
              <w:numPr>
                <w:ilvl w:val="0"/>
                <w:numId w:val="42"/>
              </w:numPr>
              <w:ind w:hanging="261"/>
              <w:rPr>
                <w:rFonts w:cs="Arial"/>
                <w:szCs w:val="20"/>
              </w:rPr>
            </w:pPr>
            <w:r w:rsidRPr="00FF714F">
              <w:rPr>
                <w:rFonts w:cs="Arial"/>
                <w:szCs w:val="20"/>
              </w:rPr>
              <w:t>Which relationships should continue/discontinue and the strategy to continuing/discontinuing the relationship</w:t>
            </w:r>
          </w:p>
          <w:p w:rsidR="00511141" w:rsidRPr="00FF714F" w:rsidRDefault="00511141" w:rsidP="00FF714F">
            <w:pPr>
              <w:numPr>
                <w:ilvl w:val="0"/>
                <w:numId w:val="42"/>
              </w:numPr>
              <w:ind w:hanging="261"/>
              <w:rPr>
                <w:rFonts w:cs="Arial"/>
              </w:rPr>
            </w:pPr>
            <w:r w:rsidRPr="00FF714F">
              <w:rPr>
                <w:rFonts w:cs="Arial"/>
                <w:szCs w:val="20"/>
              </w:rPr>
              <w:t>The responsible officer for managing the relationship.</w:t>
            </w:r>
          </w:p>
          <w:p w:rsidR="00301945" w:rsidRPr="00FF714F" w:rsidRDefault="0032731B" w:rsidP="00F46942">
            <w:pPr>
              <w:numPr>
                <w:ilvl w:val="1"/>
                <w:numId w:val="43"/>
              </w:numPr>
              <w:ind w:left="459"/>
              <w:rPr>
                <w:rFonts w:cs="Arial"/>
              </w:rPr>
            </w:pPr>
            <w:r w:rsidRPr="00FF714F">
              <w:t xml:space="preserve">The outcomes of the relationship audit will </w:t>
            </w:r>
            <w:r w:rsidR="00156CC8">
              <w:t>inform</w:t>
            </w:r>
            <w:r w:rsidR="00301945" w:rsidRPr="00FF714F">
              <w:t xml:space="preserve"> </w:t>
            </w:r>
            <w:r w:rsidR="00156CC8">
              <w:t xml:space="preserve">decisions about </w:t>
            </w:r>
            <w:r w:rsidR="003037CD">
              <w:t>which</w:t>
            </w:r>
            <w:r w:rsidR="00156CC8">
              <w:t xml:space="preserve"> future</w:t>
            </w:r>
            <w:r w:rsidR="00301945" w:rsidRPr="00FF714F">
              <w:t xml:space="preserve"> aid modalit</w:t>
            </w:r>
            <w:r w:rsidR="00156CC8">
              <w:t>ies are relevant to support the Governments objectives in Africa.</w:t>
            </w:r>
          </w:p>
        </w:tc>
        <w:tc>
          <w:tcPr>
            <w:tcW w:w="2552" w:type="dxa"/>
            <w:tcBorders>
              <w:left w:val="single" w:sz="4" w:space="0" w:color="auto"/>
            </w:tcBorders>
            <w:shd w:val="clear" w:color="auto" w:fill="auto"/>
          </w:tcPr>
          <w:p w:rsidR="00301945" w:rsidRPr="00FF714F" w:rsidRDefault="000243C1" w:rsidP="00FF714F">
            <w:pPr>
              <w:numPr>
                <w:ilvl w:val="0"/>
                <w:numId w:val="44"/>
              </w:numPr>
              <w:spacing w:after="120"/>
              <w:rPr>
                <w:rFonts w:cs="Arial"/>
              </w:rPr>
            </w:pPr>
            <w:r w:rsidRPr="00FF714F">
              <w:rPr>
                <w:rFonts w:cs="Arial"/>
              </w:rPr>
              <w:t xml:space="preserve">Completed. </w:t>
            </w:r>
            <w:r w:rsidR="00301945" w:rsidRPr="00FF714F">
              <w:rPr>
                <w:rFonts w:cs="Arial"/>
              </w:rPr>
              <w:t xml:space="preserve">MC </w:t>
            </w:r>
            <w:r w:rsidRPr="00FF714F">
              <w:rPr>
                <w:rFonts w:cs="Arial"/>
              </w:rPr>
              <w:t xml:space="preserve">staff </w:t>
            </w:r>
            <w:r w:rsidR="00301945" w:rsidRPr="00FF714F">
              <w:rPr>
                <w:rFonts w:cs="Arial"/>
              </w:rPr>
              <w:t xml:space="preserve">met with AAPF </w:t>
            </w:r>
            <w:r w:rsidRPr="00FF714F">
              <w:rPr>
                <w:rFonts w:cs="Arial"/>
              </w:rPr>
              <w:t xml:space="preserve">DFAT </w:t>
            </w:r>
            <w:r w:rsidR="00301945" w:rsidRPr="00FF714F">
              <w:rPr>
                <w:rFonts w:cs="Arial"/>
              </w:rPr>
              <w:t xml:space="preserve">staff from various Posts </w:t>
            </w:r>
            <w:r w:rsidRPr="00FF714F">
              <w:rPr>
                <w:rFonts w:cs="Arial"/>
              </w:rPr>
              <w:t xml:space="preserve">during Aug/Sept 2013 </w:t>
            </w:r>
            <w:r w:rsidR="00301945" w:rsidRPr="00FF714F">
              <w:rPr>
                <w:rFonts w:cs="Arial"/>
              </w:rPr>
              <w:t xml:space="preserve">to undertake </w:t>
            </w:r>
            <w:r w:rsidRPr="00FF714F">
              <w:rPr>
                <w:rFonts w:cs="Arial"/>
              </w:rPr>
              <w:t xml:space="preserve">a </w:t>
            </w:r>
            <w:r w:rsidR="00301945" w:rsidRPr="00FF714F">
              <w:rPr>
                <w:rFonts w:cs="Arial"/>
              </w:rPr>
              <w:t>relationship</w:t>
            </w:r>
            <w:r w:rsidR="00F22CB7">
              <w:rPr>
                <w:rFonts w:cs="Arial"/>
              </w:rPr>
              <w:t xml:space="preserve"> audit</w:t>
            </w:r>
            <w:r w:rsidRPr="00FF714F">
              <w:rPr>
                <w:rFonts w:cs="Arial"/>
              </w:rPr>
              <w:t>.</w:t>
            </w:r>
          </w:p>
          <w:p w:rsidR="000243C1" w:rsidRPr="00FF714F" w:rsidRDefault="009D5321" w:rsidP="00FF714F">
            <w:pPr>
              <w:numPr>
                <w:ilvl w:val="0"/>
                <w:numId w:val="44"/>
              </w:numPr>
              <w:spacing w:after="120"/>
              <w:rPr>
                <w:rFonts w:cs="Arial"/>
              </w:rPr>
            </w:pPr>
            <w:r w:rsidRPr="00FF714F">
              <w:rPr>
                <w:rFonts w:cs="Arial"/>
              </w:rPr>
              <w:t xml:space="preserve">Appropriately discontinue non-priority relationships. </w:t>
            </w:r>
          </w:p>
          <w:p w:rsidR="009D5321" w:rsidRPr="00FF714F" w:rsidRDefault="009D5321" w:rsidP="00FF714F">
            <w:pPr>
              <w:numPr>
                <w:ilvl w:val="0"/>
                <w:numId w:val="44"/>
              </w:numPr>
              <w:spacing w:after="120"/>
              <w:rPr>
                <w:rFonts w:cs="Arial"/>
              </w:rPr>
            </w:pPr>
            <w:r w:rsidRPr="00FF714F">
              <w:rPr>
                <w:rFonts w:cs="Arial"/>
              </w:rPr>
              <w:t>For ongoing relationships, consider appropriate aid modality</w:t>
            </w:r>
          </w:p>
        </w:tc>
        <w:tc>
          <w:tcPr>
            <w:tcW w:w="2410" w:type="dxa"/>
            <w:tcBorders>
              <w:left w:val="single" w:sz="4" w:space="0" w:color="auto"/>
            </w:tcBorders>
            <w:shd w:val="clear" w:color="auto" w:fill="auto"/>
          </w:tcPr>
          <w:p w:rsidR="00511141" w:rsidRPr="00FF714F" w:rsidRDefault="009D5321" w:rsidP="00511141">
            <w:pPr>
              <w:spacing w:after="120"/>
              <w:rPr>
                <w:rFonts w:cs="Arial"/>
              </w:rPr>
            </w:pPr>
            <w:r w:rsidRPr="00FF714F">
              <w:rPr>
                <w:rFonts w:cs="Arial"/>
              </w:rPr>
              <w:t>DFAT Pretoria/Cardno</w:t>
            </w:r>
          </w:p>
          <w:p w:rsidR="009D5321" w:rsidRPr="00FF714F" w:rsidRDefault="009D5321" w:rsidP="00511141">
            <w:pPr>
              <w:spacing w:after="120"/>
              <w:rPr>
                <w:rFonts w:cs="Arial"/>
              </w:rPr>
            </w:pPr>
          </w:p>
          <w:p w:rsidR="009D5321" w:rsidRPr="00FF714F" w:rsidRDefault="009D5321" w:rsidP="00511141">
            <w:pPr>
              <w:spacing w:after="120"/>
              <w:rPr>
                <w:rFonts w:cs="Arial"/>
              </w:rPr>
            </w:pPr>
          </w:p>
          <w:p w:rsidR="009D5321" w:rsidRPr="00FF714F" w:rsidRDefault="009D5321" w:rsidP="00511141">
            <w:pPr>
              <w:spacing w:after="120"/>
              <w:rPr>
                <w:rFonts w:cs="Arial"/>
              </w:rPr>
            </w:pPr>
          </w:p>
          <w:p w:rsidR="009D5321" w:rsidRPr="00FF714F" w:rsidRDefault="009D5321" w:rsidP="00511141">
            <w:pPr>
              <w:spacing w:after="120"/>
              <w:rPr>
                <w:rFonts w:cs="Arial"/>
              </w:rPr>
            </w:pPr>
          </w:p>
          <w:p w:rsidR="009D5321" w:rsidRPr="00FF714F" w:rsidRDefault="009D5321" w:rsidP="00511141">
            <w:pPr>
              <w:spacing w:after="120"/>
              <w:rPr>
                <w:rFonts w:cs="Arial"/>
              </w:rPr>
            </w:pPr>
            <w:r w:rsidRPr="00FF714F">
              <w:rPr>
                <w:rFonts w:cs="Arial"/>
              </w:rPr>
              <w:t>DFAT officer responsible (as identified in relationship audit)</w:t>
            </w:r>
          </w:p>
          <w:p w:rsidR="009D5321" w:rsidRPr="00FF714F" w:rsidRDefault="009D5321" w:rsidP="009D5321">
            <w:pPr>
              <w:spacing w:after="120"/>
              <w:rPr>
                <w:rFonts w:cs="Arial"/>
              </w:rPr>
            </w:pPr>
            <w:r w:rsidRPr="00FF714F">
              <w:rPr>
                <w:rFonts w:cs="Arial"/>
              </w:rPr>
              <w:t>DFAT officer responsible (as identified in relationship audit)</w:t>
            </w:r>
          </w:p>
        </w:tc>
      </w:tr>
      <w:tr w:rsidR="00301945" w:rsidRPr="00FF714F" w:rsidTr="00FF714F">
        <w:trPr>
          <w:cantSplit/>
          <w:trHeight w:val="885"/>
        </w:trPr>
        <w:tc>
          <w:tcPr>
            <w:tcW w:w="3227" w:type="dxa"/>
            <w:shd w:val="clear" w:color="auto" w:fill="auto"/>
          </w:tcPr>
          <w:p w:rsidR="00301945" w:rsidRPr="00FF714F" w:rsidRDefault="00301945" w:rsidP="00301945">
            <w:pPr>
              <w:numPr>
                <w:ilvl w:val="0"/>
                <w:numId w:val="43"/>
              </w:numPr>
              <w:spacing w:after="120"/>
            </w:pPr>
            <w:r w:rsidRPr="00FF714F">
              <w:t>AusAID appoint a full time, continent based, A-based AAPF Manager who has complete oversight of the workings of the facility.</w:t>
            </w:r>
          </w:p>
        </w:tc>
        <w:tc>
          <w:tcPr>
            <w:tcW w:w="6520" w:type="dxa"/>
            <w:tcBorders>
              <w:right w:val="single" w:sz="4" w:space="0" w:color="auto"/>
            </w:tcBorders>
            <w:shd w:val="clear" w:color="auto" w:fill="auto"/>
          </w:tcPr>
          <w:p w:rsidR="00301945" w:rsidRPr="00FF714F" w:rsidRDefault="00301945" w:rsidP="00511141">
            <w:pPr>
              <w:spacing w:after="120"/>
              <w:rPr>
                <w:rFonts w:cs="Arial"/>
              </w:rPr>
            </w:pPr>
            <w:r w:rsidRPr="00FF714F">
              <w:rPr>
                <w:rFonts w:cs="Arial"/>
              </w:rPr>
              <w:t>Disagree</w:t>
            </w:r>
          </w:p>
          <w:p w:rsidR="00301945" w:rsidRPr="00FF714F" w:rsidRDefault="00301945" w:rsidP="008444CE">
            <w:pPr>
              <w:spacing w:after="120"/>
              <w:rPr>
                <w:rFonts w:cs="Arial"/>
              </w:rPr>
            </w:pPr>
            <w:r w:rsidRPr="00FF714F">
              <w:t>There is currently an A</w:t>
            </w:r>
            <w:r w:rsidR="002B2CF7" w:rsidRPr="00FF714F">
              <w:t xml:space="preserve">ustralian officer at Pretoria Post who has </w:t>
            </w:r>
            <w:r w:rsidRPr="00FF714F">
              <w:t xml:space="preserve">oversight and performs the key </w:t>
            </w:r>
            <w:r w:rsidR="002B2CF7" w:rsidRPr="00FF714F">
              <w:t xml:space="preserve">management </w:t>
            </w:r>
            <w:r w:rsidRPr="00FF714F">
              <w:t xml:space="preserve">functions </w:t>
            </w:r>
            <w:r w:rsidR="002B2CF7" w:rsidRPr="00FF714F">
              <w:t>for</w:t>
            </w:r>
            <w:r w:rsidRPr="00FF714F">
              <w:t xml:space="preserve"> the AAPF.  In addition, a Canberra-based officer and officers at each African Posts provide support to the A-Based AAPF Manager.</w:t>
            </w:r>
            <w:r w:rsidRPr="00770305">
              <w:rPr>
                <w:rFonts w:cs="Arial"/>
              </w:rPr>
              <w:t xml:space="preserve"> An AAPF planning meeting was held in July 20</w:t>
            </w:r>
            <w:r w:rsidRPr="00FF714F">
              <w:rPr>
                <w:rFonts w:cs="Arial"/>
              </w:rPr>
              <w:t>13, where management comments to the Facility Process Review were finalised</w:t>
            </w:r>
            <w:r w:rsidR="008444CE" w:rsidRPr="00FF714F">
              <w:rPr>
                <w:rFonts w:cs="Arial"/>
              </w:rPr>
              <w:t xml:space="preserve"> and </w:t>
            </w:r>
            <w:r w:rsidRPr="00FF714F">
              <w:rPr>
                <w:rFonts w:cs="Arial"/>
              </w:rPr>
              <w:t xml:space="preserve">Canberra and Post </w:t>
            </w:r>
            <w:r w:rsidR="008444CE" w:rsidRPr="00FF714F">
              <w:rPr>
                <w:rFonts w:cs="Arial"/>
              </w:rPr>
              <w:t xml:space="preserve">staffing structures reviewed to </w:t>
            </w:r>
            <w:r w:rsidRPr="00FF714F">
              <w:rPr>
                <w:rFonts w:cs="Arial"/>
              </w:rPr>
              <w:t>avoid parallel performance of functions.</w:t>
            </w:r>
            <w:r w:rsidR="002B2CF7" w:rsidRPr="00FF714F">
              <w:rPr>
                <w:rFonts w:cs="Arial"/>
              </w:rPr>
              <w:t xml:space="preserve"> In the context of available resources, DFAT believes that this resourcing model has been appropriate to date. </w:t>
            </w:r>
          </w:p>
        </w:tc>
        <w:tc>
          <w:tcPr>
            <w:tcW w:w="2552" w:type="dxa"/>
            <w:tcBorders>
              <w:left w:val="single" w:sz="4" w:space="0" w:color="auto"/>
            </w:tcBorders>
            <w:shd w:val="clear" w:color="auto" w:fill="auto"/>
          </w:tcPr>
          <w:p w:rsidR="00301945" w:rsidRPr="00FF714F" w:rsidRDefault="00301945" w:rsidP="00511141">
            <w:pPr>
              <w:spacing w:after="120"/>
              <w:rPr>
                <w:rFonts w:cs="Arial"/>
              </w:rPr>
            </w:pPr>
            <w:r w:rsidRPr="00FF714F">
              <w:rPr>
                <w:rFonts w:cs="Arial"/>
              </w:rPr>
              <w:t>No action required</w:t>
            </w:r>
          </w:p>
        </w:tc>
        <w:tc>
          <w:tcPr>
            <w:tcW w:w="2410" w:type="dxa"/>
            <w:tcBorders>
              <w:left w:val="single" w:sz="4" w:space="0" w:color="auto"/>
            </w:tcBorders>
            <w:shd w:val="clear" w:color="auto" w:fill="auto"/>
          </w:tcPr>
          <w:p w:rsidR="00301945" w:rsidRPr="00FF714F" w:rsidRDefault="00301945" w:rsidP="00511141">
            <w:pPr>
              <w:spacing w:after="120"/>
              <w:rPr>
                <w:rFonts w:cs="Arial"/>
              </w:rPr>
            </w:pPr>
          </w:p>
        </w:tc>
      </w:tr>
      <w:tr w:rsidR="00301945" w:rsidRPr="00FF714F" w:rsidTr="00FF714F">
        <w:trPr>
          <w:cantSplit/>
          <w:trHeight w:val="885"/>
        </w:trPr>
        <w:tc>
          <w:tcPr>
            <w:tcW w:w="3227" w:type="dxa"/>
            <w:shd w:val="clear" w:color="auto" w:fill="auto"/>
          </w:tcPr>
          <w:p w:rsidR="00301945" w:rsidRPr="00FF714F" w:rsidRDefault="00301945" w:rsidP="00301945">
            <w:pPr>
              <w:numPr>
                <w:ilvl w:val="0"/>
                <w:numId w:val="43"/>
              </w:numPr>
              <w:spacing w:after="120"/>
            </w:pPr>
            <w:r w:rsidRPr="00FF714F">
              <w:rPr>
                <w:rFonts w:cs="Arial"/>
                <w:szCs w:val="20"/>
              </w:rPr>
              <w:lastRenderedPageBreak/>
              <w:t>The management response to the October 2012 Facility Process Review is finalised as soon as possible and clear directions provided to staff to avoid, as far as possible, parallel performance of functions</w:t>
            </w:r>
          </w:p>
        </w:tc>
        <w:tc>
          <w:tcPr>
            <w:tcW w:w="6520" w:type="dxa"/>
            <w:tcBorders>
              <w:right w:val="single" w:sz="4" w:space="0" w:color="auto"/>
            </w:tcBorders>
            <w:shd w:val="clear" w:color="auto" w:fill="auto"/>
          </w:tcPr>
          <w:p w:rsidR="00301945" w:rsidRPr="00FF714F" w:rsidRDefault="00301945" w:rsidP="00511141">
            <w:pPr>
              <w:spacing w:after="120"/>
              <w:rPr>
                <w:rFonts w:cs="Arial"/>
              </w:rPr>
            </w:pPr>
            <w:r w:rsidRPr="00FF714F">
              <w:rPr>
                <w:rFonts w:cs="Arial"/>
              </w:rPr>
              <w:t>Agree</w:t>
            </w:r>
          </w:p>
          <w:p w:rsidR="00301945" w:rsidRPr="00FF714F" w:rsidRDefault="00301945" w:rsidP="00D24CB8">
            <w:pPr>
              <w:spacing w:after="120"/>
              <w:rPr>
                <w:rFonts w:cs="Arial"/>
              </w:rPr>
            </w:pPr>
            <w:r w:rsidRPr="00FF714F">
              <w:rPr>
                <w:rFonts w:cs="Arial"/>
              </w:rPr>
              <w:t xml:space="preserve">As noted in </w:t>
            </w:r>
            <w:r w:rsidR="00D24CB8">
              <w:rPr>
                <w:rFonts w:cs="Arial"/>
              </w:rPr>
              <w:t>DFAT’s</w:t>
            </w:r>
            <w:r w:rsidR="00D24CB8" w:rsidRPr="00FF714F">
              <w:rPr>
                <w:rFonts w:cs="Arial"/>
              </w:rPr>
              <w:t xml:space="preserve"> </w:t>
            </w:r>
            <w:r w:rsidRPr="00FF714F">
              <w:rPr>
                <w:rFonts w:cs="Arial"/>
              </w:rPr>
              <w:t xml:space="preserve">management response to Recommendation 4, an AAPF planning meeting was held in July 2013, where management comments to the Facility Process Review were </w:t>
            </w:r>
            <w:r w:rsidR="00011EA4" w:rsidRPr="00FF714F">
              <w:rPr>
                <w:rFonts w:cs="Arial"/>
              </w:rPr>
              <w:t>agreed</w:t>
            </w:r>
            <w:r w:rsidRPr="00FF714F">
              <w:rPr>
                <w:rFonts w:cs="Arial"/>
              </w:rPr>
              <w:t>.  In addition, Canberra and Pretoria Post have defined the roles and responsibilities to strengthen AAPF processes.</w:t>
            </w:r>
          </w:p>
        </w:tc>
        <w:tc>
          <w:tcPr>
            <w:tcW w:w="2552" w:type="dxa"/>
            <w:tcBorders>
              <w:left w:val="single" w:sz="4" w:space="0" w:color="auto"/>
            </w:tcBorders>
            <w:shd w:val="clear" w:color="auto" w:fill="auto"/>
          </w:tcPr>
          <w:p w:rsidR="00301945" w:rsidRPr="00FF714F" w:rsidRDefault="00301945" w:rsidP="00511141">
            <w:pPr>
              <w:spacing w:after="120"/>
              <w:rPr>
                <w:rFonts w:cs="Arial"/>
              </w:rPr>
            </w:pPr>
            <w:r w:rsidRPr="00FF714F">
              <w:rPr>
                <w:rFonts w:cs="Arial"/>
              </w:rPr>
              <w:t>No action required</w:t>
            </w:r>
          </w:p>
        </w:tc>
        <w:tc>
          <w:tcPr>
            <w:tcW w:w="2410" w:type="dxa"/>
            <w:tcBorders>
              <w:left w:val="single" w:sz="4" w:space="0" w:color="auto"/>
            </w:tcBorders>
            <w:shd w:val="clear" w:color="auto" w:fill="auto"/>
          </w:tcPr>
          <w:p w:rsidR="00301945" w:rsidRPr="00FF714F" w:rsidRDefault="00301945" w:rsidP="00511141">
            <w:pPr>
              <w:spacing w:after="120"/>
              <w:rPr>
                <w:rFonts w:cs="Arial"/>
              </w:rPr>
            </w:pPr>
          </w:p>
        </w:tc>
      </w:tr>
      <w:tr w:rsidR="00301945" w:rsidRPr="00FF714F" w:rsidTr="00FF714F">
        <w:trPr>
          <w:cantSplit/>
          <w:trHeight w:val="885"/>
        </w:trPr>
        <w:tc>
          <w:tcPr>
            <w:tcW w:w="3227" w:type="dxa"/>
            <w:shd w:val="clear" w:color="auto" w:fill="auto"/>
          </w:tcPr>
          <w:p w:rsidR="00301945" w:rsidRPr="00FF714F" w:rsidRDefault="00301945" w:rsidP="00301945">
            <w:pPr>
              <w:numPr>
                <w:ilvl w:val="0"/>
                <w:numId w:val="43"/>
              </w:numPr>
              <w:spacing w:after="120"/>
              <w:rPr>
                <w:rFonts w:cs="Arial"/>
                <w:szCs w:val="20"/>
              </w:rPr>
            </w:pPr>
            <w:r w:rsidRPr="00FF714F">
              <w:rPr>
                <w:rFonts w:cs="Arial"/>
              </w:rPr>
              <w:t>The MC’s contract is revisited to delink the contractor from responsibility for the facility as a whole and focus the contract on only those services for which the MC is directly responsible and genuinely accountable</w:t>
            </w:r>
          </w:p>
        </w:tc>
        <w:tc>
          <w:tcPr>
            <w:tcW w:w="6520" w:type="dxa"/>
            <w:tcBorders>
              <w:right w:val="single" w:sz="4" w:space="0" w:color="auto"/>
            </w:tcBorders>
            <w:shd w:val="clear" w:color="auto" w:fill="auto"/>
          </w:tcPr>
          <w:p w:rsidR="00301945" w:rsidRPr="00FF714F" w:rsidRDefault="0003337B" w:rsidP="00511141">
            <w:pPr>
              <w:spacing w:after="120"/>
              <w:rPr>
                <w:rFonts w:cs="Arial"/>
              </w:rPr>
            </w:pPr>
            <w:r w:rsidRPr="00FF714F">
              <w:rPr>
                <w:rFonts w:cs="Arial"/>
              </w:rPr>
              <w:t>Disagree</w:t>
            </w:r>
          </w:p>
          <w:p w:rsidR="00301945" w:rsidRPr="00770305" w:rsidRDefault="00301945" w:rsidP="008444CE">
            <w:pPr>
              <w:spacing w:after="120"/>
              <w:rPr>
                <w:rFonts w:cs="Arial"/>
              </w:rPr>
            </w:pPr>
            <w:r w:rsidRPr="00FF714F">
              <w:rPr>
                <w:rFonts w:cs="Arial"/>
                <w:szCs w:val="20"/>
              </w:rPr>
              <w:t xml:space="preserve">In line with implementing the recommendations from the Facility Process Review Report (refer to Recommendation 5), </w:t>
            </w:r>
            <w:r w:rsidR="008444CE" w:rsidRPr="00FF714F">
              <w:rPr>
                <w:rFonts w:cs="Arial"/>
                <w:szCs w:val="20"/>
              </w:rPr>
              <w:t>DFAT</w:t>
            </w:r>
            <w:r w:rsidRPr="00FF714F">
              <w:rPr>
                <w:rFonts w:cs="Arial"/>
                <w:szCs w:val="20"/>
              </w:rPr>
              <w:t xml:space="preserve"> </w:t>
            </w:r>
            <w:r w:rsidR="00011EA4" w:rsidRPr="00FF714F">
              <w:rPr>
                <w:rFonts w:cs="Arial"/>
                <w:szCs w:val="20"/>
              </w:rPr>
              <w:t xml:space="preserve">has </w:t>
            </w:r>
            <w:r w:rsidRPr="00FF714F">
              <w:rPr>
                <w:rFonts w:cs="Arial"/>
                <w:szCs w:val="20"/>
              </w:rPr>
              <w:t>put in place mechanisms to clearly define the MC’s roles</w:t>
            </w:r>
            <w:r w:rsidR="00011EA4" w:rsidRPr="00FF714F">
              <w:rPr>
                <w:rFonts w:cs="Arial"/>
                <w:szCs w:val="20"/>
              </w:rPr>
              <w:t xml:space="preserve"> in activities </w:t>
            </w:r>
            <w:r w:rsidR="008444CE" w:rsidRPr="00FF714F">
              <w:rPr>
                <w:rFonts w:cs="Arial"/>
                <w:szCs w:val="20"/>
              </w:rPr>
              <w:t xml:space="preserve">whether directly managed or otherwise </w:t>
            </w:r>
            <w:r w:rsidR="00011EA4" w:rsidRPr="00FF714F">
              <w:rPr>
                <w:rFonts w:cs="Arial"/>
                <w:szCs w:val="20"/>
              </w:rPr>
              <w:t>(e.g. the one page Grant Procurement and Management Agreement)</w:t>
            </w:r>
            <w:r w:rsidRPr="00FF714F">
              <w:rPr>
                <w:rFonts w:cs="Arial"/>
                <w:szCs w:val="20"/>
              </w:rPr>
              <w:t>.  The current contract’s scope of services enables the delivery of flexible</w:t>
            </w:r>
            <w:r w:rsidR="0003337B" w:rsidRPr="00FF714F">
              <w:rPr>
                <w:rFonts w:cs="Arial"/>
                <w:szCs w:val="20"/>
              </w:rPr>
              <w:t xml:space="preserve"> and responsive </w:t>
            </w:r>
            <w:r w:rsidRPr="00FF714F">
              <w:rPr>
                <w:rFonts w:cs="Arial"/>
                <w:szCs w:val="20"/>
              </w:rPr>
              <w:t xml:space="preserve">support in Africa, highlighted by the IPR as an achievement of the Facility.  </w:t>
            </w:r>
            <w:r w:rsidR="0003337B" w:rsidRPr="00FF714F">
              <w:rPr>
                <w:rFonts w:cs="Arial"/>
                <w:szCs w:val="20"/>
              </w:rPr>
              <w:t xml:space="preserve">As we envisage a continuing need in the short-term for a flexible and responsive mechanism, </w:t>
            </w:r>
            <w:r w:rsidR="00011EA4" w:rsidRPr="00FF714F">
              <w:rPr>
                <w:rFonts w:cs="Arial"/>
                <w:szCs w:val="20"/>
              </w:rPr>
              <w:t>we do not support a</w:t>
            </w:r>
            <w:r w:rsidRPr="00FF714F">
              <w:rPr>
                <w:rFonts w:cs="Arial"/>
                <w:szCs w:val="20"/>
              </w:rPr>
              <w:t xml:space="preserve"> revis</w:t>
            </w:r>
            <w:r w:rsidR="00011EA4" w:rsidRPr="00FF714F">
              <w:rPr>
                <w:rFonts w:cs="Arial"/>
                <w:szCs w:val="20"/>
              </w:rPr>
              <w:t>ion in the flexibility of</w:t>
            </w:r>
            <w:r w:rsidRPr="00FF714F">
              <w:rPr>
                <w:rFonts w:cs="Arial"/>
                <w:szCs w:val="20"/>
              </w:rPr>
              <w:t xml:space="preserve"> the MC’s </w:t>
            </w:r>
            <w:r w:rsidR="00011EA4" w:rsidRPr="00FF714F">
              <w:rPr>
                <w:rFonts w:cs="Arial"/>
                <w:szCs w:val="20"/>
              </w:rPr>
              <w:t xml:space="preserve">current </w:t>
            </w:r>
            <w:r w:rsidR="0003337B" w:rsidRPr="00FF714F">
              <w:rPr>
                <w:rFonts w:cs="Arial"/>
                <w:szCs w:val="20"/>
              </w:rPr>
              <w:t>contracted scope of services.</w:t>
            </w:r>
          </w:p>
        </w:tc>
        <w:tc>
          <w:tcPr>
            <w:tcW w:w="2552" w:type="dxa"/>
            <w:tcBorders>
              <w:left w:val="single" w:sz="4" w:space="0" w:color="auto"/>
            </w:tcBorders>
            <w:shd w:val="clear" w:color="auto" w:fill="auto"/>
          </w:tcPr>
          <w:p w:rsidR="00301945" w:rsidRPr="00FF714F" w:rsidRDefault="00301945" w:rsidP="00511141">
            <w:pPr>
              <w:spacing w:after="120"/>
              <w:rPr>
                <w:rFonts w:cs="Arial"/>
              </w:rPr>
            </w:pPr>
            <w:r w:rsidRPr="00FF714F">
              <w:rPr>
                <w:rFonts w:cs="Arial"/>
                <w:szCs w:val="20"/>
              </w:rPr>
              <w:t xml:space="preserve">As part of implementing the recommendations of the Facility Process Review, AusAID will </w:t>
            </w:r>
            <w:r w:rsidR="008444CE" w:rsidRPr="00FF714F">
              <w:rPr>
                <w:rFonts w:cs="Arial"/>
                <w:szCs w:val="20"/>
              </w:rPr>
              <w:t xml:space="preserve">continue to </w:t>
            </w:r>
            <w:r w:rsidR="0003337B" w:rsidRPr="00FF714F">
              <w:rPr>
                <w:rFonts w:cs="Arial"/>
                <w:szCs w:val="20"/>
              </w:rPr>
              <w:t xml:space="preserve">look at procedures which </w:t>
            </w:r>
            <w:r w:rsidR="008444CE" w:rsidRPr="00FF714F">
              <w:rPr>
                <w:rFonts w:cs="Arial"/>
                <w:szCs w:val="20"/>
              </w:rPr>
              <w:t xml:space="preserve">help </w:t>
            </w:r>
            <w:r w:rsidR="0003337B" w:rsidRPr="00FF714F">
              <w:rPr>
                <w:rFonts w:cs="Arial"/>
                <w:szCs w:val="20"/>
              </w:rPr>
              <w:t>better define the MC’s role.</w:t>
            </w:r>
          </w:p>
        </w:tc>
        <w:tc>
          <w:tcPr>
            <w:tcW w:w="2410" w:type="dxa"/>
            <w:tcBorders>
              <w:left w:val="single" w:sz="4" w:space="0" w:color="auto"/>
            </w:tcBorders>
            <w:shd w:val="clear" w:color="auto" w:fill="auto"/>
          </w:tcPr>
          <w:p w:rsidR="00301945" w:rsidRPr="00FF714F" w:rsidRDefault="0003337B" w:rsidP="00511141">
            <w:pPr>
              <w:spacing w:after="120"/>
              <w:rPr>
                <w:rFonts w:cs="Arial"/>
              </w:rPr>
            </w:pPr>
            <w:r w:rsidRPr="00FF714F">
              <w:rPr>
                <w:rFonts w:cs="Arial"/>
              </w:rPr>
              <w:t>DFAT Pretoria</w:t>
            </w:r>
          </w:p>
        </w:tc>
      </w:tr>
    </w:tbl>
    <w:p w:rsidR="00CF09DE" w:rsidRPr="00FF714F" w:rsidRDefault="00CF09DE" w:rsidP="00AC3581">
      <w:pPr>
        <w:rPr>
          <w:rFonts w:cs="Arial"/>
          <w:b/>
          <w:iCs/>
          <w:sz w:val="22"/>
          <w:szCs w:val="22"/>
          <w:u w:val="single"/>
          <w:lang w:eastAsia="en-AU"/>
        </w:rPr>
      </w:pPr>
    </w:p>
    <w:p w:rsidR="00CE34CA" w:rsidRPr="00FF714F" w:rsidRDefault="00CE34CA" w:rsidP="00FF714F">
      <w:pPr>
        <w:pStyle w:val="ListParagraph"/>
        <w:spacing w:after="0" w:line="240" w:lineRule="auto"/>
        <w:ind w:left="0"/>
        <w:rPr>
          <w:rFonts w:cs="Arial"/>
          <w:highlight w:val="lightGray"/>
          <w:lang w:val="en-AU"/>
        </w:rPr>
      </w:pPr>
    </w:p>
    <w:sectPr w:rsidR="00CE34CA" w:rsidRPr="00FF714F" w:rsidSect="00FF714F">
      <w:pgSz w:w="16838" w:h="11906" w:orient="landscape"/>
      <w:pgMar w:top="1134" w:right="1134" w:bottom="1134" w:left="1134" w:header="567" w:footer="6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96C" w:rsidRDefault="0018296C">
      <w:pPr>
        <w:pStyle w:val="Table-list-number"/>
      </w:pPr>
      <w:r>
        <w:separator/>
      </w:r>
    </w:p>
  </w:endnote>
  <w:endnote w:type="continuationSeparator" w:id="0">
    <w:p w:rsidR="0018296C" w:rsidRDefault="0018296C">
      <w:pPr>
        <w:pStyle w:val="Table-list-numb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FF0" w:rsidRDefault="00972F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742" w:rsidRDefault="00265742">
    <w:pPr>
      <w:pStyle w:val="Footer"/>
      <w:jc w:val="right"/>
    </w:pPr>
    <w:r>
      <w:fldChar w:fldCharType="begin"/>
    </w:r>
    <w:r>
      <w:instrText xml:space="preserve"> PAGE   \* MERGEFORMAT </w:instrText>
    </w:r>
    <w:r>
      <w:fldChar w:fldCharType="separate"/>
    </w:r>
    <w:r w:rsidR="00972FF0">
      <w:rPr>
        <w:noProof/>
      </w:rPr>
      <w:t>1</w:t>
    </w:r>
    <w:r>
      <w:rPr>
        <w:noProof/>
      </w:rPr>
      <w:fldChar w:fldCharType="end"/>
    </w:r>
  </w:p>
  <w:p w:rsidR="00265742" w:rsidRDefault="002657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FF0" w:rsidRDefault="00972F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96C" w:rsidRDefault="0018296C">
      <w:pPr>
        <w:pStyle w:val="Table-list-number"/>
      </w:pPr>
      <w:r>
        <w:separator/>
      </w:r>
    </w:p>
  </w:footnote>
  <w:footnote w:type="continuationSeparator" w:id="0">
    <w:p w:rsidR="0018296C" w:rsidRDefault="0018296C">
      <w:pPr>
        <w:pStyle w:val="Table-list-numbe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FF0" w:rsidRDefault="00972F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FF0" w:rsidRDefault="00972F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FF0" w:rsidRDefault="00972F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F40B3"/>
    <w:multiLevelType w:val="hybridMultilevel"/>
    <w:tmpl w:val="BE9C12E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nsid w:val="034A5161"/>
    <w:multiLevelType w:val="hybridMultilevel"/>
    <w:tmpl w:val="1E02A8B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
    <w:nsid w:val="035E4FC8"/>
    <w:multiLevelType w:val="hybridMultilevel"/>
    <w:tmpl w:val="FCA4C534"/>
    <w:lvl w:ilvl="0" w:tplc="0C090001">
      <w:start w:val="1"/>
      <w:numFmt w:val="bullet"/>
      <w:lvlText w:val=""/>
      <w:lvlJc w:val="left"/>
      <w:pPr>
        <w:ind w:left="774" w:hanging="360"/>
      </w:pPr>
      <w:rPr>
        <w:rFonts w:ascii="Symbol" w:hAnsi="Symbol" w:hint="default"/>
      </w:rPr>
    </w:lvl>
    <w:lvl w:ilvl="1" w:tplc="0C090003">
      <w:start w:val="1"/>
      <w:numFmt w:val="bullet"/>
      <w:lvlText w:val="o"/>
      <w:lvlJc w:val="left"/>
      <w:pPr>
        <w:ind w:left="1494" w:hanging="360"/>
      </w:pPr>
      <w:rPr>
        <w:rFonts w:ascii="Courier New" w:hAnsi="Courier New" w:cs="Courier New" w:hint="default"/>
      </w:rPr>
    </w:lvl>
    <w:lvl w:ilvl="2" w:tplc="0C090005">
      <w:start w:val="1"/>
      <w:numFmt w:val="bullet"/>
      <w:lvlText w:val=""/>
      <w:lvlJc w:val="left"/>
      <w:pPr>
        <w:ind w:left="2214" w:hanging="360"/>
      </w:pPr>
      <w:rPr>
        <w:rFonts w:ascii="Wingdings" w:hAnsi="Wingdings" w:hint="default"/>
      </w:rPr>
    </w:lvl>
    <w:lvl w:ilvl="3" w:tplc="0C090001">
      <w:start w:val="1"/>
      <w:numFmt w:val="bullet"/>
      <w:lvlText w:val=""/>
      <w:lvlJc w:val="left"/>
      <w:pPr>
        <w:ind w:left="2934" w:hanging="360"/>
      </w:pPr>
      <w:rPr>
        <w:rFonts w:ascii="Symbol" w:hAnsi="Symbol" w:hint="default"/>
      </w:rPr>
    </w:lvl>
    <w:lvl w:ilvl="4" w:tplc="0C090003">
      <w:start w:val="1"/>
      <w:numFmt w:val="bullet"/>
      <w:lvlText w:val="o"/>
      <w:lvlJc w:val="left"/>
      <w:pPr>
        <w:ind w:left="3654" w:hanging="360"/>
      </w:pPr>
      <w:rPr>
        <w:rFonts w:ascii="Courier New" w:hAnsi="Courier New" w:cs="Courier New" w:hint="default"/>
      </w:rPr>
    </w:lvl>
    <w:lvl w:ilvl="5" w:tplc="0C090005">
      <w:start w:val="1"/>
      <w:numFmt w:val="bullet"/>
      <w:lvlText w:val=""/>
      <w:lvlJc w:val="left"/>
      <w:pPr>
        <w:ind w:left="4374" w:hanging="360"/>
      </w:pPr>
      <w:rPr>
        <w:rFonts w:ascii="Wingdings" w:hAnsi="Wingdings" w:hint="default"/>
      </w:rPr>
    </w:lvl>
    <w:lvl w:ilvl="6" w:tplc="0C090001">
      <w:start w:val="1"/>
      <w:numFmt w:val="bullet"/>
      <w:lvlText w:val=""/>
      <w:lvlJc w:val="left"/>
      <w:pPr>
        <w:ind w:left="5094" w:hanging="360"/>
      </w:pPr>
      <w:rPr>
        <w:rFonts w:ascii="Symbol" w:hAnsi="Symbol" w:hint="default"/>
      </w:rPr>
    </w:lvl>
    <w:lvl w:ilvl="7" w:tplc="0C090003">
      <w:start w:val="1"/>
      <w:numFmt w:val="bullet"/>
      <w:lvlText w:val="o"/>
      <w:lvlJc w:val="left"/>
      <w:pPr>
        <w:ind w:left="5814" w:hanging="360"/>
      </w:pPr>
      <w:rPr>
        <w:rFonts w:ascii="Courier New" w:hAnsi="Courier New" w:cs="Courier New" w:hint="default"/>
      </w:rPr>
    </w:lvl>
    <w:lvl w:ilvl="8" w:tplc="0C090005">
      <w:start w:val="1"/>
      <w:numFmt w:val="bullet"/>
      <w:lvlText w:val=""/>
      <w:lvlJc w:val="left"/>
      <w:pPr>
        <w:ind w:left="6534" w:hanging="360"/>
      </w:pPr>
      <w:rPr>
        <w:rFonts w:ascii="Wingdings" w:hAnsi="Wingdings" w:hint="default"/>
      </w:rPr>
    </w:lvl>
  </w:abstractNum>
  <w:abstractNum w:abstractNumId="3">
    <w:nsid w:val="07F0286B"/>
    <w:multiLevelType w:val="hybridMultilevel"/>
    <w:tmpl w:val="04D48C14"/>
    <w:lvl w:ilvl="0" w:tplc="0C090001">
      <w:start w:val="1"/>
      <w:numFmt w:val="bullet"/>
      <w:lvlText w:val=""/>
      <w:lvlJc w:val="left"/>
      <w:pPr>
        <w:ind w:left="720" w:hanging="720"/>
      </w:pPr>
      <w:rPr>
        <w:rFonts w:ascii="Symbol" w:hAnsi="Symbol" w:hint="default"/>
        <w:sz w:val="16"/>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6A76A130">
      <w:start w:val="1"/>
      <w:numFmt w:val="lowerRoman"/>
      <w:lvlText w:val="(%4)"/>
      <w:lvlJc w:val="left"/>
      <w:pPr>
        <w:ind w:left="2880" w:hanging="720"/>
      </w:pPr>
      <w:rPr>
        <w:rFonts w:hint="default"/>
      </w:rPr>
    </w:lvl>
    <w:lvl w:ilvl="4" w:tplc="72FCA8DC">
      <w:start w:val="1"/>
      <w:numFmt w:val="upperLetter"/>
      <w:lvlText w:val="%5."/>
      <w:lvlJc w:val="left"/>
      <w:pPr>
        <w:ind w:left="3240" w:hanging="360"/>
      </w:pPr>
      <w:rPr>
        <w:rFonts w:hint="default"/>
      </w:r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08246FD1"/>
    <w:multiLevelType w:val="hybridMultilevel"/>
    <w:tmpl w:val="C72216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08F72954"/>
    <w:multiLevelType w:val="hybridMultilevel"/>
    <w:tmpl w:val="7D7C5D1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092929E6"/>
    <w:multiLevelType w:val="hybridMultilevel"/>
    <w:tmpl w:val="2BB08866"/>
    <w:lvl w:ilvl="0" w:tplc="AC2E0D00">
      <w:start w:val="1"/>
      <w:numFmt w:val="decimal"/>
      <w:pStyle w:val="Table-list-numb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9BC3075"/>
    <w:multiLevelType w:val="hybridMultilevel"/>
    <w:tmpl w:val="76BC94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nsid w:val="0A1F7E1E"/>
    <w:multiLevelType w:val="hybridMultilevel"/>
    <w:tmpl w:val="7DD86012"/>
    <w:lvl w:ilvl="0" w:tplc="1C090001">
      <w:start w:val="1"/>
      <w:numFmt w:val="bullet"/>
      <w:lvlText w:val=""/>
      <w:lvlJc w:val="left"/>
      <w:pPr>
        <w:ind w:left="36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9">
    <w:nsid w:val="0DBF1773"/>
    <w:multiLevelType w:val="hybridMultilevel"/>
    <w:tmpl w:val="096A7B28"/>
    <w:lvl w:ilvl="0" w:tplc="293086F0">
      <w:start w:val="1"/>
      <w:numFmt w:val="lowerLetter"/>
      <w:lvlText w:val="%1."/>
      <w:lvlJc w:val="left"/>
      <w:pPr>
        <w:ind w:left="360" w:hanging="360"/>
      </w:pPr>
      <w:rPr>
        <w:rFonts w:hint="default"/>
        <w:b w:val="0"/>
        <w:i w:val="0"/>
      </w:rPr>
    </w:lvl>
    <w:lvl w:ilvl="1" w:tplc="953A5BD8">
      <w:start w:val="1"/>
      <w:numFmt w:val="lowerLetter"/>
      <w:lvlText w:val="%2."/>
      <w:lvlJc w:val="left"/>
      <w:pPr>
        <w:ind w:left="1080" w:hanging="360"/>
      </w:pPr>
      <w:rPr>
        <w:b w:val="0"/>
        <w:i w:val="0"/>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nsid w:val="0F9327E5"/>
    <w:multiLevelType w:val="hybridMultilevel"/>
    <w:tmpl w:val="855A3C2A"/>
    <w:lvl w:ilvl="0" w:tplc="05F83922">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17072E47"/>
    <w:multiLevelType w:val="hybridMultilevel"/>
    <w:tmpl w:val="450EC03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177F1498"/>
    <w:multiLevelType w:val="hybridMultilevel"/>
    <w:tmpl w:val="8F449C0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nsid w:val="18471917"/>
    <w:multiLevelType w:val="hybridMultilevel"/>
    <w:tmpl w:val="2B96A7F2"/>
    <w:lvl w:ilvl="0" w:tplc="28580E42">
      <w:start w:val="1"/>
      <w:numFmt w:val="lowerRoman"/>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25264A5A"/>
    <w:multiLevelType w:val="hybridMultilevel"/>
    <w:tmpl w:val="0D2C9A66"/>
    <w:lvl w:ilvl="0" w:tplc="48FC474E">
      <w:start w:val="1"/>
      <w:numFmt w:val="bullet"/>
      <w:pStyle w:val="List-bullet-1"/>
      <w:lvlText w:val=""/>
      <w:lvlJc w:val="left"/>
      <w:pPr>
        <w:tabs>
          <w:tab w:val="num" w:pos="720"/>
        </w:tabs>
        <w:ind w:left="720" w:hanging="363"/>
      </w:pPr>
      <w:rPr>
        <w:rFonts w:ascii="Symbol" w:hAnsi="Symbol" w:hint="default"/>
        <w:color w:val="auto"/>
        <w:sz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nsid w:val="27440C8B"/>
    <w:multiLevelType w:val="multilevel"/>
    <w:tmpl w:val="59E651A8"/>
    <w:name w:val="StandardBulletedList"/>
    <w:lvl w:ilvl="0">
      <w:start w:val="1"/>
      <w:numFmt w:val="bullet"/>
      <w:pStyle w:val="Bullet"/>
      <w:lvlText w:val="•"/>
      <w:lvlJc w:val="left"/>
      <w:pPr>
        <w:tabs>
          <w:tab w:val="num" w:pos="520"/>
        </w:tabs>
        <w:ind w:left="520" w:hanging="520"/>
      </w:pPr>
      <w:rPr>
        <w:rFonts w:ascii="Times New Roman" w:hAnsi="Times New Roman" w:cs="Times New Roman"/>
        <w:b w:val="0"/>
        <w:i w:val="0"/>
      </w:rPr>
    </w:lvl>
    <w:lvl w:ilvl="1">
      <w:start w:val="1"/>
      <w:numFmt w:val="bullet"/>
      <w:lvlText w:val="–"/>
      <w:lvlJc w:val="left"/>
      <w:pPr>
        <w:tabs>
          <w:tab w:val="num" w:pos="1040"/>
        </w:tabs>
        <w:ind w:left="1040" w:hanging="520"/>
      </w:pPr>
      <w:rPr>
        <w:rFonts w:ascii="Times New Roman" w:hAnsi="Times New Roman" w:cs="Times New Roman"/>
        <w:b w:val="0"/>
        <w:i w:val="0"/>
      </w:rPr>
    </w:lvl>
    <w:lvl w:ilvl="2">
      <w:start w:val="1"/>
      <w:numFmt w:val="bullet"/>
      <w:lvlText w:val=":"/>
      <w:lvlJc w:val="left"/>
      <w:pPr>
        <w:tabs>
          <w:tab w:val="num" w:pos="1560"/>
        </w:tabs>
        <w:ind w:left="1560" w:hanging="520"/>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6">
    <w:nsid w:val="28E75CDD"/>
    <w:multiLevelType w:val="hybridMultilevel"/>
    <w:tmpl w:val="AFB8C7E8"/>
    <w:lvl w:ilvl="0" w:tplc="F788BDA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2BD83AF3"/>
    <w:multiLevelType w:val="hybridMultilevel"/>
    <w:tmpl w:val="B4325752"/>
    <w:lvl w:ilvl="0" w:tplc="CF88234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2FBD11B4"/>
    <w:multiLevelType w:val="multilevel"/>
    <w:tmpl w:val="88B61454"/>
    <w:lvl w:ilvl="0">
      <w:start w:val="1"/>
      <w:numFmt w:val="decimal"/>
      <w:pStyle w:val="List-number-1"/>
      <w:lvlText w:val="%1."/>
      <w:lvlJc w:val="left"/>
      <w:pPr>
        <w:tabs>
          <w:tab w:val="num" w:pos="360"/>
        </w:tabs>
        <w:ind w:left="360" w:hanging="360"/>
      </w:pPr>
      <w:rPr>
        <w:rFonts w:hint="default"/>
      </w:rPr>
    </w:lvl>
    <w:lvl w:ilvl="1">
      <w:start w:val="1"/>
      <w:numFmt w:val="lowerLetter"/>
      <w:pStyle w:val="List-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2FF92A59"/>
    <w:multiLevelType w:val="hybridMultilevel"/>
    <w:tmpl w:val="9AECEC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29419CD"/>
    <w:multiLevelType w:val="hybridMultilevel"/>
    <w:tmpl w:val="1B5605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343D4503"/>
    <w:multiLevelType w:val="hybridMultilevel"/>
    <w:tmpl w:val="7430EA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36162792"/>
    <w:multiLevelType w:val="hybridMultilevel"/>
    <w:tmpl w:val="8F1C9B4C"/>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3">
    <w:nsid w:val="38584B67"/>
    <w:multiLevelType w:val="hybridMultilevel"/>
    <w:tmpl w:val="082A9A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3E1C026E"/>
    <w:multiLevelType w:val="hybridMultilevel"/>
    <w:tmpl w:val="0C54502E"/>
    <w:lvl w:ilvl="0" w:tplc="14090005">
      <w:start w:val="1"/>
      <w:numFmt w:val="bullet"/>
      <w:lvlText w:val=""/>
      <w:lvlJc w:val="left"/>
      <w:pPr>
        <w:ind w:left="720" w:hanging="360"/>
      </w:pPr>
      <w:rPr>
        <w:rFonts w:ascii="Wingdings" w:hAnsi="Wingding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nsid w:val="47531147"/>
    <w:multiLevelType w:val="hybridMultilevel"/>
    <w:tmpl w:val="D5B06BB0"/>
    <w:lvl w:ilvl="0" w:tplc="C5B0958A">
      <w:start w:val="1"/>
      <w:numFmt w:val="bullet"/>
      <w:pStyle w:val="List-bullet-2"/>
      <w:lvlText w:val="–"/>
      <w:lvlJc w:val="left"/>
      <w:pPr>
        <w:tabs>
          <w:tab w:val="num" w:pos="1021"/>
        </w:tabs>
        <w:ind w:left="1021" w:hanging="301"/>
      </w:pPr>
      <w:rPr>
        <w:rFonts w:hint="default"/>
        <w:color w:val="auto"/>
        <w:sz w:val="20"/>
      </w:rPr>
    </w:lvl>
    <w:lvl w:ilvl="1" w:tplc="416EABDE">
      <w:start w:val="1"/>
      <w:numFmt w:val="bullet"/>
      <w:lvlText w:val="–"/>
      <w:lvlJc w:val="left"/>
      <w:pPr>
        <w:tabs>
          <w:tab w:val="num" w:pos="1724"/>
        </w:tabs>
        <w:ind w:left="1724" w:hanging="363"/>
      </w:pPr>
      <w:rPr>
        <w:rFonts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6">
    <w:nsid w:val="47CA4E9C"/>
    <w:multiLevelType w:val="hybridMultilevel"/>
    <w:tmpl w:val="21A2C10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nsid w:val="49E2197C"/>
    <w:multiLevelType w:val="hybridMultilevel"/>
    <w:tmpl w:val="6DC6CF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4FC50472"/>
    <w:multiLevelType w:val="hybridMultilevel"/>
    <w:tmpl w:val="B40A58E4"/>
    <w:lvl w:ilvl="0" w:tplc="98CEA1E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nsid w:val="5BC555A6"/>
    <w:multiLevelType w:val="hybridMultilevel"/>
    <w:tmpl w:val="F61675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nsid w:val="5DB2474B"/>
    <w:multiLevelType w:val="hybridMultilevel"/>
    <w:tmpl w:val="B62A14C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1">
    <w:nsid w:val="61EC5D51"/>
    <w:multiLevelType w:val="hybridMultilevel"/>
    <w:tmpl w:val="74EE44DE"/>
    <w:lvl w:ilvl="0" w:tplc="28580E42">
      <w:start w:val="1"/>
      <w:numFmt w:val="lowerRoman"/>
      <w:lvlText w:val="%1)"/>
      <w:lvlJc w:val="left"/>
      <w:pPr>
        <w:ind w:left="1605" w:hanging="885"/>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nsid w:val="641B3406"/>
    <w:multiLevelType w:val="hybridMultilevel"/>
    <w:tmpl w:val="0DF860B2"/>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nsid w:val="67E57B1C"/>
    <w:multiLevelType w:val="hybridMultilevel"/>
    <w:tmpl w:val="439ACBE4"/>
    <w:lvl w:ilvl="0" w:tplc="05F83922">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895587A"/>
    <w:multiLevelType w:val="hybridMultilevel"/>
    <w:tmpl w:val="82F0A77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5">
    <w:nsid w:val="699D6FA6"/>
    <w:multiLevelType w:val="hybridMultilevel"/>
    <w:tmpl w:val="7EC25DB6"/>
    <w:lvl w:ilvl="0" w:tplc="88383BE8">
      <w:start w:val="1"/>
      <w:numFmt w:val="decimal"/>
      <w:lvlText w:val="%1."/>
      <w:lvlJc w:val="left"/>
      <w:pPr>
        <w:ind w:left="360" w:hanging="360"/>
      </w:pPr>
      <w:rPr>
        <w:rFonts w:ascii="Arial" w:hAnsi="Arial" w:cs="Arial" w:hint="default"/>
        <w:sz w:val="20"/>
        <w:szCs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nsid w:val="6AFF0D74"/>
    <w:multiLevelType w:val="hybridMultilevel"/>
    <w:tmpl w:val="2BDE349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nsid w:val="6DE52950"/>
    <w:multiLevelType w:val="hybridMultilevel"/>
    <w:tmpl w:val="1C508F84"/>
    <w:lvl w:ilvl="0" w:tplc="FCF60A7E">
      <w:start w:val="1"/>
      <w:numFmt w:val="lowerLetter"/>
      <w:lvlText w:val="%1."/>
      <w:lvlJc w:val="left"/>
      <w:pPr>
        <w:ind w:left="36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716F0927"/>
    <w:multiLevelType w:val="hybridMultilevel"/>
    <w:tmpl w:val="9940DB9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nsid w:val="7286401F"/>
    <w:multiLevelType w:val="multilevel"/>
    <w:tmpl w:val="5F303A0A"/>
    <w:lvl w:ilvl="0">
      <w:start w:val="1"/>
      <w:numFmt w:val="decimal"/>
      <w:lvlText w:val="%1"/>
      <w:lvlJc w:val="left"/>
      <w:pPr>
        <w:tabs>
          <w:tab w:val="num" w:pos="357"/>
        </w:tabs>
        <w:ind w:left="357" w:hanging="357"/>
      </w:pPr>
      <w:rPr>
        <w:rFonts w:hint="default"/>
      </w:rPr>
    </w:lvl>
    <w:lvl w:ilvl="1">
      <w:start w:val="1"/>
      <w:numFmt w:val="decimal"/>
      <w:pStyle w:val="Heading2numbered"/>
      <w:lvlText w:val="%2."/>
      <w:lvlJc w:val="left"/>
      <w:pPr>
        <w:tabs>
          <w:tab w:val="num" w:pos="357"/>
        </w:tabs>
        <w:ind w:left="357" w:hanging="357"/>
      </w:pPr>
      <w:rPr>
        <w:rFonts w:hint="default"/>
      </w:rPr>
    </w:lvl>
    <w:lvl w:ilvl="2">
      <w:start w:val="1"/>
      <w:numFmt w:val="decimal"/>
      <w:pStyle w:val="Heading3numbered"/>
      <w:lvlText w:val="%2.%3"/>
      <w:lvlJc w:val="left"/>
      <w:pPr>
        <w:tabs>
          <w:tab w:val="num" w:pos="851"/>
        </w:tabs>
        <w:ind w:left="851" w:hanging="494"/>
      </w:pPr>
      <w:rPr>
        <w:rFonts w:ascii="Arial" w:hAnsi="Arial" w:hint="default"/>
        <w:b/>
        <w:i/>
        <w:sz w:val="22"/>
        <w:szCs w:val="18"/>
      </w:rPr>
    </w:lvl>
    <w:lvl w:ilvl="3">
      <w:start w:val="1"/>
      <w:numFmt w:val="lowerLetter"/>
      <w:pStyle w:val="List-outline-numbered"/>
      <w:lvlText w:val="%4."/>
      <w:lvlJc w:val="left"/>
      <w:pPr>
        <w:tabs>
          <w:tab w:val="num" w:pos="737"/>
        </w:tabs>
        <w:ind w:left="737" w:hanging="380"/>
      </w:pPr>
      <w:rPr>
        <w:rFonts w:hint="default"/>
      </w:rPr>
    </w:lvl>
    <w:lvl w:ilvl="4">
      <w:start w:val="1"/>
      <w:numFmt w:val="decimal"/>
      <w:lvlText w:val="%1.%2.%3.%4.%5"/>
      <w:lvlJc w:val="left"/>
      <w:pPr>
        <w:tabs>
          <w:tab w:val="num" w:pos="1080"/>
        </w:tabs>
        <w:ind w:left="1080" w:hanging="1008"/>
      </w:pPr>
      <w:rPr>
        <w:rFonts w:hint="default"/>
      </w:rPr>
    </w:lvl>
    <w:lvl w:ilvl="5">
      <w:start w:val="1"/>
      <w:numFmt w:val="decimal"/>
      <w:lvlText w:val="%1.%2.%3.%4.%5.%6"/>
      <w:lvlJc w:val="left"/>
      <w:pPr>
        <w:tabs>
          <w:tab w:val="num" w:pos="1224"/>
        </w:tabs>
        <w:ind w:left="1224" w:hanging="1152"/>
      </w:pPr>
      <w:rPr>
        <w:rFonts w:hint="default"/>
      </w:rPr>
    </w:lvl>
    <w:lvl w:ilvl="6">
      <w:start w:val="1"/>
      <w:numFmt w:val="decimal"/>
      <w:lvlText w:val="%1.%2.%3.%4.%5.%6.%7"/>
      <w:lvlJc w:val="left"/>
      <w:pPr>
        <w:tabs>
          <w:tab w:val="num" w:pos="1368"/>
        </w:tabs>
        <w:ind w:left="1368" w:hanging="1296"/>
      </w:pPr>
      <w:rPr>
        <w:rFonts w:hint="default"/>
      </w:rPr>
    </w:lvl>
    <w:lvl w:ilvl="7">
      <w:start w:val="1"/>
      <w:numFmt w:val="decimal"/>
      <w:lvlText w:val="%1.%2.%3.%4.%5.%6.%7.%8"/>
      <w:lvlJc w:val="left"/>
      <w:pPr>
        <w:tabs>
          <w:tab w:val="num" w:pos="1512"/>
        </w:tabs>
        <w:ind w:left="1512" w:hanging="1440"/>
      </w:pPr>
      <w:rPr>
        <w:rFonts w:hint="default"/>
      </w:rPr>
    </w:lvl>
    <w:lvl w:ilvl="8">
      <w:start w:val="1"/>
      <w:numFmt w:val="decimal"/>
      <w:lvlText w:val="%1.%2.%3.%4.%5.%6.%7.%8.%9"/>
      <w:lvlJc w:val="left"/>
      <w:pPr>
        <w:tabs>
          <w:tab w:val="num" w:pos="1656"/>
        </w:tabs>
        <w:ind w:left="1656" w:hanging="1584"/>
      </w:pPr>
      <w:rPr>
        <w:rFonts w:hint="default"/>
      </w:rPr>
    </w:lvl>
  </w:abstractNum>
  <w:abstractNum w:abstractNumId="40">
    <w:nsid w:val="774868B9"/>
    <w:multiLevelType w:val="hybridMultilevel"/>
    <w:tmpl w:val="A02AF9EA"/>
    <w:lvl w:ilvl="0" w:tplc="F33CF392">
      <w:start w:val="1"/>
      <w:numFmt w:val="bullet"/>
      <w:pStyle w:val="Table-list-bullet"/>
      <w:lvlText w:val="–"/>
      <w:lvlJc w:val="left"/>
      <w:pPr>
        <w:tabs>
          <w:tab w:val="num" w:pos="357"/>
        </w:tabs>
        <w:ind w:left="357" w:hanging="35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AC10AE0"/>
    <w:multiLevelType w:val="hybridMultilevel"/>
    <w:tmpl w:val="EEC0BC68"/>
    <w:lvl w:ilvl="0" w:tplc="4BA20E24">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nsid w:val="7CCE4871"/>
    <w:multiLevelType w:val="hybridMultilevel"/>
    <w:tmpl w:val="64DA6BA0"/>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4"/>
  </w:num>
  <w:num w:numId="2">
    <w:abstractNumId w:val="25"/>
  </w:num>
  <w:num w:numId="3">
    <w:abstractNumId w:val="18"/>
  </w:num>
  <w:num w:numId="4">
    <w:abstractNumId w:val="39"/>
  </w:num>
  <w:num w:numId="5">
    <w:abstractNumId w:val="40"/>
  </w:num>
  <w:num w:numId="6">
    <w:abstractNumId w:val="6"/>
  </w:num>
  <w:num w:numId="7">
    <w:abstractNumId w:val="24"/>
  </w:num>
  <w:num w:numId="8">
    <w:abstractNumId w:val="19"/>
  </w:num>
  <w:num w:numId="9">
    <w:abstractNumId w:val="38"/>
  </w:num>
  <w:num w:numId="10">
    <w:abstractNumId w:val="11"/>
  </w:num>
  <w:num w:numId="11">
    <w:abstractNumId w:val="35"/>
  </w:num>
  <w:num w:numId="12">
    <w:abstractNumId w:val="22"/>
  </w:num>
  <w:num w:numId="13">
    <w:abstractNumId w:val="12"/>
  </w:num>
  <w:num w:numId="14">
    <w:abstractNumId w:val="28"/>
  </w:num>
  <w:num w:numId="15">
    <w:abstractNumId w:val="1"/>
  </w:num>
  <w:num w:numId="16">
    <w:abstractNumId w:val="7"/>
  </w:num>
  <w:num w:numId="17">
    <w:abstractNumId w:val="2"/>
  </w:num>
  <w:num w:numId="18">
    <w:abstractNumId w:val="2"/>
  </w:num>
  <w:num w:numId="19">
    <w:abstractNumId w:val="8"/>
  </w:num>
  <w:num w:numId="20">
    <w:abstractNumId w:val="26"/>
  </w:num>
  <w:num w:numId="21">
    <w:abstractNumId w:val="16"/>
  </w:num>
  <w:num w:numId="22">
    <w:abstractNumId w:val="41"/>
  </w:num>
  <w:num w:numId="23">
    <w:abstractNumId w:val="17"/>
  </w:num>
  <w:num w:numId="24">
    <w:abstractNumId w:val="30"/>
  </w:num>
  <w:num w:numId="25">
    <w:abstractNumId w:val="0"/>
  </w:num>
  <w:num w:numId="26">
    <w:abstractNumId w:val="4"/>
  </w:num>
  <w:num w:numId="27">
    <w:abstractNumId w:val="20"/>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31"/>
  </w:num>
  <w:num w:numId="31">
    <w:abstractNumId w:val="3"/>
  </w:num>
  <w:num w:numId="32">
    <w:abstractNumId w:val="42"/>
  </w:num>
  <w:num w:numId="33">
    <w:abstractNumId w:val="15"/>
  </w:num>
  <w:num w:numId="34">
    <w:abstractNumId w:val="10"/>
  </w:num>
  <w:num w:numId="35">
    <w:abstractNumId w:val="21"/>
  </w:num>
  <w:num w:numId="36">
    <w:abstractNumId w:val="9"/>
  </w:num>
  <w:num w:numId="37">
    <w:abstractNumId w:val="5"/>
  </w:num>
  <w:num w:numId="38">
    <w:abstractNumId w:val="36"/>
  </w:num>
  <w:num w:numId="39">
    <w:abstractNumId w:val="23"/>
  </w:num>
  <w:num w:numId="40">
    <w:abstractNumId w:val="33"/>
  </w:num>
  <w:num w:numId="41">
    <w:abstractNumId w:val="29"/>
  </w:num>
  <w:num w:numId="42">
    <w:abstractNumId w:val="27"/>
  </w:num>
  <w:num w:numId="43">
    <w:abstractNumId w:val="32"/>
  </w:num>
  <w:num w:numId="44">
    <w:abstractNumId w:val="3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removePersonalInformation/>
  <w:removeDateAndTim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drawingGridHorizontalSpacing w:val="57"/>
  <w:drawingGridVerticalSpacing w:val="181"/>
  <w:displayVerticalDrawingGridEvery w:val="2"/>
  <w:noPunctuationKerning/>
  <w:characterSpacingControl w:val="doNotCompress"/>
  <w:hdrShapeDefaults>
    <o:shapedefaults v:ext="edit" spidmax="11265"/>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dgnword-docGUID" w:val="{09BCB6BA-C972-4B57-8512-6200594B300A}"/>
    <w:docVar w:name="dgnword-eventsink" w:val="203844304"/>
  </w:docVars>
  <w:rsids>
    <w:rsidRoot w:val="00BF3735"/>
    <w:rsid w:val="00000341"/>
    <w:rsid w:val="00011EA4"/>
    <w:rsid w:val="00012070"/>
    <w:rsid w:val="000135D5"/>
    <w:rsid w:val="00014DA9"/>
    <w:rsid w:val="00015371"/>
    <w:rsid w:val="000223B7"/>
    <w:rsid w:val="0002251B"/>
    <w:rsid w:val="00023182"/>
    <w:rsid w:val="000242E0"/>
    <w:rsid w:val="000243C1"/>
    <w:rsid w:val="00031779"/>
    <w:rsid w:val="0003337B"/>
    <w:rsid w:val="00041F16"/>
    <w:rsid w:val="00050189"/>
    <w:rsid w:val="00052316"/>
    <w:rsid w:val="000572C9"/>
    <w:rsid w:val="000616BD"/>
    <w:rsid w:val="000625BD"/>
    <w:rsid w:val="00067C95"/>
    <w:rsid w:val="000712DA"/>
    <w:rsid w:val="0007142D"/>
    <w:rsid w:val="00071CEC"/>
    <w:rsid w:val="000728D3"/>
    <w:rsid w:val="000765F5"/>
    <w:rsid w:val="00080845"/>
    <w:rsid w:val="000853F7"/>
    <w:rsid w:val="000869CE"/>
    <w:rsid w:val="0009272B"/>
    <w:rsid w:val="00094CE2"/>
    <w:rsid w:val="000A0539"/>
    <w:rsid w:val="000A461D"/>
    <w:rsid w:val="000A539C"/>
    <w:rsid w:val="000A5E31"/>
    <w:rsid w:val="000A77DB"/>
    <w:rsid w:val="000B35AF"/>
    <w:rsid w:val="000B4DC9"/>
    <w:rsid w:val="000B5BEA"/>
    <w:rsid w:val="000B7985"/>
    <w:rsid w:val="000B7AFD"/>
    <w:rsid w:val="000C184F"/>
    <w:rsid w:val="000C55E2"/>
    <w:rsid w:val="000C5B25"/>
    <w:rsid w:val="000D0A09"/>
    <w:rsid w:val="000D2120"/>
    <w:rsid w:val="000D724D"/>
    <w:rsid w:val="000D73B6"/>
    <w:rsid w:val="000E1475"/>
    <w:rsid w:val="000E1958"/>
    <w:rsid w:val="000F5FF5"/>
    <w:rsid w:val="0010006D"/>
    <w:rsid w:val="00102362"/>
    <w:rsid w:val="00123C3E"/>
    <w:rsid w:val="0012582F"/>
    <w:rsid w:val="00127616"/>
    <w:rsid w:val="00134152"/>
    <w:rsid w:val="00134B6C"/>
    <w:rsid w:val="001378B7"/>
    <w:rsid w:val="00140289"/>
    <w:rsid w:val="00144A92"/>
    <w:rsid w:val="00144AF1"/>
    <w:rsid w:val="00151891"/>
    <w:rsid w:val="00153F2A"/>
    <w:rsid w:val="00156CC8"/>
    <w:rsid w:val="00162342"/>
    <w:rsid w:val="00165198"/>
    <w:rsid w:val="00170D11"/>
    <w:rsid w:val="0017125A"/>
    <w:rsid w:val="00172FAC"/>
    <w:rsid w:val="00173632"/>
    <w:rsid w:val="00174323"/>
    <w:rsid w:val="0018296C"/>
    <w:rsid w:val="00184728"/>
    <w:rsid w:val="001874BC"/>
    <w:rsid w:val="00190F1A"/>
    <w:rsid w:val="001917F6"/>
    <w:rsid w:val="001A1FDE"/>
    <w:rsid w:val="001A275A"/>
    <w:rsid w:val="001A2D7F"/>
    <w:rsid w:val="001B5DEE"/>
    <w:rsid w:val="001C1025"/>
    <w:rsid w:val="001C1A90"/>
    <w:rsid w:val="001C2F62"/>
    <w:rsid w:val="001C75E4"/>
    <w:rsid w:val="001D70F7"/>
    <w:rsid w:val="001D7353"/>
    <w:rsid w:val="001E4372"/>
    <w:rsid w:val="001E4ABC"/>
    <w:rsid w:val="001E4FCC"/>
    <w:rsid w:val="001E74D2"/>
    <w:rsid w:val="001F548E"/>
    <w:rsid w:val="00201759"/>
    <w:rsid w:val="0020360D"/>
    <w:rsid w:val="00205060"/>
    <w:rsid w:val="0020642A"/>
    <w:rsid w:val="00206BEB"/>
    <w:rsid w:val="00216686"/>
    <w:rsid w:val="00217EC1"/>
    <w:rsid w:val="002216CD"/>
    <w:rsid w:val="00221D53"/>
    <w:rsid w:val="00223581"/>
    <w:rsid w:val="00224194"/>
    <w:rsid w:val="00232239"/>
    <w:rsid w:val="002425E0"/>
    <w:rsid w:val="00246F9E"/>
    <w:rsid w:val="00250C0D"/>
    <w:rsid w:val="002512BA"/>
    <w:rsid w:val="00252173"/>
    <w:rsid w:val="0025224C"/>
    <w:rsid w:val="002524DA"/>
    <w:rsid w:val="00264366"/>
    <w:rsid w:val="00265742"/>
    <w:rsid w:val="00265F50"/>
    <w:rsid w:val="00267A88"/>
    <w:rsid w:val="00273BE8"/>
    <w:rsid w:val="00276F45"/>
    <w:rsid w:val="002839B9"/>
    <w:rsid w:val="0029717D"/>
    <w:rsid w:val="002A1BE1"/>
    <w:rsid w:val="002B2279"/>
    <w:rsid w:val="002B2BA6"/>
    <w:rsid w:val="002B2CF7"/>
    <w:rsid w:val="002B2DF7"/>
    <w:rsid w:val="002B50BC"/>
    <w:rsid w:val="002B76E9"/>
    <w:rsid w:val="002C383A"/>
    <w:rsid w:val="002C3948"/>
    <w:rsid w:val="002C43F3"/>
    <w:rsid w:val="002C56CE"/>
    <w:rsid w:val="002C7473"/>
    <w:rsid w:val="002D0746"/>
    <w:rsid w:val="002D1173"/>
    <w:rsid w:val="002D4C84"/>
    <w:rsid w:val="002E0A7E"/>
    <w:rsid w:val="002E5D40"/>
    <w:rsid w:val="002E6AF0"/>
    <w:rsid w:val="002E7065"/>
    <w:rsid w:val="002F060D"/>
    <w:rsid w:val="002F285D"/>
    <w:rsid w:val="002F72C4"/>
    <w:rsid w:val="002F7593"/>
    <w:rsid w:val="00301945"/>
    <w:rsid w:val="0030264B"/>
    <w:rsid w:val="003037CD"/>
    <w:rsid w:val="00310FA6"/>
    <w:rsid w:val="0031286A"/>
    <w:rsid w:val="00324C5C"/>
    <w:rsid w:val="0032731B"/>
    <w:rsid w:val="003306FF"/>
    <w:rsid w:val="00334E51"/>
    <w:rsid w:val="00335D76"/>
    <w:rsid w:val="00342870"/>
    <w:rsid w:val="0034428A"/>
    <w:rsid w:val="0034483C"/>
    <w:rsid w:val="003459CB"/>
    <w:rsid w:val="00345F77"/>
    <w:rsid w:val="003502A2"/>
    <w:rsid w:val="00351131"/>
    <w:rsid w:val="00351C3F"/>
    <w:rsid w:val="00356994"/>
    <w:rsid w:val="003626BE"/>
    <w:rsid w:val="0036649B"/>
    <w:rsid w:val="00366FBB"/>
    <w:rsid w:val="003719DB"/>
    <w:rsid w:val="00373EB2"/>
    <w:rsid w:val="0039002F"/>
    <w:rsid w:val="00394FD3"/>
    <w:rsid w:val="003A1355"/>
    <w:rsid w:val="003A18E3"/>
    <w:rsid w:val="003A26F5"/>
    <w:rsid w:val="003A36D5"/>
    <w:rsid w:val="003B1F8C"/>
    <w:rsid w:val="003B3889"/>
    <w:rsid w:val="003B3D1B"/>
    <w:rsid w:val="003B518A"/>
    <w:rsid w:val="003C0A67"/>
    <w:rsid w:val="003C24EC"/>
    <w:rsid w:val="003C25ED"/>
    <w:rsid w:val="003D0C24"/>
    <w:rsid w:val="003D35F9"/>
    <w:rsid w:val="003D4CAC"/>
    <w:rsid w:val="003D6B1A"/>
    <w:rsid w:val="003D6E0A"/>
    <w:rsid w:val="003D74CB"/>
    <w:rsid w:val="003E0545"/>
    <w:rsid w:val="003E2603"/>
    <w:rsid w:val="003E36DD"/>
    <w:rsid w:val="003E3E3E"/>
    <w:rsid w:val="003E6561"/>
    <w:rsid w:val="003E6A6C"/>
    <w:rsid w:val="003E7BC4"/>
    <w:rsid w:val="003F0F7E"/>
    <w:rsid w:val="003F2997"/>
    <w:rsid w:val="003F310E"/>
    <w:rsid w:val="003F43F9"/>
    <w:rsid w:val="003F7C64"/>
    <w:rsid w:val="00402951"/>
    <w:rsid w:val="00402A6A"/>
    <w:rsid w:val="004032D0"/>
    <w:rsid w:val="00406867"/>
    <w:rsid w:val="00411862"/>
    <w:rsid w:val="004140BA"/>
    <w:rsid w:val="004221A5"/>
    <w:rsid w:val="00422209"/>
    <w:rsid w:val="00424E4A"/>
    <w:rsid w:val="0042521B"/>
    <w:rsid w:val="004301E3"/>
    <w:rsid w:val="004356AA"/>
    <w:rsid w:val="0043626F"/>
    <w:rsid w:val="00437597"/>
    <w:rsid w:val="00452A01"/>
    <w:rsid w:val="004555E2"/>
    <w:rsid w:val="00455F94"/>
    <w:rsid w:val="00457321"/>
    <w:rsid w:val="00461D80"/>
    <w:rsid w:val="004712D9"/>
    <w:rsid w:val="00471385"/>
    <w:rsid w:val="00473AA7"/>
    <w:rsid w:val="0047647F"/>
    <w:rsid w:val="00476FDC"/>
    <w:rsid w:val="0047719C"/>
    <w:rsid w:val="004861B8"/>
    <w:rsid w:val="00496DB3"/>
    <w:rsid w:val="004A56A0"/>
    <w:rsid w:val="004A5947"/>
    <w:rsid w:val="004A7055"/>
    <w:rsid w:val="004A75D8"/>
    <w:rsid w:val="004B5A70"/>
    <w:rsid w:val="004B63C2"/>
    <w:rsid w:val="004C00C0"/>
    <w:rsid w:val="004C675F"/>
    <w:rsid w:val="004D0718"/>
    <w:rsid w:val="004E0A16"/>
    <w:rsid w:val="004E150A"/>
    <w:rsid w:val="004E31C8"/>
    <w:rsid w:val="004E37BD"/>
    <w:rsid w:val="004E5C0D"/>
    <w:rsid w:val="004E6E8B"/>
    <w:rsid w:val="004F1C0A"/>
    <w:rsid w:val="004F4797"/>
    <w:rsid w:val="004F5EEF"/>
    <w:rsid w:val="004F5F17"/>
    <w:rsid w:val="004F7D39"/>
    <w:rsid w:val="004F7DCC"/>
    <w:rsid w:val="0050020F"/>
    <w:rsid w:val="00504689"/>
    <w:rsid w:val="005077AB"/>
    <w:rsid w:val="0051034F"/>
    <w:rsid w:val="00511141"/>
    <w:rsid w:val="005149FE"/>
    <w:rsid w:val="0052010E"/>
    <w:rsid w:val="00520122"/>
    <w:rsid w:val="00521060"/>
    <w:rsid w:val="00523BBF"/>
    <w:rsid w:val="005269D6"/>
    <w:rsid w:val="00530283"/>
    <w:rsid w:val="00531F8A"/>
    <w:rsid w:val="00536096"/>
    <w:rsid w:val="00537337"/>
    <w:rsid w:val="00544517"/>
    <w:rsid w:val="005477B9"/>
    <w:rsid w:val="00547AED"/>
    <w:rsid w:val="00555202"/>
    <w:rsid w:val="0056038A"/>
    <w:rsid w:val="00570D0C"/>
    <w:rsid w:val="005829CA"/>
    <w:rsid w:val="0058666F"/>
    <w:rsid w:val="0059065C"/>
    <w:rsid w:val="005928E6"/>
    <w:rsid w:val="0059562A"/>
    <w:rsid w:val="005A0254"/>
    <w:rsid w:val="005A0E0B"/>
    <w:rsid w:val="005A401F"/>
    <w:rsid w:val="005A4455"/>
    <w:rsid w:val="005A47C3"/>
    <w:rsid w:val="005A6B4A"/>
    <w:rsid w:val="005A7156"/>
    <w:rsid w:val="005A7776"/>
    <w:rsid w:val="005A7EB6"/>
    <w:rsid w:val="005B7371"/>
    <w:rsid w:val="005C57C0"/>
    <w:rsid w:val="005D008B"/>
    <w:rsid w:val="005D0895"/>
    <w:rsid w:val="005D3F4B"/>
    <w:rsid w:val="005E0F91"/>
    <w:rsid w:val="005E2BE2"/>
    <w:rsid w:val="005E3D0A"/>
    <w:rsid w:val="005E5FD5"/>
    <w:rsid w:val="005F6199"/>
    <w:rsid w:val="005F6DC3"/>
    <w:rsid w:val="00601A25"/>
    <w:rsid w:val="0060268A"/>
    <w:rsid w:val="00607F13"/>
    <w:rsid w:val="0061231E"/>
    <w:rsid w:val="00614397"/>
    <w:rsid w:val="006153BC"/>
    <w:rsid w:val="00615EFE"/>
    <w:rsid w:val="006165DE"/>
    <w:rsid w:val="0061662A"/>
    <w:rsid w:val="0061664E"/>
    <w:rsid w:val="00630522"/>
    <w:rsid w:val="00642F53"/>
    <w:rsid w:val="006436D2"/>
    <w:rsid w:val="00645D14"/>
    <w:rsid w:val="00647293"/>
    <w:rsid w:val="0066335B"/>
    <w:rsid w:val="0066559C"/>
    <w:rsid w:val="0066658B"/>
    <w:rsid w:val="006719C2"/>
    <w:rsid w:val="006738DE"/>
    <w:rsid w:val="006753A1"/>
    <w:rsid w:val="00677BF8"/>
    <w:rsid w:val="00681953"/>
    <w:rsid w:val="0069535C"/>
    <w:rsid w:val="006A069A"/>
    <w:rsid w:val="006A33F8"/>
    <w:rsid w:val="006A6864"/>
    <w:rsid w:val="006B0754"/>
    <w:rsid w:val="006B204D"/>
    <w:rsid w:val="006B369F"/>
    <w:rsid w:val="006B4A7A"/>
    <w:rsid w:val="006B7BFE"/>
    <w:rsid w:val="006C2142"/>
    <w:rsid w:val="006C528B"/>
    <w:rsid w:val="006C54A3"/>
    <w:rsid w:val="006C6EC8"/>
    <w:rsid w:val="006D15D9"/>
    <w:rsid w:val="006D31BA"/>
    <w:rsid w:val="006D547B"/>
    <w:rsid w:val="006D726C"/>
    <w:rsid w:val="006D7297"/>
    <w:rsid w:val="006D7CCE"/>
    <w:rsid w:val="006E0843"/>
    <w:rsid w:val="006E5503"/>
    <w:rsid w:val="006F31C4"/>
    <w:rsid w:val="006F738A"/>
    <w:rsid w:val="0070186B"/>
    <w:rsid w:val="007067E8"/>
    <w:rsid w:val="00707051"/>
    <w:rsid w:val="00710BCF"/>
    <w:rsid w:val="007152B1"/>
    <w:rsid w:val="007157CF"/>
    <w:rsid w:val="0072560D"/>
    <w:rsid w:val="00730CE8"/>
    <w:rsid w:val="00730ECF"/>
    <w:rsid w:val="007321A0"/>
    <w:rsid w:val="007336DD"/>
    <w:rsid w:val="007424E0"/>
    <w:rsid w:val="00744139"/>
    <w:rsid w:val="007478C2"/>
    <w:rsid w:val="00750029"/>
    <w:rsid w:val="00753D4D"/>
    <w:rsid w:val="00762F7B"/>
    <w:rsid w:val="00767EB4"/>
    <w:rsid w:val="00770305"/>
    <w:rsid w:val="0077404B"/>
    <w:rsid w:val="007820D0"/>
    <w:rsid w:val="0078604B"/>
    <w:rsid w:val="007946A4"/>
    <w:rsid w:val="007A333D"/>
    <w:rsid w:val="007A55B6"/>
    <w:rsid w:val="007A67FB"/>
    <w:rsid w:val="007B042E"/>
    <w:rsid w:val="007B4DDE"/>
    <w:rsid w:val="007C02EA"/>
    <w:rsid w:val="007C0671"/>
    <w:rsid w:val="007C0E48"/>
    <w:rsid w:val="007C1234"/>
    <w:rsid w:val="007C3394"/>
    <w:rsid w:val="007C48B1"/>
    <w:rsid w:val="007C5FAB"/>
    <w:rsid w:val="007C6A8D"/>
    <w:rsid w:val="007D2631"/>
    <w:rsid w:val="007D3AEF"/>
    <w:rsid w:val="007D65A9"/>
    <w:rsid w:val="007E37A6"/>
    <w:rsid w:val="007E3CA5"/>
    <w:rsid w:val="007E4E22"/>
    <w:rsid w:val="007E60A1"/>
    <w:rsid w:val="007E67B8"/>
    <w:rsid w:val="007E694D"/>
    <w:rsid w:val="007E7666"/>
    <w:rsid w:val="007F169E"/>
    <w:rsid w:val="007F3EE5"/>
    <w:rsid w:val="007F41D8"/>
    <w:rsid w:val="00802A54"/>
    <w:rsid w:val="00804D49"/>
    <w:rsid w:val="008053C3"/>
    <w:rsid w:val="00811446"/>
    <w:rsid w:val="008147AF"/>
    <w:rsid w:val="00814D47"/>
    <w:rsid w:val="0081654C"/>
    <w:rsid w:val="00816DF2"/>
    <w:rsid w:val="00817570"/>
    <w:rsid w:val="00821A7F"/>
    <w:rsid w:val="00831FE2"/>
    <w:rsid w:val="008328E7"/>
    <w:rsid w:val="00834C33"/>
    <w:rsid w:val="00843412"/>
    <w:rsid w:val="00844202"/>
    <w:rsid w:val="00844478"/>
    <w:rsid w:val="008444CE"/>
    <w:rsid w:val="008468B3"/>
    <w:rsid w:val="0085158F"/>
    <w:rsid w:val="00852E3C"/>
    <w:rsid w:val="008562D9"/>
    <w:rsid w:val="00857615"/>
    <w:rsid w:val="00857EA1"/>
    <w:rsid w:val="00874C75"/>
    <w:rsid w:val="00876980"/>
    <w:rsid w:val="00883CDD"/>
    <w:rsid w:val="008852CE"/>
    <w:rsid w:val="00886322"/>
    <w:rsid w:val="00887E02"/>
    <w:rsid w:val="00894472"/>
    <w:rsid w:val="008978BF"/>
    <w:rsid w:val="008A77C8"/>
    <w:rsid w:val="008B7666"/>
    <w:rsid w:val="008C4DA4"/>
    <w:rsid w:val="008C5DFC"/>
    <w:rsid w:val="008C7763"/>
    <w:rsid w:val="008C7C7F"/>
    <w:rsid w:val="008D472F"/>
    <w:rsid w:val="008D6B75"/>
    <w:rsid w:val="008D73F0"/>
    <w:rsid w:val="008E0056"/>
    <w:rsid w:val="008E0C4C"/>
    <w:rsid w:val="008E7461"/>
    <w:rsid w:val="008F36C7"/>
    <w:rsid w:val="009017EE"/>
    <w:rsid w:val="009038AE"/>
    <w:rsid w:val="0090531F"/>
    <w:rsid w:val="009058F4"/>
    <w:rsid w:val="00911D7B"/>
    <w:rsid w:val="00914809"/>
    <w:rsid w:val="00921CBF"/>
    <w:rsid w:val="00925760"/>
    <w:rsid w:val="00930E1A"/>
    <w:rsid w:val="00931275"/>
    <w:rsid w:val="00940948"/>
    <w:rsid w:val="0094367A"/>
    <w:rsid w:val="009529EF"/>
    <w:rsid w:val="009534E5"/>
    <w:rsid w:val="00953FAD"/>
    <w:rsid w:val="0095688C"/>
    <w:rsid w:val="00957AD7"/>
    <w:rsid w:val="00957EA5"/>
    <w:rsid w:val="00963C76"/>
    <w:rsid w:val="00963FE5"/>
    <w:rsid w:val="00970316"/>
    <w:rsid w:val="00972FF0"/>
    <w:rsid w:val="00975EFF"/>
    <w:rsid w:val="00981674"/>
    <w:rsid w:val="00982318"/>
    <w:rsid w:val="00983442"/>
    <w:rsid w:val="00997823"/>
    <w:rsid w:val="009A384E"/>
    <w:rsid w:val="009A4B0D"/>
    <w:rsid w:val="009A7415"/>
    <w:rsid w:val="009B6244"/>
    <w:rsid w:val="009B6A20"/>
    <w:rsid w:val="009C1206"/>
    <w:rsid w:val="009C235A"/>
    <w:rsid w:val="009C34DA"/>
    <w:rsid w:val="009D4721"/>
    <w:rsid w:val="009D5321"/>
    <w:rsid w:val="009D62FF"/>
    <w:rsid w:val="009E1BA9"/>
    <w:rsid w:val="00A00436"/>
    <w:rsid w:val="00A038D9"/>
    <w:rsid w:val="00A04888"/>
    <w:rsid w:val="00A066B6"/>
    <w:rsid w:val="00A1152F"/>
    <w:rsid w:val="00A15036"/>
    <w:rsid w:val="00A23913"/>
    <w:rsid w:val="00A24C00"/>
    <w:rsid w:val="00A2540E"/>
    <w:rsid w:val="00A257C0"/>
    <w:rsid w:val="00A26716"/>
    <w:rsid w:val="00A305CB"/>
    <w:rsid w:val="00A35590"/>
    <w:rsid w:val="00A35AD1"/>
    <w:rsid w:val="00A36EBD"/>
    <w:rsid w:val="00A43381"/>
    <w:rsid w:val="00A435F6"/>
    <w:rsid w:val="00A44087"/>
    <w:rsid w:val="00A44E43"/>
    <w:rsid w:val="00A44E49"/>
    <w:rsid w:val="00A519CC"/>
    <w:rsid w:val="00A5273A"/>
    <w:rsid w:val="00A558C5"/>
    <w:rsid w:val="00A55C90"/>
    <w:rsid w:val="00A654E9"/>
    <w:rsid w:val="00A71362"/>
    <w:rsid w:val="00A73F33"/>
    <w:rsid w:val="00A75B48"/>
    <w:rsid w:val="00A80CFF"/>
    <w:rsid w:val="00A840A4"/>
    <w:rsid w:val="00A850AE"/>
    <w:rsid w:val="00A86643"/>
    <w:rsid w:val="00A934C0"/>
    <w:rsid w:val="00A93C40"/>
    <w:rsid w:val="00A95AF7"/>
    <w:rsid w:val="00AA05B6"/>
    <w:rsid w:val="00AA4991"/>
    <w:rsid w:val="00AB5C7B"/>
    <w:rsid w:val="00AB6960"/>
    <w:rsid w:val="00AB79A3"/>
    <w:rsid w:val="00AC0927"/>
    <w:rsid w:val="00AC1807"/>
    <w:rsid w:val="00AC234D"/>
    <w:rsid w:val="00AC3332"/>
    <w:rsid w:val="00AC3581"/>
    <w:rsid w:val="00AD01CA"/>
    <w:rsid w:val="00AD6CB2"/>
    <w:rsid w:val="00AE18E4"/>
    <w:rsid w:val="00AE250D"/>
    <w:rsid w:val="00AE6A1A"/>
    <w:rsid w:val="00AE75BC"/>
    <w:rsid w:val="00AF1433"/>
    <w:rsid w:val="00AF367C"/>
    <w:rsid w:val="00AF4FCA"/>
    <w:rsid w:val="00B008B4"/>
    <w:rsid w:val="00B00D28"/>
    <w:rsid w:val="00B04101"/>
    <w:rsid w:val="00B059CB"/>
    <w:rsid w:val="00B06A1E"/>
    <w:rsid w:val="00B07AD5"/>
    <w:rsid w:val="00B07FF7"/>
    <w:rsid w:val="00B11A4D"/>
    <w:rsid w:val="00B1212A"/>
    <w:rsid w:val="00B12C64"/>
    <w:rsid w:val="00B15422"/>
    <w:rsid w:val="00B206E3"/>
    <w:rsid w:val="00B22A06"/>
    <w:rsid w:val="00B22F70"/>
    <w:rsid w:val="00B2593F"/>
    <w:rsid w:val="00B40661"/>
    <w:rsid w:val="00B41A17"/>
    <w:rsid w:val="00B441A1"/>
    <w:rsid w:val="00B4437C"/>
    <w:rsid w:val="00B57589"/>
    <w:rsid w:val="00B675C8"/>
    <w:rsid w:val="00B67FA1"/>
    <w:rsid w:val="00B72A71"/>
    <w:rsid w:val="00B73328"/>
    <w:rsid w:val="00B766F4"/>
    <w:rsid w:val="00B8200C"/>
    <w:rsid w:val="00B93E67"/>
    <w:rsid w:val="00B9551F"/>
    <w:rsid w:val="00B979AF"/>
    <w:rsid w:val="00BA3C47"/>
    <w:rsid w:val="00BA4E28"/>
    <w:rsid w:val="00BB4653"/>
    <w:rsid w:val="00BB5C49"/>
    <w:rsid w:val="00BB63A0"/>
    <w:rsid w:val="00BC2C84"/>
    <w:rsid w:val="00BC5D5C"/>
    <w:rsid w:val="00BD03E4"/>
    <w:rsid w:val="00BD3150"/>
    <w:rsid w:val="00BD554A"/>
    <w:rsid w:val="00BD616F"/>
    <w:rsid w:val="00BD68A7"/>
    <w:rsid w:val="00BE2FA1"/>
    <w:rsid w:val="00BF08E0"/>
    <w:rsid w:val="00BF0DBC"/>
    <w:rsid w:val="00BF3562"/>
    <w:rsid w:val="00BF3735"/>
    <w:rsid w:val="00BF44C7"/>
    <w:rsid w:val="00C00100"/>
    <w:rsid w:val="00C01019"/>
    <w:rsid w:val="00C02FF3"/>
    <w:rsid w:val="00C0319C"/>
    <w:rsid w:val="00C03571"/>
    <w:rsid w:val="00C03A73"/>
    <w:rsid w:val="00C0520A"/>
    <w:rsid w:val="00C148BF"/>
    <w:rsid w:val="00C15E27"/>
    <w:rsid w:val="00C16B9D"/>
    <w:rsid w:val="00C16C93"/>
    <w:rsid w:val="00C20446"/>
    <w:rsid w:val="00C20987"/>
    <w:rsid w:val="00C24915"/>
    <w:rsid w:val="00C27605"/>
    <w:rsid w:val="00C3142F"/>
    <w:rsid w:val="00C3263F"/>
    <w:rsid w:val="00C35524"/>
    <w:rsid w:val="00C35632"/>
    <w:rsid w:val="00C441FE"/>
    <w:rsid w:val="00C4560E"/>
    <w:rsid w:val="00C461D3"/>
    <w:rsid w:val="00C4776D"/>
    <w:rsid w:val="00C51434"/>
    <w:rsid w:val="00C53398"/>
    <w:rsid w:val="00C6299D"/>
    <w:rsid w:val="00C62CCF"/>
    <w:rsid w:val="00C64683"/>
    <w:rsid w:val="00C65A25"/>
    <w:rsid w:val="00C65A3A"/>
    <w:rsid w:val="00C65DDC"/>
    <w:rsid w:val="00C679C9"/>
    <w:rsid w:val="00C700FD"/>
    <w:rsid w:val="00C7215E"/>
    <w:rsid w:val="00C77C7A"/>
    <w:rsid w:val="00C8100B"/>
    <w:rsid w:val="00C8709B"/>
    <w:rsid w:val="00C87FBE"/>
    <w:rsid w:val="00C9003F"/>
    <w:rsid w:val="00C94F0B"/>
    <w:rsid w:val="00C94F91"/>
    <w:rsid w:val="00CA031D"/>
    <w:rsid w:val="00CA2397"/>
    <w:rsid w:val="00CA3E3D"/>
    <w:rsid w:val="00CA5F98"/>
    <w:rsid w:val="00CA6747"/>
    <w:rsid w:val="00CB0D9F"/>
    <w:rsid w:val="00CB13C6"/>
    <w:rsid w:val="00CB24A3"/>
    <w:rsid w:val="00CB3EA1"/>
    <w:rsid w:val="00CB4DF5"/>
    <w:rsid w:val="00CB7CD7"/>
    <w:rsid w:val="00CC0507"/>
    <w:rsid w:val="00CC1885"/>
    <w:rsid w:val="00CC30D7"/>
    <w:rsid w:val="00CC5199"/>
    <w:rsid w:val="00CD0227"/>
    <w:rsid w:val="00CD433F"/>
    <w:rsid w:val="00CD609D"/>
    <w:rsid w:val="00CE34CA"/>
    <w:rsid w:val="00CE7B8B"/>
    <w:rsid w:val="00CF08F0"/>
    <w:rsid w:val="00CF09DE"/>
    <w:rsid w:val="00CF1254"/>
    <w:rsid w:val="00CF4140"/>
    <w:rsid w:val="00D02F70"/>
    <w:rsid w:val="00D0508A"/>
    <w:rsid w:val="00D06B3A"/>
    <w:rsid w:val="00D1128E"/>
    <w:rsid w:val="00D11D89"/>
    <w:rsid w:val="00D168CA"/>
    <w:rsid w:val="00D24CB8"/>
    <w:rsid w:val="00D26632"/>
    <w:rsid w:val="00D273CD"/>
    <w:rsid w:val="00D301C4"/>
    <w:rsid w:val="00D34B08"/>
    <w:rsid w:val="00D4399C"/>
    <w:rsid w:val="00D4711F"/>
    <w:rsid w:val="00D535C9"/>
    <w:rsid w:val="00D53601"/>
    <w:rsid w:val="00D576CC"/>
    <w:rsid w:val="00D604A2"/>
    <w:rsid w:val="00D6267A"/>
    <w:rsid w:val="00D6531B"/>
    <w:rsid w:val="00D66CCE"/>
    <w:rsid w:val="00D709F8"/>
    <w:rsid w:val="00D71376"/>
    <w:rsid w:val="00D72611"/>
    <w:rsid w:val="00D81952"/>
    <w:rsid w:val="00D81AE0"/>
    <w:rsid w:val="00D91610"/>
    <w:rsid w:val="00D95EB1"/>
    <w:rsid w:val="00DA1C5A"/>
    <w:rsid w:val="00DA37F5"/>
    <w:rsid w:val="00DA7023"/>
    <w:rsid w:val="00DB0BA0"/>
    <w:rsid w:val="00DC3157"/>
    <w:rsid w:val="00DC4BFD"/>
    <w:rsid w:val="00DC5878"/>
    <w:rsid w:val="00DC73A5"/>
    <w:rsid w:val="00DD0358"/>
    <w:rsid w:val="00DD5AFD"/>
    <w:rsid w:val="00DE2470"/>
    <w:rsid w:val="00DE55D4"/>
    <w:rsid w:val="00DF60E1"/>
    <w:rsid w:val="00DF6299"/>
    <w:rsid w:val="00E10870"/>
    <w:rsid w:val="00E12F7B"/>
    <w:rsid w:val="00E1431E"/>
    <w:rsid w:val="00E20030"/>
    <w:rsid w:val="00E235A3"/>
    <w:rsid w:val="00E245E4"/>
    <w:rsid w:val="00E257BB"/>
    <w:rsid w:val="00E27F4A"/>
    <w:rsid w:val="00E33D88"/>
    <w:rsid w:val="00E402C1"/>
    <w:rsid w:val="00E44075"/>
    <w:rsid w:val="00E44D98"/>
    <w:rsid w:val="00E56012"/>
    <w:rsid w:val="00E67233"/>
    <w:rsid w:val="00E67963"/>
    <w:rsid w:val="00E74548"/>
    <w:rsid w:val="00E74F30"/>
    <w:rsid w:val="00E77EAF"/>
    <w:rsid w:val="00E77EE7"/>
    <w:rsid w:val="00E82F52"/>
    <w:rsid w:val="00E879FB"/>
    <w:rsid w:val="00E9260F"/>
    <w:rsid w:val="00EA5124"/>
    <w:rsid w:val="00EA6987"/>
    <w:rsid w:val="00EA6F4E"/>
    <w:rsid w:val="00EA6FCD"/>
    <w:rsid w:val="00EA784C"/>
    <w:rsid w:val="00EB3F2D"/>
    <w:rsid w:val="00EB6241"/>
    <w:rsid w:val="00EC262F"/>
    <w:rsid w:val="00EC2ED9"/>
    <w:rsid w:val="00EC54C2"/>
    <w:rsid w:val="00EC6A26"/>
    <w:rsid w:val="00EC77B0"/>
    <w:rsid w:val="00ED175D"/>
    <w:rsid w:val="00ED52FC"/>
    <w:rsid w:val="00ED671F"/>
    <w:rsid w:val="00EE092D"/>
    <w:rsid w:val="00EE4B93"/>
    <w:rsid w:val="00EE5927"/>
    <w:rsid w:val="00EF0E09"/>
    <w:rsid w:val="00EF116F"/>
    <w:rsid w:val="00EF3721"/>
    <w:rsid w:val="00EF4594"/>
    <w:rsid w:val="00F00F21"/>
    <w:rsid w:val="00F120B9"/>
    <w:rsid w:val="00F13AF9"/>
    <w:rsid w:val="00F16FFF"/>
    <w:rsid w:val="00F208EF"/>
    <w:rsid w:val="00F22CB7"/>
    <w:rsid w:val="00F22FFA"/>
    <w:rsid w:val="00F27E20"/>
    <w:rsid w:val="00F322C2"/>
    <w:rsid w:val="00F332FE"/>
    <w:rsid w:val="00F36188"/>
    <w:rsid w:val="00F36D30"/>
    <w:rsid w:val="00F3700D"/>
    <w:rsid w:val="00F37DD4"/>
    <w:rsid w:val="00F40D9E"/>
    <w:rsid w:val="00F4512D"/>
    <w:rsid w:val="00F46942"/>
    <w:rsid w:val="00F52E40"/>
    <w:rsid w:val="00F52EA1"/>
    <w:rsid w:val="00F546C2"/>
    <w:rsid w:val="00F570DB"/>
    <w:rsid w:val="00F57B72"/>
    <w:rsid w:val="00F67830"/>
    <w:rsid w:val="00F6786F"/>
    <w:rsid w:val="00F72BEC"/>
    <w:rsid w:val="00F83DEF"/>
    <w:rsid w:val="00F85067"/>
    <w:rsid w:val="00F85A6E"/>
    <w:rsid w:val="00F90FAC"/>
    <w:rsid w:val="00F931EC"/>
    <w:rsid w:val="00FA068C"/>
    <w:rsid w:val="00FA4038"/>
    <w:rsid w:val="00FA5AC3"/>
    <w:rsid w:val="00FA7E86"/>
    <w:rsid w:val="00FB4715"/>
    <w:rsid w:val="00FB4F56"/>
    <w:rsid w:val="00FC1548"/>
    <w:rsid w:val="00FC2E73"/>
    <w:rsid w:val="00FC51FA"/>
    <w:rsid w:val="00FD1F19"/>
    <w:rsid w:val="00FD2512"/>
    <w:rsid w:val="00FD542F"/>
    <w:rsid w:val="00FD7A7C"/>
    <w:rsid w:val="00FE0026"/>
    <w:rsid w:val="00FE0911"/>
    <w:rsid w:val="00FE5571"/>
    <w:rsid w:val="00FE619E"/>
    <w:rsid w:val="00FF0910"/>
    <w:rsid w:val="00FF247F"/>
    <w:rsid w:val="00FF3066"/>
    <w:rsid w:val="00FF54DB"/>
    <w:rsid w:val="00FF5A97"/>
    <w:rsid w:val="00FF71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77DB"/>
    <w:pPr>
      <w:spacing w:before="120"/>
    </w:pPr>
    <w:rPr>
      <w:rFonts w:ascii="Arial" w:hAnsi="Arial"/>
      <w:szCs w:val="24"/>
      <w:lang w:eastAsia="en-US"/>
    </w:rPr>
  </w:style>
  <w:style w:type="paragraph" w:styleId="Heading1">
    <w:name w:val="heading 1"/>
    <w:next w:val="Normal"/>
    <w:qFormat/>
    <w:rsid w:val="002B2279"/>
    <w:pPr>
      <w:keepNext/>
      <w:spacing w:before="240" w:after="60"/>
      <w:outlineLvl w:val="0"/>
    </w:pPr>
    <w:rPr>
      <w:rFonts w:ascii="Arial" w:hAnsi="Arial" w:cs="Arial"/>
      <w:b/>
      <w:sz w:val="26"/>
      <w:szCs w:val="32"/>
    </w:rPr>
  </w:style>
  <w:style w:type="paragraph" w:styleId="Heading2">
    <w:name w:val="heading 2"/>
    <w:basedOn w:val="Heading1"/>
    <w:next w:val="Normal"/>
    <w:link w:val="Heading2Char"/>
    <w:qFormat/>
    <w:rsid w:val="002B2279"/>
    <w:pPr>
      <w:outlineLvl w:val="1"/>
    </w:pPr>
    <w:rPr>
      <w:iCs/>
      <w:sz w:val="24"/>
      <w:szCs w:val="22"/>
    </w:rPr>
  </w:style>
  <w:style w:type="paragraph" w:styleId="Heading3">
    <w:name w:val="heading 3"/>
    <w:next w:val="Normal"/>
    <w:qFormat/>
    <w:rsid w:val="002B2279"/>
    <w:pPr>
      <w:keepNext/>
      <w:spacing w:before="160" w:after="60"/>
      <w:outlineLvl w:val="2"/>
    </w:pPr>
    <w:rPr>
      <w:rFonts w:ascii="Arial" w:hAnsi="Arial"/>
      <w:b/>
      <w:bCs/>
      <w:i/>
      <w:iCs/>
      <w:sz w:val="22"/>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Name">
    <w:name w:val="DocName"/>
    <w:basedOn w:val="Normal"/>
    <w:link w:val="DocNameChar"/>
    <w:rsid w:val="002B2279"/>
    <w:pPr>
      <w:spacing w:before="0"/>
      <w:jc w:val="center"/>
    </w:pPr>
    <w:rPr>
      <w:b/>
      <w:bCs/>
      <w:sz w:val="28"/>
    </w:rPr>
  </w:style>
  <w:style w:type="paragraph" w:customStyle="1" w:styleId="DocStatus">
    <w:name w:val="DocStatus"/>
    <w:basedOn w:val="Normal"/>
    <w:rsid w:val="002B2279"/>
    <w:pPr>
      <w:spacing w:after="60"/>
      <w:jc w:val="center"/>
    </w:pPr>
    <w:rPr>
      <w:b/>
      <w:sz w:val="22"/>
    </w:rPr>
  </w:style>
  <w:style w:type="paragraph" w:customStyle="1" w:styleId="Heading2numbered">
    <w:name w:val="Heading 2 numbered"/>
    <w:basedOn w:val="Heading2"/>
    <w:next w:val="Normal"/>
    <w:rsid w:val="002B2279"/>
    <w:pPr>
      <w:numPr>
        <w:ilvl w:val="1"/>
        <w:numId w:val="4"/>
      </w:numPr>
    </w:pPr>
  </w:style>
  <w:style w:type="paragraph" w:customStyle="1" w:styleId="Heading3numbered">
    <w:name w:val="Heading 3 numbered"/>
    <w:basedOn w:val="Heading3"/>
    <w:next w:val="Normal"/>
    <w:rsid w:val="002B2279"/>
    <w:pPr>
      <w:numPr>
        <w:ilvl w:val="2"/>
        <w:numId w:val="4"/>
      </w:numPr>
    </w:pPr>
  </w:style>
  <w:style w:type="paragraph" w:customStyle="1" w:styleId="List-bullet-2">
    <w:name w:val="List-bullet-2"/>
    <w:basedOn w:val="Normal"/>
    <w:rsid w:val="002B2279"/>
    <w:pPr>
      <w:numPr>
        <w:numId w:val="2"/>
      </w:numPr>
      <w:spacing w:before="80"/>
    </w:pPr>
    <w:rPr>
      <w:rFonts w:cs="Arial"/>
      <w:szCs w:val="22"/>
      <w:lang w:val="en-US"/>
    </w:rPr>
  </w:style>
  <w:style w:type="paragraph" w:customStyle="1" w:styleId="List-number-2">
    <w:name w:val="List-number-2"/>
    <w:basedOn w:val="Normal"/>
    <w:link w:val="List-number-2Char"/>
    <w:rsid w:val="002B2279"/>
    <w:pPr>
      <w:numPr>
        <w:ilvl w:val="1"/>
        <w:numId w:val="3"/>
      </w:numPr>
    </w:pPr>
  </w:style>
  <w:style w:type="paragraph" w:customStyle="1" w:styleId="Normal-indent">
    <w:name w:val="Normal-indent"/>
    <w:basedOn w:val="Normal"/>
    <w:rsid w:val="002B2279"/>
    <w:pPr>
      <w:ind w:left="357"/>
    </w:pPr>
    <w:rPr>
      <w:lang w:eastAsia="en-AU"/>
    </w:rPr>
  </w:style>
  <w:style w:type="character" w:styleId="CommentReference">
    <w:name w:val="annotation reference"/>
    <w:uiPriority w:val="99"/>
    <w:semiHidden/>
    <w:rsid w:val="002B2279"/>
    <w:rPr>
      <w:sz w:val="16"/>
      <w:szCs w:val="16"/>
    </w:rPr>
  </w:style>
  <w:style w:type="paragraph" w:customStyle="1" w:styleId="TableHeader">
    <w:name w:val="TableHeader"/>
    <w:basedOn w:val="Normal"/>
    <w:rsid w:val="002B2279"/>
    <w:pPr>
      <w:keepNext/>
      <w:spacing w:before="60" w:after="40"/>
      <w:jc w:val="center"/>
    </w:pPr>
    <w:rPr>
      <w:rFonts w:cs="Arial"/>
      <w:b/>
    </w:rPr>
  </w:style>
  <w:style w:type="paragraph" w:customStyle="1" w:styleId="Table-normal-text">
    <w:name w:val="Table-normal-text"/>
    <w:basedOn w:val="Normal"/>
    <w:rsid w:val="002B2279"/>
    <w:pPr>
      <w:spacing w:before="60"/>
    </w:pPr>
  </w:style>
  <w:style w:type="paragraph" w:customStyle="1" w:styleId="Table-list-bullet">
    <w:name w:val="Table-list-bullet"/>
    <w:basedOn w:val="Table-normal-text"/>
    <w:rsid w:val="002B2279"/>
    <w:pPr>
      <w:numPr>
        <w:numId w:val="5"/>
      </w:numPr>
    </w:pPr>
  </w:style>
  <w:style w:type="paragraph" w:customStyle="1" w:styleId="Table-list-number">
    <w:name w:val="Table-list-number"/>
    <w:basedOn w:val="Table-normal-text"/>
    <w:rsid w:val="002B2279"/>
    <w:pPr>
      <w:numPr>
        <w:numId w:val="6"/>
      </w:numPr>
    </w:pPr>
  </w:style>
  <w:style w:type="paragraph" w:customStyle="1" w:styleId="TableTitle">
    <w:name w:val="TableTitle"/>
    <w:basedOn w:val="Normal"/>
    <w:next w:val="Table-normal-text"/>
    <w:rsid w:val="002B2279"/>
    <w:pPr>
      <w:keepNext/>
      <w:spacing w:before="240" w:after="120"/>
      <w:jc w:val="center"/>
    </w:pPr>
    <w:rPr>
      <w:b/>
    </w:rPr>
  </w:style>
  <w:style w:type="paragraph" w:styleId="Header">
    <w:name w:val="header"/>
    <w:basedOn w:val="Normal"/>
    <w:rsid w:val="002B2279"/>
    <w:pPr>
      <w:tabs>
        <w:tab w:val="center" w:pos="4153"/>
        <w:tab w:val="right" w:pos="8306"/>
      </w:tabs>
    </w:pPr>
    <w:rPr>
      <w:sz w:val="16"/>
    </w:rPr>
  </w:style>
  <w:style w:type="paragraph" w:styleId="Footer">
    <w:name w:val="footer"/>
    <w:basedOn w:val="Normal"/>
    <w:link w:val="FooterChar"/>
    <w:uiPriority w:val="99"/>
    <w:rsid w:val="002B2279"/>
    <w:pPr>
      <w:tabs>
        <w:tab w:val="center" w:pos="4153"/>
        <w:tab w:val="right" w:pos="8306"/>
      </w:tabs>
    </w:pPr>
    <w:rPr>
      <w:sz w:val="16"/>
    </w:rPr>
  </w:style>
  <w:style w:type="character" w:styleId="PageNumber">
    <w:name w:val="page number"/>
    <w:rsid w:val="002B2279"/>
    <w:rPr>
      <w:rFonts w:ascii="Arial" w:hAnsi="Arial"/>
      <w:sz w:val="16"/>
    </w:rPr>
  </w:style>
  <w:style w:type="character" w:styleId="Hyperlink">
    <w:name w:val="Hyperlink"/>
    <w:rsid w:val="002B2279"/>
    <w:rPr>
      <w:rFonts w:ascii="Arial" w:hAnsi="Arial"/>
      <w:color w:val="0000FF"/>
      <w:u w:val="single"/>
    </w:rPr>
  </w:style>
  <w:style w:type="paragraph" w:customStyle="1" w:styleId="List-outline-numbered">
    <w:name w:val="List-outline-numbered"/>
    <w:basedOn w:val="Normal"/>
    <w:rsid w:val="002B2279"/>
    <w:pPr>
      <w:numPr>
        <w:ilvl w:val="3"/>
        <w:numId w:val="4"/>
      </w:numPr>
    </w:pPr>
  </w:style>
  <w:style w:type="paragraph" w:customStyle="1" w:styleId="List-bullet-1">
    <w:name w:val="List-bullet-1"/>
    <w:basedOn w:val="Normal"/>
    <w:rsid w:val="002B2279"/>
    <w:pPr>
      <w:numPr>
        <w:numId w:val="1"/>
      </w:numPr>
    </w:pPr>
    <w:rPr>
      <w:rFonts w:cs="Arial"/>
      <w:szCs w:val="22"/>
    </w:rPr>
  </w:style>
  <w:style w:type="paragraph" w:customStyle="1" w:styleId="List-number-1">
    <w:name w:val="List-number-1"/>
    <w:basedOn w:val="Normal"/>
    <w:link w:val="List-number-1CharChar"/>
    <w:rsid w:val="002B2279"/>
    <w:pPr>
      <w:numPr>
        <w:numId w:val="3"/>
      </w:numPr>
    </w:pPr>
  </w:style>
  <w:style w:type="paragraph" w:styleId="BalloonText">
    <w:name w:val="Balloon Text"/>
    <w:basedOn w:val="Normal"/>
    <w:semiHidden/>
    <w:rsid w:val="002B2279"/>
    <w:rPr>
      <w:rFonts w:ascii="Tahoma" w:hAnsi="Tahoma" w:cs="Tahoma"/>
      <w:sz w:val="16"/>
      <w:szCs w:val="16"/>
    </w:rPr>
  </w:style>
  <w:style w:type="table" w:styleId="TableGrid">
    <w:name w:val="Table Grid"/>
    <w:basedOn w:val="TableNormal"/>
    <w:rsid w:val="002B2279"/>
    <w:pPr>
      <w:spacing w:before="60"/>
    </w:pPr>
    <w:rPr>
      <w:rFonts w:ascii="Arial" w:hAnsi="Arial"/>
      <w:sz w:val="18"/>
      <w:szCs w:val="18"/>
    </w:rPr>
    <w:tblPr>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57" w:type="dxa"/>
        <w:bottom w:w="28" w:type="dxa"/>
        <w:right w:w="57" w:type="dxa"/>
      </w:tblCellMar>
    </w:tblPr>
    <w:trPr>
      <w:cantSplit/>
    </w:trPr>
    <w:tblStylePr w:type="firstRow">
      <w:pPr>
        <w:jc w:val="center"/>
      </w:pPr>
      <w:rPr>
        <w:rFonts w:ascii="Arial" w:hAnsi="Arial"/>
        <w:b/>
        <w:sz w:val="18"/>
      </w:rPr>
      <w:tblPr/>
      <w:trPr>
        <w:tblHeader/>
      </w:trPr>
      <w:tcPr>
        <w:shd w:val="clear" w:color="auto" w:fill="E0E0E0"/>
        <w:vAlign w:val="center"/>
      </w:tcPr>
    </w:tblStylePr>
  </w:style>
  <w:style w:type="table" w:customStyle="1" w:styleId="TableCheckList-1">
    <w:name w:val="TableCheckList-1"/>
    <w:basedOn w:val="TableNormal"/>
    <w:rsid w:val="002B2279"/>
    <w:pPr>
      <w:spacing w:before="60"/>
    </w:pPr>
    <w:rPr>
      <w:rFonts w:ascii="Arial" w:hAnsi="Arial"/>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57" w:type="dxa"/>
        <w:bottom w:w="0" w:type="dxa"/>
        <w:right w:w="57" w:type="dxa"/>
      </w:tblCellMar>
    </w:tblPr>
    <w:tblStylePr w:type="firstCol">
      <w:tblPr/>
      <w:tcPr>
        <w:tcBorders>
          <w:bottom w:val="nil"/>
          <w:insideH w:val="single" w:sz="4" w:space="0" w:color="999999"/>
        </w:tcBorders>
      </w:tcPr>
    </w:tblStylePr>
  </w:style>
  <w:style w:type="table" w:customStyle="1" w:styleId="TableCheckList-2">
    <w:name w:val="TableCheckList-2"/>
    <w:basedOn w:val="TableNormal"/>
    <w:rsid w:val="002B2279"/>
    <w:pPr>
      <w:spacing w:before="60"/>
    </w:pPr>
    <w:rPr>
      <w:rFonts w:ascii="Arial" w:hAnsi="Arial"/>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57" w:type="dxa"/>
        <w:bottom w:w="0" w:type="dxa"/>
        <w:right w:w="57" w:type="dxa"/>
      </w:tblCellMar>
    </w:tblPr>
    <w:tblStylePr w:type="lastCol">
      <w:tblPr/>
      <w:tcPr>
        <w:tcBorders>
          <w:bottom w:val="single" w:sz="4" w:space="0" w:color="999999"/>
          <w:insideH w:val="single" w:sz="4" w:space="0" w:color="999999"/>
        </w:tcBorders>
      </w:tcPr>
    </w:tblStylePr>
  </w:style>
  <w:style w:type="paragraph" w:styleId="CommentText">
    <w:name w:val="annotation text"/>
    <w:basedOn w:val="Normal"/>
    <w:link w:val="CommentTextChar"/>
    <w:uiPriority w:val="99"/>
    <w:rsid w:val="002B2279"/>
    <w:rPr>
      <w:szCs w:val="20"/>
    </w:rPr>
  </w:style>
  <w:style w:type="paragraph" w:styleId="CommentSubject">
    <w:name w:val="annotation subject"/>
    <w:basedOn w:val="CommentText"/>
    <w:next w:val="CommentText"/>
    <w:semiHidden/>
    <w:rsid w:val="002B2279"/>
    <w:rPr>
      <w:b/>
      <w:bCs/>
    </w:rPr>
  </w:style>
  <w:style w:type="character" w:customStyle="1" w:styleId="List-number-2Char">
    <w:name w:val="List-number-2 Char"/>
    <w:link w:val="List-number-2"/>
    <w:rsid w:val="002B2279"/>
    <w:rPr>
      <w:rFonts w:ascii="Arial" w:hAnsi="Arial"/>
      <w:szCs w:val="24"/>
      <w:lang w:eastAsia="en-US"/>
    </w:rPr>
  </w:style>
  <w:style w:type="table" w:customStyle="1" w:styleId="Tablewithnoheader">
    <w:name w:val="Table with no header"/>
    <w:basedOn w:val="TableNormal"/>
    <w:rsid w:val="002B2279"/>
    <w:rPr>
      <w:rFonts w:ascii="Arial" w:hAnsi="Arial"/>
    </w:rPr>
    <w:tblPr>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108" w:type="dxa"/>
        <w:bottom w:w="57" w:type="dxa"/>
        <w:right w:w="108" w:type="dxa"/>
      </w:tblCellMar>
    </w:tblPr>
    <w:trPr>
      <w:cantSplit/>
    </w:trPr>
    <w:tcPr>
      <w:shd w:val="clear" w:color="auto" w:fill="auto"/>
    </w:tcPr>
  </w:style>
  <w:style w:type="table" w:customStyle="1" w:styleId="Tablewithheader">
    <w:name w:val="Table with header"/>
    <w:basedOn w:val="Tablewithnoheader"/>
    <w:rsid w:val="002B2279"/>
    <w:tblPr>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108" w:type="dxa"/>
        <w:bottom w:w="57" w:type="dxa"/>
        <w:right w:w="108" w:type="dxa"/>
      </w:tblCellMar>
    </w:tblPr>
    <w:trPr>
      <w:cantSplit/>
    </w:trPr>
    <w:tcPr>
      <w:shd w:val="clear" w:color="auto" w:fill="auto"/>
    </w:tcPr>
    <w:tblStylePr w:type="firstRow">
      <w:pPr>
        <w:jc w:val="center"/>
      </w:pPr>
      <w:rPr>
        <w:rFonts w:ascii="Arial" w:hAnsi="Arial"/>
        <w:b/>
        <w:sz w:val="20"/>
      </w:rPr>
      <w:tblPr/>
      <w:trPr>
        <w:tblHeader/>
      </w:trPr>
      <w:tcPr>
        <w:shd w:val="clear" w:color="auto" w:fill="E0E0E0"/>
        <w:vAlign w:val="center"/>
      </w:tcPr>
    </w:tblStylePr>
  </w:style>
  <w:style w:type="paragraph" w:styleId="TOC1">
    <w:name w:val="toc 1"/>
    <w:basedOn w:val="Normal"/>
    <w:next w:val="Normal"/>
    <w:autoRedefine/>
    <w:semiHidden/>
    <w:rsid w:val="002B2279"/>
    <w:pPr>
      <w:tabs>
        <w:tab w:val="left" w:pos="798"/>
      </w:tabs>
      <w:ind w:left="456"/>
    </w:pPr>
  </w:style>
  <w:style w:type="paragraph" w:styleId="TOC2">
    <w:name w:val="toc 2"/>
    <w:basedOn w:val="Normal"/>
    <w:next w:val="Normal"/>
    <w:autoRedefine/>
    <w:semiHidden/>
    <w:rsid w:val="002B2279"/>
    <w:pPr>
      <w:tabs>
        <w:tab w:val="left" w:pos="855"/>
      </w:tabs>
      <w:spacing w:before="80"/>
      <w:ind w:left="454"/>
    </w:pPr>
  </w:style>
  <w:style w:type="paragraph" w:styleId="TOC3">
    <w:name w:val="toc 3"/>
    <w:basedOn w:val="Normal"/>
    <w:next w:val="Normal"/>
    <w:autoRedefine/>
    <w:semiHidden/>
    <w:rsid w:val="002B2279"/>
    <w:pPr>
      <w:tabs>
        <w:tab w:val="left" w:pos="1311"/>
      </w:tabs>
      <w:spacing w:before="40"/>
      <w:ind w:left="856"/>
    </w:pPr>
  </w:style>
  <w:style w:type="character" w:customStyle="1" w:styleId="DocNameChar">
    <w:name w:val="DocName Char"/>
    <w:link w:val="DocName"/>
    <w:rsid w:val="003D6E0A"/>
    <w:rPr>
      <w:rFonts w:ascii="Arial" w:hAnsi="Arial"/>
      <w:b/>
      <w:bCs/>
      <w:sz w:val="28"/>
      <w:szCs w:val="24"/>
      <w:lang w:val="en-AU" w:eastAsia="en-US" w:bidi="ar-SA"/>
    </w:rPr>
  </w:style>
  <w:style w:type="paragraph" w:styleId="ListParagraph">
    <w:name w:val="List Paragraph"/>
    <w:basedOn w:val="Normal"/>
    <w:uiPriority w:val="34"/>
    <w:qFormat/>
    <w:rsid w:val="00162342"/>
    <w:pPr>
      <w:spacing w:before="0" w:after="200" w:line="276" w:lineRule="auto"/>
      <w:ind w:left="720"/>
      <w:contextualSpacing/>
    </w:pPr>
    <w:rPr>
      <w:rFonts w:ascii="Calibri" w:eastAsia="Calibri" w:hAnsi="Calibri"/>
      <w:sz w:val="22"/>
      <w:szCs w:val="22"/>
      <w:lang w:val="en-NZ"/>
    </w:rPr>
  </w:style>
  <w:style w:type="character" w:customStyle="1" w:styleId="List-number-1CharChar">
    <w:name w:val="List-number-1 Char Char"/>
    <w:link w:val="List-number-1"/>
    <w:locked/>
    <w:rsid w:val="00267A88"/>
    <w:rPr>
      <w:rFonts w:ascii="Arial" w:hAnsi="Arial"/>
      <w:szCs w:val="24"/>
      <w:lang w:eastAsia="en-US"/>
    </w:rPr>
  </w:style>
  <w:style w:type="character" w:customStyle="1" w:styleId="FooterChar">
    <w:name w:val="Footer Char"/>
    <w:link w:val="Footer"/>
    <w:uiPriority w:val="99"/>
    <w:rsid w:val="00BA4E28"/>
    <w:rPr>
      <w:rFonts w:ascii="Arial" w:hAnsi="Arial"/>
      <w:sz w:val="16"/>
      <w:szCs w:val="24"/>
      <w:lang w:eastAsia="en-US"/>
    </w:rPr>
  </w:style>
  <w:style w:type="paragraph" w:styleId="PlainText">
    <w:name w:val="Plain Text"/>
    <w:basedOn w:val="Normal"/>
    <w:link w:val="PlainTextChar"/>
    <w:uiPriority w:val="99"/>
    <w:unhideWhenUsed/>
    <w:rsid w:val="00402951"/>
    <w:pPr>
      <w:spacing w:before="0"/>
    </w:pPr>
    <w:rPr>
      <w:rFonts w:ascii="Calibri" w:eastAsia="Calibri" w:hAnsi="Calibri" w:cs="Consolas"/>
      <w:sz w:val="22"/>
      <w:szCs w:val="21"/>
      <w:lang w:val="en-ZA"/>
    </w:rPr>
  </w:style>
  <w:style w:type="character" w:customStyle="1" w:styleId="PlainTextChar">
    <w:name w:val="Plain Text Char"/>
    <w:link w:val="PlainText"/>
    <w:uiPriority w:val="99"/>
    <w:rsid w:val="00402951"/>
    <w:rPr>
      <w:rFonts w:ascii="Calibri" w:eastAsia="Calibri" w:hAnsi="Calibri" w:cs="Consolas"/>
      <w:sz w:val="22"/>
      <w:szCs w:val="21"/>
      <w:lang w:val="en-ZA" w:eastAsia="en-US"/>
    </w:rPr>
  </w:style>
  <w:style w:type="paragraph" w:styleId="NoSpacing">
    <w:name w:val="No Spacing"/>
    <w:link w:val="NoSpacingChar"/>
    <w:uiPriority w:val="1"/>
    <w:qFormat/>
    <w:rsid w:val="00B00D28"/>
    <w:rPr>
      <w:rFonts w:ascii="Calibri" w:eastAsia="Calibri" w:hAnsi="Calibri"/>
      <w:sz w:val="22"/>
      <w:szCs w:val="22"/>
      <w:lang w:val="en-US" w:eastAsia="en-US"/>
    </w:rPr>
  </w:style>
  <w:style w:type="character" w:customStyle="1" w:styleId="CommentTextChar">
    <w:name w:val="Comment Text Char"/>
    <w:link w:val="CommentText"/>
    <w:uiPriority w:val="99"/>
    <w:rsid w:val="00BB5C49"/>
    <w:rPr>
      <w:rFonts w:ascii="Arial" w:hAnsi="Arial"/>
      <w:lang w:eastAsia="en-US"/>
    </w:rPr>
  </w:style>
  <w:style w:type="character" w:customStyle="1" w:styleId="NoSpacingChar">
    <w:name w:val="No Spacing Char"/>
    <w:link w:val="NoSpacing"/>
    <w:uiPriority w:val="1"/>
    <w:rsid w:val="00F90FAC"/>
    <w:rPr>
      <w:rFonts w:ascii="Calibri" w:eastAsia="Calibri" w:hAnsi="Calibri"/>
      <w:sz w:val="22"/>
      <w:szCs w:val="22"/>
      <w:lang w:val="en-US" w:eastAsia="en-US"/>
    </w:rPr>
  </w:style>
  <w:style w:type="paragraph" w:customStyle="1" w:styleId="Bullet">
    <w:name w:val="Bullet"/>
    <w:aliases w:val="b,b + line"/>
    <w:basedOn w:val="Normal"/>
    <w:rsid w:val="000B35AF"/>
    <w:pPr>
      <w:numPr>
        <w:numId w:val="33"/>
      </w:numPr>
      <w:spacing w:before="0" w:after="240" w:line="320" w:lineRule="exact"/>
    </w:pPr>
    <w:rPr>
      <w:rFonts w:ascii="Palatino" w:hAnsi="Palatino"/>
      <w:color w:val="000000"/>
      <w:sz w:val="22"/>
      <w:szCs w:val="22"/>
      <w:lang w:eastAsia="en-AU"/>
    </w:rPr>
  </w:style>
  <w:style w:type="paragraph" w:styleId="Revision">
    <w:name w:val="Revision"/>
    <w:hidden/>
    <w:uiPriority w:val="99"/>
    <w:semiHidden/>
    <w:rsid w:val="000C184F"/>
    <w:rPr>
      <w:rFonts w:ascii="Arial" w:hAnsi="Arial"/>
      <w:szCs w:val="24"/>
      <w:lang w:eastAsia="en-US"/>
    </w:rPr>
  </w:style>
  <w:style w:type="character" w:customStyle="1" w:styleId="Heading2Char">
    <w:name w:val="Heading 2 Char"/>
    <w:link w:val="Heading2"/>
    <w:rsid w:val="00511141"/>
    <w:rPr>
      <w:rFonts w:ascii="Arial" w:hAnsi="Arial" w:cs="Arial"/>
      <w:b/>
      <w:iCs/>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44170">
      <w:bodyDiv w:val="1"/>
      <w:marLeft w:val="0"/>
      <w:marRight w:val="0"/>
      <w:marTop w:val="0"/>
      <w:marBottom w:val="0"/>
      <w:divBdr>
        <w:top w:val="none" w:sz="0" w:space="0" w:color="auto"/>
        <w:left w:val="none" w:sz="0" w:space="0" w:color="auto"/>
        <w:bottom w:val="none" w:sz="0" w:space="0" w:color="auto"/>
        <w:right w:val="none" w:sz="0" w:space="0" w:color="auto"/>
      </w:divBdr>
    </w:div>
    <w:div w:id="243682037">
      <w:bodyDiv w:val="1"/>
      <w:marLeft w:val="0"/>
      <w:marRight w:val="0"/>
      <w:marTop w:val="0"/>
      <w:marBottom w:val="0"/>
      <w:divBdr>
        <w:top w:val="none" w:sz="0" w:space="0" w:color="auto"/>
        <w:left w:val="none" w:sz="0" w:space="0" w:color="auto"/>
        <w:bottom w:val="none" w:sz="0" w:space="0" w:color="auto"/>
        <w:right w:val="none" w:sz="0" w:space="0" w:color="auto"/>
      </w:divBdr>
    </w:div>
    <w:div w:id="255401486">
      <w:bodyDiv w:val="1"/>
      <w:marLeft w:val="0"/>
      <w:marRight w:val="0"/>
      <w:marTop w:val="0"/>
      <w:marBottom w:val="0"/>
      <w:divBdr>
        <w:top w:val="none" w:sz="0" w:space="0" w:color="auto"/>
        <w:left w:val="none" w:sz="0" w:space="0" w:color="auto"/>
        <w:bottom w:val="none" w:sz="0" w:space="0" w:color="auto"/>
        <w:right w:val="none" w:sz="0" w:space="0" w:color="auto"/>
      </w:divBdr>
    </w:div>
    <w:div w:id="777026236">
      <w:bodyDiv w:val="1"/>
      <w:marLeft w:val="0"/>
      <w:marRight w:val="0"/>
      <w:marTop w:val="0"/>
      <w:marBottom w:val="0"/>
      <w:divBdr>
        <w:top w:val="none" w:sz="0" w:space="0" w:color="auto"/>
        <w:left w:val="none" w:sz="0" w:space="0" w:color="auto"/>
        <w:bottom w:val="none" w:sz="0" w:space="0" w:color="auto"/>
        <w:right w:val="none" w:sz="0" w:space="0" w:color="auto"/>
      </w:divBdr>
    </w:div>
    <w:div w:id="966088564">
      <w:bodyDiv w:val="1"/>
      <w:marLeft w:val="0"/>
      <w:marRight w:val="0"/>
      <w:marTop w:val="0"/>
      <w:marBottom w:val="0"/>
      <w:divBdr>
        <w:top w:val="none" w:sz="0" w:space="0" w:color="auto"/>
        <w:left w:val="none" w:sz="0" w:space="0" w:color="auto"/>
        <w:bottom w:val="none" w:sz="0" w:space="0" w:color="auto"/>
        <w:right w:val="none" w:sz="0" w:space="0" w:color="auto"/>
      </w:divBdr>
    </w:div>
    <w:div w:id="1018892141">
      <w:bodyDiv w:val="1"/>
      <w:marLeft w:val="0"/>
      <w:marRight w:val="0"/>
      <w:marTop w:val="0"/>
      <w:marBottom w:val="0"/>
      <w:divBdr>
        <w:top w:val="none" w:sz="0" w:space="0" w:color="auto"/>
        <w:left w:val="none" w:sz="0" w:space="0" w:color="auto"/>
        <w:bottom w:val="none" w:sz="0" w:space="0" w:color="auto"/>
        <w:right w:val="none" w:sz="0" w:space="0" w:color="auto"/>
      </w:divBdr>
    </w:div>
    <w:div w:id="1043411045">
      <w:bodyDiv w:val="1"/>
      <w:marLeft w:val="0"/>
      <w:marRight w:val="0"/>
      <w:marTop w:val="0"/>
      <w:marBottom w:val="0"/>
      <w:divBdr>
        <w:top w:val="none" w:sz="0" w:space="0" w:color="auto"/>
        <w:left w:val="none" w:sz="0" w:space="0" w:color="auto"/>
        <w:bottom w:val="none" w:sz="0" w:space="0" w:color="auto"/>
        <w:right w:val="none" w:sz="0" w:space="0" w:color="auto"/>
      </w:divBdr>
    </w:div>
    <w:div w:id="1058672063">
      <w:bodyDiv w:val="1"/>
      <w:marLeft w:val="0"/>
      <w:marRight w:val="0"/>
      <w:marTop w:val="0"/>
      <w:marBottom w:val="0"/>
      <w:divBdr>
        <w:top w:val="none" w:sz="0" w:space="0" w:color="auto"/>
        <w:left w:val="none" w:sz="0" w:space="0" w:color="auto"/>
        <w:bottom w:val="none" w:sz="0" w:space="0" w:color="auto"/>
        <w:right w:val="none" w:sz="0" w:space="0" w:color="auto"/>
      </w:divBdr>
    </w:div>
    <w:div w:id="1159345101">
      <w:bodyDiv w:val="1"/>
      <w:marLeft w:val="0"/>
      <w:marRight w:val="0"/>
      <w:marTop w:val="0"/>
      <w:marBottom w:val="0"/>
      <w:divBdr>
        <w:top w:val="none" w:sz="0" w:space="0" w:color="auto"/>
        <w:left w:val="none" w:sz="0" w:space="0" w:color="auto"/>
        <w:bottom w:val="none" w:sz="0" w:space="0" w:color="auto"/>
        <w:right w:val="none" w:sz="0" w:space="0" w:color="auto"/>
      </w:divBdr>
    </w:div>
    <w:div w:id="1472138107">
      <w:bodyDiv w:val="1"/>
      <w:marLeft w:val="0"/>
      <w:marRight w:val="0"/>
      <w:marTop w:val="0"/>
      <w:marBottom w:val="0"/>
      <w:divBdr>
        <w:top w:val="none" w:sz="0" w:space="0" w:color="auto"/>
        <w:left w:val="none" w:sz="0" w:space="0" w:color="auto"/>
        <w:bottom w:val="none" w:sz="0" w:space="0" w:color="auto"/>
        <w:right w:val="none" w:sz="0" w:space="0" w:color="auto"/>
      </w:divBdr>
    </w:div>
    <w:div w:id="1500147340">
      <w:bodyDiv w:val="1"/>
      <w:marLeft w:val="0"/>
      <w:marRight w:val="0"/>
      <w:marTop w:val="0"/>
      <w:marBottom w:val="0"/>
      <w:divBdr>
        <w:top w:val="none" w:sz="0" w:space="0" w:color="auto"/>
        <w:left w:val="none" w:sz="0" w:space="0" w:color="auto"/>
        <w:bottom w:val="none" w:sz="0" w:space="0" w:color="auto"/>
        <w:right w:val="none" w:sz="0" w:space="0" w:color="auto"/>
      </w:divBdr>
    </w:div>
    <w:div w:id="1583755699">
      <w:bodyDiv w:val="1"/>
      <w:marLeft w:val="0"/>
      <w:marRight w:val="0"/>
      <w:marTop w:val="0"/>
      <w:marBottom w:val="0"/>
      <w:divBdr>
        <w:top w:val="none" w:sz="0" w:space="0" w:color="auto"/>
        <w:left w:val="none" w:sz="0" w:space="0" w:color="auto"/>
        <w:bottom w:val="none" w:sz="0" w:space="0" w:color="auto"/>
        <w:right w:val="none" w:sz="0" w:space="0" w:color="auto"/>
      </w:divBdr>
    </w:div>
    <w:div w:id="1605647809">
      <w:bodyDiv w:val="1"/>
      <w:marLeft w:val="0"/>
      <w:marRight w:val="0"/>
      <w:marTop w:val="0"/>
      <w:marBottom w:val="0"/>
      <w:divBdr>
        <w:top w:val="none" w:sz="0" w:space="0" w:color="auto"/>
        <w:left w:val="none" w:sz="0" w:space="0" w:color="auto"/>
        <w:bottom w:val="none" w:sz="0" w:space="0" w:color="auto"/>
        <w:right w:val="none" w:sz="0" w:space="0" w:color="auto"/>
      </w:divBdr>
    </w:div>
    <w:div w:id="1632903116">
      <w:bodyDiv w:val="1"/>
      <w:marLeft w:val="0"/>
      <w:marRight w:val="0"/>
      <w:marTop w:val="0"/>
      <w:marBottom w:val="0"/>
      <w:divBdr>
        <w:top w:val="none" w:sz="0" w:space="0" w:color="auto"/>
        <w:left w:val="none" w:sz="0" w:space="0" w:color="auto"/>
        <w:bottom w:val="none" w:sz="0" w:space="0" w:color="auto"/>
        <w:right w:val="none" w:sz="0" w:space="0" w:color="auto"/>
      </w:divBdr>
    </w:div>
    <w:div w:id="1737509485">
      <w:bodyDiv w:val="1"/>
      <w:marLeft w:val="0"/>
      <w:marRight w:val="0"/>
      <w:marTop w:val="0"/>
      <w:marBottom w:val="0"/>
      <w:divBdr>
        <w:top w:val="none" w:sz="0" w:space="0" w:color="auto"/>
        <w:left w:val="none" w:sz="0" w:space="0" w:color="auto"/>
        <w:bottom w:val="none" w:sz="0" w:space="0" w:color="auto"/>
        <w:right w:val="none" w:sz="0" w:space="0" w:color="auto"/>
      </w:divBdr>
    </w:div>
    <w:div w:id="1887716356">
      <w:bodyDiv w:val="1"/>
      <w:marLeft w:val="0"/>
      <w:marRight w:val="0"/>
      <w:marTop w:val="0"/>
      <w:marBottom w:val="0"/>
      <w:divBdr>
        <w:top w:val="none" w:sz="0" w:space="0" w:color="auto"/>
        <w:left w:val="none" w:sz="0" w:space="0" w:color="auto"/>
        <w:bottom w:val="none" w:sz="0" w:space="0" w:color="auto"/>
        <w:right w:val="none" w:sz="0" w:space="0" w:color="auto"/>
      </w:divBdr>
    </w:div>
    <w:div w:id="1906332631">
      <w:bodyDiv w:val="1"/>
      <w:marLeft w:val="0"/>
      <w:marRight w:val="0"/>
      <w:marTop w:val="0"/>
      <w:marBottom w:val="0"/>
      <w:divBdr>
        <w:top w:val="none" w:sz="0" w:space="0" w:color="auto"/>
        <w:left w:val="none" w:sz="0" w:space="0" w:color="auto"/>
        <w:bottom w:val="none" w:sz="0" w:space="0" w:color="auto"/>
        <w:right w:val="none" w:sz="0" w:space="0" w:color="auto"/>
      </w:divBdr>
    </w:div>
    <w:div w:id="211413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94C11FE-BE0B-4299-B2E4-0C088D263FE2}"/>
</file>

<file path=customXml/itemProps2.xml><?xml version="1.0" encoding="utf-8"?>
<ds:datastoreItem xmlns:ds="http://schemas.openxmlformats.org/officeDocument/2006/customXml" ds:itemID="{A691455B-46A5-49FA-B820-8BF35FF25E44}"/>
</file>

<file path=customXml/itemProps3.xml><?xml version="1.0" encoding="utf-8"?>
<ds:datastoreItem xmlns:ds="http://schemas.openxmlformats.org/officeDocument/2006/customXml" ds:itemID="{E14F9117-A26B-462F-8BA9-487DE55D1853}"/>
</file>

<file path=customXml/itemProps4.xml><?xml version="1.0" encoding="utf-8"?>
<ds:datastoreItem xmlns:ds="http://schemas.openxmlformats.org/officeDocument/2006/customXml" ds:itemID="{8291466C-27E5-4A7C-9430-3D73985790FD}"/>
</file>

<file path=customXml/itemProps5.xml><?xml version="1.0" encoding="utf-8"?>
<ds:datastoreItem xmlns:ds="http://schemas.openxmlformats.org/officeDocument/2006/customXml" ds:itemID="{85C0D509-6460-47C7-A417-A6E2DD065A45}"/>
</file>

<file path=docProps/app.xml><?xml version="1.0" encoding="utf-8"?>
<Properties xmlns="http://schemas.openxmlformats.org/officeDocument/2006/extended-properties" xmlns:vt="http://schemas.openxmlformats.org/officeDocument/2006/docPropsVTypes">
  <Template>86C4D1CB</Template>
  <TotalTime>0</TotalTime>
  <Pages>6</Pages>
  <Words>2802</Words>
  <Characters>15393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2015-05-21T06:32:00Z</dcterms:created>
  <dcterms:modified xsi:type="dcterms:W3CDTF">2015-05-21T06:32:00Z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0x01010050F19AC2165D2E47A5E6B7F563E4CF00</vt:lpwstr>
  </property>
  <property fmtid="{D5CDD505-2E9C-101B-9397-08002B2CF9AE}" pid="3" name="Order">
    <vt:r8>950300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ies>
</file>