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BB" w:rsidRDefault="005B1CBB" w:rsidP="005B1CBB">
      <w:pPr>
        <w:spacing w:line="240" w:lineRule="auto"/>
        <w:jc w:val="center"/>
        <w:rPr>
          <w:rFonts w:cstheme="minorHAnsi"/>
          <w:b/>
        </w:rPr>
      </w:pPr>
    </w:p>
    <w:p w:rsidR="005B1CBB" w:rsidRPr="00F1161F" w:rsidRDefault="005B1CBB" w:rsidP="005B1CBB">
      <w:pPr>
        <w:pStyle w:val="Title"/>
        <w:jc w:val="center"/>
        <w:rPr>
          <w:sz w:val="40"/>
          <w:szCs w:val="40"/>
        </w:rPr>
      </w:pPr>
      <w:r w:rsidRPr="00F1161F">
        <w:rPr>
          <w:sz w:val="40"/>
          <w:szCs w:val="40"/>
        </w:rPr>
        <w:t>AUSTRALIA INDONESIA PARTNERSHIP FOR JUSTICE (AIPJ)</w:t>
      </w:r>
    </w:p>
    <w:p w:rsidR="005B1CBB" w:rsidRPr="00ED0C1E" w:rsidRDefault="005B1CBB" w:rsidP="005B1CBB"/>
    <w:p w:rsidR="003A6986" w:rsidRDefault="003A6986" w:rsidP="005B1CBB">
      <w:pPr>
        <w:pStyle w:val="Title"/>
        <w:jc w:val="center"/>
        <w:rPr>
          <w:sz w:val="32"/>
          <w:szCs w:val="32"/>
        </w:rPr>
      </w:pPr>
      <w:r>
        <w:rPr>
          <w:sz w:val="32"/>
          <w:szCs w:val="32"/>
        </w:rPr>
        <w:t>INDEPENDENT PROGRESS REVIEW REPORT</w:t>
      </w:r>
    </w:p>
    <w:p w:rsidR="003A6986" w:rsidRDefault="003A6986" w:rsidP="005B1CBB">
      <w:pPr>
        <w:pStyle w:val="Title"/>
        <w:jc w:val="center"/>
        <w:rPr>
          <w:sz w:val="32"/>
          <w:szCs w:val="32"/>
        </w:rPr>
      </w:pPr>
    </w:p>
    <w:p w:rsidR="005B1CBB" w:rsidRPr="00F1161F" w:rsidRDefault="00DD4A62" w:rsidP="005B1CBB">
      <w:pPr>
        <w:pStyle w:val="Title"/>
        <w:jc w:val="center"/>
        <w:rPr>
          <w:sz w:val="32"/>
          <w:szCs w:val="32"/>
        </w:rPr>
      </w:pPr>
      <w:r>
        <w:rPr>
          <w:sz w:val="32"/>
          <w:szCs w:val="32"/>
        </w:rPr>
        <w:t>November</w:t>
      </w:r>
      <w:r w:rsidRPr="00F1161F">
        <w:rPr>
          <w:sz w:val="32"/>
          <w:szCs w:val="32"/>
        </w:rPr>
        <w:t xml:space="preserve"> </w:t>
      </w:r>
      <w:r w:rsidR="005B1CBB" w:rsidRPr="00F1161F">
        <w:rPr>
          <w:sz w:val="32"/>
          <w:szCs w:val="32"/>
        </w:rPr>
        <w:t>2012</w:t>
      </w:r>
    </w:p>
    <w:p w:rsidR="005B1CBB" w:rsidRPr="00F1161F" w:rsidRDefault="005B1CBB" w:rsidP="005B1CBB">
      <w:pPr>
        <w:spacing w:line="240" w:lineRule="auto"/>
        <w:jc w:val="center"/>
        <w:rPr>
          <w:rFonts w:cstheme="minorHAnsi"/>
          <w:sz w:val="24"/>
          <w:szCs w:val="24"/>
        </w:rPr>
      </w:pPr>
      <w:r w:rsidRPr="00F1161F">
        <w:rPr>
          <w:rFonts w:cstheme="minorHAnsi"/>
          <w:sz w:val="24"/>
          <w:szCs w:val="24"/>
        </w:rPr>
        <w:t>John Dinsdale</w:t>
      </w:r>
    </w:p>
    <w:p w:rsidR="005B1CBB" w:rsidRDefault="005B1CBB" w:rsidP="005B1CBB">
      <w:pPr>
        <w:spacing w:line="240" w:lineRule="auto"/>
        <w:jc w:val="center"/>
        <w:rPr>
          <w:rFonts w:cstheme="minorHAnsi"/>
          <w:b/>
        </w:rPr>
      </w:pPr>
    </w:p>
    <w:p w:rsidR="005B1CBB" w:rsidRDefault="005B1CBB" w:rsidP="005B1CBB">
      <w:pPr>
        <w:spacing w:line="240" w:lineRule="auto"/>
        <w:jc w:val="center"/>
        <w:rPr>
          <w:rFonts w:cstheme="minorHAnsi"/>
          <w:b/>
        </w:rPr>
      </w:pPr>
    </w:p>
    <w:p w:rsidR="005B1CBB" w:rsidRDefault="005B1CBB" w:rsidP="005B1CBB">
      <w:pPr>
        <w:spacing w:line="240" w:lineRule="auto"/>
        <w:jc w:val="center"/>
        <w:rPr>
          <w:rFonts w:cstheme="minorHAnsi"/>
          <w:b/>
        </w:rPr>
      </w:pPr>
    </w:p>
    <w:p w:rsidR="005B1CBB" w:rsidRDefault="005B1CBB" w:rsidP="005B1CBB">
      <w:pPr>
        <w:spacing w:line="240" w:lineRule="auto"/>
        <w:jc w:val="center"/>
        <w:rPr>
          <w:rFonts w:cstheme="minorHAnsi"/>
          <w:b/>
        </w:rPr>
      </w:pPr>
    </w:p>
    <w:p w:rsidR="005B1CBB" w:rsidRDefault="005B1CBB" w:rsidP="005B1CBB">
      <w:pPr>
        <w:spacing w:line="240" w:lineRule="auto"/>
        <w:jc w:val="center"/>
        <w:rPr>
          <w:rFonts w:cstheme="minorHAnsi"/>
          <w:b/>
        </w:rPr>
      </w:pPr>
    </w:p>
    <w:p w:rsidR="005B1CBB" w:rsidRDefault="005B1CBB" w:rsidP="005B1CBB">
      <w:pPr>
        <w:spacing w:line="240" w:lineRule="auto"/>
        <w:jc w:val="center"/>
        <w:rPr>
          <w:rFonts w:cstheme="minorHAnsi"/>
          <w:b/>
        </w:rPr>
      </w:pPr>
    </w:p>
    <w:p w:rsidR="005B1CBB" w:rsidRDefault="005B1CBB" w:rsidP="005B1CBB">
      <w:pPr>
        <w:spacing w:line="240" w:lineRule="auto"/>
        <w:jc w:val="center"/>
        <w:rPr>
          <w:rFonts w:cstheme="minorHAnsi"/>
          <w:b/>
        </w:rPr>
      </w:pPr>
    </w:p>
    <w:p w:rsidR="005B1CBB" w:rsidRDefault="005B1CBB" w:rsidP="005B1CBB">
      <w:pPr>
        <w:spacing w:line="240" w:lineRule="auto"/>
        <w:rPr>
          <w:rFonts w:cstheme="minorHAnsi"/>
        </w:rPr>
      </w:pPr>
      <w:r>
        <w:rPr>
          <w:rFonts w:cstheme="minorHAnsi"/>
        </w:rPr>
        <w:t>The views expressed in this report are those of the authors and do not necessarily represent the views of the Governments of Australia or Indonesia.</w:t>
      </w:r>
    </w:p>
    <w:p w:rsidR="005B1CBB" w:rsidRDefault="005B1CBB" w:rsidP="005B1CBB">
      <w:pPr>
        <w:rPr>
          <w:b/>
          <w:sz w:val="28"/>
          <w:szCs w:val="28"/>
        </w:rPr>
      </w:pPr>
      <w:r>
        <w:rPr>
          <w:b/>
          <w:sz w:val="28"/>
          <w:szCs w:val="28"/>
        </w:rPr>
        <w:br w:type="page"/>
      </w:r>
    </w:p>
    <w:p w:rsidR="005B1CBB" w:rsidRDefault="005B1CBB" w:rsidP="005B1CBB">
      <w:pPr>
        <w:rPr>
          <w:b/>
          <w:sz w:val="28"/>
          <w:szCs w:val="28"/>
        </w:rPr>
      </w:pPr>
    </w:p>
    <w:p w:rsidR="005B1CBB" w:rsidRPr="00ED0C1E" w:rsidRDefault="005B1CBB" w:rsidP="005B1CBB">
      <w:pPr>
        <w:rPr>
          <w:b/>
          <w:sz w:val="28"/>
          <w:szCs w:val="28"/>
        </w:rPr>
      </w:pPr>
      <w:r w:rsidRPr="00ED0C1E">
        <w:rPr>
          <w:b/>
          <w:sz w:val="28"/>
          <w:szCs w:val="28"/>
        </w:rPr>
        <w:t>Acknowledgements</w:t>
      </w:r>
    </w:p>
    <w:p w:rsidR="005B1CBB" w:rsidRPr="00AB6CDC" w:rsidRDefault="005B1CBB" w:rsidP="005B1CBB">
      <w:pPr>
        <w:spacing w:line="240" w:lineRule="auto"/>
        <w:rPr>
          <w:rFonts w:cstheme="minorHAnsi"/>
        </w:rPr>
      </w:pPr>
      <w:r w:rsidRPr="00EF1F1C">
        <w:rPr>
          <w:rFonts w:cstheme="minorHAnsi"/>
        </w:rPr>
        <w:t>The team records its gratitude to AusAID in Jakarta and Canberra, all Indonesian partners (and poten</w:t>
      </w:r>
      <w:r w:rsidR="000D55CA">
        <w:rPr>
          <w:rFonts w:cstheme="minorHAnsi"/>
        </w:rPr>
        <w:t>tial new partners), Australian G</w:t>
      </w:r>
      <w:r w:rsidRPr="00EF1F1C">
        <w:rPr>
          <w:rFonts w:cstheme="minorHAnsi"/>
        </w:rPr>
        <w:t xml:space="preserve">overnment </w:t>
      </w:r>
      <w:r>
        <w:rPr>
          <w:rFonts w:cstheme="minorHAnsi"/>
        </w:rPr>
        <w:t>(W</w:t>
      </w:r>
      <w:r w:rsidRPr="00EF1F1C">
        <w:rPr>
          <w:rFonts w:cstheme="minorHAnsi"/>
        </w:rPr>
        <w:t xml:space="preserve">hole of </w:t>
      </w:r>
      <w:r>
        <w:rPr>
          <w:rFonts w:cstheme="minorHAnsi"/>
        </w:rPr>
        <w:t>G</w:t>
      </w:r>
      <w:r w:rsidRPr="00EF1F1C">
        <w:rPr>
          <w:rFonts w:cstheme="minorHAnsi"/>
        </w:rPr>
        <w:t>overnment</w:t>
      </w:r>
      <w:r>
        <w:rPr>
          <w:rFonts w:cstheme="minorHAnsi"/>
        </w:rPr>
        <w:t>)</w:t>
      </w:r>
      <w:r w:rsidRPr="00EF1F1C">
        <w:rPr>
          <w:rFonts w:cstheme="minorHAnsi"/>
        </w:rPr>
        <w:t xml:space="preserve"> partners, the AIPJ Program Director, Deputy </w:t>
      </w:r>
      <w:r w:rsidR="006F79CD">
        <w:rPr>
          <w:rFonts w:cstheme="minorHAnsi"/>
        </w:rPr>
        <w:t xml:space="preserve">Program </w:t>
      </w:r>
      <w:r w:rsidRPr="00EF1F1C">
        <w:rPr>
          <w:rFonts w:cstheme="minorHAnsi"/>
        </w:rPr>
        <w:t>Director and technical team, who all generously gave their time to talk with us and thankfully, demonstrated a willingness to help the team with its task. The team would like to acknowledge the superb organizational efforts by the Evaluation Manager, Hannah Derwent</w:t>
      </w:r>
      <w:r w:rsidR="002935D0">
        <w:rPr>
          <w:rFonts w:cstheme="minorHAnsi"/>
        </w:rPr>
        <w:t>,</w:t>
      </w:r>
      <w:r>
        <w:rPr>
          <w:rFonts w:cstheme="minorHAnsi"/>
        </w:rPr>
        <w:t xml:space="preserve"> </w:t>
      </w:r>
      <w:r w:rsidR="00936FCC">
        <w:rPr>
          <w:rFonts w:cstheme="minorHAnsi"/>
        </w:rPr>
        <w:t xml:space="preserve">and </w:t>
      </w:r>
      <w:r w:rsidRPr="00EF1F1C">
        <w:rPr>
          <w:rFonts w:cstheme="minorHAnsi"/>
        </w:rPr>
        <w:t>Doddy Kusadrianto and Rosyidah Handayani</w:t>
      </w:r>
      <w:r>
        <w:rPr>
          <w:rFonts w:cstheme="minorHAnsi"/>
        </w:rPr>
        <w:t>. Their efforts ensured</w:t>
      </w:r>
      <w:r w:rsidRPr="00EF1F1C">
        <w:rPr>
          <w:rFonts w:cstheme="minorHAnsi"/>
        </w:rPr>
        <w:t xml:space="preserve"> the team were provided with a busy ten day schedule of appointments that all </w:t>
      </w:r>
      <w:r>
        <w:rPr>
          <w:rFonts w:cstheme="minorHAnsi"/>
        </w:rPr>
        <w:t xml:space="preserve">proceeded according to plan. </w:t>
      </w:r>
      <w:r w:rsidR="00D40E07">
        <w:rPr>
          <w:rFonts w:cstheme="minorHAnsi"/>
        </w:rPr>
        <w:t xml:space="preserve"> See Annex 1.</w:t>
      </w:r>
    </w:p>
    <w:p w:rsidR="005B1CBB" w:rsidRPr="00ED0C1E" w:rsidRDefault="005B1CBB" w:rsidP="005B1CBB">
      <w:pPr>
        <w:rPr>
          <w:rFonts w:cstheme="minorHAnsi"/>
          <w:b/>
          <w:sz w:val="28"/>
          <w:szCs w:val="28"/>
        </w:rPr>
      </w:pPr>
      <w:r w:rsidRPr="00ED0C1E">
        <w:rPr>
          <w:b/>
          <w:sz w:val="28"/>
          <w:szCs w:val="28"/>
        </w:rPr>
        <w:t>Review Team Members</w:t>
      </w:r>
    </w:p>
    <w:p w:rsidR="00224C13" w:rsidRDefault="005B1CBB" w:rsidP="005B1CBB">
      <w:pPr>
        <w:spacing w:line="240" w:lineRule="auto"/>
        <w:rPr>
          <w:rFonts w:cstheme="minorHAnsi"/>
        </w:rPr>
      </w:pPr>
      <w:r>
        <w:rPr>
          <w:rFonts w:cstheme="minorHAnsi"/>
        </w:rPr>
        <w:t>The Independent Progress Report (IPR) team included</w:t>
      </w:r>
      <w:r w:rsidR="00224C13">
        <w:rPr>
          <w:rFonts w:cstheme="minorHAnsi"/>
        </w:rPr>
        <w:t>:</w:t>
      </w:r>
    </w:p>
    <w:p w:rsidR="00224C13" w:rsidRDefault="005B1CBB" w:rsidP="00374C0B">
      <w:pPr>
        <w:pStyle w:val="ListParagraph"/>
        <w:numPr>
          <w:ilvl w:val="0"/>
          <w:numId w:val="41"/>
        </w:numPr>
        <w:spacing w:line="240" w:lineRule="auto"/>
        <w:rPr>
          <w:rFonts w:cstheme="minorHAnsi"/>
        </w:rPr>
      </w:pPr>
      <w:r w:rsidRPr="00224C13">
        <w:rPr>
          <w:rFonts w:cstheme="minorHAnsi"/>
        </w:rPr>
        <w:t>John Dinsdale, Team Leader</w:t>
      </w:r>
    </w:p>
    <w:p w:rsidR="00224C13" w:rsidRDefault="005B1CBB" w:rsidP="00374C0B">
      <w:pPr>
        <w:pStyle w:val="ListParagraph"/>
        <w:numPr>
          <w:ilvl w:val="0"/>
          <w:numId w:val="41"/>
        </w:numPr>
        <w:spacing w:line="240" w:lineRule="auto"/>
        <w:rPr>
          <w:rFonts w:cstheme="minorHAnsi"/>
        </w:rPr>
      </w:pPr>
      <w:proofErr w:type="spellStart"/>
      <w:r w:rsidRPr="00224C13">
        <w:rPr>
          <w:rFonts w:cstheme="minorHAnsi"/>
        </w:rPr>
        <w:t>Sebastiaan</w:t>
      </w:r>
      <w:proofErr w:type="spellEnd"/>
      <w:r w:rsidRPr="00224C13">
        <w:rPr>
          <w:rFonts w:cstheme="minorHAnsi"/>
        </w:rPr>
        <w:t xml:space="preserve"> </w:t>
      </w:r>
      <w:proofErr w:type="spellStart"/>
      <w:r w:rsidRPr="00224C13">
        <w:rPr>
          <w:rFonts w:cstheme="minorHAnsi"/>
        </w:rPr>
        <w:t>Pompe</w:t>
      </w:r>
      <w:proofErr w:type="spellEnd"/>
      <w:r w:rsidRPr="00224C13">
        <w:rPr>
          <w:rFonts w:cstheme="minorHAnsi"/>
        </w:rPr>
        <w:t>, Indonesian Law and Justice Specialist</w:t>
      </w:r>
    </w:p>
    <w:p w:rsidR="00224C13" w:rsidRDefault="005B1CBB" w:rsidP="00374C0B">
      <w:pPr>
        <w:pStyle w:val="ListParagraph"/>
        <w:numPr>
          <w:ilvl w:val="0"/>
          <w:numId w:val="41"/>
        </w:numPr>
        <w:spacing w:line="240" w:lineRule="auto"/>
        <w:rPr>
          <w:rFonts w:cstheme="minorHAnsi"/>
        </w:rPr>
      </w:pPr>
      <w:proofErr w:type="spellStart"/>
      <w:r w:rsidRPr="00224C13">
        <w:rPr>
          <w:rFonts w:cstheme="minorHAnsi"/>
        </w:rPr>
        <w:t>Prahesti</w:t>
      </w:r>
      <w:proofErr w:type="spellEnd"/>
      <w:r w:rsidRPr="00224C13">
        <w:rPr>
          <w:rFonts w:cstheme="minorHAnsi"/>
        </w:rPr>
        <w:t xml:space="preserve"> </w:t>
      </w:r>
      <w:proofErr w:type="spellStart"/>
      <w:r w:rsidRPr="00224C13">
        <w:rPr>
          <w:rFonts w:cstheme="minorHAnsi"/>
        </w:rPr>
        <w:t>Pandanwangi</w:t>
      </w:r>
      <w:proofErr w:type="spellEnd"/>
      <w:r w:rsidRPr="00224C13">
        <w:rPr>
          <w:rFonts w:cstheme="minorHAnsi"/>
        </w:rPr>
        <w:t xml:space="preserve">,  </w:t>
      </w:r>
      <w:proofErr w:type="spellStart"/>
      <w:r w:rsidR="00707BE5">
        <w:rPr>
          <w:rFonts w:cstheme="minorHAnsi"/>
        </w:rPr>
        <w:t>Bappenas</w:t>
      </w:r>
      <w:proofErr w:type="spellEnd"/>
      <w:r w:rsidR="00707BE5" w:rsidRPr="00B22437">
        <w:rPr>
          <w:rFonts w:cstheme="minorHAnsi"/>
        </w:rPr>
        <w:t xml:space="preserve"> (National Development Planning Agency of </w:t>
      </w:r>
      <w:r w:rsidR="00707BE5">
        <w:rPr>
          <w:rFonts w:cstheme="minorHAnsi"/>
        </w:rPr>
        <w:t>Indonesia)</w:t>
      </w:r>
    </w:p>
    <w:p w:rsidR="00224C13" w:rsidRPr="00224C13" w:rsidRDefault="005B1CBB" w:rsidP="00374C0B">
      <w:pPr>
        <w:pStyle w:val="ListParagraph"/>
        <w:numPr>
          <w:ilvl w:val="0"/>
          <w:numId w:val="41"/>
        </w:numPr>
        <w:spacing w:line="240" w:lineRule="auto"/>
        <w:rPr>
          <w:rFonts w:cstheme="minorHAnsi"/>
        </w:rPr>
      </w:pPr>
      <w:r w:rsidRPr="00224C13">
        <w:rPr>
          <w:rFonts w:cstheme="minorHAnsi"/>
        </w:rPr>
        <w:t>Tanya Pridannikoff</w:t>
      </w:r>
      <w:r w:rsidR="009304B8">
        <w:rPr>
          <w:rFonts w:cstheme="minorHAnsi"/>
        </w:rPr>
        <w:t>,</w:t>
      </w:r>
      <w:r w:rsidRPr="00224C13">
        <w:rPr>
          <w:rFonts w:cstheme="minorHAnsi"/>
        </w:rPr>
        <w:t xml:space="preserve"> AusAID Law and Justice representative </w:t>
      </w:r>
    </w:p>
    <w:p w:rsidR="005B1CBB" w:rsidRPr="00224C13" w:rsidRDefault="005B1CBB" w:rsidP="00374C0B">
      <w:pPr>
        <w:pStyle w:val="ListParagraph"/>
        <w:numPr>
          <w:ilvl w:val="0"/>
          <w:numId w:val="41"/>
        </w:numPr>
        <w:spacing w:line="240" w:lineRule="auto"/>
        <w:rPr>
          <w:rFonts w:cstheme="minorHAnsi"/>
        </w:rPr>
      </w:pPr>
      <w:r w:rsidRPr="00224C13">
        <w:rPr>
          <w:rFonts w:cstheme="minorHAnsi"/>
        </w:rPr>
        <w:t>Dw</w:t>
      </w:r>
      <w:r w:rsidR="006F79CD">
        <w:rPr>
          <w:rFonts w:cstheme="minorHAnsi"/>
        </w:rPr>
        <w:t>i</w:t>
      </w:r>
      <w:r w:rsidRPr="00224C13">
        <w:rPr>
          <w:rFonts w:cstheme="minorHAnsi"/>
        </w:rPr>
        <w:t>agus Stepantoro, AusAID Performance and Quality representative.</w:t>
      </w:r>
    </w:p>
    <w:p w:rsidR="005B1CBB" w:rsidRPr="00AB6CDC" w:rsidRDefault="005B1CBB" w:rsidP="005B1CBB">
      <w:pPr>
        <w:spacing w:line="240" w:lineRule="auto"/>
        <w:rPr>
          <w:rFonts w:cstheme="minorHAnsi"/>
          <w:b/>
        </w:rPr>
      </w:pPr>
      <w:r w:rsidRPr="00EF1F1C">
        <w:rPr>
          <w:rFonts w:cstheme="minorHAnsi"/>
        </w:rPr>
        <w:t>Consultations were undertaken in Jakarta and Lombok between Monday 26 June and Friday 6 July 2012</w:t>
      </w:r>
      <w:r w:rsidR="00224C13">
        <w:rPr>
          <w:rFonts w:cstheme="minorHAnsi"/>
        </w:rPr>
        <w:t>,</w:t>
      </w:r>
      <w:r w:rsidRPr="00EF1F1C">
        <w:rPr>
          <w:rFonts w:cstheme="minorHAnsi"/>
        </w:rPr>
        <w:t xml:space="preserve"> </w:t>
      </w:r>
      <w:r>
        <w:rPr>
          <w:rFonts w:cstheme="minorHAnsi"/>
        </w:rPr>
        <w:t xml:space="preserve">with </w:t>
      </w:r>
      <w:r w:rsidRPr="00EF1F1C">
        <w:rPr>
          <w:rFonts w:cstheme="minorHAnsi"/>
        </w:rPr>
        <w:t>further consultation</w:t>
      </w:r>
      <w:r>
        <w:rPr>
          <w:rFonts w:cstheme="minorHAnsi"/>
        </w:rPr>
        <w:t>s with Australian Whole of G</w:t>
      </w:r>
      <w:r w:rsidRPr="00EF1F1C">
        <w:rPr>
          <w:rFonts w:cstheme="minorHAnsi"/>
        </w:rPr>
        <w:t xml:space="preserve">overnment </w:t>
      </w:r>
      <w:r>
        <w:rPr>
          <w:rFonts w:cstheme="minorHAnsi"/>
        </w:rPr>
        <w:t xml:space="preserve">partners in Canberra on </w:t>
      </w:r>
      <w:r w:rsidRPr="00EF1F1C">
        <w:rPr>
          <w:rFonts w:cstheme="minorHAnsi"/>
        </w:rPr>
        <w:t>Monday 17</w:t>
      </w:r>
      <w:r w:rsidRPr="00EF1F1C">
        <w:rPr>
          <w:rFonts w:cstheme="minorHAnsi"/>
          <w:vertAlign w:val="superscript"/>
        </w:rPr>
        <w:t>t</w:t>
      </w:r>
      <w:r w:rsidR="00936FCC">
        <w:rPr>
          <w:rFonts w:cstheme="minorHAnsi"/>
          <w:vertAlign w:val="superscript"/>
        </w:rPr>
        <w:t xml:space="preserve">h </w:t>
      </w:r>
      <w:r>
        <w:rPr>
          <w:rFonts w:cstheme="minorHAnsi"/>
        </w:rPr>
        <w:t>and Tuesday 18</w:t>
      </w:r>
      <w:r w:rsidRPr="006A4125">
        <w:rPr>
          <w:rFonts w:cstheme="minorHAnsi"/>
          <w:vertAlign w:val="superscript"/>
        </w:rPr>
        <w:t>th</w:t>
      </w:r>
      <w:r w:rsidR="009304B8">
        <w:rPr>
          <w:rFonts w:cstheme="minorHAnsi"/>
          <w:vertAlign w:val="superscript"/>
        </w:rPr>
        <w:t xml:space="preserve"> </w:t>
      </w:r>
      <w:r>
        <w:rPr>
          <w:rFonts w:cstheme="minorHAnsi"/>
        </w:rPr>
        <w:t>July and in Melbourne on Tuesday 24</w:t>
      </w:r>
      <w:r w:rsidRPr="006A4125">
        <w:rPr>
          <w:rFonts w:cstheme="minorHAnsi"/>
          <w:vertAlign w:val="superscript"/>
        </w:rPr>
        <w:t>th</w:t>
      </w:r>
      <w:r w:rsidR="00936FCC">
        <w:rPr>
          <w:rFonts w:cstheme="minorHAnsi"/>
        </w:rPr>
        <w:t xml:space="preserve"> </w:t>
      </w:r>
      <w:r>
        <w:rPr>
          <w:rFonts w:cstheme="minorHAnsi"/>
        </w:rPr>
        <w:t>and Wednesday 25</w:t>
      </w:r>
      <w:r w:rsidRPr="00A8122D">
        <w:rPr>
          <w:rFonts w:cstheme="minorHAnsi"/>
          <w:vertAlign w:val="superscript"/>
        </w:rPr>
        <w:t>th</w:t>
      </w:r>
      <w:r>
        <w:rPr>
          <w:rFonts w:cstheme="minorHAnsi"/>
        </w:rPr>
        <w:t xml:space="preserve"> July 2012.</w:t>
      </w:r>
    </w:p>
    <w:p w:rsidR="005B1CBB" w:rsidRPr="006A7DE0" w:rsidRDefault="005B1CBB" w:rsidP="005B1CBB">
      <w:pPr>
        <w:rPr>
          <w:b/>
          <w:sz w:val="28"/>
          <w:szCs w:val="28"/>
        </w:rPr>
      </w:pPr>
      <w:r w:rsidRPr="006A7DE0">
        <w:rPr>
          <w:b/>
          <w:sz w:val="28"/>
          <w:szCs w:val="28"/>
        </w:rPr>
        <w:t>Terms of Reference for the review</w:t>
      </w:r>
    </w:p>
    <w:p w:rsidR="005B1CBB" w:rsidRDefault="00224C13" w:rsidP="005B1CBB">
      <w:pPr>
        <w:rPr>
          <w:rFonts w:cstheme="minorHAnsi"/>
        </w:rPr>
      </w:pPr>
      <w:r>
        <w:rPr>
          <w:rFonts w:ascii="Calibri" w:eastAsia="Times New Roman" w:hAnsi="Calibri" w:cs="Calibri"/>
        </w:rPr>
        <w:t>T</w:t>
      </w:r>
      <w:r w:rsidR="005B1CBB" w:rsidRPr="00E3122D">
        <w:rPr>
          <w:rFonts w:ascii="Calibri" w:eastAsia="Times New Roman" w:hAnsi="Calibri" w:cs="Calibri"/>
        </w:rPr>
        <w:t xml:space="preserve">he purpose of this Independent Progress Review (IPR) is to improve the </w:t>
      </w:r>
      <w:r w:rsidR="00707BE5" w:rsidRPr="00A57A69">
        <w:rPr>
          <w:rFonts w:ascii="Calibri" w:hAnsi="Calibri"/>
        </w:rPr>
        <w:t>AIPJ program, both its design and implementation and to generate broader program learning.</w:t>
      </w:r>
      <w:r w:rsidR="005B1CBB" w:rsidRPr="00EF1F1C">
        <w:rPr>
          <w:rFonts w:cstheme="minorHAnsi"/>
        </w:rPr>
        <w:t xml:space="preserve"> </w:t>
      </w:r>
    </w:p>
    <w:p w:rsidR="005B1CBB" w:rsidRPr="00B22437" w:rsidRDefault="005B1CBB" w:rsidP="005B1CBB">
      <w:pPr>
        <w:pStyle w:val="Default"/>
        <w:rPr>
          <w:rFonts w:asciiTheme="minorHAnsi" w:hAnsiTheme="minorHAnsi" w:cstheme="minorHAnsi"/>
          <w:sz w:val="22"/>
          <w:szCs w:val="22"/>
        </w:rPr>
      </w:pPr>
      <w:r>
        <w:rPr>
          <w:rFonts w:asciiTheme="minorHAnsi" w:hAnsiTheme="minorHAnsi" w:cstheme="minorHAnsi"/>
          <w:sz w:val="22"/>
          <w:szCs w:val="22"/>
        </w:rPr>
        <w:t>The review adopted</w:t>
      </w:r>
      <w:r w:rsidRPr="00B22437">
        <w:rPr>
          <w:rFonts w:asciiTheme="minorHAnsi" w:hAnsiTheme="minorHAnsi" w:cstheme="minorHAnsi"/>
          <w:sz w:val="22"/>
          <w:szCs w:val="22"/>
        </w:rPr>
        <w:t xml:space="preserve"> a formative </w:t>
      </w:r>
      <w:r>
        <w:rPr>
          <w:rFonts w:asciiTheme="minorHAnsi" w:hAnsiTheme="minorHAnsi" w:cstheme="minorHAnsi"/>
          <w:sz w:val="22"/>
          <w:szCs w:val="22"/>
        </w:rPr>
        <w:t>approach to its function, both</w:t>
      </w:r>
      <w:r w:rsidR="00BA0994">
        <w:rPr>
          <w:rFonts w:asciiTheme="minorHAnsi" w:hAnsiTheme="minorHAnsi" w:cstheme="minorHAnsi"/>
          <w:sz w:val="22"/>
          <w:szCs w:val="22"/>
        </w:rPr>
        <w:t xml:space="preserve"> </w:t>
      </w:r>
      <w:proofErr w:type="gramStart"/>
      <w:r w:rsidR="00BA0994">
        <w:rPr>
          <w:rFonts w:asciiTheme="minorHAnsi" w:hAnsiTheme="minorHAnsi" w:cstheme="minorHAnsi"/>
          <w:sz w:val="22"/>
          <w:szCs w:val="22"/>
        </w:rPr>
        <w:t xml:space="preserve">in </w:t>
      </w:r>
      <w:r>
        <w:rPr>
          <w:rFonts w:asciiTheme="minorHAnsi" w:hAnsiTheme="minorHAnsi" w:cstheme="minorHAnsi"/>
          <w:sz w:val="22"/>
          <w:szCs w:val="22"/>
        </w:rPr>
        <w:t xml:space="preserve"> its</w:t>
      </w:r>
      <w:proofErr w:type="gramEnd"/>
      <w:r>
        <w:rPr>
          <w:rFonts w:asciiTheme="minorHAnsi" w:hAnsiTheme="minorHAnsi" w:cstheme="minorHAnsi"/>
          <w:sz w:val="22"/>
          <w:szCs w:val="22"/>
        </w:rPr>
        <w:t xml:space="preserve"> analysis and findings</w:t>
      </w:r>
      <w:r w:rsidRPr="00B22437">
        <w:rPr>
          <w:rFonts w:asciiTheme="minorHAnsi" w:hAnsiTheme="minorHAnsi" w:cstheme="minorHAnsi"/>
          <w:sz w:val="22"/>
          <w:szCs w:val="22"/>
        </w:rPr>
        <w:t xml:space="preserve">. The findings </w:t>
      </w:r>
      <w:r w:rsidR="00707BE5">
        <w:rPr>
          <w:rFonts w:asciiTheme="minorHAnsi" w:hAnsiTheme="minorHAnsi" w:cstheme="minorHAnsi"/>
          <w:sz w:val="22"/>
          <w:szCs w:val="22"/>
        </w:rPr>
        <w:t xml:space="preserve">are </w:t>
      </w:r>
      <w:r>
        <w:rPr>
          <w:rFonts w:asciiTheme="minorHAnsi" w:hAnsiTheme="minorHAnsi" w:cstheme="minorHAnsi"/>
          <w:sz w:val="22"/>
          <w:szCs w:val="22"/>
        </w:rPr>
        <w:t xml:space="preserve">designed to </w:t>
      </w:r>
      <w:r w:rsidRPr="00B22437">
        <w:rPr>
          <w:rFonts w:asciiTheme="minorHAnsi" w:hAnsiTheme="minorHAnsi" w:cstheme="minorHAnsi"/>
          <w:sz w:val="22"/>
          <w:szCs w:val="22"/>
        </w:rPr>
        <w:t xml:space="preserve">assist the primary audience of the review - AusAID </w:t>
      </w:r>
      <w:r>
        <w:rPr>
          <w:rFonts w:asciiTheme="minorHAnsi" w:hAnsiTheme="minorHAnsi" w:cstheme="minorHAnsi"/>
          <w:sz w:val="22"/>
          <w:szCs w:val="22"/>
        </w:rPr>
        <w:t xml:space="preserve">and their development partner </w:t>
      </w:r>
      <w:proofErr w:type="spellStart"/>
      <w:r>
        <w:rPr>
          <w:rFonts w:asciiTheme="minorHAnsi" w:hAnsiTheme="minorHAnsi" w:cstheme="minorHAnsi"/>
          <w:sz w:val="22"/>
          <w:szCs w:val="22"/>
        </w:rPr>
        <w:t>Bappenas</w:t>
      </w:r>
      <w:proofErr w:type="spellEnd"/>
      <w:r w:rsidRPr="00B22437">
        <w:rPr>
          <w:rFonts w:asciiTheme="minorHAnsi" w:hAnsiTheme="minorHAnsi" w:cstheme="minorHAnsi"/>
          <w:sz w:val="22"/>
          <w:szCs w:val="22"/>
        </w:rPr>
        <w:t xml:space="preserve"> (National Development Planning Agency of Indonesia),</w:t>
      </w:r>
      <w:r w:rsidR="00936FCC">
        <w:rPr>
          <w:rFonts w:asciiTheme="minorHAnsi" w:hAnsiTheme="minorHAnsi" w:cstheme="minorHAnsi"/>
          <w:sz w:val="22"/>
          <w:szCs w:val="22"/>
        </w:rPr>
        <w:t xml:space="preserve"> </w:t>
      </w:r>
      <w:r w:rsidRPr="00B22437">
        <w:rPr>
          <w:rFonts w:asciiTheme="minorHAnsi" w:hAnsiTheme="minorHAnsi" w:cstheme="minorHAnsi"/>
          <w:sz w:val="22"/>
          <w:szCs w:val="22"/>
        </w:rPr>
        <w:t xml:space="preserve">and the AIPJ </w:t>
      </w:r>
      <w:r w:rsidRPr="00374C0B">
        <w:rPr>
          <w:rFonts w:asciiTheme="minorHAnsi" w:hAnsiTheme="minorHAnsi" w:cstheme="minorHAnsi"/>
          <w:sz w:val="22"/>
          <w:szCs w:val="22"/>
        </w:rPr>
        <w:t>Implementation Team</w:t>
      </w:r>
      <w:r w:rsidRPr="00B22437">
        <w:rPr>
          <w:rFonts w:asciiTheme="minorHAnsi" w:hAnsiTheme="minorHAnsi" w:cstheme="minorHAnsi"/>
          <w:sz w:val="22"/>
          <w:szCs w:val="22"/>
        </w:rPr>
        <w:t xml:space="preserve"> by:</w:t>
      </w:r>
    </w:p>
    <w:p w:rsidR="005B1CBB" w:rsidRPr="00B22437" w:rsidRDefault="00BF443C" w:rsidP="005B1CBB">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C</w:t>
      </w:r>
      <w:r w:rsidR="005B1CBB" w:rsidRPr="00B22437">
        <w:rPr>
          <w:rFonts w:asciiTheme="minorHAnsi" w:hAnsiTheme="minorHAnsi" w:cstheme="minorHAnsi"/>
          <w:sz w:val="22"/>
          <w:szCs w:val="22"/>
        </w:rPr>
        <w:t xml:space="preserve">ontributing to structural organisational and program improvement, particularly in relation to </w:t>
      </w:r>
      <w:r w:rsidR="00707BE5">
        <w:rPr>
          <w:rFonts w:asciiTheme="minorHAnsi" w:hAnsiTheme="minorHAnsi" w:cstheme="minorHAnsi"/>
          <w:sz w:val="22"/>
          <w:szCs w:val="22"/>
        </w:rPr>
        <w:t xml:space="preserve">improving the program strategy to ensure that </w:t>
      </w:r>
      <w:r w:rsidR="005B1CBB" w:rsidRPr="00B22437">
        <w:rPr>
          <w:rFonts w:asciiTheme="minorHAnsi" w:hAnsiTheme="minorHAnsi" w:cstheme="minorHAnsi"/>
          <w:sz w:val="22"/>
          <w:szCs w:val="22"/>
        </w:rPr>
        <w:t>AIPJ deliver</w:t>
      </w:r>
      <w:r w:rsidR="00707BE5">
        <w:rPr>
          <w:rFonts w:asciiTheme="minorHAnsi" w:hAnsiTheme="minorHAnsi" w:cstheme="minorHAnsi"/>
          <w:sz w:val="22"/>
          <w:szCs w:val="22"/>
        </w:rPr>
        <w:t>s</w:t>
      </w:r>
      <w:r w:rsidR="005B1CBB" w:rsidRPr="00B22437">
        <w:rPr>
          <w:rFonts w:asciiTheme="minorHAnsi" w:hAnsiTheme="minorHAnsi" w:cstheme="minorHAnsi"/>
          <w:sz w:val="22"/>
          <w:szCs w:val="22"/>
        </w:rPr>
        <w:t xml:space="preserve"> </w:t>
      </w:r>
      <w:r w:rsidR="00707BE5">
        <w:rPr>
          <w:rFonts w:asciiTheme="minorHAnsi" w:hAnsiTheme="minorHAnsi" w:cstheme="minorHAnsi"/>
          <w:sz w:val="22"/>
          <w:szCs w:val="22"/>
        </w:rPr>
        <w:t>results</w:t>
      </w:r>
      <w:r w:rsidR="005B1CBB" w:rsidRPr="00B22437">
        <w:rPr>
          <w:rFonts w:asciiTheme="minorHAnsi" w:hAnsiTheme="minorHAnsi" w:cstheme="minorHAnsi"/>
          <w:sz w:val="22"/>
          <w:szCs w:val="22"/>
        </w:rPr>
        <w:t xml:space="preserve"> against the end-of-program-outcomes (EOPOs).   </w:t>
      </w:r>
    </w:p>
    <w:p w:rsidR="005B1CBB" w:rsidRPr="00B22437" w:rsidRDefault="00BF443C" w:rsidP="005B1CBB">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E</w:t>
      </w:r>
      <w:r w:rsidR="006D7208">
        <w:rPr>
          <w:rFonts w:asciiTheme="minorHAnsi" w:hAnsiTheme="minorHAnsi" w:cstheme="minorHAnsi"/>
          <w:sz w:val="22"/>
          <w:szCs w:val="22"/>
        </w:rPr>
        <w:t>xploring how</w:t>
      </w:r>
      <w:r w:rsidR="006D7208" w:rsidRPr="00B22437">
        <w:rPr>
          <w:rFonts w:asciiTheme="minorHAnsi" w:hAnsiTheme="minorHAnsi" w:cstheme="minorHAnsi"/>
          <w:sz w:val="22"/>
          <w:szCs w:val="22"/>
        </w:rPr>
        <w:t xml:space="preserve"> </w:t>
      </w:r>
      <w:r w:rsidR="005B1CBB" w:rsidRPr="00B22437">
        <w:rPr>
          <w:rFonts w:asciiTheme="minorHAnsi" w:hAnsiTheme="minorHAnsi" w:cstheme="minorHAnsi"/>
          <w:sz w:val="22"/>
          <w:szCs w:val="22"/>
        </w:rPr>
        <w:t>AI</w:t>
      </w:r>
      <w:r w:rsidR="00EF65EB">
        <w:rPr>
          <w:rFonts w:asciiTheme="minorHAnsi" w:hAnsiTheme="minorHAnsi" w:cstheme="minorHAnsi"/>
          <w:sz w:val="22"/>
          <w:szCs w:val="22"/>
        </w:rPr>
        <w:t>PJ</w:t>
      </w:r>
      <w:r w:rsidR="005B1CBB" w:rsidRPr="00B22437">
        <w:rPr>
          <w:rFonts w:asciiTheme="minorHAnsi" w:hAnsiTheme="minorHAnsi" w:cstheme="minorHAnsi"/>
          <w:sz w:val="22"/>
          <w:szCs w:val="22"/>
        </w:rPr>
        <w:t xml:space="preserve"> might focus on the po</w:t>
      </w:r>
      <w:r w:rsidR="00920EE7">
        <w:rPr>
          <w:rFonts w:asciiTheme="minorHAnsi" w:hAnsiTheme="minorHAnsi" w:cstheme="minorHAnsi"/>
          <w:sz w:val="22"/>
          <w:szCs w:val="22"/>
        </w:rPr>
        <w:t xml:space="preserve">or and marginal communities as </w:t>
      </w:r>
      <w:r w:rsidR="005B1CBB" w:rsidRPr="00B22437">
        <w:rPr>
          <w:rFonts w:asciiTheme="minorHAnsi" w:hAnsiTheme="minorHAnsi" w:cstheme="minorHAnsi"/>
          <w:sz w:val="22"/>
          <w:szCs w:val="22"/>
        </w:rPr>
        <w:t>explicitly as possible.</w:t>
      </w:r>
      <w:r w:rsidR="005B1CBB" w:rsidRPr="00B22437">
        <w:rPr>
          <w:rStyle w:val="FootnoteReference"/>
          <w:rFonts w:asciiTheme="minorHAnsi" w:hAnsiTheme="minorHAnsi" w:cstheme="minorHAnsi"/>
          <w:sz w:val="22"/>
          <w:szCs w:val="22"/>
        </w:rPr>
        <w:footnoteReference w:id="1"/>
      </w:r>
    </w:p>
    <w:p w:rsidR="005B1CBB" w:rsidRDefault="005B1CBB" w:rsidP="005B1CBB">
      <w:pPr>
        <w:rPr>
          <w:rFonts w:ascii="Calibri" w:eastAsia="Times New Roman" w:hAnsi="Calibri" w:cs="Calibri"/>
        </w:rPr>
      </w:pPr>
    </w:p>
    <w:p w:rsidR="005B1CBB" w:rsidRDefault="005B1CBB" w:rsidP="005B1CBB">
      <w:pPr>
        <w:rPr>
          <w:rFonts w:ascii="Calibri" w:eastAsia="Times New Roman" w:hAnsi="Calibri" w:cs="Calibri"/>
        </w:rPr>
      </w:pPr>
    </w:p>
    <w:p w:rsidR="005B1CBB" w:rsidRPr="0072788C" w:rsidRDefault="005B1CBB" w:rsidP="005B1CBB">
      <w:pPr>
        <w:rPr>
          <w:rFonts w:ascii="Calibri" w:eastAsia="Times New Roman" w:hAnsi="Calibri" w:cs="Calibri"/>
        </w:rPr>
      </w:pPr>
    </w:p>
    <w:p w:rsidR="005B1CBB" w:rsidRPr="00EF1F1C" w:rsidRDefault="00936FCC" w:rsidP="005B1CBB">
      <w:pPr>
        <w:spacing w:line="240" w:lineRule="auto"/>
        <w:rPr>
          <w:rFonts w:cstheme="minorHAnsi"/>
        </w:rPr>
      </w:pPr>
      <w:r>
        <w:rPr>
          <w:rFonts w:cstheme="minorHAnsi"/>
        </w:rPr>
        <w:lastRenderedPageBreak/>
        <w:t>T</w:t>
      </w:r>
      <w:r w:rsidR="005B1CBB" w:rsidRPr="00EF1F1C">
        <w:rPr>
          <w:rFonts w:cstheme="minorHAnsi"/>
        </w:rPr>
        <w:t xml:space="preserve">he </w:t>
      </w:r>
      <w:r w:rsidR="005B1CBB">
        <w:rPr>
          <w:rFonts w:cstheme="minorHAnsi"/>
        </w:rPr>
        <w:t xml:space="preserve">review assessment </w:t>
      </w:r>
      <w:r>
        <w:rPr>
          <w:rFonts w:cstheme="minorHAnsi"/>
        </w:rPr>
        <w:t xml:space="preserve">was undertaken against three specific </w:t>
      </w:r>
      <w:r w:rsidR="005B1CBB" w:rsidRPr="00EF1F1C">
        <w:rPr>
          <w:rFonts w:cstheme="minorHAnsi"/>
        </w:rPr>
        <w:t>criteria</w:t>
      </w:r>
      <w:r>
        <w:rPr>
          <w:rFonts w:cstheme="minorHAnsi"/>
        </w:rPr>
        <w:t xml:space="preserve"> – </w:t>
      </w:r>
      <w:r w:rsidRPr="00936FCC">
        <w:rPr>
          <w:rFonts w:cstheme="minorHAnsi"/>
          <w:i/>
        </w:rPr>
        <w:t>Design</w:t>
      </w:r>
      <w:r>
        <w:rPr>
          <w:rFonts w:cstheme="minorHAnsi"/>
        </w:rPr>
        <w:t xml:space="preserve">, </w:t>
      </w:r>
      <w:r w:rsidRPr="00936FCC">
        <w:rPr>
          <w:rFonts w:cstheme="minorHAnsi"/>
          <w:i/>
        </w:rPr>
        <w:t xml:space="preserve">Implementation Arrangements </w:t>
      </w:r>
      <w:r>
        <w:rPr>
          <w:rFonts w:cstheme="minorHAnsi"/>
        </w:rPr>
        <w:t xml:space="preserve">and </w:t>
      </w:r>
      <w:r w:rsidRPr="00936FCC">
        <w:rPr>
          <w:rFonts w:cstheme="minorHAnsi"/>
          <w:i/>
        </w:rPr>
        <w:t>Integration and Synergies</w:t>
      </w:r>
      <w:r>
        <w:rPr>
          <w:rFonts w:cstheme="minorHAnsi"/>
        </w:rPr>
        <w:t xml:space="preserve">.  </w:t>
      </w:r>
      <w:r w:rsidR="00B50307">
        <w:rPr>
          <w:rFonts w:cstheme="minorHAnsi"/>
        </w:rPr>
        <w:t>A</w:t>
      </w:r>
      <w:r w:rsidR="00C01C69">
        <w:rPr>
          <w:rFonts w:cstheme="minorHAnsi"/>
        </w:rPr>
        <w:t xml:space="preserve">reas of investigation </w:t>
      </w:r>
      <w:r w:rsidR="00707BE5">
        <w:rPr>
          <w:rFonts w:cstheme="minorHAnsi"/>
        </w:rPr>
        <w:t xml:space="preserve">against each </w:t>
      </w:r>
      <w:proofErr w:type="gramStart"/>
      <w:r w:rsidR="00707BE5">
        <w:rPr>
          <w:rFonts w:cstheme="minorHAnsi"/>
        </w:rPr>
        <w:t>criteria</w:t>
      </w:r>
      <w:proofErr w:type="gramEnd"/>
      <w:r w:rsidR="00707BE5">
        <w:rPr>
          <w:rFonts w:cstheme="minorHAnsi"/>
        </w:rPr>
        <w:t xml:space="preserve"> included</w:t>
      </w:r>
      <w:r w:rsidR="005B1CBB" w:rsidRPr="00EF1F1C">
        <w:rPr>
          <w:rFonts w:cstheme="minorHAnsi"/>
        </w:rPr>
        <w:t>:</w:t>
      </w:r>
    </w:p>
    <w:p w:rsidR="005B1CBB" w:rsidRPr="00EF1F1C" w:rsidRDefault="005B1CBB" w:rsidP="005B1CBB">
      <w:pPr>
        <w:pStyle w:val="ListParagraph"/>
        <w:numPr>
          <w:ilvl w:val="0"/>
          <w:numId w:val="2"/>
        </w:numPr>
        <w:spacing w:line="240" w:lineRule="auto"/>
        <w:rPr>
          <w:rFonts w:cstheme="minorHAnsi"/>
        </w:rPr>
      </w:pPr>
      <w:r w:rsidRPr="00EF1F1C">
        <w:rPr>
          <w:rFonts w:cstheme="minorHAnsi"/>
          <w:b/>
        </w:rPr>
        <w:t>DESIGN</w:t>
      </w:r>
      <w:r w:rsidRPr="00EF1F1C">
        <w:rPr>
          <w:rFonts w:cstheme="minorHAnsi"/>
        </w:rPr>
        <w:t xml:space="preserve">: To what extent has AIPJ selected the right interventions that will achieve </w:t>
      </w:r>
      <w:r w:rsidR="00BA0994">
        <w:rPr>
          <w:rFonts w:cstheme="minorHAnsi"/>
        </w:rPr>
        <w:t>its</w:t>
      </w:r>
      <w:r w:rsidR="00BA0994" w:rsidRPr="00EF1F1C">
        <w:rPr>
          <w:rFonts w:cstheme="minorHAnsi"/>
        </w:rPr>
        <w:t xml:space="preserve"> </w:t>
      </w:r>
      <w:r w:rsidRPr="00EF1F1C">
        <w:rPr>
          <w:rFonts w:cstheme="minorHAnsi"/>
        </w:rPr>
        <w:t xml:space="preserve">outcomes, considering the current environment in the justice sector and considering the program should benefit the poor? To what extent </w:t>
      </w:r>
      <w:r w:rsidR="00BA0994">
        <w:rPr>
          <w:rFonts w:cstheme="minorHAnsi"/>
        </w:rPr>
        <w:t>does AIPJ</w:t>
      </w:r>
      <w:r w:rsidRPr="00EF1F1C">
        <w:rPr>
          <w:rFonts w:cstheme="minorHAnsi"/>
        </w:rPr>
        <w:t xml:space="preserve"> have a line of sight to poor people from </w:t>
      </w:r>
      <w:r w:rsidR="00BA0994">
        <w:rPr>
          <w:rFonts w:cstheme="minorHAnsi"/>
        </w:rPr>
        <w:t xml:space="preserve">its </w:t>
      </w:r>
      <w:r w:rsidRPr="00EF1F1C">
        <w:rPr>
          <w:rFonts w:cstheme="minorHAnsi"/>
        </w:rPr>
        <w:t>interventions?</w:t>
      </w:r>
    </w:p>
    <w:p w:rsidR="005B1CBB" w:rsidRPr="00EF1F1C" w:rsidRDefault="005B1CBB" w:rsidP="005B1CBB">
      <w:pPr>
        <w:pStyle w:val="ListParagraph"/>
        <w:numPr>
          <w:ilvl w:val="0"/>
          <w:numId w:val="2"/>
        </w:numPr>
        <w:spacing w:line="240" w:lineRule="auto"/>
        <w:rPr>
          <w:rFonts w:cstheme="minorHAnsi"/>
        </w:rPr>
      </w:pPr>
      <w:r w:rsidRPr="00EF1F1C">
        <w:rPr>
          <w:rFonts w:cstheme="minorHAnsi"/>
          <w:b/>
        </w:rPr>
        <w:t>IMPLEMENTATION ARRANGEMENTS</w:t>
      </w:r>
      <w:r w:rsidRPr="00EF1F1C">
        <w:rPr>
          <w:rFonts w:cstheme="minorHAnsi"/>
        </w:rPr>
        <w:t>: Consider whether AIPJ has adequate resources to deliver the program and whether there is adequate breath of engagement for the purpose of decision making. It will also consider whether there is adequate contestability and clarity of roles and responsibilities within the current program structure.</w:t>
      </w:r>
    </w:p>
    <w:p w:rsidR="005B1CBB" w:rsidRDefault="005B1CBB" w:rsidP="005B1CBB">
      <w:pPr>
        <w:pStyle w:val="ListParagraph"/>
        <w:numPr>
          <w:ilvl w:val="0"/>
          <w:numId w:val="2"/>
        </w:numPr>
        <w:spacing w:line="240" w:lineRule="auto"/>
        <w:rPr>
          <w:rFonts w:cstheme="minorHAnsi"/>
        </w:rPr>
      </w:pPr>
      <w:r w:rsidRPr="00EF1F1C">
        <w:rPr>
          <w:rFonts w:cstheme="minorHAnsi"/>
          <w:b/>
        </w:rPr>
        <w:t>INTEGRATION AND SYNERGIES</w:t>
      </w:r>
      <w:r w:rsidRPr="00EF1F1C">
        <w:rPr>
          <w:rFonts w:cstheme="minorHAnsi"/>
        </w:rPr>
        <w:t xml:space="preserve">: Identify potential synergies with other AusAID programs to maximise the program’s overall benefits to poor people.  </w:t>
      </w:r>
    </w:p>
    <w:p w:rsidR="005B1CBB" w:rsidRDefault="005B1CBB" w:rsidP="005B1CBB">
      <w:pPr>
        <w:rPr>
          <w:rFonts w:cstheme="minorHAnsi"/>
        </w:rPr>
      </w:pPr>
      <w:r>
        <w:rPr>
          <w:rFonts w:cstheme="minorHAnsi"/>
        </w:rPr>
        <w:br w:type="page"/>
      </w:r>
    </w:p>
    <w:p w:rsidR="005B1CBB" w:rsidRPr="005D2EE8" w:rsidRDefault="005B1CBB" w:rsidP="005B1CBB">
      <w:pPr>
        <w:spacing w:line="240" w:lineRule="auto"/>
        <w:rPr>
          <w:rFonts w:cstheme="minorHAnsi"/>
        </w:rPr>
      </w:pPr>
    </w:p>
    <w:p w:rsidR="005B1CBB" w:rsidRPr="004E3E67" w:rsidRDefault="005B1CBB" w:rsidP="005B1CBB">
      <w:pPr>
        <w:rPr>
          <w:b/>
          <w:sz w:val="28"/>
          <w:szCs w:val="28"/>
        </w:rPr>
      </w:pPr>
      <w:r>
        <w:rPr>
          <w:b/>
          <w:sz w:val="28"/>
          <w:szCs w:val="28"/>
        </w:rPr>
        <w:t xml:space="preserve">Abbreviations, </w:t>
      </w:r>
      <w:r w:rsidRPr="006A7DE0">
        <w:rPr>
          <w:b/>
          <w:sz w:val="28"/>
          <w:szCs w:val="28"/>
        </w:rPr>
        <w:t>Acronyms</w:t>
      </w:r>
      <w:r>
        <w:rPr>
          <w:b/>
          <w:sz w:val="28"/>
          <w:szCs w:val="28"/>
        </w:rPr>
        <w:t xml:space="preserve"> and other Information</w:t>
      </w:r>
    </w:p>
    <w:tbl>
      <w:tblPr>
        <w:tblStyle w:val="TableGrid"/>
        <w:tblW w:w="0" w:type="auto"/>
        <w:tblLook w:val="04A0" w:firstRow="1" w:lastRow="0" w:firstColumn="1" w:lastColumn="0" w:noHBand="0" w:noVBand="1"/>
        <w:tblCaption w:val="Table of acronyms "/>
        <w:tblDescription w:val="ACCESS  Australian Community Development and Civil Society Strengthening Program&#10;ACLEI  Australian Commission for Law Enforcement Integrity&#10;AFP  Australian Federal Police&#10;AGD  Australian Attorney General’s Department&#10;AGO   Indonesian Attorney General’s Office&#10;AIPJ  Australia Indonesia Partnership for Justice&#10;AIPD  Australia Indonesia Partnership for Decentralisation&#10;APSC   Australian Public Service Commission&#10;AusAID  Australian Agency for International Development&#10;Bappenas  Indonesian National Development Planning Agency&#10;CSO  Civil Society Organisation&#10;DFAT  Australian Department of Foreign Affairs and Trade&#10;DIAC  Australian Department of Immigration and Citizenship&#10;DIPA  List of Activities Funded through the Indonesian State Budget&#10;Ditjen HAM        Directorate General for Human Rights, Indonesian Ministry of Law and Human Rights&#10;Ditjen PP             Directorate General for Legislation, Indonesian Ministry of Law and Human Rights&#10;DPO  Disabled Person’s Organisation &#10;DPR  National Parliament&#10;EC  European Commission&#10;ELSAM  Institute for Social Advocacy (an NGO)&#10;GoA  Government of Australia&#10;GoI  Government of Indonesia&#10;IALDF  Indonesia-Australia Legal Development Facility&#10;IDLO  International Development Law Organisation&#10;ICW  Indonesia Corruption Watch&#10;IMF  International Monetary Fund&#10;ISP  Implementing Service Provider&#10;IPR  Independent Progress Review&#10;J4P  Justice for the Poor (World Bank)&#10;Kabupaten District  A kabupaten is the same level as a municipality (kotamadya) – the difference in terminology is simply to indicate whether the economy of the particular region is predominately rural (district) or urban (municipality).&#10;Kecamatan Sub-district  Sub-districts do not have their own parliaments or executive governments; they are simply an extension of the kabupaten/kotamadya government.&#10;Kepala Daerah  Head of a sub-national executive government.&#10;Komnas HAM    National Commission on Human Rights&#10;Komnas Perempuan  National Commission on the Elimination of Violence Against Women&#10;Kotamadya Municipality A kotamadya is the same level as a district (kabupaten) – the difference in terminology is simply to indicate whether the economy of the particular region is predominately rural (district) or urban (municipality).&#10;KPK  Indonesian Corruption Eradication Commission&#10;KPP  Coalition of Court Observers (an NGO)&#10;KTP  Indonesian Identity Card&#10;LBH  Legal Aid Organisation&#10;LeIP  Indonesian Institute for Judicial Independence&#10;LRP  Legal Reform Program&#10;M&amp;E  Monitoring and Evaluation&#10;MAMPU Maju Perempuan Indonesia untuk Penanggulangan Kemiskinan (Empowering Indonesian Women for Poverty Reduction) – an AusAID Indonesia Program&#10;MaPPI  Justice Sector Monitoring Community (an NGO forum)&#10;MCC  Millennium Challenge Corporation&#10;MTI  Indonesian Transparency Society (an NGO)&#10;MTR  Mid Term Review&#10;Musrenbang      Community consultations for budget planning&#10;ODA  Overseas Development Assistance: ‘Flows of official financing administered with the promotion of the economic development and welfare of developing countries as the main objective, and which are concessional in character’&#10;Pemda  Sub-national executive government&#10;Perda  Regional Regulation (law passed by a sub-national parliament and approved by the relevant kepala daerah)&#10;Perpres                Presidential Regulation&#10;PD  AusAID contracted Program Director &#10;PPP  Purchasing Power Parity&#10;PRIP  Program Review and Implementation Plan&#10;PSHK  Indonesian Law and Policy Study Centre (an NGO)&#10;RAN-PK                National Action Plan on Corruption Eradication&#10;RKP  Annual Government of Indonesia Work Plan &#10;RPJMN  Government of Indonesia National Medium-Term (five-year) Development Plan, formulated by Bappenas. &#10;RPJPN  Government of Indonesia National Long-Term Development Plan (25 years), formulated by Bappenas&#10;SAKIP  Government of Indonesia’s Bureaucratic Accountability and Effectiveness System&#10;Stratnas PK         National Strategy on Corruption Eradication&#10;TAF  The Asia Foundation&#10;TII  Transparency International – Indonesia (an NGO)&#10;ToR  Terms of Reference for the IPR&#10;TSP  Technical Support Pool&#10;UNCAC  United Nations Convention Against Corruption&#10;UNDP  United Nations Development Program&#10;UNODC  United Nations Office on Drugs and Crime&#10;USAID  United States Agency for International Development&#10;WGLC  Australia Indonesia Working Group on Legal Cooperation&#10;YLBHI  Indonesian Legal Aid Foundation&#10;"/>
      </w:tblPr>
      <w:tblGrid>
        <w:gridCol w:w="2376"/>
        <w:gridCol w:w="6866"/>
      </w:tblGrid>
      <w:tr w:rsidR="006F79CD" w:rsidRPr="00583315" w:rsidTr="00AF16F7">
        <w:tc>
          <w:tcPr>
            <w:tcW w:w="2376" w:type="dxa"/>
          </w:tcPr>
          <w:p w:rsidR="006F79CD" w:rsidRPr="00583315" w:rsidRDefault="006F79CD"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ACCESS</w:t>
            </w:r>
          </w:p>
        </w:tc>
        <w:tc>
          <w:tcPr>
            <w:tcW w:w="6866" w:type="dxa"/>
          </w:tcPr>
          <w:p w:rsidR="006F79CD" w:rsidRPr="00583315" w:rsidRDefault="006F79CD"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Australian Community Development and Civil Society Strengthening Program</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ACLEI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Australian Commission for Law Enforcement Integrity</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AFP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Australian Federal Police</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AGD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Australian Attorney General’s Department</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AGO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Indonesian Attorney General’s Office</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AIP</w:t>
            </w:r>
            <w:r w:rsidR="00C47400">
              <w:rPr>
                <w:rFonts w:ascii="Times New Roman" w:hAnsi="Times New Roman" w:cs="Times New Roman"/>
                <w:sz w:val="24"/>
                <w:szCs w:val="24"/>
              </w:rPr>
              <w:t>J</w:t>
            </w:r>
            <w:r w:rsidRPr="00583315">
              <w:rPr>
                <w:rFonts w:ascii="Times New Roman" w:hAnsi="Times New Roman" w:cs="Times New Roman"/>
                <w:sz w:val="24"/>
                <w:szCs w:val="24"/>
              </w:rPr>
              <w:t xml:space="preserve">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Australia Indonesia Partnership</w:t>
            </w:r>
            <w:r w:rsidR="00C47400">
              <w:rPr>
                <w:rFonts w:ascii="Times New Roman" w:hAnsi="Times New Roman" w:cs="Times New Roman"/>
                <w:sz w:val="24"/>
                <w:szCs w:val="24"/>
              </w:rPr>
              <w:t xml:space="preserve"> for Justice</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AIPD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Australia Indonesia Partnership for Decentralisation</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APSC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Australian Public Service Commission</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AusAID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Australian Agency for International Development</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Bappenas</w:t>
            </w:r>
            <w:proofErr w:type="spellEnd"/>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Indonesian National Development Planning Agency</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CSO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Civil S</w:t>
            </w:r>
            <w:r w:rsidRPr="00583315">
              <w:rPr>
                <w:rFonts w:ascii="Times New Roman" w:hAnsi="Times New Roman" w:cs="Times New Roman"/>
                <w:sz w:val="24"/>
                <w:szCs w:val="24"/>
              </w:rPr>
              <w:t xml:space="preserve">ociety </w:t>
            </w:r>
            <w:r>
              <w:rPr>
                <w:rFonts w:ascii="Times New Roman" w:hAnsi="Times New Roman" w:cs="Times New Roman"/>
                <w:sz w:val="24"/>
                <w:szCs w:val="24"/>
              </w:rPr>
              <w:t>O</w:t>
            </w:r>
            <w:r w:rsidRPr="00583315">
              <w:rPr>
                <w:rFonts w:ascii="Times New Roman" w:hAnsi="Times New Roman" w:cs="Times New Roman"/>
                <w:sz w:val="24"/>
                <w:szCs w:val="24"/>
              </w:rPr>
              <w:t>rganisation</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DFAT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Australian Department of Foreign Affairs and Trade</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DIAC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Australian Department of Immigration and Citizenship</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DIPA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List of Activities Funded through the Indonesian State Budget</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Ditjen</w:t>
            </w:r>
            <w:proofErr w:type="spellEnd"/>
            <w:r w:rsidRPr="00583315">
              <w:rPr>
                <w:rFonts w:ascii="Times New Roman" w:hAnsi="Times New Roman" w:cs="Times New Roman"/>
                <w:sz w:val="24"/>
                <w:szCs w:val="24"/>
              </w:rPr>
              <w:t xml:space="preserve"> HAM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Directorate General for Human Rights, Indonesian Ministry of Law and Human Rights</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Ditjen</w:t>
            </w:r>
            <w:proofErr w:type="spellEnd"/>
            <w:r w:rsidRPr="00583315">
              <w:rPr>
                <w:rFonts w:ascii="Times New Roman" w:hAnsi="Times New Roman" w:cs="Times New Roman"/>
                <w:sz w:val="24"/>
                <w:szCs w:val="24"/>
              </w:rPr>
              <w:t xml:space="preserve"> PP</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Directorate General for Legislation, Indonesian Ministry of Law and Human Rights</w:t>
            </w:r>
          </w:p>
        </w:tc>
      </w:tr>
      <w:tr w:rsidR="00C01C69" w:rsidRPr="00583315" w:rsidTr="00AF16F7">
        <w:tc>
          <w:tcPr>
            <w:tcW w:w="2376" w:type="dxa"/>
          </w:tcPr>
          <w:p w:rsidR="00C01C69" w:rsidRPr="00583315" w:rsidRDefault="00C01C69"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DPO </w:t>
            </w:r>
          </w:p>
        </w:tc>
        <w:tc>
          <w:tcPr>
            <w:tcW w:w="6866" w:type="dxa"/>
          </w:tcPr>
          <w:p w:rsidR="00C01C69" w:rsidRPr="00583315" w:rsidRDefault="00C01C69"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Disabled Person’s Organisation </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DPR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National Parliament</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EC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European Commission</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ELSAM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Institute for Social Advocacy (an NGO)</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GoA</w:t>
            </w:r>
            <w:proofErr w:type="spellEnd"/>
            <w:r w:rsidRPr="00583315">
              <w:rPr>
                <w:rFonts w:ascii="Times New Roman" w:hAnsi="Times New Roman" w:cs="Times New Roman"/>
                <w:sz w:val="24"/>
                <w:szCs w:val="24"/>
              </w:rPr>
              <w:t xml:space="preserve">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Government of Australia</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GoI</w:t>
            </w:r>
            <w:proofErr w:type="spellEnd"/>
            <w:r w:rsidRPr="00583315">
              <w:rPr>
                <w:rFonts w:ascii="Times New Roman" w:hAnsi="Times New Roman" w:cs="Times New Roman"/>
                <w:sz w:val="24"/>
                <w:szCs w:val="24"/>
              </w:rPr>
              <w:t xml:space="preserve">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Government of Indonesia</w:t>
            </w:r>
          </w:p>
        </w:tc>
      </w:tr>
      <w:tr w:rsidR="00D31068" w:rsidRPr="00583315" w:rsidTr="00AF16F7">
        <w:tc>
          <w:tcPr>
            <w:tcW w:w="2376" w:type="dxa"/>
          </w:tcPr>
          <w:p w:rsidR="00D31068" w:rsidRDefault="00D31068"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IALDF</w:t>
            </w:r>
          </w:p>
        </w:tc>
        <w:tc>
          <w:tcPr>
            <w:tcW w:w="6866" w:type="dxa"/>
          </w:tcPr>
          <w:p w:rsidR="00D31068" w:rsidRDefault="00D31068"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Indonesia-Australia Legal Development Facility</w:t>
            </w:r>
          </w:p>
        </w:tc>
      </w:tr>
      <w:tr w:rsidR="00D02DC2" w:rsidRPr="00583315" w:rsidTr="00AF16F7">
        <w:tc>
          <w:tcPr>
            <w:tcW w:w="2376" w:type="dxa"/>
          </w:tcPr>
          <w:p w:rsidR="00D02DC2" w:rsidRPr="00583315" w:rsidRDefault="00D02DC2"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IDLO</w:t>
            </w:r>
          </w:p>
        </w:tc>
        <w:tc>
          <w:tcPr>
            <w:tcW w:w="6866" w:type="dxa"/>
          </w:tcPr>
          <w:p w:rsidR="00D02DC2" w:rsidRPr="00583315" w:rsidRDefault="00D02DC2"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International Development Law Organisation</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ICW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Indonesia Corruption Watch</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IMF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International Monetary Fund</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ISP </w:t>
            </w:r>
          </w:p>
        </w:tc>
        <w:tc>
          <w:tcPr>
            <w:tcW w:w="6866" w:type="dxa"/>
          </w:tcPr>
          <w:p w:rsidR="005B1CBB" w:rsidRPr="00583315" w:rsidRDefault="006F79CD"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Implementing</w:t>
            </w:r>
            <w:r w:rsidR="005B1CBB" w:rsidRPr="00583315">
              <w:rPr>
                <w:rFonts w:ascii="Times New Roman" w:hAnsi="Times New Roman" w:cs="Times New Roman"/>
                <w:sz w:val="24"/>
                <w:szCs w:val="24"/>
              </w:rPr>
              <w:t xml:space="preserve"> Service Provider</w:t>
            </w:r>
          </w:p>
        </w:tc>
      </w:tr>
      <w:tr w:rsidR="003A6986" w:rsidRPr="00583315" w:rsidTr="00AF16F7">
        <w:tc>
          <w:tcPr>
            <w:tcW w:w="2376" w:type="dxa"/>
          </w:tcPr>
          <w:p w:rsidR="003A6986" w:rsidRPr="00583315" w:rsidRDefault="003A6986"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IPR</w:t>
            </w:r>
          </w:p>
        </w:tc>
        <w:tc>
          <w:tcPr>
            <w:tcW w:w="6866" w:type="dxa"/>
          </w:tcPr>
          <w:p w:rsidR="003A6986" w:rsidRPr="00583315" w:rsidRDefault="003A6986"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Independent Progress Review</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J4P</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Justice for the Poor (World Bank)</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Kabupaten</w:t>
            </w:r>
            <w:proofErr w:type="spellEnd"/>
            <w:r w:rsidRPr="00583315">
              <w:rPr>
                <w:rFonts w:ascii="Times New Roman" w:hAnsi="Times New Roman" w:cs="Times New Roman"/>
                <w:sz w:val="24"/>
                <w:szCs w:val="24"/>
              </w:rPr>
              <w:t xml:space="preserve"> District</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A </w:t>
            </w:r>
            <w:proofErr w:type="spellStart"/>
            <w:r w:rsidRPr="00583315">
              <w:rPr>
                <w:rFonts w:ascii="Times New Roman" w:hAnsi="Times New Roman" w:cs="Times New Roman"/>
                <w:i/>
                <w:iCs/>
                <w:sz w:val="24"/>
                <w:szCs w:val="24"/>
              </w:rPr>
              <w:t>kabupaten</w:t>
            </w:r>
            <w:proofErr w:type="spellEnd"/>
            <w:r w:rsidRPr="00583315">
              <w:rPr>
                <w:rFonts w:ascii="Times New Roman" w:hAnsi="Times New Roman" w:cs="Times New Roman"/>
                <w:i/>
                <w:iCs/>
                <w:sz w:val="24"/>
                <w:szCs w:val="24"/>
              </w:rPr>
              <w:t xml:space="preserve"> </w:t>
            </w:r>
            <w:r w:rsidRPr="00583315">
              <w:rPr>
                <w:rFonts w:ascii="Times New Roman" w:hAnsi="Times New Roman" w:cs="Times New Roman"/>
                <w:sz w:val="24"/>
                <w:szCs w:val="24"/>
              </w:rPr>
              <w:t>is the same level as a municipality (</w:t>
            </w:r>
            <w:proofErr w:type="spellStart"/>
            <w:r w:rsidRPr="00583315">
              <w:rPr>
                <w:rFonts w:ascii="Times New Roman" w:hAnsi="Times New Roman" w:cs="Times New Roman"/>
                <w:i/>
                <w:iCs/>
                <w:sz w:val="24"/>
                <w:szCs w:val="24"/>
              </w:rPr>
              <w:t>kotamadya</w:t>
            </w:r>
            <w:proofErr w:type="spellEnd"/>
            <w:r w:rsidRPr="00583315">
              <w:rPr>
                <w:rFonts w:ascii="Times New Roman" w:hAnsi="Times New Roman" w:cs="Times New Roman"/>
                <w:sz w:val="24"/>
                <w:szCs w:val="24"/>
              </w:rPr>
              <w:t>) – the difference in terminology is simply to indicate whether the economy of the particular region is predominately rural (district) or urban (municipality).</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Kecamatan</w:t>
            </w:r>
            <w:proofErr w:type="spellEnd"/>
            <w:r w:rsidRPr="00583315">
              <w:rPr>
                <w:rFonts w:ascii="Times New Roman" w:hAnsi="Times New Roman" w:cs="Times New Roman"/>
                <w:sz w:val="24"/>
                <w:szCs w:val="24"/>
              </w:rPr>
              <w:t xml:space="preserve"> Sub-district.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Sub-districts do not have their own parliaments or executive governments; they are simply an extension of the </w:t>
            </w:r>
            <w:proofErr w:type="spellStart"/>
            <w:r w:rsidRPr="00583315">
              <w:rPr>
                <w:rFonts w:ascii="Times New Roman" w:hAnsi="Times New Roman" w:cs="Times New Roman"/>
                <w:i/>
                <w:iCs/>
                <w:sz w:val="24"/>
                <w:szCs w:val="24"/>
              </w:rPr>
              <w:t>kabupaten</w:t>
            </w:r>
            <w:proofErr w:type="spellEnd"/>
            <w:r w:rsidRPr="00583315">
              <w:rPr>
                <w:rFonts w:ascii="Times New Roman" w:hAnsi="Times New Roman" w:cs="Times New Roman"/>
                <w:i/>
                <w:iCs/>
                <w:sz w:val="24"/>
                <w:szCs w:val="24"/>
              </w:rPr>
              <w:t>/</w:t>
            </w:r>
            <w:proofErr w:type="spellStart"/>
            <w:r w:rsidRPr="00583315">
              <w:rPr>
                <w:rFonts w:ascii="Times New Roman" w:hAnsi="Times New Roman" w:cs="Times New Roman"/>
                <w:i/>
                <w:iCs/>
                <w:sz w:val="24"/>
                <w:szCs w:val="24"/>
              </w:rPr>
              <w:t>kotamadya</w:t>
            </w:r>
            <w:proofErr w:type="spellEnd"/>
            <w:r w:rsidRPr="00583315">
              <w:rPr>
                <w:rFonts w:ascii="Times New Roman" w:hAnsi="Times New Roman" w:cs="Times New Roman"/>
                <w:i/>
                <w:iCs/>
                <w:sz w:val="24"/>
                <w:szCs w:val="24"/>
              </w:rPr>
              <w:t xml:space="preserve"> </w:t>
            </w:r>
            <w:r w:rsidRPr="00583315">
              <w:rPr>
                <w:rFonts w:ascii="Times New Roman" w:hAnsi="Times New Roman" w:cs="Times New Roman"/>
                <w:sz w:val="24"/>
                <w:szCs w:val="24"/>
              </w:rPr>
              <w:t>government.</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Kepala</w:t>
            </w:r>
            <w:proofErr w:type="spellEnd"/>
            <w:r w:rsidRPr="00583315">
              <w:rPr>
                <w:rFonts w:ascii="Times New Roman" w:hAnsi="Times New Roman" w:cs="Times New Roman"/>
                <w:sz w:val="24"/>
                <w:szCs w:val="24"/>
              </w:rPr>
              <w:t xml:space="preserve"> Daerah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Head of a sub-national executive government.</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Komnas</w:t>
            </w:r>
            <w:proofErr w:type="spellEnd"/>
            <w:r w:rsidRPr="00583315">
              <w:rPr>
                <w:rFonts w:ascii="Times New Roman" w:hAnsi="Times New Roman" w:cs="Times New Roman"/>
                <w:sz w:val="24"/>
                <w:szCs w:val="24"/>
              </w:rPr>
              <w:t xml:space="preserve"> HAM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National Commission on Human Rights</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Komnas</w:t>
            </w:r>
            <w:proofErr w:type="spellEnd"/>
            <w:r w:rsidRPr="00583315">
              <w:rPr>
                <w:rFonts w:ascii="Times New Roman" w:hAnsi="Times New Roman" w:cs="Times New Roman"/>
                <w:sz w:val="24"/>
                <w:szCs w:val="24"/>
              </w:rPr>
              <w:t xml:space="preserve"> </w:t>
            </w:r>
            <w:proofErr w:type="spellStart"/>
            <w:r w:rsidRPr="00583315">
              <w:rPr>
                <w:rFonts w:ascii="Times New Roman" w:hAnsi="Times New Roman" w:cs="Times New Roman"/>
                <w:sz w:val="24"/>
                <w:szCs w:val="24"/>
              </w:rPr>
              <w:t>Perempuan</w:t>
            </w:r>
            <w:proofErr w:type="spellEnd"/>
            <w:r w:rsidRPr="00583315">
              <w:rPr>
                <w:rFonts w:ascii="Times New Roman" w:hAnsi="Times New Roman" w:cs="Times New Roman"/>
                <w:sz w:val="24"/>
                <w:szCs w:val="24"/>
              </w:rPr>
              <w:t xml:space="preserve">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National Commission on the Elimination of Violence Against Women</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lastRenderedPageBreak/>
              <w:t>Kotamadya</w:t>
            </w:r>
            <w:proofErr w:type="spellEnd"/>
            <w:r w:rsidRPr="00583315">
              <w:rPr>
                <w:rFonts w:ascii="Times New Roman" w:hAnsi="Times New Roman" w:cs="Times New Roman"/>
                <w:sz w:val="24"/>
                <w:szCs w:val="24"/>
              </w:rPr>
              <w:t xml:space="preserve"> Municipality.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A </w:t>
            </w:r>
            <w:proofErr w:type="spellStart"/>
            <w:r w:rsidRPr="00583315">
              <w:rPr>
                <w:rFonts w:ascii="Times New Roman" w:hAnsi="Times New Roman" w:cs="Times New Roman"/>
                <w:i/>
                <w:iCs/>
                <w:sz w:val="24"/>
                <w:szCs w:val="24"/>
              </w:rPr>
              <w:t>kotamadya</w:t>
            </w:r>
            <w:proofErr w:type="spellEnd"/>
            <w:r w:rsidRPr="00583315">
              <w:rPr>
                <w:rFonts w:ascii="Times New Roman" w:hAnsi="Times New Roman" w:cs="Times New Roman"/>
                <w:i/>
                <w:iCs/>
                <w:sz w:val="24"/>
                <w:szCs w:val="24"/>
              </w:rPr>
              <w:t xml:space="preserve"> </w:t>
            </w:r>
            <w:r w:rsidRPr="00583315">
              <w:rPr>
                <w:rFonts w:ascii="Times New Roman" w:hAnsi="Times New Roman" w:cs="Times New Roman"/>
                <w:sz w:val="24"/>
                <w:szCs w:val="24"/>
              </w:rPr>
              <w:t xml:space="preserve">is the same level as a </w:t>
            </w:r>
            <w:r w:rsidR="00D35CF0" w:rsidRPr="00583315">
              <w:rPr>
                <w:rFonts w:ascii="Times New Roman" w:hAnsi="Times New Roman" w:cs="Times New Roman"/>
                <w:sz w:val="24"/>
                <w:szCs w:val="24"/>
              </w:rPr>
              <w:t>district (</w:t>
            </w:r>
            <w:proofErr w:type="spellStart"/>
            <w:r w:rsidRPr="00583315">
              <w:rPr>
                <w:rFonts w:ascii="Times New Roman" w:hAnsi="Times New Roman" w:cs="Times New Roman"/>
                <w:i/>
                <w:iCs/>
                <w:sz w:val="24"/>
                <w:szCs w:val="24"/>
              </w:rPr>
              <w:t>kabupaten</w:t>
            </w:r>
            <w:proofErr w:type="spellEnd"/>
            <w:r w:rsidRPr="00583315">
              <w:rPr>
                <w:rFonts w:ascii="Times New Roman" w:hAnsi="Times New Roman" w:cs="Times New Roman"/>
                <w:sz w:val="24"/>
                <w:szCs w:val="24"/>
              </w:rPr>
              <w:t>) – the difference in terminology is simply to indicate whether the economy of the particular region is predominately rural (district) or urban (municipality).</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KPK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Indonesian Corruption Eradication Commission</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KPP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Coalition of Court Observers (an NGO)</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KTP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Indonesian Identity Card</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LBH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Legal Aid Organisation</w:t>
            </w:r>
          </w:p>
        </w:tc>
      </w:tr>
      <w:tr w:rsidR="005B1CBB" w:rsidRPr="00583315" w:rsidTr="00AF16F7">
        <w:tc>
          <w:tcPr>
            <w:tcW w:w="2376" w:type="dxa"/>
          </w:tcPr>
          <w:p w:rsidR="005B1CBB" w:rsidRPr="004432AA" w:rsidRDefault="005B1CBB" w:rsidP="004432AA">
            <w:pPr>
              <w:autoSpaceDE w:val="0"/>
              <w:autoSpaceDN w:val="0"/>
              <w:adjustRightInd w:val="0"/>
              <w:rPr>
                <w:rFonts w:ascii="Times New Roman" w:hAnsi="Times New Roman" w:cs="Times New Roman"/>
                <w:sz w:val="24"/>
                <w:szCs w:val="24"/>
                <w:highlight w:val="yellow"/>
              </w:rPr>
            </w:pPr>
            <w:proofErr w:type="spellStart"/>
            <w:r w:rsidRPr="004432AA">
              <w:rPr>
                <w:rFonts w:ascii="Times New Roman" w:hAnsi="Times New Roman" w:cs="Times New Roman"/>
                <w:sz w:val="24"/>
                <w:szCs w:val="24"/>
              </w:rPr>
              <w:t>LeIP</w:t>
            </w:r>
            <w:proofErr w:type="spellEnd"/>
            <w:r w:rsidRPr="004432AA">
              <w:rPr>
                <w:rFonts w:ascii="Times New Roman" w:hAnsi="Times New Roman" w:cs="Times New Roman"/>
                <w:sz w:val="24"/>
                <w:szCs w:val="24"/>
              </w:rPr>
              <w:t xml:space="preserve"> </w:t>
            </w:r>
          </w:p>
        </w:tc>
        <w:tc>
          <w:tcPr>
            <w:tcW w:w="6866" w:type="dxa"/>
          </w:tcPr>
          <w:p w:rsidR="005B1CBB" w:rsidRPr="00583315" w:rsidRDefault="004432AA" w:rsidP="00AF16F7">
            <w:pPr>
              <w:autoSpaceDE w:val="0"/>
              <w:autoSpaceDN w:val="0"/>
              <w:adjustRightInd w:val="0"/>
              <w:rPr>
                <w:rFonts w:ascii="Times New Roman" w:hAnsi="Times New Roman" w:cs="Times New Roman"/>
                <w:sz w:val="24"/>
                <w:szCs w:val="24"/>
              </w:rPr>
            </w:pPr>
            <w:r w:rsidRPr="004432AA">
              <w:rPr>
                <w:rFonts w:ascii="Times New Roman" w:hAnsi="Times New Roman" w:cs="Times New Roman"/>
                <w:sz w:val="24"/>
                <w:szCs w:val="24"/>
              </w:rPr>
              <w:t>Indonesian Institute for Judicial Independence</w:t>
            </w:r>
          </w:p>
        </w:tc>
      </w:tr>
      <w:tr w:rsidR="005B1CBB" w:rsidRPr="004432AA"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LRP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Legal Reform Program</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M&amp;E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Monitoring and E</w:t>
            </w:r>
            <w:r w:rsidRPr="00583315">
              <w:rPr>
                <w:rFonts w:ascii="Times New Roman" w:hAnsi="Times New Roman" w:cs="Times New Roman"/>
                <w:sz w:val="24"/>
                <w:szCs w:val="24"/>
              </w:rPr>
              <w:t>valuation</w:t>
            </w:r>
          </w:p>
        </w:tc>
      </w:tr>
      <w:tr w:rsidR="0050379F" w:rsidRPr="00583315" w:rsidTr="00AF16F7">
        <w:tc>
          <w:tcPr>
            <w:tcW w:w="2376" w:type="dxa"/>
          </w:tcPr>
          <w:p w:rsidR="0050379F" w:rsidRPr="00583315" w:rsidRDefault="0050379F"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MAMPU</w:t>
            </w:r>
          </w:p>
        </w:tc>
        <w:tc>
          <w:tcPr>
            <w:tcW w:w="6866" w:type="dxa"/>
          </w:tcPr>
          <w:p w:rsidR="0050379F" w:rsidRPr="00583315" w:rsidRDefault="0050379F" w:rsidP="00AF16F7">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Penanggulangan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Kemiskinan</w:t>
            </w:r>
            <w:proofErr w:type="spellEnd"/>
            <w:r>
              <w:rPr>
                <w:rFonts w:ascii="Times New Roman" w:hAnsi="Times New Roman" w:cs="Times New Roman"/>
                <w:sz w:val="24"/>
                <w:szCs w:val="24"/>
              </w:rPr>
              <w:t xml:space="preserve"> (Empowering Indonesian Women for Poverty Reduction) – an AusAID Indonesia Program</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MaPPI</w:t>
            </w:r>
            <w:proofErr w:type="spellEnd"/>
            <w:r w:rsidRPr="00583315">
              <w:rPr>
                <w:rFonts w:ascii="Times New Roman" w:hAnsi="Times New Roman" w:cs="Times New Roman"/>
                <w:sz w:val="24"/>
                <w:szCs w:val="24"/>
              </w:rPr>
              <w:t xml:space="preserve">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Justice Sector Monitoring Community (an NGO forum)</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MCC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Millennium Challenge Corporation</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MTI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Indonesian Transparency Society (an NGO)</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MTR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Mid Term Review</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Musrenbang</w:t>
            </w:r>
            <w:proofErr w:type="spellEnd"/>
            <w:r w:rsidRPr="00583315">
              <w:rPr>
                <w:rFonts w:ascii="Times New Roman" w:hAnsi="Times New Roman" w:cs="Times New Roman"/>
                <w:sz w:val="24"/>
                <w:szCs w:val="24"/>
              </w:rPr>
              <w:t xml:space="preserve">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Community consultations for budget planning</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ODA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Overseas Development Assistance: </w:t>
            </w:r>
            <w:r w:rsidR="009304B8">
              <w:rPr>
                <w:rFonts w:ascii="Times New Roman" w:hAnsi="Times New Roman" w:cs="Times New Roman"/>
                <w:sz w:val="24"/>
                <w:szCs w:val="24"/>
              </w:rPr>
              <w:t>‘</w:t>
            </w:r>
            <w:r w:rsidRPr="00583315">
              <w:rPr>
                <w:rFonts w:ascii="Times New Roman" w:hAnsi="Times New Roman" w:cs="Times New Roman"/>
                <w:sz w:val="24"/>
                <w:szCs w:val="24"/>
              </w:rPr>
              <w:t>Flows of official financing administered with the promotion of the economic development and welfare of developing countries as the main objective, and which are concessional in character</w:t>
            </w:r>
            <w:r w:rsidR="009304B8">
              <w:rPr>
                <w:rFonts w:ascii="Times New Roman" w:hAnsi="Times New Roman" w:cs="Times New Roman"/>
                <w:sz w:val="24"/>
                <w:szCs w:val="24"/>
              </w:rPr>
              <w:t>’</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Pemda</w:t>
            </w:r>
            <w:proofErr w:type="spellEnd"/>
            <w:r w:rsidRPr="00583315">
              <w:rPr>
                <w:rFonts w:ascii="Times New Roman" w:hAnsi="Times New Roman" w:cs="Times New Roman"/>
                <w:sz w:val="24"/>
                <w:szCs w:val="24"/>
              </w:rPr>
              <w:t xml:space="preserve">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Sub-national executive government</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Perda</w:t>
            </w:r>
            <w:proofErr w:type="spellEnd"/>
            <w:r w:rsidRPr="00583315">
              <w:rPr>
                <w:rFonts w:ascii="Times New Roman" w:hAnsi="Times New Roman" w:cs="Times New Roman"/>
                <w:sz w:val="24"/>
                <w:szCs w:val="24"/>
              </w:rPr>
              <w:t xml:space="preserve">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Regional Regulation (law passed by a sub-national parliament and approved by the relevant </w:t>
            </w:r>
            <w:proofErr w:type="spellStart"/>
            <w:r w:rsidRPr="00583315">
              <w:rPr>
                <w:rFonts w:ascii="Times New Roman" w:hAnsi="Times New Roman" w:cs="Times New Roman"/>
                <w:i/>
                <w:iCs/>
                <w:sz w:val="24"/>
                <w:szCs w:val="24"/>
              </w:rPr>
              <w:t>kepala</w:t>
            </w:r>
            <w:proofErr w:type="spellEnd"/>
            <w:r w:rsidRPr="00583315">
              <w:rPr>
                <w:rFonts w:ascii="Times New Roman" w:hAnsi="Times New Roman" w:cs="Times New Roman"/>
                <w:i/>
                <w:iCs/>
                <w:sz w:val="24"/>
                <w:szCs w:val="24"/>
              </w:rPr>
              <w:t xml:space="preserve"> </w:t>
            </w:r>
            <w:proofErr w:type="spellStart"/>
            <w:r w:rsidRPr="00583315">
              <w:rPr>
                <w:rFonts w:ascii="Times New Roman" w:hAnsi="Times New Roman" w:cs="Times New Roman"/>
                <w:i/>
                <w:iCs/>
                <w:sz w:val="24"/>
                <w:szCs w:val="24"/>
              </w:rPr>
              <w:t>daerah</w:t>
            </w:r>
            <w:proofErr w:type="spellEnd"/>
            <w:r w:rsidRPr="00583315">
              <w:rPr>
                <w:rFonts w:ascii="Times New Roman" w:hAnsi="Times New Roman" w:cs="Times New Roman"/>
                <w:sz w:val="24"/>
                <w:szCs w:val="24"/>
              </w:rPr>
              <w:t>)</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Perpres</w:t>
            </w:r>
            <w:proofErr w:type="spellEnd"/>
            <w:r w:rsidRPr="00583315">
              <w:rPr>
                <w:rFonts w:ascii="Times New Roman" w:hAnsi="Times New Roman" w:cs="Times New Roman"/>
                <w:sz w:val="24"/>
                <w:szCs w:val="24"/>
              </w:rPr>
              <w:t xml:space="preserve">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Presidential Regulation</w:t>
            </w:r>
          </w:p>
        </w:tc>
      </w:tr>
      <w:tr w:rsidR="00FE2F98" w:rsidRPr="00583315" w:rsidTr="00AF16F7">
        <w:tc>
          <w:tcPr>
            <w:tcW w:w="2376" w:type="dxa"/>
          </w:tcPr>
          <w:p w:rsidR="00FE2F98" w:rsidRPr="00583315" w:rsidRDefault="00FE2F98"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PD</w:t>
            </w:r>
          </w:p>
        </w:tc>
        <w:tc>
          <w:tcPr>
            <w:tcW w:w="6866" w:type="dxa"/>
          </w:tcPr>
          <w:p w:rsidR="00FE2F98" w:rsidRPr="00583315" w:rsidRDefault="00FE2F98"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AusAID contracted Program Director </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PPP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Purchasing Power Parity</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PRIP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Program Review and Implementation Plan</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PSHK</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Indonesian Law and Policy Study Centre (an NGO</w:t>
            </w:r>
            <w:r>
              <w:rPr>
                <w:rFonts w:ascii="Times New Roman" w:hAnsi="Times New Roman" w:cs="Times New Roman"/>
                <w:sz w:val="24"/>
                <w:szCs w:val="24"/>
              </w:rPr>
              <w:t>)</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RAN-PK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National Action Plan on Corruption Eradication</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RKP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Annual Government of Indonesia Work Plan </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RPJMN</w:t>
            </w:r>
          </w:p>
        </w:tc>
        <w:tc>
          <w:tcPr>
            <w:tcW w:w="6866" w:type="dxa"/>
          </w:tcPr>
          <w:p w:rsidR="005B1CBB" w:rsidRPr="00583315" w:rsidRDefault="005B1CBB" w:rsidP="00D31068">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Government of Indonesia National Medium-Term (five-year) Development Plan, formulated by </w:t>
            </w:r>
            <w:proofErr w:type="spellStart"/>
            <w:r w:rsidRPr="00583315">
              <w:rPr>
                <w:rFonts w:ascii="Times New Roman" w:hAnsi="Times New Roman" w:cs="Times New Roman"/>
                <w:sz w:val="24"/>
                <w:szCs w:val="24"/>
              </w:rPr>
              <w:t>Bappenas</w:t>
            </w:r>
            <w:proofErr w:type="spellEnd"/>
            <w:r w:rsidRPr="00583315">
              <w:rPr>
                <w:rFonts w:ascii="Times New Roman" w:hAnsi="Times New Roman" w:cs="Times New Roman"/>
                <w:sz w:val="24"/>
                <w:szCs w:val="24"/>
              </w:rPr>
              <w:t xml:space="preserve">. </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RPJPN </w:t>
            </w:r>
          </w:p>
        </w:tc>
        <w:tc>
          <w:tcPr>
            <w:tcW w:w="6866" w:type="dxa"/>
          </w:tcPr>
          <w:p w:rsidR="005B1CBB" w:rsidRPr="00583315" w:rsidRDefault="00C47400"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Government of Indonesia National Long-Term Development Plan (25 years), formulated by </w:t>
            </w:r>
            <w:proofErr w:type="spellStart"/>
            <w:r>
              <w:rPr>
                <w:rFonts w:ascii="Times New Roman" w:hAnsi="Times New Roman" w:cs="Times New Roman"/>
                <w:sz w:val="24"/>
                <w:szCs w:val="24"/>
              </w:rPr>
              <w:t>Bappenas</w:t>
            </w:r>
            <w:proofErr w:type="spellEnd"/>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SAKIP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Government of Indonesia’s Bureaucratic Accountability and Effectiveness System</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proofErr w:type="spellStart"/>
            <w:r w:rsidRPr="00583315">
              <w:rPr>
                <w:rFonts w:ascii="Times New Roman" w:hAnsi="Times New Roman" w:cs="Times New Roman"/>
                <w:sz w:val="24"/>
                <w:szCs w:val="24"/>
              </w:rPr>
              <w:t>Stratnas</w:t>
            </w:r>
            <w:proofErr w:type="spellEnd"/>
            <w:r w:rsidRPr="00583315">
              <w:rPr>
                <w:rFonts w:ascii="Times New Roman" w:hAnsi="Times New Roman" w:cs="Times New Roman"/>
                <w:sz w:val="24"/>
                <w:szCs w:val="24"/>
              </w:rPr>
              <w:t xml:space="preserve"> PK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National Strategy on Corruption Eradication</w:t>
            </w:r>
          </w:p>
        </w:tc>
      </w:tr>
      <w:tr w:rsidR="00D02DC2" w:rsidRPr="00583315" w:rsidTr="00AF16F7">
        <w:tc>
          <w:tcPr>
            <w:tcW w:w="2376" w:type="dxa"/>
          </w:tcPr>
          <w:p w:rsidR="00D02DC2" w:rsidRPr="00583315" w:rsidRDefault="00D02DC2"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TAF</w:t>
            </w:r>
          </w:p>
        </w:tc>
        <w:tc>
          <w:tcPr>
            <w:tcW w:w="6866" w:type="dxa"/>
          </w:tcPr>
          <w:p w:rsidR="00D02DC2" w:rsidRPr="00583315" w:rsidRDefault="00D02DC2"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Asia Foundation</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TII</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Transparency International – Indonesia (an NGO</w:t>
            </w:r>
            <w:r>
              <w:rPr>
                <w:rFonts w:ascii="Times New Roman" w:hAnsi="Times New Roman" w:cs="Times New Roman"/>
                <w:sz w:val="24"/>
                <w:szCs w:val="24"/>
              </w:rPr>
              <w:t>)</w:t>
            </w:r>
          </w:p>
        </w:tc>
      </w:tr>
      <w:tr w:rsidR="003A6986" w:rsidRPr="00583315" w:rsidTr="00AF16F7">
        <w:tc>
          <w:tcPr>
            <w:tcW w:w="2376" w:type="dxa"/>
          </w:tcPr>
          <w:p w:rsidR="003A6986" w:rsidRPr="00583315" w:rsidRDefault="003A6986" w:rsidP="00AF16F7">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ToR</w:t>
            </w:r>
            <w:proofErr w:type="spellEnd"/>
          </w:p>
        </w:tc>
        <w:tc>
          <w:tcPr>
            <w:tcW w:w="6866" w:type="dxa"/>
          </w:tcPr>
          <w:p w:rsidR="003A6986" w:rsidRPr="00583315" w:rsidRDefault="003A6986" w:rsidP="00AF16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Terms of Reference for the IPR</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TSP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Technical Support Pool</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UNCAC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United Nations Convention Against Corruption</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UNDP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United Nations Development Program</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UNODC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United Nations Office on Drugs and Crime</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lastRenderedPageBreak/>
              <w:t xml:space="preserve">USAID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United States Agency for International Development</w:t>
            </w:r>
          </w:p>
        </w:tc>
      </w:tr>
      <w:tr w:rsidR="005B1CBB" w:rsidRPr="00583315" w:rsidTr="00AF16F7">
        <w:tc>
          <w:tcPr>
            <w:tcW w:w="237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 xml:space="preserve">WGLC </w:t>
            </w:r>
          </w:p>
        </w:tc>
        <w:tc>
          <w:tcPr>
            <w:tcW w:w="6866" w:type="dxa"/>
          </w:tcPr>
          <w:p w:rsidR="005B1CBB" w:rsidRPr="00583315" w:rsidRDefault="005B1CBB" w:rsidP="00AF16F7">
            <w:pPr>
              <w:autoSpaceDE w:val="0"/>
              <w:autoSpaceDN w:val="0"/>
              <w:adjustRightInd w:val="0"/>
              <w:rPr>
                <w:rFonts w:ascii="Times New Roman" w:hAnsi="Times New Roman" w:cs="Times New Roman"/>
                <w:sz w:val="24"/>
                <w:szCs w:val="24"/>
              </w:rPr>
            </w:pPr>
            <w:r w:rsidRPr="00583315">
              <w:rPr>
                <w:rFonts w:ascii="Times New Roman" w:hAnsi="Times New Roman" w:cs="Times New Roman"/>
                <w:sz w:val="24"/>
                <w:szCs w:val="24"/>
              </w:rPr>
              <w:t>Australia Indonesia Working Group on Legal Cooperation</w:t>
            </w:r>
          </w:p>
        </w:tc>
      </w:tr>
      <w:tr w:rsidR="005B1CBB" w:rsidTr="00AF16F7">
        <w:tc>
          <w:tcPr>
            <w:tcW w:w="2376" w:type="dxa"/>
          </w:tcPr>
          <w:p w:rsidR="005B1CBB" w:rsidRDefault="005B1CBB" w:rsidP="00AF16F7">
            <w:r w:rsidRPr="00583315">
              <w:rPr>
                <w:rFonts w:ascii="Times New Roman" w:hAnsi="Times New Roman" w:cs="Times New Roman"/>
                <w:sz w:val="24"/>
                <w:szCs w:val="24"/>
              </w:rPr>
              <w:t xml:space="preserve">YLBHI </w:t>
            </w:r>
          </w:p>
        </w:tc>
        <w:tc>
          <w:tcPr>
            <w:tcW w:w="6866" w:type="dxa"/>
          </w:tcPr>
          <w:p w:rsidR="005B1CBB" w:rsidRPr="00583315" w:rsidRDefault="005B1CBB" w:rsidP="00AF16F7">
            <w:pPr>
              <w:rPr>
                <w:rFonts w:ascii="Times New Roman" w:hAnsi="Times New Roman" w:cs="Times New Roman"/>
                <w:sz w:val="24"/>
                <w:szCs w:val="24"/>
              </w:rPr>
            </w:pPr>
            <w:r w:rsidRPr="00583315">
              <w:rPr>
                <w:rFonts w:ascii="Times New Roman" w:hAnsi="Times New Roman" w:cs="Times New Roman"/>
                <w:sz w:val="24"/>
                <w:szCs w:val="24"/>
              </w:rPr>
              <w:t>Indonesian Legal Aid Foundation</w:t>
            </w:r>
          </w:p>
        </w:tc>
      </w:tr>
    </w:tbl>
    <w:p w:rsidR="005B1CBB" w:rsidRDefault="005B1CBB" w:rsidP="005B1CBB">
      <w:pPr>
        <w:pStyle w:val="Heading1"/>
        <w:numPr>
          <w:ilvl w:val="0"/>
          <w:numId w:val="0"/>
        </w:numPr>
        <w:ind w:left="432" w:hanging="432"/>
        <w:rPr>
          <w:color w:val="auto"/>
        </w:rPr>
      </w:pPr>
    </w:p>
    <w:p w:rsidR="005B1CBB" w:rsidRPr="004E3E67" w:rsidRDefault="005B1CBB" w:rsidP="005B1CBB"/>
    <w:p w:rsidR="00D31068" w:rsidRDefault="00D31068">
      <w:r>
        <w:br w:type="page"/>
      </w:r>
    </w:p>
    <w:p w:rsidR="005B1CBB" w:rsidRPr="00F230E2" w:rsidRDefault="005B1CBB" w:rsidP="005B1CBB"/>
    <w:bookmarkStart w:id="0" w:name="_Toc345320813" w:displacedByCustomXml="next"/>
    <w:sdt>
      <w:sdtPr>
        <w:rPr>
          <w:rFonts w:asciiTheme="minorHAnsi" w:eastAsiaTheme="minorEastAsia" w:hAnsiTheme="minorHAnsi" w:cstheme="minorBidi"/>
          <w:b w:val="0"/>
          <w:bCs w:val="0"/>
          <w:color w:val="auto"/>
          <w:sz w:val="22"/>
          <w:szCs w:val="22"/>
        </w:rPr>
        <w:id w:val="18489157"/>
        <w:docPartObj>
          <w:docPartGallery w:val="Table of Contents"/>
          <w:docPartUnique/>
        </w:docPartObj>
      </w:sdtPr>
      <w:sdtEndPr/>
      <w:sdtContent>
        <w:p w:rsidR="005B1CBB" w:rsidRDefault="005B1CBB" w:rsidP="005B1CBB">
          <w:pPr>
            <w:pStyle w:val="Heading1"/>
          </w:pPr>
          <w:r>
            <w:t>Contents</w:t>
          </w:r>
          <w:bookmarkEnd w:id="0"/>
        </w:p>
        <w:p w:rsidR="00F8204F" w:rsidRDefault="000128C4">
          <w:pPr>
            <w:pStyle w:val="TOC1"/>
            <w:tabs>
              <w:tab w:val="left" w:pos="720"/>
              <w:tab w:val="right" w:leader="dot" w:pos="9089"/>
            </w:tabs>
            <w:rPr>
              <w:noProof/>
            </w:rPr>
          </w:pPr>
          <w:r>
            <w:fldChar w:fldCharType="begin"/>
          </w:r>
          <w:r w:rsidR="005B1CBB">
            <w:instrText xml:space="preserve"> TOC \o "1-3" \h \z \u </w:instrText>
          </w:r>
          <w:r>
            <w:fldChar w:fldCharType="separate"/>
          </w:r>
          <w:hyperlink w:anchor="_Toc345320813" w:history="1">
            <w:r w:rsidR="00F8204F" w:rsidRPr="00FB7DE9">
              <w:rPr>
                <w:rStyle w:val="Hyperlink"/>
                <w:noProof/>
              </w:rPr>
              <w:t>1</w:t>
            </w:r>
            <w:r w:rsidR="00F8204F">
              <w:rPr>
                <w:noProof/>
              </w:rPr>
              <w:tab/>
            </w:r>
            <w:r w:rsidR="00F8204F" w:rsidRPr="00FB7DE9">
              <w:rPr>
                <w:rStyle w:val="Hyperlink"/>
                <w:noProof/>
              </w:rPr>
              <w:t>Contents</w:t>
            </w:r>
            <w:r w:rsidR="00F8204F">
              <w:rPr>
                <w:noProof/>
                <w:webHidden/>
              </w:rPr>
              <w:tab/>
            </w:r>
            <w:r w:rsidR="00F8204F">
              <w:rPr>
                <w:noProof/>
                <w:webHidden/>
              </w:rPr>
              <w:fldChar w:fldCharType="begin"/>
            </w:r>
            <w:r w:rsidR="00F8204F">
              <w:rPr>
                <w:noProof/>
                <w:webHidden/>
              </w:rPr>
              <w:instrText xml:space="preserve"> PAGEREF _Toc345320813 \h </w:instrText>
            </w:r>
            <w:r w:rsidR="00F8204F">
              <w:rPr>
                <w:noProof/>
                <w:webHidden/>
              </w:rPr>
            </w:r>
            <w:r w:rsidR="00F8204F">
              <w:rPr>
                <w:noProof/>
                <w:webHidden/>
              </w:rPr>
              <w:fldChar w:fldCharType="separate"/>
            </w:r>
            <w:r w:rsidR="00F8204F">
              <w:rPr>
                <w:noProof/>
                <w:webHidden/>
              </w:rPr>
              <w:t>vii</w:t>
            </w:r>
            <w:r w:rsidR="00F8204F">
              <w:rPr>
                <w:noProof/>
                <w:webHidden/>
              </w:rPr>
              <w:fldChar w:fldCharType="end"/>
            </w:r>
          </w:hyperlink>
        </w:p>
        <w:p w:rsidR="00F8204F" w:rsidRDefault="007E3BFF">
          <w:pPr>
            <w:pStyle w:val="TOC1"/>
            <w:tabs>
              <w:tab w:val="left" w:pos="720"/>
              <w:tab w:val="right" w:leader="dot" w:pos="9089"/>
            </w:tabs>
            <w:rPr>
              <w:noProof/>
            </w:rPr>
          </w:pPr>
          <w:hyperlink w:anchor="_Toc345320814" w:history="1">
            <w:r w:rsidR="00F8204F" w:rsidRPr="00FB7DE9">
              <w:rPr>
                <w:rStyle w:val="Hyperlink"/>
                <w:noProof/>
              </w:rPr>
              <w:t>2</w:t>
            </w:r>
            <w:r w:rsidR="00F8204F">
              <w:rPr>
                <w:noProof/>
              </w:rPr>
              <w:tab/>
            </w:r>
            <w:r w:rsidR="00F8204F" w:rsidRPr="00FB7DE9">
              <w:rPr>
                <w:rStyle w:val="Hyperlink"/>
                <w:noProof/>
              </w:rPr>
              <w:t>Executive Summary</w:t>
            </w:r>
            <w:r w:rsidR="00F8204F">
              <w:rPr>
                <w:noProof/>
                <w:webHidden/>
              </w:rPr>
              <w:tab/>
            </w:r>
            <w:r w:rsidR="00F8204F">
              <w:rPr>
                <w:noProof/>
                <w:webHidden/>
              </w:rPr>
              <w:fldChar w:fldCharType="begin"/>
            </w:r>
            <w:r w:rsidR="00F8204F">
              <w:rPr>
                <w:noProof/>
                <w:webHidden/>
              </w:rPr>
              <w:instrText xml:space="preserve"> PAGEREF _Toc345320814 \h </w:instrText>
            </w:r>
            <w:r w:rsidR="00F8204F">
              <w:rPr>
                <w:noProof/>
                <w:webHidden/>
              </w:rPr>
            </w:r>
            <w:r w:rsidR="00F8204F">
              <w:rPr>
                <w:noProof/>
                <w:webHidden/>
              </w:rPr>
              <w:fldChar w:fldCharType="separate"/>
            </w:r>
            <w:r w:rsidR="00F8204F">
              <w:rPr>
                <w:noProof/>
                <w:webHidden/>
              </w:rPr>
              <w:t>viii</w:t>
            </w:r>
            <w:r w:rsidR="00F8204F">
              <w:rPr>
                <w:noProof/>
                <w:webHidden/>
              </w:rPr>
              <w:fldChar w:fldCharType="end"/>
            </w:r>
          </w:hyperlink>
        </w:p>
        <w:p w:rsidR="00F8204F" w:rsidRDefault="007E3BFF">
          <w:pPr>
            <w:pStyle w:val="TOC2"/>
            <w:tabs>
              <w:tab w:val="left" w:pos="720"/>
              <w:tab w:val="right" w:leader="dot" w:pos="9089"/>
            </w:tabs>
            <w:rPr>
              <w:noProof/>
            </w:rPr>
          </w:pPr>
          <w:hyperlink w:anchor="_Toc345320815" w:history="1">
            <w:r w:rsidR="00F8204F" w:rsidRPr="00FB7DE9">
              <w:rPr>
                <w:rStyle w:val="Hyperlink"/>
                <w:noProof/>
              </w:rPr>
              <w:t>2.1</w:t>
            </w:r>
            <w:r w:rsidR="00F8204F">
              <w:rPr>
                <w:noProof/>
              </w:rPr>
              <w:tab/>
            </w:r>
            <w:r w:rsidR="00F8204F" w:rsidRPr="00FB7DE9">
              <w:rPr>
                <w:rStyle w:val="Hyperlink"/>
                <w:noProof/>
              </w:rPr>
              <w:t>Design</w:t>
            </w:r>
            <w:r w:rsidR="00F8204F">
              <w:rPr>
                <w:noProof/>
                <w:webHidden/>
              </w:rPr>
              <w:tab/>
            </w:r>
            <w:r w:rsidR="00F8204F">
              <w:rPr>
                <w:noProof/>
                <w:webHidden/>
              </w:rPr>
              <w:fldChar w:fldCharType="begin"/>
            </w:r>
            <w:r w:rsidR="00F8204F">
              <w:rPr>
                <w:noProof/>
                <w:webHidden/>
              </w:rPr>
              <w:instrText xml:space="preserve"> PAGEREF _Toc345320815 \h </w:instrText>
            </w:r>
            <w:r w:rsidR="00F8204F">
              <w:rPr>
                <w:noProof/>
                <w:webHidden/>
              </w:rPr>
            </w:r>
            <w:r w:rsidR="00F8204F">
              <w:rPr>
                <w:noProof/>
                <w:webHidden/>
              </w:rPr>
              <w:fldChar w:fldCharType="separate"/>
            </w:r>
            <w:r w:rsidR="00F8204F">
              <w:rPr>
                <w:noProof/>
                <w:webHidden/>
              </w:rPr>
              <w:t>viii</w:t>
            </w:r>
            <w:r w:rsidR="00F8204F">
              <w:rPr>
                <w:noProof/>
                <w:webHidden/>
              </w:rPr>
              <w:fldChar w:fldCharType="end"/>
            </w:r>
          </w:hyperlink>
        </w:p>
        <w:p w:rsidR="00F8204F" w:rsidRDefault="007E3BFF">
          <w:pPr>
            <w:pStyle w:val="TOC2"/>
            <w:tabs>
              <w:tab w:val="left" w:pos="720"/>
              <w:tab w:val="right" w:leader="dot" w:pos="9089"/>
            </w:tabs>
            <w:rPr>
              <w:noProof/>
            </w:rPr>
          </w:pPr>
          <w:hyperlink w:anchor="_Toc345320816" w:history="1">
            <w:r w:rsidR="00F8204F" w:rsidRPr="00FB7DE9">
              <w:rPr>
                <w:rStyle w:val="Hyperlink"/>
                <w:noProof/>
              </w:rPr>
              <w:t>2.2</w:t>
            </w:r>
            <w:r w:rsidR="00F8204F">
              <w:rPr>
                <w:noProof/>
              </w:rPr>
              <w:tab/>
            </w:r>
            <w:r w:rsidR="00F8204F" w:rsidRPr="00FB7DE9">
              <w:rPr>
                <w:rStyle w:val="Hyperlink"/>
                <w:noProof/>
              </w:rPr>
              <w:t>Implementation Arrangements</w:t>
            </w:r>
            <w:r w:rsidR="00F8204F">
              <w:rPr>
                <w:noProof/>
                <w:webHidden/>
              </w:rPr>
              <w:tab/>
            </w:r>
            <w:r w:rsidR="00F8204F">
              <w:rPr>
                <w:noProof/>
                <w:webHidden/>
              </w:rPr>
              <w:fldChar w:fldCharType="begin"/>
            </w:r>
            <w:r w:rsidR="00F8204F">
              <w:rPr>
                <w:noProof/>
                <w:webHidden/>
              </w:rPr>
              <w:instrText xml:space="preserve"> PAGEREF _Toc345320816 \h </w:instrText>
            </w:r>
            <w:r w:rsidR="00F8204F">
              <w:rPr>
                <w:noProof/>
                <w:webHidden/>
              </w:rPr>
            </w:r>
            <w:r w:rsidR="00F8204F">
              <w:rPr>
                <w:noProof/>
                <w:webHidden/>
              </w:rPr>
              <w:fldChar w:fldCharType="separate"/>
            </w:r>
            <w:r w:rsidR="00F8204F">
              <w:rPr>
                <w:noProof/>
                <w:webHidden/>
              </w:rPr>
              <w:t>ix</w:t>
            </w:r>
            <w:r w:rsidR="00F8204F">
              <w:rPr>
                <w:noProof/>
                <w:webHidden/>
              </w:rPr>
              <w:fldChar w:fldCharType="end"/>
            </w:r>
          </w:hyperlink>
        </w:p>
        <w:p w:rsidR="00F8204F" w:rsidRDefault="007E3BFF">
          <w:pPr>
            <w:pStyle w:val="TOC2"/>
            <w:tabs>
              <w:tab w:val="left" w:pos="720"/>
              <w:tab w:val="right" w:leader="dot" w:pos="9089"/>
            </w:tabs>
            <w:rPr>
              <w:noProof/>
            </w:rPr>
          </w:pPr>
          <w:hyperlink w:anchor="_Toc345320817" w:history="1">
            <w:r w:rsidR="00F8204F" w:rsidRPr="00FB7DE9">
              <w:rPr>
                <w:rStyle w:val="Hyperlink"/>
                <w:noProof/>
              </w:rPr>
              <w:t>2.3</w:t>
            </w:r>
            <w:r w:rsidR="00F8204F">
              <w:rPr>
                <w:noProof/>
              </w:rPr>
              <w:tab/>
            </w:r>
            <w:r w:rsidR="00F8204F" w:rsidRPr="00FB7DE9">
              <w:rPr>
                <w:rStyle w:val="Hyperlink"/>
                <w:noProof/>
              </w:rPr>
              <w:t>Integration and Synergies</w:t>
            </w:r>
            <w:r w:rsidR="00F8204F">
              <w:rPr>
                <w:noProof/>
                <w:webHidden/>
              </w:rPr>
              <w:tab/>
            </w:r>
            <w:r w:rsidR="00F8204F">
              <w:rPr>
                <w:noProof/>
                <w:webHidden/>
              </w:rPr>
              <w:fldChar w:fldCharType="begin"/>
            </w:r>
            <w:r w:rsidR="00F8204F">
              <w:rPr>
                <w:noProof/>
                <w:webHidden/>
              </w:rPr>
              <w:instrText xml:space="preserve"> PAGEREF _Toc345320817 \h </w:instrText>
            </w:r>
            <w:r w:rsidR="00F8204F">
              <w:rPr>
                <w:noProof/>
                <w:webHidden/>
              </w:rPr>
            </w:r>
            <w:r w:rsidR="00F8204F">
              <w:rPr>
                <w:noProof/>
                <w:webHidden/>
              </w:rPr>
              <w:fldChar w:fldCharType="separate"/>
            </w:r>
            <w:r w:rsidR="00F8204F">
              <w:rPr>
                <w:noProof/>
                <w:webHidden/>
              </w:rPr>
              <w:t>x</w:t>
            </w:r>
            <w:r w:rsidR="00F8204F">
              <w:rPr>
                <w:noProof/>
                <w:webHidden/>
              </w:rPr>
              <w:fldChar w:fldCharType="end"/>
            </w:r>
          </w:hyperlink>
        </w:p>
        <w:p w:rsidR="00F8204F" w:rsidRDefault="007E3BFF">
          <w:pPr>
            <w:pStyle w:val="TOC1"/>
            <w:tabs>
              <w:tab w:val="left" w:pos="720"/>
              <w:tab w:val="right" w:leader="dot" w:pos="9089"/>
            </w:tabs>
            <w:rPr>
              <w:noProof/>
            </w:rPr>
          </w:pPr>
          <w:hyperlink w:anchor="_Toc345320818" w:history="1">
            <w:r w:rsidR="00F8204F" w:rsidRPr="00FB7DE9">
              <w:rPr>
                <w:rStyle w:val="Hyperlink"/>
                <w:noProof/>
              </w:rPr>
              <w:t>3</w:t>
            </w:r>
            <w:r w:rsidR="00F8204F">
              <w:rPr>
                <w:noProof/>
              </w:rPr>
              <w:tab/>
            </w:r>
            <w:r w:rsidR="00F8204F" w:rsidRPr="00FB7DE9">
              <w:rPr>
                <w:rStyle w:val="Hyperlink"/>
                <w:noProof/>
              </w:rPr>
              <w:t>Introduction</w:t>
            </w:r>
            <w:r w:rsidR="00F8204F">
              <w:rPr>
                <w:noProof/>
                <w:webHidden/>
              </w:rPr>
              <w:tab/>
            </w:r>
            <w:r w:rsidR="00F8204F">
              <w:rPr>
                <w:noProof/>
                <w:webHidden/>
              </w:rPr>
              <w:fldChar w:fldCharType="begin"/>
            </w:r>
            <w:r w:rsidR="00F8204F">
              <w:rPr>
                <w:noProof/>
                <w:webHidden/>
              </w:rPr>
              <w:instrText xml:space="preserve"> PAGEREF _Toc345320818 \h </w:instrText>
            </w:r>
            <w:r w:rsidR="00F8204F">
              <w:rPr>
                <w:noProof/>
                <w:webHidden/>
              </w:rPr>
            </w:r>
            <w:r w:rsidR="00F8204F">
              <w:rPr>
                <w:noProof/>
                <w:webHidden/>
              </w:rPr>
              <w:fldChar w:fldCharType="separate"/>
            </w:r>
            <w:r w:rsidR="00F8204F">
              <w:rPr>
                <w:noProof/>
                <w:webHidden/>
              </w:rPr>
              <w:t>1</w:t>
            </w:r>
            <w:r w:rsidR="00F8204F">
              <w:rPr>
                <w:noProof/>
                <w:webHidden/>
              </w:rPr>
              <w:fldChar w:fldCharType="end"/>
            </w:r>
          </w:hyperlink>
        </w:p>
        <w:p w:rsidR="00F8204F" w:rsidRDefault="007E3BFF">
          <w:pPr>
            <w:pStyle w:val="TOC1"/>
            <w:tabs>
              <w:tab w:val="left" w:pos="720"/>
              <w:tab w:val="right" w:leader="dot" w:pos="9089"/>
            </w:tabs>
            <w:rPr>
              <w:noProof/>
            </w:rPr>
          </w:pPr>
          <w:hyperlink w:anchor="_Toc345320819" w:history="1">
            <w:r w:rsidR="00F8204F" w:rsidRPr="00FB7DE9">
              <w:rPr>
                <w:rStyle w:val="Hyperlink"/>
                <w:noProof/>
              </w:rPr>
              <w:t>4</w:t>
            </w:r>
            <w:r w:rsidR="00F8204F">
              <w:rPr>
                <w:noProof/>
              </w:rPr>
              <w:tab/>
            </w:r>
            <w:r w:rsidR="00F8204F" w:rsidRPr="00FB7DE9">
              <w:rPr>
                <w:rStyle w:val="Hyperlink"/>
                <w:noProof/>
              </w:rPr>
              <w:t>AIPJ Background</w:t>
            </w:r>
            <w:r w:rsidR="00F8204F">
              <w:rPr>
                <w:noProof/>
                <w:webHidden/>
              </w:rPr>
              <w:tab/>
            </w:r>
            <w:r w:rsidR="00F8204F">
              <w:rPr>
                <w:noProof/>
                <w:webHidden/>
              </w:rPr>
              <w:fldChar w:fldCharType="begin"/>
            </w:r>
            <w:r w:rsidR="00F8204F">
              <w:rPr>
                <w:noProof/>
                <w:webHidden/>
              </w:rPr>
              <w:instrText xml:space="preserve"> PAGEREF _Toc345320819 \h </w:instrText>
            </w:r>
            <w:r w:rsidR="00F8204F">
              <w:rPr>
                <w:noProof/>
                <w:webHidden/>
              </w:rPr>
            </w:r>
            <w:r w:rsidR="00F8204F">
              <w:rPr>
                <w:noProof/>
                <w:webHidden/>
              </w:rPr>
              <w:fldChar w:fldCharType="separate"/>
            </w:r>
            <w:r w:rsidR="00F8204F">
              <w:rPr>
                <w:noProof/>
                <w:webHidden/>
              </w:rPr>
              <w:t>1</w:t>
            </w:r>
            <w:r w:rsidR="00F8204F">
              <w:rPr>
                <w:noProof/>
                <w:webHidden/>
              </w:rPr>
              <w:fldChar w:fldCharType="end"/>
            </w:r>
          </w:hyperlink>
        </w:p>
        <w:p w:rsidR="00F8204F" w:rsidRDefault="007E3BFF">
          <w:pPr>
            <w:pStyle w:val="TOC1"/>
            <w:tabs>
              <w:tab w:val="left" w:pos="720"/>
              <w:tab w:val="right" w:leader="dot" w:pos="9089"/>
            </w:tabs>
            <w:rPr>
              <w:noProof/>
            </w:rPr>
          </w:pPr>
          <w:hyperlink w:anchor="_Toc345320820" w:history="1">
            <w:r w:rsidR="00F8204F" w:rsidRPr="00FB7DE9">
              <w:rPr>
                <w:rStyle w:val="Hyperlink"/>
                <w:noProof/>
              </w:rPr>
              <w:t>5</w:t>
            </w:r>
            <w:r w:rsidR="00F8204F">
              <w:rPr>
                <w:noProof/>
              </w:rPr>
              <w:tab/>
            </w:r>
            <w:r w:rsidR="00F8204F" w:rsidRPr="00FB7DE9">
              <w:rPr>
                <w:rStyle w:val="Hyperlink"/>
                <w:noProof/>
              </w:rPr>
              <w:t>AIPJ Strategy or Theory of Change</w:t>
            </w:r>
            <w:r w:rsidR="00F8204F">
              <w:rPr>
                <w:noProof/>
                <w:webHidden/>
              </w:rPr>
              <w:tab/>
            </w:r>
            <w:r w:rsidR="00F8204F">
              <w:rPr>
                <w:noProof/>
                <w:webHidden/>
              </w:rPr>
              <w:fldChar w:fldCharType="begin"/>
            </w:r>
            <w:r w:rsidR="00F8204F">
              <w:rPr>
                <w:noProof/>
                <w:webHidden/>
              </w:rPr>
              <w:instrText xml:space="preserve"> PAGEREF _Toc345320820 \h </w:instrText>
            </w:r>
            <w:r w:rsidR="00F8204F">
              <w:rPr>
                <w:noProof/>
                <w:webHidden/>
              </w:rPr>
            </w:r>
            <w:r w:rsidR="00F8204F">
              <w:rPr>
                <w:noProof/>
                <w:webHidden/>
              </w:rPr>
              <w:fldChar w:fldCharType="separate"/>
            </w:r>
            <w:r w:rsidR="00F8204F">
              <w:rPr>
                <w:noProof/>
                <w:webHidden/>
              </w:rPr>
              <w:t>2</w:t>
            </w:r>
            <w:r w:rsidR="00F8204F">
              <w:rPr>
                <w:noProof/>
                <w:webHidden/>
              </w:rPr>
              <w:fldChar w:fldCharType="end"/>
            </w:r>
          </w:hyperlink>
        </w:p>
        <w:p w:rsidR="00F8204F" w:rsidRDefault="007E3BFF">
          <w:pPr>
            <w:pStyle w:val="TOC1"/>
            <w:tabs>
              <w:tab w:val="left" w:pos="720"/>
              <w:tab w:val="right" w:leader="dot" w:pos="9089"/>
            </w:tabs>
            <w:rPr>
              <w:noProof/>
            </w:rPr>
          </w:pPr>
          <w:hyperlink w:anchor="_Toc345320821" w:history="1">
            <w:r w:rsidR="00F8204F" w:rsidRPr="00FB7DE9">
              <w:rPr>
                <w:rStyle w:val="Hyperlink"/>
                <w:noProof/>
              </w:rPr>
              <w:t>6</w:t>
            </w:r>
            <w:r w:rsidR="00F8204F">
              <w:rPr>
                <w:noProof/>
              </w:rPr>
              <w:tab/>
            </w:r>
            <w:r w:rsidR="00F8204F" w:rsidRPr="00FB7DE9">
              <w:rPr>
                <w:rStyle w:val="Hyperlink"/>
                <w:noProof/>
              </w:rPr>
              <w:t>Evaluation Criteria-Assessment</w:t>
            </w:r>
            <w:r w:rsidR="00F8204F">
              <w:rPr>
                <w:noProof/>
                <w:webHidden/>
              </w:rPr>
              <w:tab/>
            </w:r>
            <w:r w:rsidR="00F8204F">
              <w:rPr>
                <w:noProof/>
                <w:webHidden/>
              </w:rPr>
              <w:fldChar w:fldCharType="begin"/>
            </w:r>
            <w:r w:rsidR="00F8204F">
              <w:rPr>
                <w:noProof/>
                <w:webHidden/>
              </w:rPr>
              <w:instrText xml:space="preserve"> PAGEREF _Toc345320821 \h </w:instrText>
            </w:r>
            <w:r w:rsidR="00F8204F">
              <w:rPr>
                <w:noProof/>
                <w:webHidden/>
              </w:rPr>
            </w:r>
            <w:r w:rsidR="00F8204F">
              <w:rPr>
                <w:noProof/>
                <w:webHidden/>
              </w:rPr>
              <w:fldChar w:fldCharType="separate"/>
            </w:r>
            <w:r w:rsidR="00F8204F">
              <w:rPr>
                <w:noProof/>
                <w:webHidden/>
              </w:rPr>
              <w:t>3</w:t>
            </w:r>
            <w:r w:rsidR="00F8204F">
              <w:rPr>
                <w:noProof/>
                <w:webHidden/>
              </w:rPr>
              <w:fldChar w:fldCharType="end"/>
            </w:r>
          </w:hyperlink>
        </w:p>
        <w:p w:rsidR="00F8204F" w:rsidRDefault="007E3BFF">
          <w:pPr>
            <w:pStyle w:val="TOC2"/>
            <w:tabs>
              <w:tab w:val="left" w:pos="720"/>
              <w:tab w:val="right" w:leader="dot" w:pos="9089"/>
            </w:tabs>
            <w:rPr>
              <w:noProof/>
            </w:rPr>
          </w:pPr>
          <w:hyperlink w:anchor="_Toc345320822" w:history="1">
            <w:r w:rsidR="00F8204F" w:rsidRPr="00FB7DE9">
              <w:rPr>
                <w:rStyle w:val="Hyperlink"/>
                <w:noProof/>
              </w:rPr>
              <w:t>6.1</w:t>
            </w:r>
            <w:r w:rsidR="00F8204F">
              <w:rPr>
                <w:noProof/>
              </w:rPr>
              <w:tab/>
            </w:r>
            <w:r w:rsidR="00F8204F" w:rsidRPr="00FB7DE9">
              <w:rPr>
                <w:rStyle w:val="Hyperlink"/>
                <w:noProof/>
              </w:rPr>
              <w:t>Design</w:t>
            </w:r>
            <w:r w:rsidR="00F8204F">
              <w:rPr>
                <w:noProof/>
                <w:webHidden/>
              </w:rPr>
              <w:tab/>
            </w:r>
            <w:r w:rsidR="00F8204F">
              <w:rPr>
                <w:noProof/>
                <w:webHidden/>
              </w:rPr>
              <w:fldChar w:fldCharType="begin"/>
            </w:r>
            <w:r w:rsidR="00F8204F">
              <w:rPr>
                <w:noProof/>
                <w:webHidden/>
              </w:rPr>
              <w:instrText xml:space="preserve"> PAGEREF _Toc345320822 \h </w:instrText>
            </w:r>
            <w:r w:rsidR="00F8204F">
              <w:rPr>
                <w:noProof/>
                <w:webHidden/>
              </w:rPr>
            </w:r>
            <w:r w:rsidR="00F8204F">
              <w:rPr>
                <w:noProof/>
                <w:webHidden/>
              </w:rPr>
              <w:fldChar w:fldCharType="separate"/>
            </w:r>
            <w:r w:rsidR="00F8204F">
              <w:rPr>
                <w:noProof/>
                <w:webHidden/>
              </w:rPr>
              <w:t>3</w:t>
            </w:r>
            <w:r w:rsidR="00F8204F">
              <w:rPr>
                <w:noProof/>
                <w:webHidden/>
              </w:rPr>
              <w:fldChar w:fldCharType="end"/>
            </w:r>
          </w:hyperlink>
        </w:p>
        <w:p w:rsidR="00F8204F" w:rsidRDefault="007E3BFF">
          <w:pPr>
            <w:pStyle w:val="TOC2"/>
            <w:tabs>
              <w:tab w:val="left" w:pos="720"/>
              <w:tab w:val="right" w:leader="dot" w:pos="9089"/>
            </w:tabs>
            <w:rPr>
              <w:noProof/>
            </w:rPr>
          </w:pPr>
          <w:hyperlink w:anchor="_Toc345320823" w:history="1">
            <w:r w:rsidR="00F8204F" w:rsidRPr="00FB7DE9">
              <w:rPr>
                <w:rStyle w:val="Hyperlink"/>
                <w:noProof/>
              </w:rPr>
              <w:t>6.2</w:t>
            </w:r>
            <w:r w:rsidR="00F8204F">
              <w:rPr>
                <w:noProof/>
              </w:rPr>
              <w:tab/>
            </w:r>
            <w:r w:rsidR="00F8204F" w:rsidRPr="00FB7DE9">
              <w:rPr>
                <w:rStyle w:val="Hyperlink"/>
                <w:noProof/>
              </w:rPr>
              <w:t>Implementation Arrangements</w:t>
            </w:r>
            <w:r w:rsidR="00F8204F">
              <w:rPr>
                <w:noProof/>
                <w:webHidden/>
              </w:rPr>
              <w:tab/>
            </w:r>
            <w:r w:rsidR="00F8204F">
              <w:rPr>
                <w:noProof/>
                <w:webHidden/>
              </w:rPr>
              <w:fldChar w:fldCharType="begin"/>
            </w:r>
            <w:r w:rsidR="00F8204F">
              <w:rPr>
                <w:noProof/>
                <w:webHidden/>
              </w:rPr>
              <w:instrText xml:space="preserve"> PAGEREF _Toc345320823 \h </w:instrText>
            </w:r>
            <w:r w:rsidR="00F8204F">
              <w:rPr>
                <w:noProof/>
                <w:webHidden/>
              </w:rPr>
            </w:r>
            <w:r w:rsidR="00F8204F">
              <w:rPr>
                <w:noProof/>
                <w:webHidden/>
              </w:rPr>
              <w:fldChar w:fldCharType="separate"/>
            </w:r>
            <w:r w:rsidR="00F8204F">
              <w:rPr>
                <w:noProof/>
                <w:webHidden/>
              </w:rPr>
              <w:t>7</w:t>
            </w:r>
            <w:r w:rsidR="00F8204F">
              <w:rPr>
                <w:noProof/>
                <w:webHidden/>
              </w:rPr>
              <w:fldChar w:fldCharType="end"/>
            </w:r>
          </w:hyperlink>
        </w:p>
        <w:p w:rsidR="00F8204F" w:rsidRDefault="007E3BFF">
          <w:pPr>
            <w:pStyle w:val="TOC3"/>
            <w:rPr>
              <w:noProof/>
            </w:rPr>
          </w:pPr>
          <w:hyperlink w:anchor="_Toc345320824" w:history="1">
            <w:r w:rsidR="00F8204F" w:rsidRPr="00FB7DE9">
              <w:rPr>
                <w:rStyle w:val="Hyperlink"/>
                <w:noProof/>
              </w:rPr>
              <w:t>6.2.1</w:t>
            </w:r>
            <w:r w:rsidR="00F8204F">
              <w:rPr>
                <w:noProof/>
              </w:rPr>
              <w:tab/>
            </w:r>
            <w:r w:rsidR="00F8204F" w:rsidRPr="00FB7DE9">
              <w:rPr>
                <w:rStyle w:val="Hyperlink"/>
                <w:noProof/>
              </w:rPr>
              <w:t>Resourcing</w:t>
            </w:r>
            <w:r w:rsidR="00F8204F">
              <w:rPr>
                <w:noProof/>
                <w:webHidden/>
              </w:rPr>
              <w:tab/>
            </w:r>
            <w:r w:rsidR="00F8204F">
              <w:rPr>
                <w:noProof/>
                <w:webHidden/>
              </w:rPr>
              <w:fldChar w:fldCharType="begin"/>
            </w:r>
            <w:r w:rsidR="00F8204F">
              <w:rPr>
                <w:noProof/>
                <w:webHidden/>
              </w:rPr>
              <w:instrText xml:space="preserve"> PAGEREF _Toc345320824 \h </w:instrText>
            </w:r>
            <w:r w:rsidR="00F8204F">
              <w:rPr>
                <w:noProof/>
                <w:webHidden/>
              </w:rPr>
            </w:r>
            <w:r w:rsidR="00F8204F">
              <w:rPr>
                <w:noProof/>
                <w:webHidden/>
              </w:rPr>
              <w:fldChar w:fldCharType="separate"/>
            </w:r>
            <w:r w:rsidR="00F8204F">
              <w:rPr>
                <w:noProof/>
                <w:webHidden/>
              </w:rPr>
              <w:t>7</w:t>
            </w:r>
            <w:r w:rsidR="00F8204F">
              <w:rPr>
                <w:noProof/>
                <w:webHidden/>
              </w:rPr>
              <w:fldChar w:fldCharType="end"/>
            </w:r>
          </w:hyperlink>
        </w:p>
        <w:p w:rsidR="00F8204F" w:rsidRDefault="007E3BFF">
          <w:pPr>
            <w:pStyle w:val="TOC3"/>
            <w:rPr>
              <w:noProof/>
            </w:rPr>
          </w:pPr>
          <w:hyperlink w:anchor="_Toc345320825" w:history="1">
            <w:r w:rsidR="00F8204F" w:rsidRPr="00FB7DE9">
              <w:rPr>
                <w:rStyle w:val="Hyperlink"/>
                <w:noProof/>
              </w:rPr>
              <w:t>6.2.2</w:t>
            </w:r>
            <w:r w:rsidR="00F8204F">
              <w:rPr>
                <w:noProof/>
              </w:rPr>
              <w:tab/>
            </w:r>
            <w:r w:rsidR="00F8204F" w:rsidRPr="00FB7DE9">
              <w:rPr>
                <w:rStyle w:val="Hyperlink"/>
                <w:noProof/>
              </w:rPr>
              <w:t>Breadth of Engagement and Discourse</w:t>
            </w:r>
            <w:r w:rsidR="00F8204F">
              <w:rPr>
                <w:noProof/>
                <w:webHidden/>
              </w:rPr>
              <w:tab/>
            </w:r>
            <w:r w:rsidR="00F8204F">
              <w:rPr>
                <w:noProof/>
                <w:webHidden/>
              </w:rPr>
              <w:fldChar w:fldCharType="begin"/>
            </w:r>
            <w:r w:rsidR="00F8204F">
              <w:rPr>
                <w:noProof/>
                <w:webHidden/>
              </w:rPr>
              <w:instrText xml:space="preserve"> PAGEREF _Toc345320825 \h </w:instrText>
            </w:r>
            <w:r w:rsidR="00F8204F">
              <w:rPr>
                <w:noProof/>
                <w:webHidden/>
              </w:rPr>
            </w:r>
            <w:r w:rsidR="00F8204F">
              <w:rPr>
                <w:noProof/>
                <w:webHidden/>
              </w:rPr>
              <w:fldChar w:fldCharType="separate"/>
            </w:r>
            <w:r w:rsidR="00F8204F">
              <w:rPr>
                <w:noProof/>
                <w:webHidden/>
              </w:rPr>
              <w:t>8</w:t>
            </w:r>
            <w:r w:rsidR="00F8204F">
              <w:rPr>
                <w:noProof/>
                <w:webHidden/>
              </w:rPr>
              <w:fldChar w:fldCharType="end"/>
            </w:r>
          </w:hyperlink>
        </w:p>
        <w:p w:rsidR="00F8204F" w:rsidRDefault="007E3BFF">
          <w:pPr>
            <w:pStyle w:val="TOC3"/>
            <w:rPr>
              <w:noProof/>
            </w:rPr>
          </w:pPr>
          <w:hyperlink w:anchor="_Toc345320826" w:history="1">
            <w:r w:rsidR="00F8204F" w:rsidRPr="00FB7DE9">
              <w:rPr>
                <w:rStyle w:val="Hyperlink"/>
                <w:noProof/>
              </w:rPr>
              <w:t>6.2.3</w:t>
            </w:r>
            <w:r w:rsidR="00F8204F">
              <w:rPr>
                <w:noProof/>
              </w:rPr>
              <w:tab/>
            </w:r>
            <w:r w:rsidR="00F8204F" w:rsidRPr="00FB7DE9">
              <w:rPr>
                <w:rStyle w:val="Hyperlink"/>
                <w:noProof/>
              </w:rPr>
              <w:t>Program Organisational Structure</w:t>
            </w:r>
            <w:r w:rsidR="00F8204F">
              <w:rPr>
                <w:noProof/>
                <w:webHidden/>
              </w:rPr>
              <w:tab/>
            </w:r>
            <w:r w:rsidR="00F8204F">
              <w:rPr>
                <w:noProof/>
                <w:webHidden/>
              </w:rPr>
              <w:fldChar w:fldCharType="begin"/>
            </w:r>
            <w:r w:rsidR="00F8204F">
              <w:rPr>
                <w:noProof/>
                <w:webHidden/>
              </w:rPr>
              <w:instrText xml:space="preserve"> PAGEREF _Toc345320826 \h </w:instrText>
            </w:r>
            <w:r w:rsidR="00F8204F">
              <w:rPr>
                <w:noProof/>
                <w:webHidden/>
              </w:rPr>
            </w:r>
            <w:r w:rsidR="00F8204F">
              <w:rPr>
                <w:noProof/>
                <w:webHidden/>
              </w:rPr>
              <w:fldChar w:fldCharType="separate"/>
            </w:r>
            <w:r w:rsidR="00F8204F">
              <w:rPr>
                <w:noProof/>
                <w:webHidden/>
              </w:rPr>
              <w:t>10</w:t>
            </w:r>
            <w:r w:rsidR="00F8204F">
              <w:rPr>
                <w:noProof/>
                <w:webHidden/>
              </w:rPr>
              <w:fldChar w:fldCharType="end"/>
            </w:r>
          </w:hyperlink>
        </w:p>
        <w:p w:rsidR="00F8204F" w:rsidRDefault="007E3BFF">
          <w:pPr>
            <w:pStyle w:val="TOC3"/>
            <w:rPr>
              <w:noProof/>
            </w:rPr>
          </w:pPr>
          <w:hyperlink w:anchor="_Toc345320827" w:history="1">
            <w:r w:rsidR="00F8204F" w:rsidRPr="00FB7DE9">
              <w:rPr>
                <w:rStyle w:val="Hyperlink"/>
                <w:noProof/>
              </w:rPr>
              <w:t>6.2.4</w:t>
            </w:r>
            <w:r w:rsidR="00F8204F">
              <w:rPr>
                <w:noProof/>
              </w:rPr>
              <w:tab/>
            </w:r>
            <w:r w:rsidR="00F8204F" w:rsidRPr="00FB7DE9">
              <w:rPr>
                <w:rStyle w:val="Hyperlink"/>
                <w:noProof/>
              </w:rPr>
              <w:t>The Asia Foundation and the International Development Law Organisation</w:t>
            </w:r>
            <w:r w:rsidR="00F8204F">
              <w:rPr>
                <w:noProof/>
                <w:webHidden/>
              </w:rPr>
              <w:tab/>
            </w:r>
            <w:r w:rsidR="00F8204F">
              <w:rPr>
                <w:noProof/>
                <w:webHidden/>
              </w:rPr>
              <w:fldChar w:fldCharType="begin"/>
            </w:r>
            <w:r w:rsidR="00F8204F">
              <w:rPr>
                <w:noProof/>
                <w:webHidden/>
              </w:rPr>
              <w:instrText xml:space="preserve"> PAGEREF _Toc345320827 \h </w:instrText>
            </w:r>
            <w:r w:rsidR="00F8204F">
              <w:rPr>
                <w:noProof/>
                <w:webHidden/>
              </w:rPr>
            </w:r>
            <w:r w:rsidR="00F8204F">
              <w:rPr>
                <w:noProof/>
                <w:webHidden/>
              </w:rPr>
              <w:fldChar w:fldCharType="separate"/>
            </w:r>
            <w:r w:rsidR="00F8204F">
              <w:rPr>
                <w:noProof/>
                <w:webHidden/>
              </w:rPr>
              <w:t>12</w:t>
            </w:r>
            <w:r w:rsidR="00F8204F">
              <w:rPr>
                <w:noProof/>
                <w:webHidden/>
              </w:rPr>
              <w:fldChar w:fldCharType="end"/>
            </w:r>
          </w:hyperlink>
        </w:p>
        <w:p w:rsidR="00F8204F" w:rsidRDefault="007E3BFF">
          <w:pPr>
            <w:pStyle w:val="TOC3"/>
            <w:rPr>
              <w:noProof/>
            </w:rPr>
          </w:pPr>
          <w:hyperlink w:anchor="_Toc345320828" w:history="1">
            <w:r w:rsidR="00F8204F" w:rsidRPr="00FB7DE9">
              <w:rPr>
                <w:rStyle w:val="Hyperlink"/>
                <w:noProof/>
              </w:rPr>
              <w:t>6.2.5</w:t>
            </w:r>
            <w:r w:rsidR="00F8204F">
              <w:rPr>
                <w:noProof/>
              </w:rPr>
              <w:tab/>
            </w:r>
            <w:r w:rsidR="00F8204F" w:rsidRPr="00FB7DE9">
              <w:rPr>
                <w:rStyle w:val="Hyperlink"/>
                <w:noProof/>
              </w:rPr>
              <w:t>Whole of Government Cooperation</w:t>
            </w:r>
            <w:r w:rsidR="00F8204F">
              <w:rPr>
                <w:noProof/>
                <w:webHidden/>
              </w:rPr>
              <w:tab/>
            </w:r>
            <w:r w:rsidR="00F8204F">
              <w:rPr>
                <w:noProof/>
                <w:webHidden/>
              </w:rPr>
              <w:fldChar w:fldCharType="begin"/>
            </w:r>
            <w:r w:rsidR="00F8204F">
              <w:rPr>
                <w:noProof/>
                <w:webHidden/>
              </w:rPr>
              <w:instrText xml:space="preserve"> PAGEREF _Toc345320828 \h </w:instrText>
            </w:r>
            <w:r w:rsidR="00F8204F">
              <w:rPr>
                <w:noProof/>
                <w:webHidden/>
              </w:rPr>
            </w:r>
            <w:r w:rsidR="00F8204F">
              <w:rPr>
                <w:noProof/>
                <w:webHidden/>
              </w:rPr>
              <w:fldChar w:fldCharType="separate"/>
            </w:r>
            <w:r w:rsidR="00F8204F">
              <w:rPr>
                <w:noProof/>
                <w:webHidden/>
              </w:rPr>
              <w:t>12</w:t>
            </w:r>
            <w:r w:rsidR="00F8204F">
              <w:rPr>
                <w:noProof/>
                <w:webHidden/>
              </w:rPr>
              <w:fldChar w:fldCharType="end"/>
            </w:r>
          </w:hyperlink>
        </w:p>
        <w:p w:rsidR="00F8204F" w:rsidRDefault="007E3BFF">
          <w:pPr>
            <w:pStyle w:val="TOC2"/>
            <w:tabs>
              <w:tab w:val="left" w:pos="720"/>
              <w:tab w:val="right" w:leader="dot" w:pos="9089"/>
            </w:tabs>
            <w:rPr>
              <w:noProof/>
            </w:rPr>
          </w:pPr>
          <w:hyperlink w:anchor="_Toc345320829" w:history="1">
            <w:r w:rsidR="00F8204F" w:rsidRPr="00FB7DE9">
              <w:rPr>
                <w:rStyle w:val="Hyperlink"/>
                <w:noProof/>
              </w:rPr>
              <w:t>6.3</w:t>
            </w:r>
            <w:r w:rsidR="00F8204F">
              <w:rPr>
                <w:noProof/>
              </w:rPr>
              <w:tab/>
            </w:r>
            <w:r w:rsidR="00F8204F" w:rsidRPr="00FB7DE9">
              <w:rPr>
                <w:rStyle w:val="Hyperlink"/>
                <w:noProof/>
              </w:rPr>
              <w:t>Integration and Synergies</w:t>
            </w:r>
            <w:r w:rsidR="00F8204F">
              <w:rPr>
                <w:noProof/>
                <w:webHidden/>
              </w:rPr>
              <w:tab/>
            </w:r>
            <w:r w:rsidR="00F8204F">
              <w:rPr>
                <w:noProof/>
                <w:webHidden/>
              </w:rPr>
              <w:fldChar w:fldCharType="begin"/>
            </w:r>
            <w:r w:rsidR="00F8204F">
              <w:rPr>
                <w:noProof/>
                <w:webHidden/>
              </w:rPr>
              <w:instrText xml:space="preserve"> PAGEREF _Toc345320829 \h </w:instrText>
            </w:r>
            <w:r w:rsidR="00F8204F">
              <w:rPr>
                <w:noProof/>
                <w:webHidden/>
              </w:rPr>
            </w:r>
            <w:r w:rsidR="00F8204F">
              <w:rPr>
                <w:noProof/>
                <w:webHidden/>
              </w:rPr>
              <w:fldChar w:fldCharType="separate"/>
            </w:r>
            <w:r w:rsidR="00F8204F">
              <w:rPr>
                <w:noProof/>
                <w:webHidden/>
              </w:rPr>
              <w:t>13</w:t>
            </w:r>
            <w:r w:rsidR="00F8204F">
              <w:rPr>
                <w:noProof/>
                <w:webHidden/>
              </w:rPr>
              <w:fldChar w:fldCharType="end"/>
            </w:r>
          </w:hyperlink>
        </w:p>
        <w:p w:rsidR="00F8204F" w:rsidRDefault="007E3BFF">
          <w:pPr>
            <w:pStyle w:val="TOC3"/>
            <w:rPr>
              <w:noProof/>
            </w:rPr>
          </w:pPr>
          <w:hyperlink w:anchor="_Toc345320830" w:history="1">
            <w:r w:rsidR="00F8204F" w:rsidRPr="00FB7DE9">
              <w:rPr>
                <w:rStyle w:val="Hyperlink"/>
                <w:noProof/>
              </w:rPr>
              <w:t>6.3.1</w:t>
            </w:r>
            <w:r w:rsidR="00F8204F">
              <w:rPr>
                <w:noProof/>
              </w:rPr>
              <w:tab/>
            </w:r>
            <w:r w:rsidR="00F8204F" w:rsidRPr="00FB7DE9">
              <w:rPr>
                <w:rStyle w:val="Hyperlink"/>
                <w:noProof/>
              </w:rPr>
              <w:t>General Observations</w:t>
            </w:r>
            <w:r w:rsidR="00F8204F">
              <w:rPr>
                <w:noProof/>
                <w:webHidden/>
              </w:rPr>
              <w:tab/>
            </w:r>
            <w:r w:rsidR="00F8204F">
              <w:rPr>
                <w:noProof/>
                <w:webHidden/>
              </w:rPr>
              <w:fldChar w:fldCharType="begin"/>
            </w:r>
            <w:r w:rsidR="00F8204F">
              <w:rPr>
                <w:noProof/>
                <w:webHidden/>
              </w:rPr>
              <w:instrText xml:space="preserve"> PAGEREF _Toc345320830 \h </w:instrText>
            </w:r>
            <w:r w:rsidR="00F8204F">
              <w:rPr>
                <w:noProof/>
                <w:webHidden/>
              </w:rPr>
            </w:r>
            <w:r w:rsidR="00F8204F">
              <w:rPr>
                <w:noProof/>
                <w:webHidden/>
              </w:rPr>
              <w:fldChar w:fldCharType="separate"/>
            </w:r>
            <w:r w:rsidR="00F8204F">
              <w:rPr>
                <w:noProof/>
                <w:webHidden/>
              </w:rPr>
              <w:t>13</w:t>
            </w:r>
            <w:r w:rsidR="00F8204F">
              <w:rPr>
                <w:noProof/>
                <w:webHidden/>
              </w:rPr>
              <w:fldChar w:fldCharType="end"/>
            </w:r>
          </w:hyperlink>
        </w:p>
        <w:p w:rsidR="00F8204F" w:rsidRDefault="007E3BFF">
          <w:pPr>
            <w:pStyle w:val="TOC3"/>
            <w:rPr>
              <w:noProof/>
            </w:rPr>
          </w:pPr>
          <w:hyperlink w:anchor="_Toc345320831" w:history="1">
            <w:r w:rsidR="00F8204F" w:rsidRPr="00FB7DE9">
              <w:rPr>
                <w:rStyle w:val="Hyperlink"/>
                <w:noProof/>
              </w:rPr>
              <w:t>6.3.2</w:t>
            </w:r>
            <w:r w:rsidR="00F8204F">
              <w:rPr>
                <w:noProof/>
              </w:rPr>
              <w:tab/>
            </w:r>
            <w:r w:rsidR="00F8204F" w:rsidRPr="00FB7DE9">
              <w:rPr>
                <w:rStyle w:val="Hyperlink"/>
                <w:noProof/>
              </w:rPr>
              <w:t>AusAID Role</w:t>
            </w:r>
            <w:r w:rsidR="00F8204F">
              <w:rPr>
                <w:noProof/>
                <w:webHidden/>
              </w:rPr>
              <w:tab/>
            </w:r>
            <w:r w:rsidR="00F8204F">
              <w:rPr>
                <w:noProof/>
                <w:webHidden/>
              </w:rPr>
              <w:fldChar w:fldCharType="begin"/>
            </w:r>
            <w:r w:rsidR="00F8204F">
              <w:rPr>
                <w:noProof/>
                <w:webHidden/>
              </w:rPr>
              <w:instrText xml:space="preserve"> PAGEREF _Toc345320831 \h </w:instrText>
            </w:r>
            <w:r w:rsidR="00F8204F">
              <w:rPr>
                <w:noProof/>
                <w:webHidden/>
              </w:rPr>
            </w:r>
            <w:r w:rsidR="00F8204F">
              <w:rPr>
                <w:noProof/>
                <w:webHidden/>
              </w:rPr>
              <w:fldChar w:fldCharType="separate"/>
            </w:r>
            <w:r w:rsidR="00F8204F">
              <w:rPr>
                <w:noProof/>
                <w:webHidden/>
              </w:rPr>
              <w:t>14</w:t>
            </w:r>
            <w:r w:rsidR="00F8204F">
              <w:rPr>
                <w:noProof/>
                <w:webHidden/>
              </w:rPr>
              <w:fldChar w:fldCharType="end"/>
            </w:r>
          </w:hyperlink>
        </w:p>
        <w:p w:rsidR="00F8204F" w:rsidRDefault="007E3BFF">
          <w:pPr>
            <w:pStyle w:val="TOC3"/>
            <w:rPr>
              <w:noProof/>
            </w:rPr>
          </w:pPr>
          <w:hyperlink w:anchor="_Toc345320832" w:history="1">
            <w:r w:rsidR="00F8204F" w:rsidRPr="00FB7DE9">
              <w:rPr>
                <w:rStyle w:val="Hyperlink"/>
                <w:noProof/>
              </w:rPr>
              <w:t>Annex 1 - Consultations for the Independent Progress Review of the Australia Indonesia Partnership for Justice</w:t>
            </w:r>
            <w:r w:rsidR="00F8204F">
              <w:rPr>
                <w:noProof/>
                <w:webHidden/>
              </w:rPr>
              <w:tab/>
            </w:r>
            <w:r w:rsidR="00F8204F">
              <w:rPr>
                <w:noProof/>
                <w:webHidden/>
              </w:rPr>
              <w:fldChar w:fldCharType="begin"/>
            </w:r>
            <w:r w:rsidR="00F8204F">
              <w:rPr>
                <w:noProof/>
                <w:webHidden/>
              </w:rPr>
              <w:instrText xml:space="preserve"> PAGEREF _Toc345320832 \h </w:instrText>
            </w:r>
            <w:r w:rsidR="00F8204F">
              <w:rPr>
                <w:noProof/>
                <w:webHidden/>
              </w:rPr>
            </w:r>
            <w:r w:rsidR="00F8204F">
              <w:rPr>
                <w:noProof/>
                <w:webHidden/>
              </w:rPr>
              <w:fldChar w:fldCharType="separate"/>
            </w:r>
            <w:r w:rsidR="00F8204F">
              <w:rPr>
                <w:noProof/>
                <w:webHidden/>
              </w:rPr>
              <w:t>16</w:t>
            </w:r>
            <w:r w:rsidR="00F8204F">
              <w:rPr>
                <w:noProof/>
                <w:webHidden/>
              </w:rPr>
              <w:fldChar w:fldCharType="end"/>
            </w:r>
          </w:hyperlink>
        </w:p>
        <w:p w:rsidR="00F8204F" w:rsidRDefault="007E3BFF">
          <w:pPr>
            <w:pStyle w:val="TOC3"/>
            <w:rPr>
              <w:noProof/>
            </w:rPr>
          </w:pPr>
          <w:hyperlink w:anchor="_Toc345320833" w:history="1">
            <w:r w:rsidR="00F8204F" w:rsidRPr="00FB7DE9">
              <w:rPr>
                <w:rStyle w:val="Hyperlink"/>
                <w:noProof/>
              </w:rPr>
              <w:t xml:space="preserve">Annex 2 - </w:t>
            </w:r>
            <w:r w:rsidR="00F8204F" w:rsidRPr="00FB7DE9">
              <w:rPr>
                <w:rStyle w:val="Hyperlink"/>
                <w:rFonts w:cstheme="minorHAnsi"/>
                <w:noProof/>
              </w:rPr>
              <w:t>An example for potential program synergy</w:t>
            </w:r>
            <w:r w:rsidR="00F8204F">
              <w:rPr>
                <w:noProof/>
                <w:webHidden/>
              </w:rPr>
              <w:tab/>
            </w:r>
            <w:r w:rsidR="00F8204F">
              <w:rPr>
                <w:noProof/>
                <w:webHidden/>
              </w:rPr>
              <w:fldChar w:fldCharType="begin"/>
            </w:r>
            <w:r w:rsidR="00F8204F">
              <w:rPr>
                <w:noProof/>
                <w:webHidden/>
              </w:rPr>
              <w:instrText xml:space="preserve"> PAGEREF _Toc345320833 \h </w:instrText>
            </w:r>
            <w:r w:rsidR="00F8204F">
              <w:rPr>
                <w:noProof/>
                <w:webHidden/>
              </w:rPr>
            </w:r>
            <w:r w:rsidR="00F8204F">
              <w:rPr>
                <w:noProof/>
                <w:webHidden/>
              </w:rPr>
              <w:fldChar w:fldCharType="separate"/>
            </w:r>
            <w:r w:rsidR="00F8204F">
              <w:rPr>
                <w:noProof/>
                <w:webHidden/>
              </w:rPr>
              <w:t>21</w:t>
            </w:r>
            <w:r w:rsidR="00F8204F">
              <w:rPr>
                <w:noProof/>
                <w:webHidden/>
              </w:rPr>
              <w:fldChar w:fldCharType="end"/>
            </w:r>
          </w:hyperlink>
        </w:p>
        <w:p w:rsidR="005B1CBB" w:rsidRDefault="000128C4" w:rsidP="005B1CBB">
          <w:r>
            <w:fldChar w:fldCharType="end"/>
          </w:r>
        </w:p>
      </w:sdtContent>
    </w:sdt>
    <w:p w:rsidR="005B1CBB" w:rsidRDefault="005B1CBB" w:rsidP="005B1CBB">
      <w:pPr>
        <w:rPr>
          <w:rFonts w:asciiTheme="majorHAnsi" w:eastAsiaTheme="majorEastAsia" w:hAnsiTheme="majorHAnsi" w:cstheme="majorBidi"/>
          <w:b/>
          <w:bCs/>
          <w:sz w:val="28"/>
          <w:szCs w:val="28"/>
        </w:rPr>
      </w:pPr>
      <w:r>
        <w:br w:type="page"/>
      </w:r>
    </w:p>
    <w:p w:rsidR="005B1CBB" w:rsidRPr="0036318C" w:rsidRDefault="005B1CBB" w:rsidP="005B1CBB">
      <w:pPr>
        <w:pStyle w:val="Heading1"/>
        <w:numPr>
          <w:ilvl w:val="0"/>
          <w:numId w:val="0"/>
        </w:numPr>
        <w:ind w:left="432" w:hanging="432"/>
        <w:rPr>
          <w:color w:val="auto"/>
        </w:rPr>
      </w:pPr>
    </w:p>
    <w:p w:rsidR="005B1CBB" w:rsidRDefault="005B1CBB" w:rsidP="005B1CBB">
      <w:pPr>
        <w:pStyle w:val="Heading1"/>
      </w:pPr>
      <w:bookmarkStart w:id="1" w:name="_Toc345320814"/>
      <w:r w:rsidRPr="0036318C">
        <w:t>Executive Summary</w:t>
      </w:r>
      <w:bookmarkEnd w:id="1"/>
    </w:p>
    <w:p w:rsidR="00B565B5" w:rsidRDefault="006844D0" w:rsidP="00B565B5">
      <w:pPr>
        <w:rPr>
          <w:rFonts w:cstheme="minorHAnsi"/>
        </w:rPr>
      </w:pPr>
      <w:r>
        <w:rPr>
          <w:rFonts w:cstheme="minorHAnsi"/>
        </w:rPr>
        <w:t>AIPJ is a five year</w:t>
      </w:r>
      <w:r w:rsidR="00DE5738">
        <w:rPr>
          <w:rFonts w:cstheme="minorHAnsi"/>
        </w:rPr>
        <w:t>,</w:t>
      </w:r>
      <w:r>
        <w:rPr>
          <w:rFonts w:cstheme="minorHAnsi"/>
        </w:rPr>
        <w:t xml:space="preserve"> AUD</w:t>
      </w:r>
      <w:r w:rsidRPr="00EF1F1C">
        <w:rPr>
          <w:rFonts w:cstheme="minorHAnsi"/>
        </w:rPr>
        <w:t xml:space="preserve">50 million AusAID-funded </w:t>
      </w:r>
      <w:proofErr w:type="gramStart"/>
      <w:r w:rsidRPr="00EF1F1C">
        <w:rPr>
          <w:rFonts w:cstheme="minorHAnsi"/>
        </w:rPr>
        <w:t>program</w:t>
      </w:r>
      <w:proofErr w:type="gramEnd"/>
      <w:r w:rsidRPr="00EF1F1C">
        <w:rPr>
          <w:rFonts w:cstheme="minorHAnsi"/>
        </w:rPr>
        <w:t xml:space="preserve"> </w:t>
      </w:r>
      <w:r w:rsidR="00DE5738">
        <w:rPr>
          <w:rFonts w:cstheme="minorHAnsi"/>
        </w:rPr>
        <w:t xml:space="preserve">which commenced in June 2011. </w:t>
      </w:r>
      <w:r w:rsidR="00DE5738">
        <w:rPr>
          <w:rFonts w:ascii="Calibri" w:eastAsia="Times New Roman" w:hAnsi="Calibri" w:cs="Calibri"/>
        </w:rPr>
        <w:t>T</w:t>
      </w:r>
      <w:r w:rsidR="00B565B5">
        <w:rPr>
          <w:rFonts w:ascii="Calibri" w:eastAsia="Times New Roman" w:hAnsi="Calibri" w:cs="Calibri"/>
        </w:rPr>
        <w:t>welve months on, it was considered timely to carry out a</w:t>
      </w:r>
      <w:r w:rsidR="00B50307">
        <w:rPr>
          <w:rFonts w:ascii="Calibri" w:eastAsia="Times New Roman" w:hAnsi="Calibri" w:cs="Calibri"/>
        </w:rPr>
        <w:t>n Independent Progress Review (IPR) t</w:t>
      </w:r>
      <w:r w:rsidR="00B565B5">
        <w:rPr>
          <w:rFonts w:ascii="Calibri" w:eastAsia="Times New Roman" w:hAnsi="Calibri" w:cs="Calibri"/>
        </w:rPr>
        <w:t>o evaluate progress</w:t>
      </w:r>
      <w:r w:rsidR="00B50307">
        <w:rPr>
          <w:rFonts w:ascii="Calibri" w:eastAsia="Times New Roman" w:hAnsi="Calibri" w:cs="Calibri"/>
        </w:rPr>
        <w:t xml:space="preserve">. </w:t>
      </w:r>
      <w:r w:rsidR="00B565B5">
        <w:rPr>
          <w:rFonts w:cstheme="minorHAnsi"/>
        </w:rPr>
        <w:t>This is the report for that review.</w:t>
      </w:r>
    </w:p>
    <w:p w:rsidR="00A51F99" w:rsidRDefault="001E2FE8" w:rsidP="001E2FE8">
      <w:pPr>
        <w:rPr>
          <w:rFonts w:cstheme="minorHAnsi"/>
        </w:rPr>
      </w:pPr>
      <w:r>
        <w:rPr>
          <w:rFonts w:cstheme="minorHAnsi"/>
        </w:rPr>
        <w:t xml:space="preserve">AIPJ represents the continuation of </w:t>
      </w:r>
      <w:proofErr w:type="spellStart"/>
      <w:r>
        <w:rPr>
          <w:rFonts w:cstheme="minorHAnsi"/>
        </w:rPr>
        <w:t>AusAID’s</w:t>
      </w:r>
      <w:proofErr w:type="spellEnd"/>
      <w:r>
        <w:rPr>
          <w:rFonts w:cstheme="minorHAnsi"/>
        </w:rPr>
        <w:t xml:space="preserve"> decade long contribution to Indonesia’s law and justice sector and the gradual scaling up of Australia’s support to this critical sector. The Design sums up the priorities for engagement for current support in the following statement.</w:t>
      </w:r>
    </w:p>
    <w:p w:rsidR="001E2FE8" w:rsidRDefault="001E2FE8" w:rsidP="001E2FE8">
      <w:pPr>
        <w:rPr>
          <w:rFonts w:cstheme="minorHAnsi"/>
        </w:rPr>
      </w:pPr>
      <w:r>
        <w:rPr>
          <w:rFonts w:cstheme="minorHAnsi"/>
        </w:rPr>
        <w:t xml:space="preserve"> </w:t>
      </w:r>
      <w:r>
        <w:rPr>
          <w:rFonts w:cstheme="minorHAnsi"/>
          <w:i/>
        </w:rPr>
        <w:t xml:space="preserve">‘Australia’s assistance to Indonesia will prioritise funding to strengthen the </w:t>
      </w:r>
      <w:r w:rsidRPr="002141AE">
        <w:rPr>
          <w:rFonts w:cstheme="minorHAnsi"/>
          <w:i/>
          <w:u w:val="single"/>
        </w:rPr>
        <w:t>supply</w:t>
      </w:r>
      <w:r>
        <w:rPr>
          <w:rFonts w:cstheme="minorHAnsi"/>
          <w:i/>
        </w:rPr>
        <w:t xml:space="preserve"> of accessible and high-quality legal services, while also assisting communities to articulate more effective </w:t>
      </w:r>
      <w:r w:rsidRPr="002141AE">
        <w:rPr>
          <w:rFonts w:cstheme="minorHAnsi"/>
          <w:i/>
          <w:u w:val="single"/>
        </w:rPr>
        <w:t>demand</w:t>
      </w:r>
      <w:r>
        <w:rPr>
          <w:rFonts w:cstheme="minorHAnsi"/>
          <w:i/>
        </w:rPr>
        <w:t xml:space="preserve"> for such services in order to encourage the provision of better quality services by the formal sector</w:t>
      </w:r>
      <w:r w:rsidRPr="00F274A3">
        <w:rPr>
          <w:rFonts w:cstheme="minorHAnsi"/>
          <w:i/>
        </w:rPr>
        <w:t>.</w:t>
      </w:r>
      <w:r>
        <w:rPr>
          <w:rFonts w:cstheme="minorHAnsi"/>
          <w:i/>
        </w:rPr>
        <w:t>’</w:t>
      </w:r>
      <w:r>
        <w:rPr>
          <w:rStyle w:val="FootnoteReference"/>
          <w:rFonts w:cstheme="minorHAnsi"/>
        </w:rPr>
        <w:footnoteReference w:id="2"/>
      </w:r>
    </w:p>
    <w:p w:rsidR="001E2FE8" w:rsidRPr="00731928" w:rsidRDefault="001E2FE8" w:rsidP="001E2FE8">
      <w:pPr>
        <w:rPr>
          <w:rFonts w:cstheme="minorHAnsi"/>
        </w:rPr>
      </w:pPr>
      <w:r>
        <w:rPr>
          <w:rFonts w:cstheme="minorHAnsi"/>
        </w:rPr>
        <w:t xml:space="preserve">A key objective for the program therefore, is </w:t>
      </w:r>
      <w:r w:rsidRPr="00EF1F1C">
        <w:rPr>
          <w:rFonts w:cstheme="minorHAnsi"/>
          <w:b/>
          <w:i/>
        </w:rPr>
        <w:t>“Increased access to better quality legal information and services for people of Indonesia</w:t>
      </w:r>
      <w:r>
        <w:rPr>
          <w:rFonts w:cstheme="minorHAnsi"/>
          <w:b/>
          <w:i/>
        </w:rPr>
        <w:t>”</w:t>
      </w:r>
      <w:r w:rsidRPr="00EF1F1C">
        <w:rPr>
          <w:rFonts w:cstheme="minorHAnsi"/>
          <w:b/>
          <w:i/>
        </w:rPr>
        <w:t>.</w:t>
      </w:r>
    </w:p>
    <w:p w:rsidR="00B565B5" w:rsidRPr="0031479C" w:rsidRDefault="00A51F99" w:rsidP="00D542B3">
      <w:pPr>
        <w:spacing w:line="240" w:lineRule="auto"/>
        <w:rPr>
          <w:rFonts w:cstheme="minorHAnsi"/>
        </w:rPr>
      </w:pPr>
      <w:r>
        <w:rPr>
          <w:rFonts w:cstheme="minorHAnsi"/>
        </w:rPr>
        <w:t xml:space="preserve">The Terms of Reference </w:t>
      </w:r>
      <w:r w:rsidR="00BF443C">
        <w:rPr>
          <w:rFonts w:cstheme="minorHAnsi"/>
        </w:rPr>
        <w:t xml:space="preserve">for this review </w:t>
      </w:r>
      <w:r>
        <w:rPr>
          <w:rFonts w:cstheme="minorHAnsi"/>
        </w:rPr>
        <w:t>provide</w:t>
      </w:r>
      <w:r w:rsidR="00B565B5">
        <w:rPr>
          <w:rFonts w:cstheme="minorHAnsi"/>
        </w:rPr>
        <w:t xml:space="preserve"> three criteria</w:t>
      </w:r>
      <w:r w:rsidR="00D542B3">
        <w:rPr>
          <w:rFonts w:cstheme="minorHAnsi"/>
        </w:rPr>
        <w:t xml:space="preserve">, </w:t>
      </w:r>
      <w:r w:rsidR="00D542B3" w:rsidRPr="00D542B3">
        <w:rPr>
          <w:rFonts w:cstheme="minorHAnsi"/>
          <w:i/>
        </w:rPr>
        <w:t>Design, Implementation Arrangements</w:t>
      </w:r>
      <w:r w:rsidR="00D542B3">
        <w:rPr>
          <w:rFonts w:cstheme="minorHAnsi"/>
        </w:rPr>
        <w:t xml:space="preserve"> and </w:t>
      </w:r>
      <w:r w:rsidR="00D542B3" w:rsidRPr="00D542B3">
        <w:rPr>
          <w:rFonts w:cstheme="minorHAnsi"/>
          <w:i/>
        </w:rPr>
        <w:t>Integration and Synergies</w:t>
      </w:r>
      <w:r w:rsidR="00D542B3">
        <w:rPr>
          <w:rFonts w:cstheme="minorHAnsi"/>
        </w:rPr>
        <w:t>,</w:t>
      </w:r>
      <w:r w:rsidR="00CA4CDD">
        <w:rPr>
          <w:rFonts w:cstheme="minorHAnsi"/>
        </w:rPr>
        <w:t xml:space="preserve"> </w:t>
      </w:r>
      <w:r w:rsidR="0031479C">
        <w:rPr>
          <w:rFonts w:cstheme="minorHAnsi"/>
        </w:rPr>
        <w:t xml:space="preserve">against which the progress of </w:t>
      </w:r>
      <w:r w:rsidR="00D542B3">
        <w:rPr>
          <w:rFonts w:cstheme="minorHAnsi"/>
        </w:rPr>
        <w:t>the program w</w:t>
      </w:r>
      <w:r w:rsidR="00C664D6">
        <w:rPr>
          <w:rFonts w:cstheme="minorHAnsi"/>
        </w:rPr>
        <w:t xml:space="preserve">ould </w:t>
      </w:r>
      <w:r w:rsidR="00D542B3">
        <w:rPr>
          <w:rFonts w:cstheme="minorHAnsi"/>
        </w:rPr>
        <w:t>be assessed.</w:t>
      </w:r>
    </w:p>
    <w:p w:rsidR="00FB5584" w:rsidRDefault="007E7402" w:rsidP="00AF16F7">
      <w:pPr>
        <w:rPr>
          <w:rFonts w:cstheme="minorHAnsi"/>
        </w:rPr>
      </w:pPr>
      <w:r>
        <w:rPr>
          <w:rFonts w:cstheme="minorHAnsi"/>
        </w:rPr>
        <w:t>More specifically, t</w:t>
      </w:r>
      <w:r w:rsidR="009304B8">
        <w:rPr>
          <w:rFonts w:cstheme="minorHAnsi"/>
        </w:rPr>
        <w:t xml:space="preserve">he </w:t>
      </w:r>
      <w:r w:rsidR="00FB5584">
        <w:rPr>
          <w:rFonts w:cstheme="minorHAnsi"/>
        </w:rPr>
        <w:t xml:space="preserve">question for the </w:t>
      </w:r>
      <w:r w:rsidR="00EC0DA0">
        <w:rPr>
          <w:rFonts w:cstheme="minorHAnsi"/>
        </w:rPr>
        <w:t>Review Team</w:t>
      </w:r>
      <w:r w:rsidR="00FB5584">
        <w:rPr>
          <w:rFonts w:cstheme="minorHAnsi"/>
        </w:rPr>
        <w:t xml:space="preserve"> was to </w:t>
      </w:r>
      <w:r w:rsidR="00A15F19">
        <w:rPr>
          <w:rFonts w:cstheme="minorHAnsi"/>
        </w:rPr>
        <w:t>evaluate</w:t>
      </w:r>
      <w:r w:rsidR="00771F2D">
        <w:rPr>
          <w:rFonts w:cstheme="minorHAnsi"/>
        </w:rPr>
        <w:t xml:space="preserve"> whether, against</w:t>
      </w:r>
      <w:r w:rsidR="00FB5584">
        <w:rPr>
          <w:rFonts w:cstheme="minorHAnsi"/>
        </w:rPr>
        <w:t xml:space="preserve"> the assessment criteria</w:t>
      </w:r>
      <w:r w:rsidR="00D87C06">
        <w:rPr>
          <w:rFonts w:cstheme="minorHAnsi"/>
        </w:rPr>
        <w:t>,</w:t>
      </w:r>
      <w:r w:rsidR="00FB5584">
        <w:rPr>
          <w:rFonts w:cstheme="minorHAnsi"/>
        </w:rPr>
        <w:t xml:space="preserve"> sound progress is underway as measured </w:t>
      </w:r>
      <w:r w:rsidR="00D87C06">
        <w:rPr>
          <w:rFonts w:cstheme="minorHAnsi"/>
        </w:rPr>
        <w:t xml:space="preserve">against </w:t>
      </w:r>
      <w:r w:rsidR="00FB5584">
        <w:rPr>
          <w:rFonts w:cstheme="minorHAnsi"/>
        </w:rPr>
        <w:t xml:space="preserve">the overall </w:t>
      </w:r>
      <w:r w:rsidR="00D87C06">
        <w:rPr>
          <w:rFonts w:cstheme="minorHAnsi"/>
        </w:rPr>
        <w:t xml:space="preserve">program </w:t>
      </w:r>
      <w:r w:rsidR="00FB5584">
        <w:rPr>
          <w:rFonts w:cstheme="minorHAnsi"/>
        </w:rPr>
        <w:t>objective.</w:t>
      </w:r>
      <w:r w:rsidR="00D31068">
        <w:rPr>
          <w:rFonts w:cstheme="minorHAnsi"/>
        </w:rPr>
        <w:t xml:space="preserve"> The Review Team recognises that twelve months is insufficient time to assess AIPJ’s impact, however the following recommendations are provided to enable AIPJ to meet key objectives.</w:t>
      </w:r>
    </w:p>
    <w:p w:rsidR="00D87C06" w:rsidRDefault="00D87C06" w:rsidP="00AF16F7">
      <w:pPr>
        <w:rPr>
          <w:rFonts w:cstheme="minorHAnsi"/>
        </w:rPr>
      </w:pPr>
      <w:r>
        <w:rPr>
          <w:rFonts w:cstheme="minorHAnsi"/>
        </w:rPr>
        <w:t>In summary</w:t>
      </w:r>
      <w:r w:rsidR="00DE5738">
        <w:rPr>
          <w:rFonts w:cstheme="minorHAnsi"/>
        </w:rPr>
        <w:t>,</w:t>
      </w:r>
      <w:r>
        <w:rPr>
          <w:rFonts w:cstheme="minorHAnsi"/>
        </w:rPr>
        <w:t xml:space="preserve"> the </w:t>
      </w:r>
      <w:r w:rsidR="00EC0DA0">
        <w:rPr>
          <w:rFonts w:cstheme="minorHAnsi"/>
        </w:rPr>
        <w:t>Review Team</w:t>
      </w:r>
      <w:r>
        <w:rPr>
          <w:rFonts w:cstheme="minorHAnsi"/>
        </w:rPr>
        <w:t xml:space="preserve"> found</w:t>
      </w:r>
      <w:r w:rsidR="000548A0">
        <w:rPr>
          <w:rFonts w:cstheme="minorHAnsi"/>
        </w:rPr>
        <w:t xml:space="preserve"> </w:t>
      </w:r>
      <w:r w:rsidR="008943AD">
        <w:rPr>
          <w:rFonts w:cstheme="minorHAnsi"/>
        </w:rPr>
        <w:t>the following essential points</w:t>
      </w:r>
      <w:r>
        <w:rPr>
          <w:rFonts w:cstheme="minorHAnsi"/>
        </w:rPr>
        <w:t>:</w:t>
      </w:r>
    </w:p>
    <w:p w:rsidR="00AB63B1" w:rsidRPr="00F969F4" w:rsidRDefault="00AB63B1" w:rsidP="00AF7A91">
      <w:pPr>
        <w:pStyle w:val="Heading2"/>
      </w:pPr>
      <w:bookmarkStart w:id="2" w:name="_Toc345320815"/>
      <w:r w:rsidRPr="00F969F4">
        <w:t>D</w:t>
      </w:r>
      <w:r w:rsidR="00A51F99">
        <w:t>esign</w:t>
      </w:r>
      <w:bookmarkEnd w:id="2"/>
    </w:p>
    <w:p w:rsidR="008E0DA6" w:rsidRDefault="00AB63B1" w:rsidP="00AB63B1">
      <w:r w:rsidRPr="00AB63B1">
        <w:t xml:space="preserve">AIPJ </w:t>
      </w:r>
      <w:r w:rsidR="00AE0449">
        <w:t xml:space="preserve">has probably </w:t>
      </w:r>
      <w:r w:rsidR="00D35CF0" w:rsidRPr="00AB63B1">
        <w:t>selected interventions</w:t>
      </w:r>
      <w:r w:rsidRPr="00AB63B1">
        <w:t xml:space="preserve"> </w:t>
      </w:r>
      <w:r w:rsidR="00AE0449">
        <w:t xml:space="preserve">that in sum total will prove to be insufficient </w:t>
      </w:r>
      <w:r w:rsidRPr="00AB63B1">
        <w:t>to benefit the poor</w:t>
      </w:r>
      <w:r w:rsidR="0085035D">
        <w:t xml:space="preserve">. </w:t>
      </w:r>
      <w:r w:rsidR="00C91D52">
        <w:t>T</w:t>
      </w:r>
      <w:r w:rsidR="00D35CF0">
        <w:t>he current set provides a very limited</w:t>
      </w:r>
      <w:r w:rsidR="008E7018">
        <w:rPr>
          <w:i/>
        </w:rPr>
        <w:t xml:space="preserve"> </w:t>
      </w:r>
      <w:r w:rsidR="00C746B6">
        <w:rPr>
          <w:i/>
        </w:rPr>
        <w:t>‘</w:t>
      </w:r>
      <w:r w:rsidR="00D35CF0" w:rsidRPr="00DE5738">
        <w:rPr>
          <w:i/>
        </w:rPr>
        <w:t>line of sight to the poor’</w:t>
      </w:r>
      <w:r w:rsidR="00D35CF0">
        <w:rPr>
          <w:i/>
        </w:rPr>
        <w:t>.</w:t>
      </w:r>
      <w:r w:rsidR="00D35CF0">
        <w:t xml:space="preserve"> </w:t>
      </w:r>
      <w:r w:rsidR="005F6AE3">
        <w:t>T</w:t>
      </w:r>
      <w:r w:rsidR="008117C3">
        <w:t>here is a degree of difficulty in selecting ‘the right interventions’ when working to deliver pre-set outcomes</w:t>
      </w:r>
      <w:r w:rsidR="00130915">
        <w:t xml:space="preserve"> (as is the case with AIPJ)</w:t>
      </w:r>
      <w:r w:rsidR="00C746B6">
        <w:t>.</w:t>
      </w:r>
      <w:r w:rsidR="008117C3">
        <w:t xml:space="preserve"> </w:t>
      </w:r>
      <w:r w:rsidR="00C746B6">
        <w:t>B</w:t>
      </w:r>
      <w:r w:rsidR="008117C3">
        <w:t xml:space="preserve">ut </w:t>
      </w:r>
      <w:r w:rsidR="00AE4792">
        <w:t xml:space="preserve">given the AIPJ </w:t>
      </w:r>
      <w:r w:rsidR="00B50307">
        <w:t xml:space="preserve">Program </w:t>
      </w:r>
      <w:r w:rsidR="00B82AEF">
        <w:t>D</w:t>
      </w:r>
      <w:r w:rsidR="00B50307">
        <w:t>irector (PD)</w:t>
      </w:r>
      <w:r w:rsidR="00B82AEF">
        <w:t xml:space="preserve"> and </w:t>
      </w:r>
      <w:r w:rsidR="00B50307">
        <w:t xml:space="preserve">the </w:t>
      </w:r>
      <w:r w:rsidR="00B82AEF">
        <w:t>I</w:t>
      </w:r>
      <w:r w:rsidR="006F79CD">
        <w:t>mplementing</w:t>
      </w:r>
      <w:r w:rsidR="00B50307">
        <w:t xml:space="preserve"> </w:t>
      </w:r>
      <w:r w:rsidR="00B82AEF">
        <w:t>S</w:t>
      </w:r>
      <w:r w:rsidR="00B50307">
        <w:t xml:space="preserve">ervice </w:t>
      </w:r>
      <w:r w:rsidR="00B82AEF">
        <w:t>P</w:t>
      </w:r>
      <w:r w:rsidR="00B50307">
        <w:t>rovider (ISP)</w:t>
      </w:r>
      <w:r w:rsidR="00AE4792">
        <w:t xml:space="preserve"> believe they are directing the focus towards institutional support as required by the </w:t>
      </w:r>
      <w:r w:rsidR="00BD47C8">
        <w:t>design</w:t>
      </w:r>
      <w:r w:rsidR="00EE5D99">
        <w:t xml:space="preserve"> and legacies from the previous program,</w:t>
      </w:r>
      <w:r w:rsidR="00AE4792">
        <w:t xml:space="preserve"> </w:t>
      </w:r>
      <w:r w:rsidR="007E7402">
        <w:t xml:space="preserve">it is </w:t>
      </w:r>
      <w:r w:rsidR="00A51F99">
        <w:t>clear there</w:t>
      </w:r>
      <w:r w:rsidR="00AE4792">
        <w:t xml:space="preserve"> is going to be an issue with </w:t>
      </w:r>
      <w:r w:rsidR="008E0DA6">
        <w:t>selecting the right interventions. Essentially, the current interventions are not balanced between system level improvements and justice sector service delivery especially</w:t>
      </w:r>
      <w:r w:rsidR="00A51F99">
        <w:t>,</w:t>
      </w:r>
      <w:r w:rsidR="008E0DA6">
        <w:t xml:space="preserve"> those likely to deliver measurable benefits to the poor, in particular poor women and people with disability. </w:t>
      </w:r>
      <w:r w:rsidR="00EE5D99">
        <w:t xml:space="preserve">Regardless of the reasons for selecting or not selecting particular interventions to date, it is now </w:t>
      </w:r>
      <w:r w:rsidR="008E0DA6">
        <w:t>timely to reassess the balance and renew the policy</w:t>
      </w:r>
      <w:r w:rsidR="00C91D52">
        <w:t xml:space="preserve"> </w:t>
      </w:r>
      <w:r w:rsidR="008E0DA6">
        <w:t xml:space="preserve">directing intervention selection. This should be achieved through high level policy discussions between AusAID and </w:t>
      </w:r>
      <w:proofErr w:type="spellStart"/>
      <w:r w:rsidR="008E0DA6">
        <w:t>Bappenas</w:t>
      </w:r>
      <w:proofErr w:type="spellEnd"/>
      <w:r w:rsidR="008E0DA6">
        <w:t xml:space="preserve"> and then followed by design and implementation by the </w:t>
      </w:r>
      <w:r w:rsidR="006F79CD">
        <w:t>ISP</w:t>
      </w:r>
      <w:r w:rsidR="008E0DA6">
        <w:t>.</w:t>
      </w:r>
    </w:p>
    <w:p w:rsidR="00A24C49" w:rsidRDefault="00A24C49" w:rsidP="00AB63B1">
      <w:r>
        <w:lastRenderedPageBreak/>
        <w:t>AIPJ is not</w:t>
      </w:r>
      <w:r w:rsidR="001E2FE8">
        <w:t>,</w:t>
      </w:r>
      <w:r>
        <w:t xml:space="preserve"> in all cases</w:t>
      </w:r>
      <w:r w:rsidR="001E2FE8">
        <w:t>,</w:t>
      </w:r>
      <w:r>
        <w:t xml:space="preserve"> working with the right partners to ensure the program reaches and measurably benefits the poor. This is discussed further under Integration and Synergies</w:t>
      </w:r>
      <w:r w:rsidR="00F451C5">
        <w:t xml:space="preserve"> below</w:t>
      </w:r>
      <w:r>
        <w:t xml:space="preserve">. </w:t>
      </w:r>
      <w:r w:rsidR="001E2FE8">
        <w:t xml:space="preserve"> However, t</w:t>
      </w:r>
      <w:r>
        <w:t>he Review Team consulted briefly with potential partners who could, with the right support from AIPJ provide</w:t>
      </w:r>
      <w:r w:rsidR="007E7402">
        <w:t xml:space="preserve"> greater</w:t>
      </w:r>
      <w:r w:rsidR="00C746B6">
        <w:t xml:space="preserve"> </w:t>
      </w:r>
      <w:r w:rsidR="00A51F99">
        <w:t xml:space="preserve">reach </w:t>
      </w:r>
      <w:r w:rsidR="007E7402">
        <w:t xml:space="preserve">through more direct and </w:t>
      </w:r>
      <w:r>
        <w:t xml:space="preserve">better quality services. This needs to be investigated further by the </w:t>
      </w:r>
      <w:r w:rsidR="00B82AEF">
        <w:t>PD and ISP</w:t>
      </w:r>
      <w:r>
        <w:t>.</w:t>
      </w:r>
    </w:p>
    <w:p w:rsidR="005F6AE3" w:rsidRDefault="00A24C49" w:rsidP="00D35CF0">
      <w:pPr>
        <w:spacing w:line="240" w:lineRule="auto"/>
      </w:pPr>
      <w:r>
        <w:rPr>
          <w:rFonts w:cstheme="minorHAnsi"/>
        </w:rPr>
        <w:t xml:space="preserve">There is inadequate </w:t>
      </w:r>
      <w:r w:rsidRPr="00211914">
        <w:rPr>
          <w:rFonts w:cstheme="minorHAnsi"/>
        </w:rPr>
        <w:t>brea</w:t>
      </w:r>
      <w:r w:rsidR="001E2FE8">
        <w:rPr>
          <w:rFonts w:cstheme="minorHAnsi"/>
        </w:rPr>
        <w:t>d</w:t>
      </w:r>
      <w:r w:rsidRPr="00211914">
        <w:rPr>
          <w:rFonts w:cstheme="minorHAnsi"/>
        </w:rPr>
        <w:t>th of engagement</w:t>
      </w:r>
      <w:r>
        <w:rPr>
          <w:rFonts w:cstheme="minorHAnsi"/>
        </w:rPr>
        <w:t xml:space="preserve"> </w:t>
      </w:r>
      <w:r w:rsidR="00C91D52">
        <w:rPr>
          <w:rFonts w:cstheme="minorHAnsi"/>
        </w:rPr>
        <w:t>by the PD and the ISP</w:t>
      </w:r>
      <w:r w:rsidRPr="00211914">
        <w:rPr>
          <w:rFonts w:cstheme="minorHAnsi"/>
        </w:rPr>
        <w:t xml:space="preserve"> </w:t>
      </w:r>
      <w:r w:rsidR="001E2FE8">
        <w:rPr>
          <w:rFonts w:cstheme="minorHAnsi"/>
        </w:rPr>
        <w:t xml:space="preserve">with partners </w:t>
      </w:r>
      <w:r w:rsidR="00C91D52">
        <w:rPr>
          <w:rFonts w:cstheme="minorHAnsi"/>
        </w:rPr>
        <w:t>(</w:t>
      </w:r>
      <w:r w:rsidR="001E2FE8">
        <w:rPr>
          <w:rFonts w:cstheme="minorHAnsi"/>
        </w:rPr>
        <w:t>including</w:t>
      </w:r>
      <w:r w:rsidR="00C91D52">
        <w:rPr>
          <w:rFonts w:cstheme="minorHAnsi"/>
        </w:rPr>
        <w:t xml:space="preserve"> with</w:t>
      </w:r>
      <w:r w:rsidR="001E2FE8">
        <w:rPr>
          <w:rFonts w:cstheme="minorHAnsi"/>
        </w:rPr>
        <w:t xml:space="preserve"> potential future partners</w:t>
      </w:r>
      <w:r w:rsidR="00C91D52">
        <w:rPr>
          <w:rFonts w:cstheme="minorHAnsi"/>
        </w:rPr>
        <w:t>)</w:t>
      </w:r>
      <w:r w:rsidR="001E2FE8">
        <w:rPr>
          <w:rFonts w:cstheme="minorHAnsi"/>
        </w:rPr>
        <w:t xml:space="preserve"> </w:t>
      </w:r>
      <w:r w:rsidRPr="00211914">
        <w:rPr>
          <w:rFonts w:cstheme="minorHAnsi"/>
        </w:rPr>
        <w:t>for the purpose of decision making</w:t>
      </w:r>
      <w:r w:rsidR="00F52B95">
        <w:rPr>
          <w:rFonts w:cstheme="minorHAnsi"/>
        </w:rPr>
        <w:t>, with</w:t>
      </w:r>
      <w:r w:rsidR="00C91D52">
        <w:rPr>
          <w:rFonts w:cstheme="minorHAnsi"/>
        </w:rPr>
        <w:t xml:space="preserve"> </w:t>
      </w:r>
      <w:r>
        <w:rPr>
          <w:rFonts w:cstheme="minorHAnsi"/>
        </w:rPr>
        <w:t xml:space="preserve">partners </w:t>
      </w:r>
      <w:r w:rsidR="00F52B95">
        <w:rPr>
          <w:rFonts w:cstheme="minorHAnsi"/>
        </w:rPr>
        <w:t xml:space="preserve">reporting they </w:t>
      </w:r>
      <w:r>
        <w:rPr>
          <w:rFonts w:cstheme="minorHAnsi"/>
        </w:rPr>
        <w:t xml:space="preserve">do not feel </w:t>
      </w:r>
      <w:r w:rsidR="00C91D52">
        <w:rPr>
          <w:rFonts w:cstheme="minorHAnsi"/>
        </w:rPr>
        <w:t>adequately consulted</w:t>
      </w:r>
      <w:r>
        <w:rPr>
          <w:rFonts w:cstheme="minorHAnsi"/>
        </w:rPr>
        <w:t>. There is a</w:t>
      </w:r>
      <w:r w:rsidR="00F52B95">
        <w:rPr>
          <w:rFonts w:cstheme="minorHAnsi"/>
        </w:rPr>
        <w:t>lso a</w:t>
      </w:r>
      <w:r>
        <w:rPr>
          <w:rFonts w:cstheme="minorHAnsi"/>
        </w:rPr>
        <w:t xml:space="preserve"> lack of engagement and </w:t>
      </w:r>
      <w:r>
        <w:t xml:space="preserve">discourse within the </w:t>
      </w:r>
      <w:r w:rsidR="00F451C5">
        <w:t>ISP</w:t>
      </w:r>
      <w:r>
        <w:t xml:space="preserve"> team </w:t>
      </w:r>
      <w:r w:rsidR="00F52B95">
        <w:t>itself</w:t>
      </w:r>
      <w:r w:rsidR="00C91D52">
        <w:t>. This means that manage</w:t>
      </w:r>
      <w:r>
        <w:t>ment decision</w:t>
      </w:r>
      <w:r w:rsidR="00BF443C">
        <w:t>-</w:t>
      </w:r>
      <w:r>
        <w:t xml:space="preserve">making lacks authenticity.  </w:t>
      </w:r>
      <w:r w:rsidR="00F52B95">
        <w:t>T</w:t>
      </w:r>
      <w:r w:rsidR="00C91D52">
        <w:t>here is</w:t>
      </w:r>
      <w:r>
        <w:t xml:space="preserve"> an opportunity to better embed the program in the ongoing</w:t>
      </w:r>
      <w:r w:rsidR="00F52B95">
        <w:t xml:space="preserve"> legal</w:t>
      </w:r>
      <w:r>
        <w:t xml:space="preserve"> reform dynamic</w:t>
      </w:r>
      <w:r w:rsidR="00F52B95">
        <w:t xml:space="preserve"> in Indonesia. This should</w:t>
      </w:r>
      <w:r w:rsidR="001E2FE8">
        <w:t xml:space="preserve"> recogni</w:t>
      </w:r>
      <w:r w:rsidR="00F52B95">
        <w:t>se</w:t>
      </w:r>
      <w:r w:rsidR="001E2FE8">
        <w:t xml:space="preserve"> the critical importance of ownership and commitment to change </w:t>
      </w:r>
      <w:r w:rsidR="00F52B95">
        <w:t>and should op</w:t>
      </w:r>
      <w:r w:rsidR="001E2FE8">
        <w:t xml:space="preserve">timize </w:t>
      </w:r>
      <w:r w:rsidR="00F52B95">
        <w:t xml:space="preserve">the </w:t>
      </w:r>
      <w:r>
        <w:t>experience and expertise of technical experts for the benefit of the program.</w:t>
      </w:r>
      <w:r w:rsidR="00F509C5" w:rsidRPr="00F509C5">
        <w:t xml:space="preserve"> </w:t>
      </w:r>
      <w:r w:rsidR="00F509C5">
        <w:t>Without improvement in this practice, the right interve</w:t>
      </w:r>
      <w:r w:rsidR="001E2FE8">
        <w:t xml:space="preserve">ntions are unlikely to </w:t>
      </w:r>
      <w:r w:rsidR="00D35CF0">
        <w:t>be found.</w:t>
      </w:r>
    </w:p>
    <w:p w:rsidR="002141AE" w:rsidRDefault="00974493" w:rsidP="002141AE">
      <w:pPr>
        <w:spacing w:line="240" w:lineRule="auto"/>
        <w:rPr>
          <w:rFonts w:cstheme="minorHAnsi"/>
        </w:rPr>
      </w:pPr>
      <w:r>
        <w:rPr>
          <w:rFonts w:cstheme="minorHAnsi"/>
        </w:rPr>
        <w:t>AIPJ needs</w:t>
      </w:r>
      <w:r w:rsidR="00F871E4">
        <w:rPr>
          <w:rFonts w:cstheme="minorHAnsi"/>
        </w:rPr>
        <w:t xml:space="preserve"> to </w:t>
      </w:r>
      <w:r w:rsidR="00F52B95">
        <w:rPr>
          <w:rFonts w:cstheme="minorHAnsi"/>
        </w:rPr>
        <w:t>broaden and deepen</w:t>
      </w:r>
      <w:r>
        <w:rPr>
          <w:rFonts w:cstheme="minorHAnsi"/>
        </w:rPr>
        <w:t xml:space="preserve"> its strategic management. This should be developed through a strategic plan, </w:t>
      </w:r>
      <w:r w:rsidR="006D41FA">
        <w:rPr>
          <w:rFonts w:cstheme="minorHAnsi"/>
        </w:rPr>
        <w:t xml:space="preserve">to </w:t>
      </w:r>
      <w:r w:rsidR="00130915">
        <w:rPr>
          <w:rFonts w:cstheme="minorHAnsi"/>
        </w:rPr>
        <w:t xml:space="preserve">set direction, </w:t>
      </w:r>
      <w:r w:rsidR="006D41FA">
        <w:rPr>
          <w:rFonts w:cstheme="minorHAnsi"/>
        </w:rPr>
        <w:t xml:space="preserve">identify </w:t>
      </w:r>
      <w:r w:rsidR="00130915">
        <w:rPr>
          <w:rFonts w:cstheme="minorHAnsi"/>
        </w:rPr>
        <w:t xml:space="preserve">current </w:t>
      </w:r>
      <w:r w:rsidR="006D41FA">
        <w:rPr>
          <w:rFonts w:cstheme="minorHAnsi"/>
        </w:rPr>
        <w:t>need and d</w:t>
      </w:r>
      <w:r w:rsidR="00F52B95">
        <w:rPr>
          <w:rFonts w:cstheme="minorHAnsi"/>
        </w:rPr>
        <w:t>evelop</w:t>
      </w:r>
      <w:r w:rsidR="006D41FA">
        <w:rPr>
          <w:rFonts w:cstheme="minorHAnsi"/>
        </w:rPr>
        <w:t xml:space="preserve"> a more comprehensive assessment of what </w:t>
      </w:r>
      <w:r w:rsidR="00F52B95">
        <w:rPr>
          <w:rFonts w:cstheme="minorHAnsi"/>
        </w:rPr>
        <w:t>are the best interventions to pursue o</w:t>
      </w:r>
      <w:r w:rsidR="006D41FA">
        <w:rPr>
          <w:rFonts w:cstheme="minorHAnsi"/>
        </w:rPr>
        <w:t>ver the next four years and beyond</w:t>
      </w:r>
      <w:r w:rsidR="00F52B95">
        <w:rPr>
          <w:rFonts w:cstheme="minorHAnsi"/>
        </w:rPr>
        <w:t xml:space="preserve">. </w:t>
      </w:r>
      <w:r w:rsidR="00130915">
        <w:rPr>
          <w:rFonts w:cstheme="minorHAnsi"/>
        </w:rPr>
        <w:t>As part of this work, t</w:t>
      </w:r>
      <w:r w:rsidR="006D41FA">
        <w:rPr>
          <w:rFonts w:cstheme="minorHAnsi"/>
        </w:rPr>
        <w:t xml:space="preserve">he </w:t>
      </w:r>
      <w:r w:rsidR="00B82AEF">
        <w:rPr>
          <w:rFonts w:cstheme="minorHAnsi"/>
        </w:rPr>
        <w:t>PD and ISP</w:t>
      </w:r>
      <w:r w:rsidR="006D41FA">
        <w:rPr>
          <w:rFonts w:cstheme="minorHAnsi"/>
        </w:rPr>
        <w:t xml:space="preserve"> need to </w:t>
      </w:r>
      <w:r w:rsidR="00130915">
        <w:rPr>
          <w:rFonts w:cstheme="minorHAnsi"/>
        </w:rPr>
        <w:t>clearly identify the mission</w:t>
      </w:r>
      <w:r w:rsidR="00C214C7">
        <w:rPr>
          <w:rFonts w:cstheme="minorHAnsi"/>
        </w:rPr>
        <w:t>,</w:t>
      </w:r>
      <w:r w:rsidR="00A51F99">
        <w:rPr>
          <w:rStyle w:val="FootnoteReference"/>
          <w:rFonts w:cstheme="minorHAnsi"/>
        </w:rPr>
        <w:footnoteReference w:id="3"/>
      </w:r>
      <w:r w:rsidR="00A51F99">
        <w:rPr>
          <w:rFonts w:cstheme="minorHAnsi"/>
        </w:rPr>
        <w:t xml:space="preserve"> objective</w:t>
      </w:r>
      <w:r w:rsidR="00F52B95">
        <w:rPr>
          <w:rFonts w:cstheme="minorHAnsi"/>
        </w:rPr>
        <w:t xml:space="preserve">, </w:t>
      </w:r>
      <w:r w:rsidR="00C214C7">
        <w:rPr>
          <w:rFonts w:cstheme="minorHAnsi"/>
        </w:rPr>
        <w:t xml:space="preserve">goals </w:t>
      </w:r>
      <w:r w:rsidR="00F52B95">
        <w:rPr>
          <w:rFonts w:cstheme="minorHAnsi"/>
        </w:rPr>
        <w:t xml:space="preserve">of the program </w:t>
      </w:r>
      <w:r w:rsidR="00C214C7">
        <w:rPr>
          <w:rFonts w:cstheme="minorHAnsi"/>
        </w:rPr>
        <w:t xml:space="preserve">and </w:t>
      </w:r>
      <w:r w:rsidR="00D273BE">
        <w:rPr>
          <w:rFonts w:cstheme="minorHAnsi"/>
        </w:rPr>
        <w:t xml:space="preserve">how the program will </w:t>
      </w:r>
      <w:r w:rsidR="00BF443C">
        <w:rPr>
          <w:rFonts w:cstheme="minorHAnsi"/>
        </w:rPr>
        <w:t xml:space="preserve">measure </w:t>
      </w:r>
      <w:r w:rsidR="00D273BE">
        <w:rPr>
          <w:rFonts w:cstheme="minorHAnsi"/>
        </w:rPr>
        <w:t>its</w:t>
      </w:r>
      <w:r w:rsidR="00C214C7">
        <w:rPr>
          <w:rFonts w:cstheme="minorHAnsi"/>
        </w:rPr>
        <w:t xml:space="preserve"> success</w:t>
      </w:r>
      <w:r w:rsidR="00F52B95">
        <w:rPr>
          <w:rFonts w:cstheme="minorHAnsi"/>
        </w:rPr>
        <w:t xml:space="preserve">. </w:t>
      </w:r>
      <w:proofErr w:type="gramStart"/>
      <w:r w:rsidR="00D273BE">
        <w:rPr>
          <w:rFonts w:cstheme="minorHAnsi"/>
        </w:rPr>
        <w:t>This needs</w:t>
      </w:r>
      <w:proofErr w:type="gramEnd"/>
      <w:r w:rsidR="00D273BE">
        <w:rPr>
          <w:rFonts w:cstheme="minorHAnsi"/>
        </w:rPr>
        <w:t xml:space="preserve"> to be done in full consultation with partners and it </w:t>
      </w:r>
      <w:r w:rsidR="00F451C5">
        <w:rPr>
          <w:rFonts w:cstheme="minorHAnsi"/>
        </w:rPr>
        <w:t>should</w:t>
      </w:r>
      <w:r w:rsidR="00A24C49">
        <w:rPr>
          <w:rFonts w:cstheme="minorHAnsi"/>
        </w:rPr>
        <w:t xml:space="preserve"> </w:t>
      </w:r>
      <w:r w:rsidR="006D41FA">
        <w:rPr>
          <w:rFonts w:cstheme="minorHAnsi"/>
        </w:rPr>
        <w:t xml:space="preserve">commence immediately.  </w:t>
      </w:r>
    </w:p>
    <w:p w:rsidR="00A1448A" w:rsidRPr="0027155B" w:rsidRDefault="00A1448A" w:rsidP="00A1448A">
      <w:pPr>
        <w:spacing w:line="240" w:lineRule="auto"/>
        <w:rPr>
          <w:rFonts w:cstheme="minorHAnsi"/>
        </w:rPr>
      </w:pPr>
      <w:r>
        <w:rPr>
          <w:rFonts w:cstheme="minorHAnsi"/>
        </w:rPr>
        <w:t xml:space="preserve">AIPJ </w:t>
      </w:r>
      <w:r w:rsidR="00D273BE">
        <w:rPr>
          <w:rFonts w:cstheme="minorHAnsi"/>
        </w:rPr>
        <w:t>has</w:t>
      </w:r>
      <w:r w:rsidRPr="00211914">
        <w:rPr>
          <w:rFonts w:cstheme="minorHAnsi"/>
        </w:rPr>
        <w:t xml:space="preserve"> adequate </w:t>
      </w:r>
      <w:r>
        <w:rPr>
          <w:rFonts w:cstheme="minorHAnsi"/>
        </w:rPr>
        <w:t>budget</w:t>
      </w:r>
      <w:r w:rsidRPr="00211914">
        <w:rPr>
          <w:rFonts w:cstheme="minorHAnsi"/>
        </w:rPr>
        <w:t xml:space="preserve"> to deliver the program</w:t>
      </w:r>
      <w:r w:rsidR="00D273BE">
        <w:rPr>
          <w:rFonts w:cstheme="minorHAnsi"/>
        </w:rPr>
        <w:t xml:space="preserve"> but is not </w:t>
      </w:r>
      <w:r>
        <w:rPr>
          <w:rFonts w:cstheme="minorHAnsi"/>
        </w:rPr>
        <w:t xml:space="preserve">currently operating at expected expenditure levels. This </w:t>
      </w:r>
      <w:r w:rsidR="001B198F">
        <w:rPr>
          <w:rFonts w:cstheme="minorHAnsi"/>
        </w:rPr>
        <w:t xml:space="preserve">needs to be followed up by </w:t>
      </w:r>
      <w:r>
        <w:rPr>
          <w:rFonts w:cstheme="minorHAnsi"/>
        </w:rPr>
        <w:t xml:space="preserve">the </w:t>
      </w:r>
      <w:r w:rsidR="00B82AEF">
        <w:rPr>
          <w:rFonts w:cstheme="minorHAnsi"/>
        </w:rPr>
        <w:t xml:space="preserve">PD and ISP </w:t>
      </w:r>
      <w:r>
        <w:rPr>
          <w:rFonts w:cstheme="minorHAnsi"/>
        </w:rPr>
        <w:t>and</w:t>
      </w:r>
      <w:r w:rsidR="008E7018">
        <w:rPr>
          <w:rFonts w:cstheme="minorHAnsi"/>
        </w:rPr>
        <w:t xml:space="preserve"> </w:t>
      </w:r>
      <w:r>
        <w:rPr>
          <w:rFonts w:cstheme="minorHAnsi"/>
        </w:rPr>
        <w:t xml:space="preserve">advice </w:t>
      </w:r>
      <w:r w:rsidR="007E7402">
        <w:rPr>
          <w:rFonts w:cstheme="minorHAnsi"/>
        </w:rPr>
        <w:t xml:space="preserve">provided </w:t>
      </w:r>
      <w:r>
        <w:rPr>
          <w:rFonts w:cstheme="minorHAnsi"/>
        </w:rPr>
        <w:t xml:space="preserve">to AusAID and </w:t>
      </w:r>
      <w:proofErr w:type="spellStart"/>
      <w:r>
        <w:rPr>
          <w:rFonts w:cstheme="minorHAnsi"/>
        </w:rPr>
        <w:t>Bappenas</w:t>
      </w:r>
      <w:proofErr w:type="spellEnd"/>
      <w:r w:rsidR="00D35CF0">
        <w:rPr>
          <w:rFonts w:cstheme="minorHAnsi"/>
        </w:rPr>
        <w:t xml:space="preserve"> with</w:t>
      </w:r>
      <w:r>
        <w:rPr>
          <w:rFonts w:cstheme="minorHAnsi"/>
        </w:rPr>
        <w:t xml:space="preserve"> forecasts and strategies to ensure expenditure progresses as planned. </w:t>
      </w:r>
    </w:p>
    <w:p w:rsidR="00D31068" w:rsidRDefault="00D31068" w:rsidP="00D31068">
      <w:r>
        <w:t xml:space="preserve">The review process indicated that some of the current AIPJ interventions are aligned with </w:t>
      </w:r>
      <w:proofErr w:type="spellStart"/>
      <w:r>
        <w:t>GoI</w:t>
      </w:r>
      <w:proofErr w:type="spellEnd"/>
      <w:r>
        <w:t xml:space="preserve"> priorities but some </w:t>
      </w:r>
      <w:proofErr w:type="spellStart"/>
      <w:r>
        <w:t>GoI</w:t>
      </w:r>
      <w:proofErr w:type="spellEnd"/>
      <w:r>
        <w:t xml:space="preserve"> partners also indicated there was insufficient linkage to </w:t>
      </w:r>
      <w:proofErr w:type="spellStart"/>
      <w:r>
        <w:t>GoI</w:t>
      </w:r>
      <w:proofErr w:type="spellEnd"/>
      <w:r>
        <w:t xml:space="preserve"> policy and planning. The PD and ISP should undertake a review of current interventions to test the extent to which they are in line with relevant </w:t>
      </w:r>
      <w:proofErr w:type="spellStart"/>
      <w:r>
        <w:t>GoI</w:t>
      </w:r>
      <w:proofErr w:type="spellEnd"/>
      <w:r>
        <w:t xml:space="preserve"> policy. This also needs to be done in consideration of AusAID policy.</w:t>
      </w:r>
    </w:p>
    <w:p w:rsidR="00AB63B1" w:rsidRPr="00F969F4" w:rsidRDefault="00211914" w:rsidP="00AF7A91">
      <w:pPr>
        <w:pStyle w:val="Heading2"/>
      </w:pPr>
      <w:bookmarkStart w:id="3" w:name="_Toc345320816"/>
      <w:r w:rsidRPr="00F969F4">
        <w:t>Implementation Arrangements</w:t>
      </w:r>
      <w:bookmarkEnd w:id="3"/>
    </w:p>
    <w:p w:rsidR="0060702B" w:rsidRDefault="00210FDE" w:rsidP="00210FDE">
      <w:pPr>
        <w:spacing w:line="240" w:lineRule="auto"/>
        <w:rPr>
          <w:rFonts w:cstheme="minorHAnsi"/>
        </w:rPr>
      </w:pPr>
      <w:r>
        <w:rPr>
          <w:rFonts w:cstheme="minorHAnsi"/>
        </w:rPr>
        <w:t>The</w:t>
      </w:r>
      <w:r w:rsidR="00640DFC">
        <w:rPr>
          <w:rFonts w:cstheme="minorHAnsi"/>
        </w:rPr>
        <w:t xml:space="preserve"> Review Team heard</w:t>
      </w:r>
      <w:r w:rsidR="00A07A6F">
        <w:rPr>
          <w:rFonts w:cstheme="minorHAnsi"/>
        </w:rPr>
        <w:t xml:space="preserve"> that</w:t>
      </w:r>
      <w:r w:rsidR="00640DFC">
        <w:rPr>
          <w:rFonts w:cstheme="minorHAnsi"/>
        </w:rPr>
        <w:t xml:space="preserve"> there</w:t>
      </w:r>
      <w:r>
        <w:rPr>
          <w:rFonts w:cstheme="minorHAnsi"/>
        </w:rPr>
        <w:t xml:space="preserve"> may be</w:t>
      </w:r>
      <w:r w:rsidR="00A07A6F">
        <w:rPr>
          <w:rFonts w:cstheme="minorHAnsi"/>
        </w:rPr>
        <w:t xml:space="preserve"> insufficient</w:t>
      </w:r>
      <w:r>
        <w:rPr>
          <w:rFonts w:cstheme="minorHAnsi"/>
        </w:rPr>
        <w:t xml:space="preserve"> staff </w:t>
      </w:r>
      <w:r w:rsidR="00F871E4">
        <w:rPr>
          <w:rFonts w:cstheme="minorHAnsi"/>
        </w:rPr>
        <w:t xml:space="preserve">within the ISP </w:t>
      </w:r>
      <w:r>
        <w:rPr>
          <w:rFonts w:cstheme="minorHAnsi"/>
        </w:rPr>
        <w:t xml:space="preserve">to meet </w:t>
      </w:r>
      <w:r w:rsidR="006E5575">
        <w:rPr>
          <w:rFonts w:cstheme="minorHAnsi"/>
        </w:rPr>
        <w:t xml:space="preserve">the </w:t>
      </w:r>
      <w:r>
        <w:rPr>
          <w:rFonts w:cstheme="minorHAnsi"/>
        </w:rPr>
        <w:t>demand</w:t>
      </w:r>
      <w:r w:rsidR="006E5575">
        <w:rPr>
          <w:rFonts w:cstheme="minorHAnsi"/>
        </w:rPr>
        <w:t>s of the program</w:t>
      </w:r>
      <w:r>
        <w:rPr>
          <w:rFonts w:cstheme="minorHAnsi"/>
        </w:rPr>
        <w:t xml:space="preserve">. There was concern expressed that administrative staff were being over loaded with </w:t>
      </w:r>
      <w:r w:rsidR="00A0684A">
        <w:rPr>
          <w:rFonts w:cstheme="minorHAnsi"/>
        </w:rPr>
        <w:t>the volume of contract</w:t>
      </w:r>
      <w:r w:rsidR="00F871E4">
        <w:rPr>
          <w:rFonts w:cstheme="minorHAnsi"/>
        </w:rPr>
        <w:t xml:space="preserve">s </w:t>
      </w:r>
      <w:r w:rsidR="00A0684A">
        <w:rPr>
          <w:rFonts w:cstheme="minorHAnsi"/>
        </w:rPr>
        <w:t xml:space="preserve">requiring </w:t>
      </w:r>
      <w:r>
        <w:rPr>
          <w:rFonts w:cstheme="minorHAnsi"/>
        </w:rPr>
        <w:t>processing</w:t>
      </w:r>
      <w:r w:rsidR="00345EF2">
        <w:rPr>
          <w:rFonts w:cstheme="minorHAnsi"/>
        </w:rPr>
        <w:t xml:space="preserve"> and i</w:t>
      </w:r>
      <w:r w:rsidR="00A0684A">
        <w:rPr>
          <w:rFonts w:cstheme="minorHAnsi"/>
        </w:rPr>
        <w:t xml:space="preserve">t was said this was </w:t>
      </w:r>
      <w:r>
        <w:rPr>
          <w:rFonts w:cstheme="minorHAnsi"/>
        </w:rPr>
        <w:t xml:space="preserve">‘not sustainable’.  </w:t>
      </w:r>
      <w:r w:rsidR="00EE5D99">
        <w:rPr>
          <w:rFonts w:cstheme="minorHAnsi"/>
        </w:rPr>
        <w:t>Some stakeholders expressed concern that vacancies were not filled quickly enough</w:t>
      </w:r>
      <w:r>
        <w:rPr>
          <w:rFonts w:cstheme="minorHAnsi"/>
        </w:rPr>
        <w:t xml:space="preserve">.  </w:t>
      </w:r>
      <w:r w:rsidR="00D35CF0">
        <w:rPr>
          <w:rFonts w:cstheme="minorHAnsi"/>
        </w:rPr>
        <w:t>The Review Team were unable to determine, through our consultation</w:t>
      </w:r>
      <w:r w:rsidR="00EE5D99">
        <w:rPr>
          <w:rFonts w:cstheme="minorHAnsi"/>
        </w:rPr>
        <w:t>s</w:t>
      </w:r>
      <w:r w:rsidR="00D35CF0">
        <w:rPr>
          <w:rFonts w:cstheme="minorHAnsi"/>
        </w:rPr>
        <w:t xml:space="preserve">, whether there are sufficient personnel to manage the work load. </w:t>
      </w:r>
      <w:r w:rsidR="00EE5D99">
        <w:rPr>
          <w:rFonts w:cstheme="minorHAnsi"/>
        </w:rPr>
        <w:t>Moving forward t</w:t>
      </w:r>
      <w:r w:rsidR="008A30F1">
        <w:rPr>
          <w:rFonts w:cstheme="minorHAnsi"/>
        </w:rPr>
        <w:t>his should</w:t>
      </w:r>
      <w:r w:rsidR="00EE5D99">
        <w:rPr>
          <w:rFonts w:cstheme="minorHAnsi"/>
        </w:rPr>
        <w:t xml:space="preserve"> </w:t>
      </w:r>
      <w:r w:rsidR="008A30F1">
        <w:rPr>
          <w:rFonts w:cstheme="minorHAnsi"/>
        </w:rPr>
        <w:t>be assessed</w:t>
      </w:r>
      <w:r w:rsidR="00F871E4">
        <w:rPr>
          <w:rFonts w:cstheme="minorHAnsi"/>
        </w:rPr>
        <w:t xml:space="preserve"> by the </w:t>
      </w:r>
      <w:r w:rsidR="00B82AEF">
        <w:rPr>
          <w:rFonts w:cstheme="minorHAnsi"/>
        </w:rPr>
        <w:t xml:space="preserve">PD and ISP </w:t>
      </w:r>
      <w:r w:rsidR="00823EBA">
        <w:rPr>
          <w:rFonts w:cstheme="minorHAnsi"/>
        </w:rPr>
        <w:t>(as part of effective operational management)</w:t>
      </w:r>
      <w:r w:rsidR="00F871E4">
        <w:rPr>
          <w:rFonts w:cstheme="minorHAnsi"/>
        </w:rPr>
        <w:t xml:space="preserve"> with </w:t>
      </w:r>
      <w:r w:rsidR="005E4167">
        <w:rPr>
          <w:rFonts w:cstheme="minorHAnsi"/>
        </w:rPr>
        <w:t xml:space="preserve">a </w:t>
      </w:r>
      <w:r w:rsidR="00823EBA">
        <w:rPr>
          <w:rFonts w:cstheme="minorHAnsi"/>
        </w:rPr>
        <w:t xml:space="preserve">business </w:t>
      </w:r>
      <w:r w:rsidR="005E4167">
        <w:rPr>
          <w:rFonts w:cstheme="minorHAnsi"/>
        </w:rPr>
        <w:t>case (</w:t>
      </w:r>
      <w:r w:rsidR="00F871E4">
        <w:rPr>
          <w:rFonts w:cstheme="minorHAnsi"/>
        </w:rPr>
        <w:t xml:space="preserve">strong </w:t>
      </w:r>
      <w:r w:rsidR="008A30F1">
        <w:rPr>
          <w:rFonts w:cstheme="minorHAnsi"/>
        </w:rPr>
        <w:t>analysis and recommendations</w:t>
      </w:r>
      <w:r w:rsidR="005E4167">
        <w:rPr>
          <w:rFonts w:cstheme="minorHAnsi"/>
        </w:rPr>
        <w:t>)</w:t>
      </w:r>
      <w:r w:rsidR="008A30F1">
        <w:rPr>
          <w:rFonts w:cstheme="minorHAnsi"/>
        </w:rPr>
        <w:t xml:space="preserve"> made to AusAID</w:t>
      </w:r>
      <w:r w:rsidR="00F871E4">
        <w:rPr>
          <w:rFonts w:cstheme="minorHAnsi"/>
        </w:rPr>
        <w:t xml:space="preserve"> for their approval</w:t>
      </w:r>
      <w:r w:rsidR="008A30F1">
        <w:rPr>
          <w:rFonts w:cstheme="minorHAnsi"/>
        </w:rPr>
        <w:t xml:space="preserve">.  </w:t>
      </w:r>
    </w:p>
    <w:p w:rsidR="008D7D43" w:rsidRDefault="008D7D43" w:rsidP="008D7D43">
      <w:pPr>
        <w:spacing w:line="240" w:lineRule="auto"/>
        <w:rPr>
          <w:rFonts w:cstheme="minorHAnsi"/>
        </w:rPr>
      </w:pPr>
      <w:r w:rsidRPr="00751DB1">
        <w:t>The roles of AusAID, the AusAID contracted PD</w:t>
      </w:r>
      <w:r>
        <w:t xml:space="preserve"> and the ISP </w:t>
      </w:r>
      <w:r w:rsidRPr="00751DB1">
        <w:t xml:space="preserve">are not </w:t>
      </w:r>
      <w:r>
        <w:t xml:space="preserve">clear to the </w:t>
      </w:r>
      <w:r w:rsidRPr="00751DB1">
        <w:t>‘par</w:t>
      </w:r>
      <w:r>
        <w:t>tners’</w:t>
      </w:r>
      <w:r w:rsidR="00345EF2">
        <w:rPr>
          <w:rFonts w:cstheme="minorHAnsi"/>
        </w:rPr>
        <w:t xml:space="preserve"> and t</w:t>
      </w:r>
      <w:r>
        <w:rPr>
          <w:rFonts w:cstheme="minorHAnsi"/>
        </w:rPr>
        <w:t>here is</w:t>
      </w:r>
      <w:r w:rsidR="00345EF2">
        <w:rPr>
          <w:rFonts w:cstheme="minorHAnsi"/>
        </w:rPr>
        <w:t xml:space="preserve"> some</w:t>
      </w:r>
      <w:r>
        <w:rPr>
          <w:rFonts w:cstheme="minorHAnsi"/>
        </w:rPr>
        <w:t xml:space="preserve"> negativity surrounding the PD being the AusAID lead representative of AIPJ. </w:t>
      </w:r>
      <w:r w:rsidR="00345EF2">
        <w:rPr>
          <w:rFonts w:cstheme="minorHAnsi"/>
        </w:rPr>
        <w:t>A</w:t>
      </w:r>
      <w:r w:rsidR="006F79CD">
        <w:rPr>
          <w:rFonts w:cstheme="minorHAnsi"/>
        </w:rPr>
        <w:t>s a</w:t>
      </w:r>
      <w:r w:rsidR="00F871E4">
        <w:rPr>
          <w:rFonts w:cstheme="minorHAnsi"/>
        </w:rPr>
        <w:t xml:space="preserve"> result of this</w:t>
      </w:r>
      <w:r w:rsidR="00D542B3">
        <w:rPr>
          <w:rFonts w:cstheme="minorHAnsi"/>
        </w:rPr>
        <w:t xml:space="preserve"> </w:t>
      </w:r>
      <w:r w:rsidR="00D542B3">
        <w:rPr>
          <w:rFonts w:cstheme="minorHAnsi"/>
        </w:rPr>
        <w:lastRenderedPageBreak/>
        <w:t>structure, t</w:t>
      </w:r>
      <w:r w:rsidR="00610572">
        <w:rPr>
          <w:rFonts w:cstheme="minorHAnsi"/>
        </w:rPr>
        <w:t xml:space="preserve">here is </w:t>
      </w:r>
      <w:r w:rsidR="006F79CD">
        <w:rPr>
          <w:rFonts w:cstheme="minorHAnsi"/>
        </w:rPr>
        <w:t xml:space="preserve">a </w:t>
      </w:r>
      <w:r w:rsidR="00610572">
        <w:rPr>
          <w:rFonts w:cstheme="minorHAnsi"/>
        </w:rPr>
        <w:t>lack of adequate contestability and clarity of roles and responsibilities with</w:t>
      </w:r>
      <w:r w:rsidR="00F871E4">
        <w:rPr>
          <w:rFonts w:cstheme="minorHAnsi"/>
        </w:rPr>
        <w:t>in the current program</w:t>
      </w:r>
      <w:r w:rsidR="00610572">
        <w:rPr>
          <w:rFonts w:cstheme="minorHAnsi"/>
        </w:rPr>
        <w:t>.</w:t>
      </w:r>
      <w:r w:rsidR="00F871E4">
        <w:rPr>
          <w:rFonts w:cstheme="minorHAnsi"/>
        </w:rPr>
        <w:t xml:space="preserve"> </w:t>
      </w:r>
      <w:r w:rsidR="0050594C">
        <w:rPr>
          <w:rFonts w:cstheme="minorHAnsi"/>
        </w:rPr>
        <w:t>This needs to be addressed</w:t>
      </w:r>
      <w:r w:rsidR="00C46D2D">
        <w:rPr>
          <w:rFonts w:cstheme="minorHAnsi"/>
        </w:rPr>
        <w:t xml:space="preserve"> by AusAID</w:t>
      </w:r>
      <w:r w:rsidR="0050594C">
        <w:rPr>
          <w:rFonts w:cstheme="minorHAnsi"/>
        </w:rPr>
        <w:t>.</w:t>
      </w:r>
    </w:p>
    <w:p w:rsidR="00610572" w:rsidRPr="00CA4CDD" w:rsidRDefault="00EE5D99" w:rsidP="00610572">
      <w:pPr>
        <w:spacing w:line="240" w:lineRule="auto"/>
      </w:pPr>
      <w:r>
        <w:rPr>
          <w:rFonts w:cstheme="minorHAnsi"/>
        </w:rPr>
        <w:t xml:space="preserve">Regardless of who performed or who was supposed to perform these roles to date, for the remainder of the initiative </w:t>
      </w:r>
      <w:r w:rsidR="00D37A0C">
        <w:rPr>
          <w:rFonts w:cstheme="minorHAnsi"/>
        </w:rPr>
        <w:t xml:space="preserve">AusAID </w:t>
      </w:r>
      <w:r>
        <w:rPr>
          <w:rFonts w:cstheme="minorHAnsi"/>
        </w:rPr>
        <w:t xml:space="preserve">Post </w:t>
      </w:r>
      <w:r w:rsidR="00D37A0C">
        <w:rPr>
          <w:rFonts w:cstheme="minorHAnsi"/>
        </w:rPr>
        <w:t xml:space="preserve">needs to </w:t>
      </w:r>
      <w:r>
        <w:rPr>
          <w:rFonts w:cstheme="minorHAnsi"/>
        </w:rPr>
        <w:t xml:space="preserve">be responsible for (and make clear to stakeholders that it is responsible for) </w:t>
      </w:r>
      <w:r w:rsidR="00D37A0C">
        <w:rPr>
          <w:rFonts w:cstheme="minorHAnsi"/>
        </w:rPr>
        <w:t>the role of</w:t>
      </w:r>
      <w:r w:rsidR="00BD4027">
        <w:rPr>
          <w:rFonts w:cstheme="minorHAnsi"/>
        </w:rPr>
        <w:t xml:space="preserve"> </w:t>
      </w:r>
      <w:r w:rsidR="00610572" w:rsidRPr="000059DF">
        <w:rPr>
          <w:rFonts w:cstheme="minorHAnsi"/>
          <w:b/>
        </w:rPr>
        <w:t>(1)</w:t>
      </w:r>
      <w:r w:rsidR="00BD4027">
        <w:rPr>
          <w:rFonts w:cstheme="minorHAnsi"/>
          <w:b/>
        </w:rPr>
        <w:t xml:space="preserve"> </w:t>
      </w:r>
      <w:r>
        <w:rPr>
          <w:rFonts w:cstheme="minorHAnsi"/>
          <w:b/>
        </w:rPr>
        <w:t xml:space="preserve">high-level </w:t>
      </w:r>
      <w:r w:rsidR="00610572" w:rsidRPr="00EF1F1C">
        <w:rPr>
          <w:b/>
        </w:rPr>
        <w:t>policy making and management</w:t>
      </w:r>
      <w:r w:rsidRPr="00DD4A62">
        <w:t>,</w:t>
      </w:r>
      <w:r w:rsidR="0050594C">
        <w:rPr>
          <w:b/>
        </w:rPr>
        <w:t xml:space="preserve"> </w:t>
      </w:r>
      <w:r w:rsidRPr="00DD4A62">
        <w:t>while</w:t>
      </w:r>
      <w:r>
        <w:rPr>
          <w:b/>
        </w:rPr>
        <w:t xml:space="preserve"> </w:t>
      </w:r>
      <w:r w:rsidR="00610572" w:rsidRPr="000059DF">
        <w:rPr>
          <w:b/>
        </w:rPr>
        <w:t>(2)</w:t>
      </w:r>
      <w:r w:rsidR="0050594C">
        <w:rPr>
          <w:b/>
        </w:rPr>
        <w:t xml:space="preserve"> </w:t>
      </w:r>
      <w:r w:rsidR="00610572">
        <w:rPr>
          <w:rFonts w:cstheme="minorHAnsi"/>
          <w:b/>
        </w:rPr>
        <w:t xml:space="preserve">strategic direction, management and performance </w:t>
      </w:r>
      <w:r w:rsidR="00610572" w:rsidRPr="00EF1F1C">
        <w:rPr>
          <w:b/>
        </w:rPr>
        <w:t>of the implementation program</w:t>
      </w:r>
      <w:r w:rsidR="00610572">
        <w:t xml:space="preserve"> </w:t>
      </w:r>
      <w:r w:rsidR="00D37A0C">
        <w:t xml:space="preserve">should be </w:t>
      </w:r>
      <w:r w:rsidR="00CA4CDD">
        <w:t xml:space="preserve">managed by </w:t>
      </w:r>
      <w:r w:rsidR="009F69A2">
        <w:t>the</w:t>
      </w:r>
      <w:r w:rsidR="008E7018">
        <w:t xml:space="preserve"> </w:t>
      </w:r>
      <w:r w:rsidR="00B82AEF">
        <w:rPr>
          <w:rFonts w:cstheme="minorHAnsi"/>
        </w:rPr>
        <w:t>ISP</w:t>
      </w:r>
      <w:r w:rsidR="007E7402">
        <w:rPr>
          <w:rFonts w:cstheme="minorHAnsi"/>
        </w:rPr>
        <w:t xml:space="preserve"> under a new management structure</w:t>
      </w:r>
      <w:r>
        <w:rPr>
          <w:rFonts w:cstheme="minorHAnsi"/>
        </w:rPr>
        <w:t>.</w:t>
      </w:r>
      <w:r w:rsidR="00B82AEF">
        <w:rPr>
          <w:rFonts w:cstheme="minorHAnsi"/>
        </w:rPr>
        <w:t xml:space="preserve"> </w:t>
      </w:r>
      <w:r w:rsidR="00610572" w:rsidRPr="002E0A51">
        <w:rPr>
          <w:b/>
        </w:rPr>
        <w:t>(3) Corporate Service support</w:t>
      </w:r>
      <w:r w:rsidR="00CA4CDD">
        <w:rPr>
          <w:b/>
        </w:rPr>
        <w:t xml:space="preserve"> </w:t>
      </w:r>
      <w:r w:rsidRPr="00DD4A62">
        <w:t>should</w:t>
      </w:r>
      <w:r>
        <w:rPr>
          <w:b/>
        </w:rPr>
        <w:t xml:space="preserve"> </w:t>
      </w:r>
      <w:r>
        <w:t xml:space="preserve">also </w:t>
      </w:r>
      <w:r w:rsidR="002141AE" w:rsidRPr="002141AE">
        <w:t>be provided and managed by the ISP.</w:t>
      </w:r>
    </w:p>
    <w:p w:rsidR="00F509C5" w:rsidRPr="00D542B3" w:rsidRDefault="00D542B3" w:rsidP="00610572">
      <w:pPr>
        <w:spacing w:line="240" w:lineRule="auto"/>
      </w:pPr>
      <w:r>
        <w:t xml:space="preserve">A clarification of these roles </w:t>
      </w:r>
      <w:r w:rsidR="00C46D2D">
        <w:t xml:space="preserve">is needed immediately. A </w:t>
      </w:r>
      <w:r>
        <w:t>more structured reporting</w:t>
      </w:r>
      <w:r w:rsidR="00FB094B">
        <w:t xml:space="preserve"> process</w:t>
      </w:r>
      <w:r>
        <w:t xml:space="preserve"> between </w:t>
      </w:r>
      <w:r w:rsidR="00FB094B">
        <w:t>AusAID, and the ISP</w:t>
      </w:r>
      <w:r>
        <w:t xml:space="preserve"> would alleviate the current confusion and indeed, improve the contestability</w:t>
      </w:r>
      <w:r w:rsidR="00CA4CDD">
        <w:t xml:space="preserve"> between the roles</w:t>
      </w:r>
      <w:r>
        <w:t>.</w:t>
      </w:r>
    </w:p>
    <w:p w:rsidR="00F274A3" w:rsidRDefault="00610572" w:rsidP="00AF7A91">
      <w:pPr>
        <w:pStyle w:val="Heading2"/>
      </w:pPr>
      <w:bookmarkStart w:id="4" w:name="_Toc345320817"/>
      <w:r w:rsidRPr="00610572">
        <w:t>Integration and Synergies</w:t>
      </w:r>
      <w:bookmarkEnd w:id="4"/>
    </w:p>
    <w:p w:rsidR="00CC2154" w:rsidRDefault="00FB094B" w:rsidP="005742E9">
      <w:r>
        <w:t>M</w:t>
      </w:r>
      <w:r w:rsidR="00CC2154" w:rsidRPr="0063547B">
        <w:t xml:space="preserve">ore pro-active engagement </w:t>
      </w:r>
      <w:r w:rsidR="00982BEA">
        <w:t xml:space="preserve">to develop synergies between AIPJ and other donor programs and other AusAID Indonesia </w:t>
      </w:r>
      <w:r w:rsidR="005C7743">
        <w:t xml:space="preserve">programs </w:t>
      </w:r>
      <w:r w:rsidR="00CC2154" w:rsidRPr="0063547B">
        <w:t xml:space="preserve">should be explored. </w:t>
      </w:r>
      <w:r w:rsidR="005C7743">
        <w:t>C</w:t>
      </w:r>
      <w:r w:rsidR="00CC2154" w:rsidRPr="0063547B">
        <w:t xml:space="preserve">oordination </w:t>
      </w:r>
      <w:r w:rsidR="00345EF2">
        <w:t xml:space="preserve">needs to be </w:t>
      </w:r>
      <w:r w:rsidR="00CC2154" w:rsidRPr="0063547B">
        <w:t>two-wa</w:t>
      </w:r>
      <w:r w:rsidR="00345EF2">
        <w:t>y</w:t>
      </w:r>
      <w:r w:rsidR="00CC2154" w:rsidRPr="0063547B">
        <w:t>, in which both (or more) programs must be open to such cooperation.</w:t>
      </w:r>
      <w:r w:rsidR="00D603F4">
        <w:t xml:space="preserve"> This can be achieved through direction from AusAID.</w:t>
      </w:r>
    </w:p>
    <w:p w:rsidR="009D7965" w:rsidRDefault="005742E9" w:rsidP="005742E9">
      <w:pPr>
        <w:rPr>
          <w:rFonts w:cstheme="minorHAnsi"/>
        </w:rPr>
      </w:pPr>
      <w:r>
        <w:rPr>
          <w:rFonts w:cstheme="minorHAnsi"/>
        </w:rPr>
        <w:t xml:space="preserve">The </w:t>
      </w:r>
      <w:r w:rsidR="00EC0DA0">
        <w:rPr>
          <w:rFonts w:cstheme="minorHAnsi"/>
        </w:rPr>
        <w:t>Review Team</w:t>
      </w:r>
      <w:r>
        <w:rPr>
          <w:rFonts w:cstheme="minorHAnsi"/>
        </w:rPr>
        <w:t xml:space="preserve"> met with a number of AusAID programs</w:t>
      </w:r>
      <w:r>
        <w:rPr>
          <w:rStyle w:val="FootnoteReference"/>
          <w:rFonts w:cstheme="minorHAnsi"/>
        </w:rPr>
        <w:footnoteReference w:id="4"/>
      </w:r>
      <w:r>
        <w:rPr>
          <w:rFonts w:cstheme="minorHAnsi"/>
        </w:rPr>
        <w:t xml:space="preserve">  and </w:t>
      </w:r>
      <w:r w:rsidR="005C7743">
        <w:rPr>
          <w:rFonts w:cstheme="minorHAnsi"/>
        </w:rPr>
        <w:t>other donors working in Indonesia.</w:t>
      </w:r>
      <w:r>
        <w:rPr>
          <w:rStyle w:val="FootnoteReference"/>
          <w:rFonts w:cstheme="minorHAnsi"/>
        </w:rPr>
        <w:footnoteReference w:id="5"/>
      </w:r>
      <w:r>
        <w:rPr>
          <w:rFonts w:cstheme="minorHAnsi"/>
        </w:rPr>
        <w:t xml:space="preserve"> The meetings identified there is potential for AIPJ to work together with some or all of these programs to maximise opportunities for AIPJ</w:t>
      </w:r>
      <w:r w:rsidR="00D603F4">
        <w:rPr>
          <w:rFonts w:cstheme="minorHAnsi"/>
        </w:rPr>
        <w:t xml:space="preserve"> and </w:t>
      </w:r>
      <w:r w:rsidR="007E7402">
        <w:rPr>
          <w:rFonts w:cstheme="minorHAnsi"/>
        </w:rPr>
        <w:t xml:space="preserve">also </w:t>
      </w:r>
      <w:r w:rsidR="00D603F4">
        <w:rPr>
          <w:rFonts w:cstheme="minorHAnsi"/>
        </w:rPr>
        <w:t>for the cooperating programs</w:t>
      </w:r>
      <w:r>
        <w:rPr>
          <w:rFonts w:cstheme="minorHAnsi"/>
        </w:rPr>
        <w:t>. Many (if not all) of the AusAID programs indicated a limited knowledge of AIPJ and certainly we</w:t>
      </w:r>
      <w:r w:rsidR="00D11B80">
        <w:rPr>
          <w:rFonts w:cstheme="minorHAnsi"/>
        </w:rPr>
        <w:t>re not aware of the AIPJ objective</w:t>
      </w:r>
      <w:r>
        <w:rPr>
          <w:rFonts w:cstheme="minorHAnsi"/>
        </w:rPr>
        <w:t>. However, all indicated</w:t>
      </w:r>
      <w:r w:rsidR="00244543">
        <w:rPr>
          <w:rFonts w:cstheme="minorHAnsi"/>
        </w:rPr>
        <w:t xml:space="preserve"> </w:t>
      </w:r>
      <w:r>
        <w:rPr>
          <w:rFonts w:cstheme="minorHAnsi"/>
        </w:rPr>
        <w:t xml:space="preserve">a willingness to cooperate with AIPJ </w:t>
      </w:r>
      <w:r w:rsidR="002D1A20">
        <w:rPr>
          <w:rFonts w:cstheme="minorHAnsi"/>
        </w:rPr>
        <w:t xml:space="preserve">and </w:t>
      </w:r>
      <w:r w:rsidR="00D11B80">
        <w:rPr>
          <w:rFonts w:cstheme="minorHAnsi"/>
        </w:rPr>
        <w:t>identify</w:t>
      </w:r>
      <w:r>
        <w:rPr>
          <w:rFonts w:cstheme="minorHAnsi"/>
        </w:rPr>
        <w:t xml:space="preserve"> potential </w:t>
      </w:r>
      <w:r w:rsidR="007E7402">
        <w:rPr>
          <w:rFonts w:cstheme="minorHAnsi"/>
        </w:rPr>
        <w:t xml:space="preserve">linkage </w:t>
      </w:r>
      <w:r w:rsidR="00244543">
        <w:rPr>
          <w:rFonts w:cstheme="minorHAnsi"/>
        </w:rPr>
        <w:t>areas.</w:t>
      </w:r>
    </w:p>
    <w:p w:rsidR="009D7965" w:rsidRDefault="009D7965" w:rsidP="009D7965">
      <w:pPr>
        <w:rPr>
          <w:rFonts w:cstheme="minorHAnsi"/>
        </w:rPr>
      </w:pPr>
      <w:r>
        <w:rPr>
          <w:rFonts w:cstheme="minorHAnsi"/>
        </w:rPr>
        <w:t xml:space="preserve">AIPJ to date has focussed its current and planned future support largely on </w:t>
      </w:r>
      <w:r w:rsidR="001E0454">
        <w:rPr>
          <w:rFonts w:cstheme="minorHAnsi"/>
        </w:rPr>
        <w:t>Jakarta based</w:t>
      </w:r>
      <w:r>
        <w:rPr>
          <w:rFonts w:cstheme="minorHAnsi"/>
        </w:rPr>
        <w:t xml:space="preserve"> justice institutions.  </w:t>
      </w:r>
      <w:r w:rsidR="00D11B80">
        <w:rPr>
          <w:rFonts w:cstheme="minorHAnsi"/>
        </w:rPr>
        <w:t>However, t</w:t>
      </w:r>
      <w:r>
        <w:rPr>
          <w:rFonts w:cstheme="minorHAnsi"/>
        </w:rPr>
        <w:t xml:space="preserve">here is clear potential to investigate how the work of other AusAID-funded programs and their partners (in common and new), particularly at the sub-national level, can contribute to implementing against a reengineered </w:t>
      </w:r>
      <w:r w:rsidR="006F79CD">
        <w:rPr>
          <w:rFonts w:cstheme="minorHAnsi"/>
        </w:rPr>
        <w:t xml:space="preserve">AIPJ </w:t>
      </w:r>
      <w:r>
        <w:rPr>
          <w:rFonts w:cstheme="minorHAnsi"/>
        </w:rPr>
        <w:t>strategic framework</w:t>
      </w:r>
      <w:r w:rsidR="00FF446B">
        <w:rPr>
          <w:rFonts w:cstheme="minorHAnsi"/>
        </w:rPr>
        <w:t xml:space="preserve"> that may provide </w:t>
      </w:r>
      <w:r w:rsidR="001C135D">
        <w:rPr>
          <w:rFonts w:cstheme="minorHAnsi"/>
        </w:rPr>
        <w:t>more interventions to benefit the poor</w:t>
      </w:r>
      <w:r>
        <w:rPr>
          <w:rFonts w:cstheme="minorHAnsi"/>
        </w:rPr>
        <w:t xml:space="preserve">. </w:t>
      </w:r>
    </w:p>
    <w:p w:rsidR="005742E9" w:rsidRPr="00EF2E9C" w:rsidRDefault="005742E9" w:rsidP="005742E9">
      <w:r>
        <w:rPr>
          <w:rFonts w:cstheme="minorHAnsi"/>
        </w:rPr>
        <w:t>There is potential for some of the AusAID programs</w:t>
      </w:r>
      <w:r w:rsidR="00244543">
        <w:rPr>
          <w:rFonts w:cstheme="minorHAnsi"/>
        </w:rPr>
        <w:t xml:space="preserve"> and other donor programs</w:t>
      </w:r>
      <w:r>
        <w:rPr>
          <w:rFonts w:cstheme="minorHAnsi"/>
        </w:rPr>
        <w:t xml:space="preserve"> to contribute to the delivery </w:t>
      </w:r>
      <w:r w:rsidR="002D1A20">
        <w:rPr>
          <w:rFonts w:cstheme="minorHAnsi"/>
        </w:rPr>
        <w:t xml:space="preserve">of </w:t>
      </w:r>
      <w:r>
        <w:rPr>
          <w:rFonts w:cstheme="minorHAnsi"/>
        </w:rPr>
        <w:t xml:space="preserve">part or all of AIPJ objectives. For example, with the work of </w:t>
      </w:r>
      <w:r w:rsidR="0013121E">
        <w:rPr>
          <w:rFonts w:cstheme="minorHAnsi"/>
        </w:rPr>
        <w:t xml:space="preserve">the World Bank </w:t>
      </w:r>
      <w:r>
        <w:rPr>
          <w:rFonts w:cstheme="minorHAnsi"/>
        </w:rPr>
        <w:t>J</w:t>
      </w:r>
      <w:r w:rsidR="0013121E">
        <w:rPr>
          <w:rFonts w:cstheme="minorHAnsi"/>
        </w:rPr>
        <w:t>ustice for the Poor program</w:t>
      </w:r>
      <w:r>
        <w:rPr>
          <w:rFonts w:cstheme="minorHAnsi"/>
        </w:rPr>
        <w:t xml:space="preserve">, </w:t>
      </w:r>
      <w:r w:rsidR="006F79CD">
        <w:rPr>
          <w:rFonts w:cstheme="minorHAnsi"/>
        </w:rPr>
        <w:t>the Australia Indonesia Partnership for Decentralisation (</w:t>
      </w:r>
      <w:r>
        <w:rPr>
          <w:rFonts w:cstheme="minorHAnsi"/>
        </w:rPr>
        <w:t>AIPD</w:t>
      </w:r>
      <w:r w:rsidR="006F79CD">
        <w:rPr>
          <w:rFonts w:cstheme="minorHAnsi"/>
        </w:rPr>
        <w:t>)</w:t>
      </w:r>
      <w:r>
        <w:rPr>
          <w:rFonts w:cstheme="minorHAnsi"/>
        </w:rPr>
        <w:t xml:space="preserve"> and </w:t>
      </w:r>
      <w:r w:rsidR="006F79CD">
        <w:rPr>
          <w:rFonts w:cstheme="minorHAnsi"/>
        </w:rPr>
        <w:t xml:space="preserve">the </w:t>
      </w:r>
      <w:r w:rsidR="006F79CD" w:rsidRPr="00374C0B">
        <w:rPr>
          <w:rFonts w:cstheme="minorHAnsi"/>
        </w:rPr>
        <w:t>Australian Community Development and Civil Society Strengthening Program (</w:t>
      </w:r>
      <w:r>
        <w:rPr>
          <w:rFonts w:cstheme="minorHAnsi"/>
        </w:rPr>
        <w:t>ACCESS</w:t>
      </w:r>
      <w:r w:rsidR="006F79CD">
        <w:rPr>
          <w:rFonts w:cstheme="minorHAnsi"/>
        </w:rPr>
        <w:t>)</w:t>
      </w:r>
      <w:r>
        <w:rPr>
          <w:rFonts w:cstheme="minorHAnsi"/>
        </w:rPr>
        <w:t>, there is a real opportunity to work together, and there are others where cooperative planning across the AusAID programs (as well with other donors) could be enhanced</w:t>
      </w:r>
      <w:r w:rsidR="0013121E">
        <w:rPr>
          <w:rFonts w:cstheme="minorHAnsi"/>
        </w:rPr>
        <w:t xml:space="preserve">. </w:t>
      </w:r>
      <w:r w:rsidR="00F8582C">
        <w:rPr>
          <w:rFonts w:cstheme="minorHAnsi"/>
        </w:rPr>
        <w:t xml:space="preserve">AusAID together with the AIPJ </w:t>
      </w:r>
      <w:r w:rsidR="00B82AEF">
        <w:rPr>
          <w:rFonts w:cstheme="minorHAnsi"/>
        </w:rPr>
        <w:t xml:space="preserve">PD and ISP </w:t>
      </w:r>
      <w:r w:rsidR="00F8582C">
        <w:rPr>
          <w:rFonts w:cstheme="minorHAnsi"/>
        </w:rPr>
        <w:t>should investigate the</w:t>
      </w:r>
      <w:r w:rsidR="0013121E">
        <w:rPr>
          <w:rFonts w:cstheme="minorHAnsi"/>
        </w:rPr>
        <w:t>se</w:t>
      </w:r>
      <w:r w:rsidR="00F8582C">
        <w:rPr>
          <w:rFonts w:cstheme="minorHAnsi"/>
        </w:rPr>
        <w:t xml:space="preserve"> possibilities</w:t>
      </w:r>
      <w:r w:rsidR="00D11B80">
        <w:rPr>
          <w:rFonts w:cstheme="minorHAnsi"/>
        </w:rPr>
        <w:t xml:space="preserve"> </w:t>
      </w:r>
      <w:r w:rsidR="00762FC5">
        <w:rPr>
          <w:rFonts w:cstheme="minorHAnsi"/>
        </w:rPr>
        <w:t>and determine the viability through a risk/benefit analysis</w:t>
      </w:r>
      <w:r w:rsidR="007D292F">
        <w:rPr>
          <w:rFonts w:cstheme="minorHAnsi"/>
        </w:rPr>
        <w:t>.</w:t>
      </w:r>
    </w:p>
    <w:p w:rsidR="005742E9" w:rsidRDefault="004044DD" w:rsidP="005742E9">
      <w:pPr>
        <w:rPr>
          <w:rFonts w:cstheme="minorHAnsi"/>
        </w:rPr>
      </w:pPr>
      <w:r>
        <w:rPr>
          <w:rFonts w:cstheme="minorHAnsi"/>
        </w:rPr>
        <w:t xml:space="preserve">More proactive engagement to secure effective program </w:t>
      </w:r>
      <w:r w:rsidR="005742E9" w:rsidRPr="00F3263E">
        <w:rPr>
          <w:rFonts w:cstheme="minorHAnsi"/>
        </w:rPr>
        <w:t xml:space="preserve">synergies will </w:t>
      </w:r>
      <w:r>
        <w:t>require</w:t>
      </w:r>
      <w:r>
        <w:rPr>
          <w:rFonts w:cstheme="minorHAnsi"/>
        </w:rPr>
        <w:t xml:space="preserve"> more </w:t>
      </w:r>
      <w:r w:rsidR="00D35CF0">
        <w:rPr>
          <w:rFonts w:cstheme="minorHAnsi"/>
        </w:rPr>
        <w:t>exploration,</w:t>
      </w:r>
      <w:r w:rsidR="005742E9" w:rsidRPr="00F3263E">
        <w:rPr>
          <w:rFonts w:cstheme="minorHAnsi"/>
        </w:rPr>
        <w:t xml:space="preserve"> clarifi</w:t>
      </w:r>
      <w:r>
        <w:rPr>
          <w:rFonts w:cstheme="minorHAnsi"/>
        </w:rPr>
        <w:t>cation</w:t>
      </w:r>
      <w:r w:rsidR="005742E9" w:rsidRPr="00F3263E">
        <w:rPr>
          <w:rFonts w:cstheme="minorHAnsi"/>
        </w:rPr>
        <w:t xml:space="preserve"> and </w:t>
      </w:r>
      <w:r w:rsidR="00D35CF0" w:rsidRPr="00F3263E">
        <w:rPr>
          <w:rFonts w:cstheme="minorHAnsi"/>
        </w:rPr>
        <w:t>prioritis</w:t>
      </w:r>
      <w:r w:rsidR="00D35CF0">
        <w:rPr>
          <w:rFonts w:cstheme="minorHAnsi"/>
        </w:rPr>
        <w:t>ation</w:t>
      </w:r>
      <w:r w:rsidR="00D35CF0" w:rsidRPr="00F3263E">
        <w:rPr>
          <w:rFonts w:cstheme="minorHAnsi"/>
        </w:rPr>
        <w:t>,</w:t>
      </w:r>
      <w:r w:rsidR="005742E9" w:rsidRPr="00F3263E">
        <w:rPr>
          <w:rFonts w:cstheme="minorHAnsi"/>
        </w:rPr>
        <w:t xml:space="preserve"> including with respect to activities to improve outcomes for </w:t>
      </w:r>
      <w:r w:rsidR="005742E9" w:rsidRPr="00F3263E">
        <w:rPr>
          <w:rFonts w:cstheme="minorHAnsi"/>
        </w:rPr>
        <w:lastRenderedPageBreak/>
        <w:t>marginalised groups (women, people with a disability and potentially, juveniles).</w:t>
      </w:r>
      <w:r w:rsidR="005742E9">
        <w:rPr>
          <w:rFonts w:cstheme="minorHAnsi"/>
        </w:rPr>
        <w:t xml:space="preserve"> There is a need to </w:t>
      </w:r>
      <w:r w:rsidR="002D1A20">
        <w:rPr>
          <w:rFonts w:cstheme="minorHAnsi"/>
        </w:rPr>
        <w:t xml:space="preserve">re-direct </w:t>
      </w:r>
      <w:r w:rsidR="005742E9">
        <w:rPr>
          <w:rFonts w:cstheme="minorHAnsi"/>
        </w:rPr>
        <w:t>the focus on</w:t>
      </w:r>
      <w:r w:rsidR="002D1A20">
        <w:rPr>
          <w:rFonts w:cstheme="minorHAnsi"/>
        </w:rPr>
        <w:t>to</w:t>
      </w:r>
      <w:r w:rsidR="005742E9">
        <w:rPr>
          <w:rFonts w:cstheme="minorHAnsi"/>
        </w:rPr>
        <w:t xml:space="preserve"> the ultimate beneficiaries of the program, and thi</w:t>
      </w:r>
      <w:r w:rsidR="00ED0944">
        <w:rPr>
          <w:rFonts w:cstheme="minorHAnsi"/>
        </w:rPr>
        <w:t>nk strategically about how they will benefit</w:t>
      </w:r>
      <w:r w:rsidR="005742E9">
        <w:rPr>
          <w:rFonts w:cstheme="minorHAnsi"/>
        </w:rPr>
        <w:t>, as a lever towards increasing cooperation between AusAID programs.</w:t>
      </w:r>
    </w:p>
    <w:p w:rsidR="004022D8" w:rsidRDefault="00667D2E" w:rsidP="005742E9">
      <w:pPr>
        <w:rPr>
          <w:rFonts w:cstheme="minorHAnsi"/>
        </w:rPr>
      </w:pPr>
      <w:r>
        <w:rPr>
          <w:rFonts w:cstheme="minorHAnsi"/>
        </w:rPr>
        <w:t>The Review Team recommends the following:</w:t>
      </w:r>
    </w:p>
    <w:p w:rsidR="00CD3111" w:rsidRPr="00374C0B" w:rsidRDefault="00CD3111" w:rsidP="00374C0B">
      <w:pPr>
        <w:rPr>
          <w:b/>
          <w:u w:val="single"/>
        </w:rPr>
      </w:pPr>
      <w:r>
        <w:rPr>
          <w:b/>
          <w:u w:val="single"/>
        </w:rPr>
        <w:t>R</w:t>
      </w:r>
      <w:r w:rsidRPr="00E631D1">
        <w:rPr>
          <w:b/>
          <w:u w:val="single"/>
        </w:rPr>
        <w:t>ecommendations</w:t>
      </w:r>
    </w:p>
    <w:tbl>
      <w:tblPr>
        <w:tblStyle w:val="TableGrid"/>
        <w:tblW w:w="0" w:type="auto"/>
        <w:tblLook w:val="04A0" w:firstRow="1" w:lastRow="0" w:firstColumn="1" w:lastColumn="0" w:noHBand="0" w:noVBand="1"/>
        <w:tblCaption w:val="Table of recommendations "/>
        <w:tblDescription w:val="Recommendations relating to the Design&#10;&#10;Recommendation 1: AIPJ’s activities should seek a more appropriate balance between institutional reform and support for local-level service delivery, with support at both levels having a line of sight to the poor and marginalised. At present, striking this balance will require greater investment to support local-level service delivery, including through piloting activities at the district level. Where necessary, institutional reform activities should be dropped or refocused to ensure they support the poor and marginalised. &#10;Party responsible: The ISP to propose new activities and, if required, areas to be dropped; AusAID and Bappenas to approve. &#10;Timeframe: October – December 2012&#10;&#10;Recommendation 2: AIPJ should work with relevant stakeholders to develop a Strategic Framework which, using the original design as a starting point, explains what results AIPJ will achieve and how it will achieve them. The Strategic Framework should align with relevant Indonesian state and civil society policies and organisational plans, and should acknowledge the importance of reformist networks and coalitions.&#10;Party responsible: The ISP to draft the Framework; AusAID and Bappenas to approve the Framework&#10;Timeframe: October-December 2012&#10;&#10;Recommendations relating to program implementation &#10;&#10;Recommendations 3: AIPJ should establish communication protocols which ensure constant discourse with partners (both in Indonesia and Australia) and a consultative annual planning process. A budget forecast for the remainder of the program should be produced and shared with key stakeholders.&#10;Party responsible: The ISP, in consultation with AusAID&#10;Timeframe: October – December 2012&#10;&#10;Recommendation 4: AIPJ should establish more effective governance arrangements, involving:&#10;a. structured consultation with senior, experienced reformers (primarily Indonesians but possibly also international experts), to ensure independent strategic advice and contestability. These resource people should be properly engaged and remunerated;&#10;b. refining the composition and role of the Partnership Board, which should focus on ensuring AIPJ has visibility and ownership by major government and non-government partners in Indonesia and Australia;&#10;c. reinforcing the role of the Working Committee (AusAID and Bappenas) as the body which approves and is consulted in advance on AIPJ’s work plans.&#10;Party responsible: The ISP to propose new arrangements; AusAID and Bappenas to approve&#10;Timeframe: October – December 2012&#10;&#10;Recommendation 5: The Program Director role should be discontinued and stakeholders should be informed that all high-level policy-making responsibilities are the responsibility of AusAID’s Counsellor for Democratic Governance (regardless of whether this was already the case or not). Other Program Director responsibilities – including those relating to strategic direction, activity implementation and quality assurance – should be transferred to the Implementation Service Provider.&#10;Party responsible: The ISP to propose new roles; AusAID to approve&#10;Timeframe: January – March 2013&#10;&#10;Recommendation 6: AIPJ should deepen its engagement with The Asia Foundation (TAF), drawing on TAF’s knowledge and experience in fostering reformist networks and coalitions in Indonesia.&#10;Party responsible: ISP&#10;Timeframe: Immediately &#10;&#10;Recommendations relating to integration and synergies&#10;&#10;Recommendation 7: AIPJ should establish a modest level of local representation in one or more sub-national target areas where AusAID’s decentralisation programs work.&#10;Party responsible: ISP &#10;Timeframe: January – March 2013&#10;&#10;Recommendation 8: AIPJ should produce and regularly update a brief matrix outlining possible integration and synergies with other Australian aid investments (both those funded by AusAID and other Australian Government agencies). This matrix should inform the design and implementation of AIPJ activities.&#10;Party responsible: ISP &#10;Timeframe: Immediately&#10;&#10;Recommendation 9: AIPJ should draft a brief Donor Coordination Framework, explaining how its activities will avoid duplication and maximise complementarity with other donor-funded law and justice programs in Indonesia – particularly those funded or managed by the World Bank (Justice for the Poor), USAID (Changes for Justice, Educating and Equipping Tomorrow’s Justice Reformers), UNDP (Strengthening Access to Justice in Indonesia) and the Open Society (Open Society Justice Initiative).&#10;Party responsible: The ISP to draft the Framework; AusAID to approve the Framework; Bappenas to hold regular donor coordination meetings to ensure the Framework remains valid&#10;Timeframe: Early 2013 &#10;"/>
      </w:tblPr>
      <w:tblGrid>
        <w:gridCol w:w="5211"/>
        <w:gridCol w:w="2127"/>
        <w:gridCol w:w="1904"/>
      </w:tblGrid>
      <w:tr w:rsidR="00CD3111" w:rsidRPr="00C63534" w:rsidTr="00374C0B">
        <w:tc>
          <w:tcPr>
            <w:tcW w:w="5211" w:type="dxa"/>
          </w:tcPr>
          <w:p w:rsidR="00CD3111" w:rsidRPr="00C63534" w:rsidRDefault="00CD3111" w:rsidP="0006152B">
            <w:pPr>
              <w:rPr>
                <w:b/>
              </w:rPr>
            </w:pPr>
            <w:r w:rsidRPr="00C63534">
              <w:rPr>
                <w:b/>
              </w:rPr>
              <w:t>Recommendation</w:t>
            </w:r>
          </w:p>
        </w:tc>
        <w:tc>
          <w:tcPr>
            <w:tcW w:w="2127" w:type="dxa"/>
          </w:tcPr>
          <w:p w:rsidR="00CD3111" w:rsidRPr="00C63534" w:rsidRDefault="00CD3111" w:rsidP="0006152B">
            <w:pPr>
              <w:rPr>
                <w:b/>
              </w:rPr>
            </w:pPr>
            <w:r w:rsidRPr="00C63534">
              <w:rPr>
                <w:b/>
              </w:rPr>
              <w:t>Party responsible</w:t>
            </w:r>
          </w:p>
        </w:tc>
        <w:tc>
          <w:tcPr>
            <w:tcW w:w="1904" w:type="dxa"/>
          </w:tcPr>
          <w:p w:rsidR="00CD3111" w:rsidRPr="00C63534" w:rsidRDefault="00CD3111" w:rsidP="0006152B">
            <w:pPr>
              <w:rPr>
                <w:b/>
              </w:rPr>
            </w:pPr>
            <w:r w:rsidRPr="00C63534">
              <w:rPr>
                <w:b/>
              </w:rPr>
              <w:t>Timeframe</w:t>
            </w:r>
          </w:p>
        </w:tc>
      </w:tr>
      <w:tr w:rsidR="00CD3111" w:rsidTr="0006152B">
        <w:tc>
          <w:tcPr>
            <w:tcW w:w="9242" w:type="dxa"/>
            <w:gridSpan w:val="3"/>
          </w:tcPr>
          <w:p w:rsidR="00CD3111" w:rsidRPr="009F69A2" w:rsidRDefault="00CD3111" w:rsidP="0006152B">
            <w:pPr>
              <w:spacing w:after="200" w:line="276" w:lineRule="auto"/>
              <w:rPr>
                <w:b/>
              </w:rPr>
            </w:pPr>
            <w:r w:rsidRPr="009F69A2">
              <w:rPr>
                <w:b/>
              </w:rPr>
              <w:t xml:space="preserve">Design </w:t>
            </w:r>
            <w:r w:rsidR="007E7402">
              <w:rPr>
                <w:b/>
              </w:rPr>
              <w:t>(</w:t>
            </w:r>
            <w:r w:rsidRPr="009F69A2">
              <w:rPr>
                <w:b/>
              </w:rPr>
              <w:t>and scope of activities</w:t>
            </w:r>
            <w:r w:rsidR="007E7402">
              <w:rPr>
                <w:b/>
              </w:rPr>
              <w:t>)</w:t>
            </w:r>
          </w:p>
        </w:tc>
      </w:tr>
      <w:tr w:rsidR="008F37FE" w:rsidTr="00374C0B">
        <w:tc>
          <w:tcPr>
            <w:tcW w:w="5211" w:type="dxa"/>
          </w:tcPr>
          <w:p w:rsidR="008F37FE" w:rsidRDefault="008F37FE" w:rsidP="00CD3111">
            <w:pPr>
              <w:pStyle w:val="ListParagraph"/>
              <w:numPr>
                <w:ilvl w:val="0"/>
                <w:numId w:val="42"/>
              </w:numPr>
            </w:pPr>
            <w:r>
              <w:t>AIPJ’s activities should seek a more appropriate balance between institutional reform and support for local-level service delivery, with support at both levels having a line of sight to the poor and marginalised. At present, striking this balance will require greater investment to support local-level service delivery, including through piloting activities at the district level. Where necessary, institutional reform activities should be dropped or refocused to ensure they support the poor and marginalised.</w:t>
            </w:r>
          </w:p>
        </w:tc>
        <w:tc>
          <w:tcPr>
            <w:tcW w:w="2127" w:type="dxa"/>
          </w:tcPr>
          <w:p w:rsidR="008F37FE" w:rsidRDefault="008F37FE" w:rsidP="0006152B">
            <w:r>
              <w:t>The ISP to propose new activities and, if requ</w:t>
            </w:r>
            <w:bookmarkStart w:id="5" w:name="_GoBack"/>
            <w:bookmarkEnd w:id="5"/>
            <w:r>
              <w:t xml:space="preserve">ired, areas to be dropped; AusAID and </w:t>
            </w:r>
            <w:proofErr w:type="spellStart"/>
            <w:r>
              <w:t>Bappenas</w:t>
            </w:r>
            <w:proofErr w:type="spellEnd"/>
            <w:r>
              <w:t xml:space="preserve"> to approve</w:t>
            </w:r>
          </w:p>
        </w:tc>
        <w:tc>
          <w:tcPr>
            <w:tcW w:w="1904" w:type="dxa"/>
          </w:tcPr>
          <w:p w:rsidR="008F37FE" w:rsidRDefault="008F37FE" w:rsidP="0006152B">
            <w:r>
              <w:t>October-December 2012</w:t>
            </w:r>
          </w:p>
        </w:tc>
      </w:tr>
      <w:tr w:rsidR="00CD3111" w:rsidTr="00374C0B">
        <w:tc>
          <w:tcPr>
            <w:tcW w:w="5211" w:type="dxa"/>
          </w:tcPr>
          <w:p w:rsidR="00CD3111" w:rsidRDefault="00CD3111" w:rsidP="00CD3111">
            <w:pPr>
              <w:pStyle w:val="ListParagraph"/>
              <w:numPr>
                <w:ilvl w:val="0"/>
                <w:numId w:val="42"/>
              </w:numPr>
            </w:pPr>
            <w:r>
              <w:t>AIPJ should work with relevant stakeholders to develop a Strategic Framework which, using the original design as a starting point, explains what results AIPJ will achieve and how it will achieve them. The Strategic Framework should align with relevant Indonesian state and civil society policies and organisational plans, and should acknowledge the importance of reformist networks and coalitions.</w:t>
            </w:r>
          </w:p>
        </w:tc>
        <w:tc>
          <w:tcPr>
            <w:tcW w:w="2127" w:type="dxa"/>
          </w:tcPr>
          <w:p w:rsidR="00CD3111" w:rsidRDefault="004022D8" w:rsidP="0006152B">
            <w:r>
              <w:t>The ISP</w:t>
            </w:r>
            <w:r w:rsidR="00CD3111">
              <w:t xml:space="preserve"> to draft the Framework; AusAID and </w:t>
            </w:r>
            <w:proofErr w:type="spellStart"/>
            <w:r w:rsidR="00CD3111">
              <w:t>Bappenas</w:t>
            </w:r>
            <w:proofErr w:type="spellEnd"/>
            <w:r w:rsidR="00CD3111">
              <w:t xml:space="preserve"> to approve the Framework</w:t>
            </w:r>
          </w:p>
        </w:tc>
        <w:tc>
          <w:tcPr>
            <w:tcW w:w="1904" w:type="dxa"/>
          </w:tcPr>
          <w:p w:rsidR="00CD3111" w:rsidRDefault="00CD3111" w:rsidP="0006152B">
            <w:r>
              <w:t>October-December 2012</w:t>
            </w:r>
          </w:p>
        </w:tc>
      </w:tr>
      <w:tr w:rsidR="00CD3111" w:rsidTr="0006152B">
        <w:tc>
          <w:tcPr>
            <w:tcW w:w="9242" w:type="dxa"/>
            <w:gridSpan w:val="3"/>
          </w:tcPr>
          <w:p w:rsidR="00CD3111" w:rsidRPr="009F69A2" w:rsidRDefault="00CD3111" w:rsidP="0006152B">
            <w:pPr>
              <w:spacing w:after="200" w:line="276" w:lineRule="auto"/>
              <w:rPr>
                <w:b/>
              </w:rPr>
            </w:pPr>
            <w:r w:rsidRPr="009F69A2">
              <w:rPr>
                <w:b/>
              </w:rPr>
              <w:t>Implementation arrangements</w:t>
            </w:r>
          </w:p>
        </w:tc>
      </w:tr>
      <w:tr w:rsidR="008F37FE" w:rsidTr="00374C0B">
        <w:tc>
          <w:tcPr>
            <w:tcW w:w="5211" w:type="dxa"/>
          </w:tcPr>
          <w:p w:rsidR="008F37FE" w:rsidRDefault="008F37FE" w:rsidP="00CD3111">
            <w:pPr>
              <w:pStyle w:val="ListParagraph"/>
              <w:numPr>
                <w:ilvl w:val="0"/>
                <w:numId w:val="42"/>
              </w:numPr>
            </w:pPr>
            <w:r>
              <w:t>AIPJ should establish communication protocols which ensure constant discourse with partners (both in Indonesia and Australia) and a consultative annual planning process. A budget forecast for the remainder of the program should be produced and shared with key stakeholders.</w:t>
            </w:r>
          </w:p>
        </w:tc>
        <w:tc>
          <w:tcPr>
            <w:tcW w:w="2127" w:type="dxa"/>
          </w:tcPr>
          <w:p w:rsidR="008F37FE" w:rsidRDefault="008F37FE" w:rsidP="0006152B">
            <w:r>
              <w:t>The ISP, in consultation with AusAID</w:t>
            </w:r>
          </w:p>
        </w:tc>
        <w:tc>
          <w:tcPr>
            <w:tcW w:w="1904" w:type="dxa"/>
          </w:tcPr>
          <w:p w:rsidR="008F37FE" w:rsidRDefault="008F37FE" w:rsidP="0006152B">
            <w:r>
              <w:t>October – December 2012</w:t>
            </w:r>
          </w:p>
        </w:tc>
      </w:tr>
      <w:tr w:rsidR="00CD3111" w:rsidTr="00374C0B">
        <w:tc>
          <w:tcPr>
            <w:tcW w:w="5211" w:type="dxa"/>
          </w:tcPr>
          <w:p w:rsidR="00CD3111" w:rsidRDefault="00CD3111" w:rsidP="00CD3111">
            <w:pPr>
              <w:pStyle w:val="ListParagraph"/>
              <w:numPr>
                <w:ilvl w:val="0"/>
                <w:numId w:val="42"/>
              </w:numPr>
            </w:pPr>
            <w:r>
              <w:t>AIPJ should establish more effective governance arrangements, involving:</w:t>
            </w:r>
          </w:p>
          <w:p w:rsidR="00CD3111" w:rsidRDefault="00CD3111" w:rsidP="00CD3111">
            <w:pPr>
              <w:pStyle w:val="ListParagraph"/>
              <w:numPr>
                <w:ilvl w:val="1"/>
                <w:numId w:val="42"/>
              </w:numPr>
            </w:pPr>
            <w:proofErr w:type="gramStart"/>
            <w:r>
              <w:t>structured</w:t>
            </w:r>
            <w:proofErr w:type="gramEnd"/>
            <w:r>
              <w:t xml:space="preserve"> consultation with senior, experienced reformers (primarily Indonesians but possibly also international experts), to ensure independent strategic advice and contestability. These resource people should be properly engaged and remunerated;</w:t>
            </w:r>
          </w:p>
          <w:p w:rsidR="00CD3111" w:rsidRDefault="00CD3111" w:rsidP="00CD3111">
            <w:pPr>
              <w:pStyle w:val="ListParagraph"/>
              <w:numPr>
                <w:ilvl w:val="1"/>
                <w:numId w:val="42"/>
              </w:numPr>
            </w:pPr>
            <w:r>
              <w:t xml:space="preserve">refining the composition and role of the Partnership Board, which should focus on ensuring AIPJ has visibility and ownership </w:t>
            </w:r>
            <w:r>
              <w:lastRenderedPageBreak/>
              <w:t>by major government and non-government partners in Indonesia and Australia;</w:t>
            </w:r>
          </w:p>
          <w:p w:rsidR="00CD3111" w:rsidRDefault="00CD3111" w:rsidP="00CD3111">
            <w:pPr>
              <w:pStyle w:val="ListParagraph"/>
              <w:numPr>
                <w:ilvl w:val="1"/>
                <w:numId w:val="42"/>
              </w:numPr>
            </w:pPr>
            <w:proofErr w:type="gramStart"/>
            <w:r>
              <w:t>reinforcing</w:t>
            </w:r>
            <w:proofErr w:type="gramEnd"/>
            <w:r>
              <w:t xml:space="preserve"> the role of the Working Committee (AusAID and </w:t>
            </w:r>
            <w:proofErr w:type="spellStart"/>
            <w:r>
              <w:t>Bappenas</w:t>
            </w:r>
            <w:proofErr w:type="spellEnd"/>
            <w:r>
              <w:t>) as the body which approves and is consulted in advance on AIPJ’s work plans.</w:t>
            </w:r>
          </w:p>
        </w:tc>
        <w:tc>
          <w:tcPr>
            <w:tcW w:w="2127" w:type="dxa"/>
          </w:tcPr>
          <w:p w:rsidR="00CD3111" w:rsidRDefault="00340881" w:rsidP="0006152B">
            <w:r>
              <w:lastRenderedPageBreak/>
              <w:t>The ISP</w:t>
            </w:r>
            <w:r w:rsidR="00CD3111">
              <w:t xml:space="preserve"> to propose new arrangements; AusAID and </w:t>
            </w:r>
            <w:proofErr w:type="spellStart"/>
            <w:r w:rsidR="00CD3111">
              <w:t>Bappenas</w:t>
            </w:r>
            <w:proofErr w:type="spellEnd"/>
            <w:r w:rsidR="00CD3111">
              <w:t xml:space="preserve"> to approve</w:t>
            </w:r>
          </w:p>
        </w:tc>
        <w:tc>
          <w:tcPr>
            <w:tcW w:w="1904" w:type="dxa"/>
          </w:tcPr>
          <w:p w:rsidR="00CD3111" w:rsidRDefault="00CD3111" w:rsidP="0006152B">
            <w:r>
              <w:t>October-December 2012</w:t>
            </w:r>
          </w:p>
        </w:tc>
      </w:tr>
      <w:tr w:rsidR="00CD3111" w:rsidTr="00374C0B">
        <w:tc>
          <w:tcPr>
            <w:tcW w:w="5211" w:type="dxa"/>
          </w:tcPr>
          <w:p w:rsidR="00CD3111" w:rsidRDefault="00CD3111" w:rsidP="00732052">
            <w:pPr>
              <w:pStyle w:val="ListParagraph"/>
              <w:numPr>
                <w:ilvl w:val="0"/>
                <w:numId w:val="42"/>
              </w:numPr>
            </w:pPr>
            <w:r>
              <w:lastRenderedPageBreak/>
              <w:t>The Program Director role should be discontinued</w:t>
            </w:r>
            <w:r w:rsidR="00732052">
              <w:t xml:space="preserve"> and stakeholders should be informed </w:t>
            </w:r>
            <w:r>
              <w:t xml:space="preserve">that </w:t>
            </w:r>
            <w:r w:rsidR="00732052">
              <w:t xml:space="preserve">all </w:t>
            </w:r>
            <w:r>
              <w:t xml:space="preserve">high-level policy-making responsibilities </w:t>
            </w:r>
            <w:r w:rsidR="00732052">
              <w:t xml:space="preserve">are the responsibility of </w:t>
            </w:r>
            <w:proofErr w:type="spellStart"/>
            <w:r>
              <w:t>AusAID’s</w:t>
            </w:r>
            <w:proofErr w:type="spellEnd"/>
            <w:r>
              <w:t xml:space="preserve"> Counsellor for Democratic Governance</w:t>
            </w:r>
            <w:r w:rsidR="00732052">
              <w:t xml:space="preserve"> (regardless of whether this was already the case or not). Other Program Director responsibilities </w:t>
            </w:r>
            <w:r>
              <w:t xml:space="preserve">– including those relating to strategic direction, activity implementation and quality assurance – </w:t>
            </w:r>
            <w:r w:rsidR="00732052">
              <w:t xml:space="preserve">should be </w:t>
            </w:r>
            <w:r>
              <w:t>transferred to the Implementation Service Provider.</w:t>
            </w:r>
          </w:p>
        </w:tc>
        <w:tc>
          <w:tcPr>
            <w:tcW w:w="2127" w:type="dxa"/>
          </w:tcPr>
          <w:p w:rsidR="00CD3111" w:rsidRDefault="00AD0A15" w:rsidP="0006152B">
            <w:r>
              <w:t>The ISP</w:t>
            </w:r>
            <w:r w:rsidR="00CD3111">
              <w:t xml:space="preserve"> to propose new roles; AusAID to approve</w:t>
            </w:r>
          </w:p>
        </w:tc>
        <w:tc>
          <w:tcPr>
            <w:tcW w:w="1904" w:type="dxa"/>
          </w:tcPr>
          <w:p w:rsidR="00CD3111" w:rsidRDefault="00CD3111" w:rsidP="0006152B">
            <w:r>
              <w:t>Jan – March 2013</w:t>
            </w:r>
          </w:p>
        </w:tc>
      </w:tr>
      <w:tr w:rsidR="00CD3111" w:rsidTr="00374C0B">
        <w:tc>
          <w:tcPr>
            <w:tcW w:w="5211" w:type="dxa"/>
          </w:tcPr>
          <w:p w:rsidR="00CD3111" w:rsidRDefault="00CD3111" w:rsidP="00CD3111">
            <w:pPr>
              <w:pStyle w:val="ListParagraph"/>
              <w:numPr>
                <w:ilvl w:val="0"/>
                <w:numId w:val="42"/>
              </w:numPr>
            </w:pPr>
            <w:r>
              <w:t>AIPJ should deepen its engagement with The Asia Foundation (TAF), drawing on TAF’s knowledge and experience in fostering reformist networks and coalitions in Indonesia.</w:t>
            </w:r>
          </w:p>
        </w:tc>
        <w:tc>
          <w:tcPr>
            <w:tcW w:w="2127" w:type="dxa"/>
          </w:tcPr>
          <w:p w:rsidR="00CD3111" w:rsidRDefault="00794EBA" w:rsidP="0006152B">
            <w:r>
              <w:t>ISP</w:t>
            </w:r>
          </w:p>
        </w:tc>
        <w:tc>
          <w:tcPr>
            <w:tcW w:w="1904" w:type="dxa"/>
          </w:tcPr>
          <w:p w:rsidR="00CD3111" w:rsidRDefault="00CD3111" w:rsidP="0006152B">
            <w:r>
              <w:t>Immediately</w:t>
            </w:r>
          </w:p>
        </w:tc>
      </w:tr>
      <w:tr w:rsidR="00CD3111" w:rsidTr="0006152B">
        <w:tc>
          <w:tcPr>
            <w:tcW w:w="9242" w:type="dxa"/>
            <w:gridSpan w:val="3"/>
          </w:tcPr>
          <w:p w:rsidR="00CD3111" w:rsidRPr="009F69A2" w:rsidRDefault="00CD3111" w:rsidP="0006152B">
            <w:pPr>
              <w:spacing w:after="200" w:line="276" w:lineRule="auto"/>
              <w:rPr>
                <w:b/>
              </w:rPr>
            </w:pPr>
            <w:r w:rsidRPr="009F69A2">
              <w:rPr>
                <w:b/>
              </w:rPr>
              <w:t>Integration and synergies</w:t>
            </w:r>
          </w:p>
        </w:tc>
      </w:tr>
      <w:tr w:rsidR="00CD3111" w:rsidTr="00374C0B">
        <w:tc>
          <w:tcPr>
            <w:tcW w:w="5211" w:type="dxa"/>
          </w:tcPr>
          <w:p w:rsidR="00CD3111" w:rsidRDefault="00CD3111" w:rsidP="00CD3111">
            <w:pPr>
              <w:pStyle w:val="ListParagraph"/>
              <w:numPr>
                <w:ilvl w:val="0"/>
                <w:numId w:val="42"/>
              </w:numPr>
            </w:pPr>
            <w:r>
              <w:t xml:space="preserve">AIPJ should establish a modest level of local representation in one or more sub-national target areas where </w:t>
            </w:r>
            <w:proofErr w:type="spellStart"/>
            <w:r>
              <w:t>AusAID’s</w:t>
            </w:r>
            <w:proofErr w:type="spellEnd"/>
            <w:r>
              <w:t xml:space="preserve"> decentralisation programs work.</w:t>
            </w:r>
          </w:p>
        </w:tc>
        <w:tc>
          <w:tcPr>
            <w:tcW w:w="2127" w:type="dxa"/>
          </w:tcPr>
          <w:p w:rsidR="00CD3111" w:rsidRDefault="00794EBA" w:rsidP="0006152B">
            <w:r>
              <w:t>ISP</w:t>
            </w:r>
          </w:p>
        </w:tc>
        <w:tc>
          <w:tcPr>
            <w:tcW w:w="1904" w:type="dxa"/>
          </w:tcPr>
          <w:p w:rsidR="00CD3111" w:rsidRDefault="00CD3111" w:rsidP="0006152B">
            <w:r>
              <w:t>Jan – March 2013</w:t>
            </w:r>
          </w:p>
        </w:tc>
      </w:tr>
      <w:tr w:rsidR="00CD3111" w:rsidTr="00374C0B">
        <w:tc>
          <w:tcPr>
            <w:tcW w:w="5211" w:type="dxa"/>
          </w:tcPr>
          <w:p w:rsidR="00CD3111" w:rsidRDefault="00CD3111" w:rsidP="00CD3111">
            <w:pPr>
              <w:pStyle w:val="ListParagraph"/>
              <w:numPr>
                <w:ilvl w:val="0"/>
                <w:numId w:val="42"/>
              </w:numPr>
            </w:pPr>
            <w:r>
              <w:t>AIPJ should produce and regularly update a brief matrix outlining possible integration and synergies with other Australian aid investments (both those funded by AusAID and other Australian Government agencies). This matrix should inform the design and implementation of AIPJ activities.</w:t>
            </w:r>
          </w:p>
        </w:tc>
        <w:tc>
          <w:tcPr>
            <w:tcW w:w="2127" w:type="dxa"/>
          </w:tcPr>
          <w:p w:rsidR="00CD3111" w:rsidRDefault="00794EBA" w:rsidP="0006152B">
            <w:r>
              <w:t>ISP</w:t>
            </w:r>
          </w:p>
        </w:tc>
        <w:tc>
          <w:tcPr>
            <w:tcW w:w="1904" w:type="dxa"/>
          </w:tcPr>
          <w:p w:rsidR="00CD3111" w:rsidRDefault="00CD3111" w:rsidP="0006152B">
            <w:r>
              <w:t>Immediately</w:t>
            </w:r>
          </w:p>
        </w:tc>
      </w:tr>
      <w:tr w:rsidR="00CD3111" w:rsidTr="00374C0B">
        <w:tc>
          <w:tcPr>
            <w:tcW w:w="5211" w:type="dxa"/>
          </w:tcPr>
          <w:p w:rsidR="00CD3111" w:rsidRDefault="00CD3111" w:rsidP="00CD3111">
            <w:pPr>
              <w:pStyle w:val="ListParagraph"/>
              <w:numPr>
                <w:ilvl w:val="0"/>
                <w:numId w:val="42"/>
              </w:numPr>
            </w:pPr>
            <w:r>
              <w:t>AIPJ should draft a brief Donor Coordination Framework, explaining how its activities will avoid duplication and maximise complementarity with other donor-funded law and justice programs in Indonesia – particularly those funded or managed by the World Bank (Justice for the Poor), USAID (Changes for Justice, Educating and Equipping Tomorrow’s Justice Reformers), UNDP (Strengthening Access to Justice in Indonesia) and the Open Society (Open Society Justice Initiative).</w:t>
            </w:r>
          </w:p>
        </w:tc>
        <w:tc>
          <w:tcPr>
            <w:tcW w:w="2127" w:type="dxa"/>
          </w:tcPr>
          <w:p w:rsidR="00CD3111" w:rsidRDefault="00794EBA" w:rsidP="0006152B">
            <w:r>
              <w:t>The ISP</w:t>
            </w:r>
            <w:r w:rsidR="00CD3111">
              <w:t xml:space="preserve"> to draft the Framework; AusAID to approve the Framework; </w:t>
            </w:r>
            <w:proofErr w:type="spellStart"/>
            <w:r w:rsidR="00CD3111">
              <w:t>Bappenas</w:t>
            </w:r>
            <w:proofErr w:type="spellEnd"/>
            <w:r w:rsidR="00CD3111">
              <w:t xml:space="preserve"> to hold regular donor coordination meetings to ensure the Framework remains valid</w:t>
            </w:r>
          </w:p>
        </w:tc>
        <w:tc>
          <w:tcPr>
            <w:tcW w:w="1904" w:type="dxa"/>
          </w:tcPr>
          <w:p w:rsidR="00CD3111" w:rsidRDefault="00CD3111" w:rsidP="0006152B">
            <w:r>
              <w:t>Early 2013</w:t>
            </w:r>
          </w:p>
        </w:tc>
      </w:tr>
    </w:tbl>
    <w:p w:rsidR="00CD3111" w:rsidRDefault="00CD3111" w:rsidP="005742E9">
      <w:pPr>
        <w:rPr>
          <w:rFonts w:cstheme="minorHAnsi"/>
        </w:rPr>
        <w:sectPr w:rsidR="00CD3111" w:rsidSect="00845AD0">
          <w:footerReference w:type="default" r:id="rId9"/>
          <w:pgSz w:w="12240" w:h="15840"/>
          <w:pgMar w:top="1134" w:right="1440" w:bottom="1134" w:left="1701" w:header="720" w:footer="720" w:gutter="0"/>
          <w:pgNumType w:fmt="lowerRoman"/>
          <w:cols w:space="720"/>
          <w:docGrid w:linePitch="360"/>
        </w:sectPr>
      </w:pPr>
    </w:p>
    <w:p w:rsidR="0071478F" w:rsidRDefault="0071478F" w:rsidP="005742E9">
      <w:pPr>
        <w:rPr>
          <w:rFonts w:cstheme="minorHAnsi"/>
        </w:rPr>
      </w:pPr>
    </w:p>
    <w:p w:rsidR="005B1CBB" w:rsidRPr="005B1CBB" w:rsidRDefault="005B1CBB" w:rsidP="005B1CBB">
      <w:pPr>
        <w:pStyle w:val="Heading1"/>
      </w:pPr>
      <w:bookmarkStart w:id="6" w:name="_Toc345320818"/>
      <w:r w:rsidRPr="0036318C">
        <w:t>Introduction</w:t>
      </w:r>
      <w:bookmarkEnd w:id="6"/>
    </w:p>
    <w:p w:rsidR="0071311C" w:rsidRPr="0031479C" w:rsidRDefault="005B1CBB" w:rsidP="0071311C">
      <w:pPr>
        <w:spacing w:line="240" w:lineRule="auto"/>
        <w:rPr>
          <w:rFonts w:cstheme="minorHAnsi"/>
        </w:rPr>
      </w:pPr>
      <w:r>
        <w:rPr>
          <w:rFonts w:ascii="Calibri" w:eastAsia="Times New Roman" w:hAnsi="Calibri" w:cs="Calibri"/>
        </w:rPr>
        <w:t>T</w:t>
      </w:r>
      <w:r w:rsidRPr="00E3122D">
        <w:rPr>
          <w:rFonts w:ascii="Calibri" w:eastAsia="Times New Roman" w:hAnsi="Calibri" w:cs="Calibri"/>
        </w:rPr>
        <w:t>he Australia Indone</w:t>
      </w:r>
      <w:r>
        <w:rPr>
          <w:rFonts w:ascii="Calibri" w:eastAsia="Times New Roman" w:hAnsi="Calibri" w:cs="Calibri"/>
        </w:rPr>
        <w:t>sia Partnership for Justice (AI</w:t>
      </w:r>
      <w:r w:rsidRPr="00E3122D">
        <w:rPr>
          <w:rFonts w:ascii="Calibri" w:eastAsia="Times New Roman" w:hAnsi="Calibri" w:cs="Calibri"/>
        </w:rPr>
        <w:t>P</w:t>
      </w:r>
      <w:r>
        <w:rPr>
          <w:rFonts w:ascii="Calibri" w:eastAsia="Times New Roman" w:hAnsi="Calibri" w:cs="Calibri"/>
        </w:rPr>
        <w:t>J</w:t>
      </w:r>
      <w:r w:rsidR="00D35CF0" w:rsidRPr="00E3122D">
        <w:rPr>
          <w:rFonts w:ascii="Calibri" w:eastAsia="Times New Roman" w:hAnsi="Calibri" w:cs="Calibri"/>
        </w:rPr>
        <w:t>)</w:t>
      </w:r>
      <w:r>
        <w:rPr>
          <w:rStyle w:val="FootnoteReference"/>
          <w:rFonts w:ascii="Calibri" w:eastAsia="Times New Roman" w:hAnsi="Calibri" w:cs="Calibri"/>
        </w:rPr>
        <w:footnoteReference w:id="6"/>
      </w:r>
      <w:r w:rsidR="00D11B80">
        <w:rPr>
          <w:rFonts w:ascii="Calibri" w:eastAsia="Times New Roman" w:hAnsi="Calibri" w:cs="Calibri"/>
        </w:rPr>
        <w:t xml:space="preserve"> </w:t>
      </w:r>
      <w:r>
        <w:rPr>
          <w:rFonts w:ascii="Calibri" w:eastAsia="Times New Roman" w:hAnsi="Calibri" w:cs="Calibri"/>
        </w:rPr>
        <w:t xml:space="preserve">has been </w:t>
      </w:r>
      <w:r w:rsidR="0013121E">
        <w:rPr>
          <w:rFonts w:ascii="Calibri" w:eastAsia="Times New Roman" w:hAnsi="Calibri" w:cs="Calibri"/>
        </w:rPr>
        <w:t xml:space="preserve">in operation </w:t>
      </w:r>
      <w:r w:rsidR="001E2FE8">
        <w:rPr>
          <w:rFonts w:ascii="Calibri" w:eastAsia="Times New Roman" w:hAnsi="Calibri" w:cs="Calibri"/>
        </w:rPr>
        <w:t xml:space="preserve">since June 2011. </w:t>
      </w:r>
      <w:r>
        <w:rPr>
          <w:rFonts w:cstheme="minorHAnsi"/>
        </w:rPr>
        <w:t xml:space="preserve">The task of the </w:t>
      </w:r>
      <w:r w:rsidR="00EC0DA0">
        <w:rPr>
          <w:rFonts w:cstheme="minorHAnsi"/>
        </w:rPr>
        <w:t>Review Team</w:t>
      </w:r>
      <w:r>
        <w:rPr>
          <w:rFonts w:cstheme="minorHAnsi"/>
        </w:rPr>
        <w:t xml:space="preserve"> was</w:t>
      </w:r>
      <w:r w:rsidRPr="00E3122D">
        <w:rPr>
          <w:rFonts w:ascii="Calibri" w:eastAsia="Times New Roman" w:hAnsi="Calibri" w:cs="Calibri"/>
        </w:rPr>
        <w:t xml:space="preserve"> to </w:t>
      </w:r>
      <w:r>
        <w:rPr>
          <w:rFonts w:ascii="Calibri" w:eastAsia="Times New Roman" w:hAnsi="Calibri" w:cs="Calibri"/>
        </w:rPr>
        <w:t xml:space="preserve">conduct </w:t>
      </w:r>
      <w:r w:rsidR="00687899">
        <w:rPr>
          <w:rFonts w:ascii="Calibri" w:eastAsia="Times New Roman" w:hAnsi="Calibri" w:cs="Calibri"/>
        </w:rPr>
        <w:t>an</w:t>
      </w:r>
      <w:r>
        <w:rPr>
          <w:rFonts w:ascii="Calibri" w:eastAsia="Times New Roman" w:hAnsi="Calibri" w:cs="Calibri"/>
        </w:rPr>
        <w:t xml:space="preserve"> independent </w:t>
      </w:r>
      <w:r w:rsidRPr="00E3122D">
        <w:rPr>
          <w:rFonts w:ascii="Calibri" w:eastAsia="Times New Roman" w:hAnsi="Calibri" w:cs="Calibri"/>
        </w:rPr>
        <w:t>assessment</w:t>
      </w:r>
      <w:r w:rsidR="00CB3879">
        <w:rPr>
          <w:rFonts w:ascii="Calibri" w:eastAsia="Times New Roman" w:hAnsi="Calibri" w:cs="Calibri"/>
        </w:rPr>
        <w:t xml:space="preserve"> </w:t>
      </w:r>
      <w:r w:rsidRPr="00E3122D">
        <w:rPr>
          <w:rFonts w:ascii="Calibri" w:eastAsia="Times New Roman" w:hAnsi="Calibri" w:cs="Calibri"/>
        </w:rPr>
        <w:t xml:space="preserve">of </w:t>
      </w:r>
      <w:r>
        <w:rPr>
          <w:rFonts w:ascii="Calibri" w:eastAsia="Times New Roman" w:hAnsi="Calibri" w:cs="Calibri"/>
        </w:rPr>
        <w:t xml:space="preserve">AIPJ </w:t>
      </w:r>
      <w:r>
        <w:rPr>
          <w:rFonts w:cstheme="minorHAnsi"/>
        </w:rPr>
        <w:t>progress to date</w:t>
      </w:r>
      <w:r w:rsidR="004D003E">
        <w:rPr>
          <w:rFonts w:cstheme="minorHAnsi"/>
        </w:rPr>
        <w:t xml:space="preserve"> as measured against the specific </w:t>
      </w:r>
      <w:r w:rsidR="004D003E">
        <w:rPr>
          <w:rFonts w:ascii="Calibri" w:eastAsia="Times New Roman" w:hAnsi="Calibri" w:cs="Calibri"/>
        </w:rPr>
        <w:t>assessment criteria</w:t>
      </w:r>
      <w:r w:rsidR="004D003E">
        <w:rPr>
          <w:rFonts w:cstheme="minorHAnsi"/>
        </w:rPr>
        <w:t xml:space="preserve"> </w:t>
      </w:r>
      <w:r w:rsidR="0071311C">
        <w:rPr>
          <w:rFonts w:cstheme="minorHAnsi"/>
        </w:rPr>
        <w:t>provided</w:t>
      </w:r>
      <w:r w:rsidR="0071311C">
        <w:rPr>
          <w:rFonts w:ascii="Calibri" w:eastAsia="Times New Roman" w:hAnsi="Calibri" w:cs="Calibri"/>
        </w:rPr>
        <w:t xml:space="preserve"> in the T</w:t>
      </w:r>
      <w:r w:rsidR="009A322A">
        <w:rPr>
          <w:rFonts w:ascii="Calibri" w:eastAsia="Times New Roman" w:hAnsi="Calibri" w:cs="Calibri"/>
        </w:rPr>
        <w:t xml:space="preserve">erms </w:t>
      </w:r>
      <w:r w:rsidR="0071311C">
        <w:rPr>
          <w:rFonts w:ascii="Calibri" w:eastAsia="Times New Roman" w:hAnsi="Calibri" w:cs="Calibri"/>
        </w:rPr>
        <w:t>o</w:t>
      </w:r>
      <w:r w:rsidR="009A322A">
        <w:rPr>
          <w:rFonts w:ascii="Calibri" w:eastAsia="Times New Roman" w:hAnsi="Calibri" w:cs="Calibri"/>
        </w:rPr>
        <w:t xml:space="preserve">f </w:t>
      </w:r>
      <w:r w:rsidR="0071311C">
        <w:rPr>
          <w:rFonts w:ascii="Calibri" w:eastAsia="Times New Roman" w:hAnsi="Calibri" w:cs="Calibri"/>
        </w:rPr>
        <w:t>R</w:t>
      </w:r>
      <w:r w:rsidR="009A322A">
        <w:rPr>
          <w:rFonts w:ascii="Calibri" w:eastAsia="Times New Roman" w:hAnsi="Calibri" w:cs="Calibri"/>
        </w:rPr>
        <w:t>eference,</w:t>
      </w:r>
      <w:r w:rsidR="0071311C">
        <w:rPr>
          <w:rFonts w:ascii="Calibri" w:eastAsia="Times New Roman" w:hAnsi="Calibri" w:cs="Calibri"/>
        </w:rPr>
        <w:t xml:space="preserve"> </w:t>
      </w:r>
      <w:r w:rsidR="0071311C">
        <w:rPr>
          <w:rFonts w:cstheme="minorHAnsi"/>
        </w:rPr>
        <w:t xml:space="preserve">namely, </w:t>
      </w:r>
      <w:r w:rsidR="0071311C" w:rsidRPr="00D542B3">
        <w:rPr>
          <w:rFonts w:cstheme="minorHAnsi"/>
          <w:i/>
        </w:rPr>
        <w:t>Design, Implementation Arrangements</w:t>
      </w:r>
      <w:r w:rsidR="0071311C">
        <w:rPr>
          <w:rFonts w:cstheme="minorHAnsi"/>
        </w:rPr>
        <w:t xml:space="preserve"> and </w:t>
      </w:r>
      <w:r w:rsidR="0071311C" w:rsidRPr="00D542B3">
        <w:rPr>
          <w:rFonts w:cstheme="minorHAnsi"/>
          <w:i/>
        </w:rPr>
        <w:t>Integration and Synergies</w:t>
      </w:r>
      <w:r w:rsidR="0071311C">
        <w:rPr>
          <w:rFonts w:cstheme="minorHAnsi"/>
        </w:rPr>
        <w:t xml:space="preserve">. </w:t>
      </w:r>
    </w:p>
    <w:p w:rsidR="005B1CBB" w:rsidRPr="004465B0" w:rsidRDefault="004B0A29" w:rsidP="005B1CBB">
      <w:pPr>
        <w:rPr>
          <w:rFonts w:ascii="Calibri" w:eastAsia="Times New Roman" w:hAnsi="Calibri" w:cs="Calibri"/>
        </w:rPr>
      </w:pPr>
      <w:r>
        <w:rPr>
          <w:rFonts w:cstheme="minorHAnsi"/>
        </w:rPr>
        <w:t>T</w:t>
      </w:r>
      <w:r w:rsidR="005B1CBB">
        <w:rPr>
          <w:rFonts w:cstheme="minorHAnsi"/>
        </w:rPr>
        <w:t xml:space="preserve">he </w:t>
      </w:r>
      <w:r w:rsidR="00EC0DA0">
        <w:rPr>
          <w:rFonts w:cstheme="minorHAnsi"/>
        </w:rPr>
        <w:t>Review Team</w:t>
      </w:r>
      <w:r w:rsidR="00CB3879">
        <w:rPr>
          <w:rFonts w:cstheme="minorHAnsi"/>
        </w:rPr>
        <w:t xml:space="preserve"> </w:t>
      </w:r>
      <w:r w:rsidR="005B1CBB" w:rsidRPr="00E3122D">
        <w:rPr>
          <w:rFonts w:ascii="Calibri" w:eastAsia="Times New Roman" w:hAnsi="Calibri" w:cs="Calibri"/>
        </w:rPr>
        <w:t>collect</w:t>
      </w:r>
      <w:r w:rsidR="005B1CBB">
        <w:rPr>
          <w:rFonts w:cstheme="minorHAnsi"/>
        </w:rPr>
        <w:t>ed</w:t>
      </w:r>
      <w:r w:rsidR="005B1CBB" w:rsidRPr="00E3122D">
        <w:rPr>
          <w:rFonts w:ascii="Calibri" w:eastAsia="Times New Roman" w:hAnsi="Calibri" w:cs="Calibri"/>
        </w:rPr>
        <w:t xml:space="preserve"> and assess</w:t>
      </w:r>
      <w:r w:rsidR="005B1CBB">
        <w:rPr>
          <w:rFonts w:cstheme="minorHAnsi"/>
        </w:rPr>
        <w:t>ed</w:t>
      </w:r>
      <w:r w:rsidR="005B1CBB" w:rsidRPr="00E3122D">
        <w:rPr>
          <w:rFonts w:ascii="Calibri" w:eastAsia="Times New Roman" w:hAnsi="Calibri" w:cs="Calibri"/>
        </w:rPr>
        <w:t xml:space="preserve"> data </w:t>
      </w:r>
      <w:r w:rsidR="005B1CBB">
        <w:rPr>
          <w:rFonts w:cstheme="minorHAnsi"/>
        </w:rPr>
        <w:t>t</w:t>
      </w:r>
      <w:r w:rsidR="005B1CBB" w:rsidRPr="00E3122D">
        <w:rPr>
          <w:rFonts w:ascii="Calibri" w:eastAsia="Times New Roman" w:hAnsi="Calibri" w:cs="Calibri"/>
        </w:rPr>
        <w:t xml:space="preserve">hrough a range of </w:t>
      </w:r>
      <w:r w:rsidR="001E0F22">
        <w:rPr>
          <w:rFonts w:ascii="Calibri" w:eastAsia="Times New Roman" w:hAnsi="Calibri" w:cs="Calibri"/>
        </w:rPr>
        <w:t>method</w:t>
      </w:r>
      <w:r w:rsidR="005B1CBB" w:rsidRPr="00E3122D">
        <w:rPr>
          <w:rFonts w:ascii="Calibri" w:eastAsia="Times New Roman" w:hAnsi="Calibri" w:cs="Calibri"/>
        </w:rPr>
        <w:t xml:space="preserve">s </w:t>
      </w:r>
      <w:r w:rsidR="00AC443B" w:rsidRPr="00E3122D">
        <w:rPr>
          <w:rFonts w:ascii="Calibri" w:eastAsia="Times New Roman" w:hAnsi="Calibri" w:cs="Calibri"/>
        </w:rPr>
        <w:t>including</w:t>
      </w:r>
      <w:r w:rsidR="009A322A">
        <w:rPr>
          <w:rFonts w:ascii="Calibri" w:eastAsia="Times New Roman" w:hAnsi="Calibri" w:cs="Calibri"/>
        </w:rPr>
        <w:t xml:space="preserve"> a</w:t>
      </w:r>
      <w:r w:rsidR="005B1CBB" w:rsidRPr="00E3122D">
        <w:rPr>
          <w:rFonts w:ascii="Calibri" w:eastAsia="Times New Roman" w:hAnsi="Calibri" w:cs="Calibri"/>
        </w:rPr>
        <w:t xml:space="preserve"> desk review</w:t>
      </w:r>
      <w:r w:rsidR="009A322A">
        <w:rPr>
          <w:rFonts w:ascii="Calibri" w:eastAsia="Times New Roman" w:hAnsi="Calibri" w:cs="Calibri"/>
        </w:rPr>
        <w:t xml:space="preserve"> of </w:t>
      </w:r>
      <w:r w:rsidR="005B1CBB" w:rsidRPr="00E3122D">
        <w:rPr>
          <w:rFonts w:ascii="Calibri" w:eastAsia="Times New Roman" w:hAnsi="Calibri" w:cs="Calibri"/>
        </w:rPr>
        <w:t>project documents</w:t>
      </w:r>
      <w:r w:rsidR="00F766FE">
        <w:rPr>
          <w:rFonts w:ascii="Calibri" w:eastAsia="Times New Roman" w:hAnsi="Calibri" w:cs="Calibri"/>
        </w:rPr>
        <w:t xml:space="preserve"> and</w:t>
      </w:r>
      <w:r w:rsidR="005B1CBB" w:rsidRPr="00E3122D">
        <w:rPr>
          <w:rFonts w:ascii="Calibri" w:eastAsia="Times New Roman" w:hAnsi="Calibri" w:cs="Calibri"/>
        </w:rPr>
        <w:t xml:space="preserve"> </w:t>
      </w:r>
      <w:r w:rsidR="00905CB2">
        <w:rPr>
          <w:rFonts w:ascii="Calibri" w:eastAsia="Times New Roman" w:hAnsi="Calibri" w:cs="Calibri"/>
        </w:rPr>
        <w:t xml:space="preserve">in-country </w:t>
      </w:r>
      <w:r w:rsidR="005B1CBB" w:rsidRPr="00E3122D">
        <w:rPr>
          <w:rFonts w:ascii="Calibri" w:eastAsia="Times New Roman" w:hAnsi="Calibri" w:cs="Calibri"/>
        </w:rPr>
        <w:t>consultation with AusAI</w:t>
      </w:r>
      <w:r w:rsidR="005B1CBB" w:rsidRPr="009A322A">
        <w:rPr>
          <w:rFonts w:ascii="Calibri" w:eastAsia="Times New Roman" w:hAnsi="Calibri" w:cs="Calibri"/>
        </w:rPr>
        <w:t>D</w:t>
      </w:r>
      <w:r w:rsidR="00AF16F7" w:rsidRPr="009A322A">
        <w:rPr>
          <w:rFonts w:cstheme="minorHAnsi"/>
        </w:rPr>
        <w:t>,</w:t>
      </w:r>
      <w:r w:rsidR="00AF16F7">
        <w:rPr>
          <w:rFonts w:cstheme="minorHAnsi"/>
        </w:rPr>
        <w:t xml:space="preserve"> </w:t>
      </w:r>
      <w:proofErr w:type="spellStart"/>
      <w:r w:rsidR="00AF16F7">
        <w:rPr>
          <w:rFonts w:cstheme="minorHAnsi"/>
        </w:rPr>
        <w:t>Bappe</w:t>
      </w:r>
      <w:r w:rsidR="005B1CBB">
        <w:rPr>
          <w:rFonts w:cstheme="minorHAnsi"/>
        </w:rPr>
        <w:t>nas</w:t>
      </w:r>
      <w:proofErr w:type="spellEnd"/>
      <w:r w:rsidR="00F766FE">
        <w:rPr>
          <w:rFonts w:cstheme="minorHAnsi"/>
        </w:rPr>
        <w:t>, AIPJ</w:t>
      </w:r>
      <w:r>
        <w:rPr>
          <w:rFonts w:cstheme="minorHAnsi"/>
        </w:rPr>
        <w:t xml:space="preserve"> implementing partners</w:t>
      </w:r>
      <w:r w:rsidR="001E0F22">
        <w:rPr>
          <w:rFonts w:cstheme="minorHAnsi"/>
        </w:rPr>
        <w:t>, government and non-government actors in the justice sector</w:t>
      </w:r>
      <w:r w:rsidR="00946AB9">
        <w:rPr>
          <w:rFonts w:cstheme="minorHAnsi"/>
        </w:rPr>
        <w:t>,</w:t>
      </w:r>
      <w:r w:rsidR="005B1CBB">
        <w:rPr>
          <w:rFonts w:cstheme="minorHAnsi"/>
        </w:rPr>
        <w:t xml:space="preserve"> and justice seekers</w:t>
      </w:r>
      <w:r w:rsidR="005B1CBB">
        <w:rPr>
          <w:rFonts w:ascii="Calibri" w:eastAsia="Times New Roman" w:hAnsi="Calibri" w:cs="Calibri"/>
        </w:rPr>
        <w:t>.</w:t>
      </w:r>
      <w:r w:rsidR="00905CB2">
        <w:rPr>
          <w:rFonts w:ascii="Calibri" w:eastAsia="Times New Roman" w:hAnsi="Calibri" w:cs="Calibri"/>
        </w:rPr>
        <w:t xml:space="preserve"> </w:t>
      </w:r>
      <w:r w:rsidR="005B1CBB">
        <w:rPr>
          <w:rFonts w:ascii="Calibri" w:eastAsia="Times New Roman" w:hAnsi="Calibri" w:cs="Calibri"/>
        </w:rPr>
        <w:t>T</w:t>
      </w:r>
      <w:r w:rsidR="00F0322C">
        <w:rPr>
          <w:rFonts w:cstheme="minorHAnsi"/>
        </w:rPr>
        <w:t>he Review T</w:t>
      </w:r>
      <w:r w:rsidR="005B1CBB">
        <w:rPr>
          <w:rFonts w:cstheme="minorHAnsi"/>
        </w:rPr>
        <w:t>eam</w:t>
      </w:r>
      <w:r w:rsidR="005B1CBB">
        <w:rPr>
          <w:rFonts w:ascii="Calibri" w:eastAsia="Times New Roman" w:hAnsi="Calibri" w:cs="Calibri"/>
        </w:rPr>
        <w:t xml:space="preserve"> dre</w:t>
      </w:r>
      <w:r w:rsidR="005B1CBB" w:rsidRPr="00E3122D">
        <w:rPr>
          <w:rFonts w:ascii="Calibri" w:eastAsia="Times New Roman" w:hAnsi="Calibri" w:cs="Calibri"/>
        </w:rPr>
        <w:t>w conclusion</w:t>
      </w:r>
      <w:r w:rsidR="005B1CBB">
        <w:rPr>
          <w:rFonts w:cstheme="minorHAnsi"/>
        </w:rPr>
        <w:t>s based on th</w:t>
      </w:r>
      <w:r w:rsidR="006D7208">
        <w:rPr>
          <w:rFonts w:cstheme="minorHAnsi"/>
        </w:rPr>
        <w:t>is</w:t>
      </w:r>
      <w:r w:rsidR="005B1CBB">
        <w:rPr>
          <w:rFonts w:cstheme="minorHAnsi"/>
        </w:rPr>
        <w:t xml:space="preserve"> research and ma</w:t>
      </w:r>
      <w:r w:rsidR="00873D51">
        <w:rPr>
          <w:rFonts w:cstheme="minorHAnsi"/>
        </w:rPr>
        <w:t>kes</w:t>
      </w:r>
      <w:r w:rsidR="005B1CBB">
        <w:rPr>
          <w:rFonts w:cstheme="minorHAnsi"/>
        </w:rPr>
        <w:t xml:space="preserve"> its recommendations accordingly. The findings have been designed to </w:t>
      </w:r>
      <w:r w:rsidR="005B1CBB" w:rsidRPr="00E3122D">
        <w:rPr>
          <w:rFonts w:ascii="Calibri" w:hAnsi="Calibri" w:cs="Calibri"/>
        </w:rPr>
        <w:t>assist the primary audience of the review</w:t>
      </w:r>
      <w:r w:rsidR="005B1CBB">
        <w:rPr>
          <w:rFonts w:ascii="Calibri" w:hAnsi="Calibri" w:cs="Calibri"/>
        </w:rPr>
        <w:t>,</w:t>
      </w:r>
      <w:r w:rsidR="005B1CBB" w:rsidRPr="00E3122D">
        <w:rPr>
          <w:rFonts w:ascii="Calibri" w:hAnsi="Calibri" w:cs="Calibri"/>
        </w:rPr>
        <w:t xml:space="preserve"> AusAID </w:t>
      </w:r>
      <w:r w:rsidR="005B1CBB">
        <w:rPr>
          <w:rFonts w:cstheme="minorHAnsi"/>
        </w:rPr>
        <w:t xml:space="preserve">and </w:t>
      </w:r>
      <w:proofErr w:type="spellStart"/>
      <w:r w:rsidR="005B1CBB">
        <w:rPr>
          <w:rFonts w:ascii="Calibri" w:hAnsi="Calibri" w:cs="Calibri"/>
        </w:rPr>
        <w:t>Bappenas</w:t>
      </w:r>
      <w:proofErr w:type="spellEnd"/>
      <w:r w:rsidR="005B1CBB" w:rsidRPr="00E3122D">
        <w:rPr>
          <w:rFonts w:ascii="Calibri" w:hAnsi="Calibri" w:cs="Calibri"/>
        </w:rPr>
        <w:t xml:space="preserve"> (National Development Planning Agency</w:t>
      </w:r>
      <w:r w:rsidR="005B1CBB">
        <w:rPr>
          <w:rFonts w:ascii="Calibri" w:hAnsi="Calibri" w:cs="Calibri"/>
        </w:rPr>
        <w:t xml:space="preserve"> of Indonesia), and the AIPJ </w:t>
      </w:r>
      <w:r w:rsidR="006D7208">
        <w:rPr>
          <w:rFonts w:ascii="Calibri" w:hAnsi="Calibri" w:cs="Calibri"/>
        </w:rPr>
        <w:t>PD and ISP</w:t>
      </w:r>
      <w:r w:rsidR="005B1CBB" w:rsidRPr="00E3122D">
        <w:rPr>
          <w:rFonts w:ascii="Calibri" w:hAnsi="Calibri" w:cs="Calibri"/>
        </w:rPr>
        <w:t xml:space="preserve"> by:</w:t>
      </w:r>
    </w:p>
    <w:p w:rsidR="006D7208" w:rsidRPr="00B22437" w:rsidRDefault="00873D51" w:rsidP="006D7208">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c</w:t>
      </w:r>
      <w:r w:rsidR="006D7208" w:rsidRPr="00B22437">
        <w:rPr>
          <w:rFonts w:asciiTheme="minorHAnsi" w:hAnsiTheme="minorHAnsi" w:cstheme="minorHAnsi"/>
          <w:sz w:val="22"/>
          <w:szCs w:val="22"/>
        </w:rPr>
        <w:t xml:space="preserve">ontributing to structural organisational and program improvement, particularly in relation to </w:t>
      </w:r>
      <w:r w:rsidR="006D7208">
        <w:rPr>
          <w:rFonts w:asciiTheme="minorHAnsi" w:hAnsiTheme="minorHAnsi" w:cstheme="minorHAnsi"/>
          <w:sz w:val="22"/>
          <w:szCs w:val="22"/>
        </w:rPr>
        <w:t xml:space="preserve">improving the program strategy to ensure that </w:t>
      </w:r>
      <w:r w:rsidR="006D7208" w:rsidRPr="00B22437">
        <w:rPr>
          <w:rFonts w:asciiTheme="minorHAnsi" w:hAnsiTheme="minorHAnsi" w:cstheme="minorHAnsi"/>
          <w:sz w:val="22"/>
          <w:szCs w:val="22"/>
        </w:rPr>
        <w:t>AIPJ deliver</w:t>
      </w:r>
      <w:r w:rsidR="006D7208">
        <w:rPr>
          <w:rFonts w:asciiTheme="minorHAnsi" w:hAnsiTheme="minorHAnsi" w:cstheme="minorHAnsi"/>
          <w:sz w:val="22"/>
          <w:szCs w:val="22"/>
        </w:rPr>
        <w:t>s</w:t>
      </w:r>
      <w:r w:rsidR="006D7208" w:rsidRPr="00B22437">
        <w:rPr>
          <w:rFonts w:asciiTheme="minorHAnsi" w:hAnsiTheme="minorHAnsi" w:cstheme="minorHAnsi"/>
          <w:sz w:val="22"/>
          <w:szCs w:val="22"/>
        </w:rPr>
        <w:t xml:space="preserve"> </w:t>
      </w:r>
      <w:r w:rsidR="006D7208">
        <w:rPr>
          <w:rFonts w:asciiTheme="minorHAnsi" w:hAnsiTheme="minorHAnsi" w:cstheme="minorHAnsi"/>
          <w:sz w:val="22"/>
          <w:szCs w:val="22"/>
        </w:rPr>
        <w:t>results</w:t>
      </w:r>
      <w:r w:rsidR="006D7208" w:rsidRPr="00B22437">
        <w:rPr>
          <w:rFonts w:asciiTheme="minorHAnsi" w:hAnsiTheme="minorHAnsi" w:cstheme="minorHAnsi"/>
          <w:sz w:val="22"/>
          <w:szCs w:val="22"/>
        </w:rPr>
        <w:t xml:space="preserve"> against the en</w:t>
      </w:r>
      <w:r w:rsidR="006D7208">
        <w:rPr>
          <w:rFonts w:asciiTheme="minorHAnsi" w:hAnsiTheme="minorHAnsi" w:cstheme="minorHAnsi"/>
          <w:sz w:val="22"/>
          <w:szCs w:val="22"/>
        </w:rPr>
        <w:t>d-of-program-outcomes (EOPOs)</w:t>
      </w:r>
      <w:r>
        <w:rPr>
          <w:rFonts w:asciiTheme="minorHAnsi" w:hAnsiTheme="minorHAnsi" w:cstheme="minorHAnsi"/>
          <w:sz w:val="22"/>
          <w:szCs w:val="22"/>
        </w:rPr>
        <w:t>;</w:t>
      </w:r>
      <w:r w:rsidR="006D7208" w:rsidRPr="00B22437">
        <w:rPr>
          <w:rFonts w:asciiTheme="minorHAnsi" w:hAnsiTheme="minorHAnsi" w:cstheme="minorHAnsi"/>
          <w:sz w:val="22"/>
          <w:szCs w:val="22"/>
        </w:rPr>
        <w:t xml:space="preserve"> </w:t>
      </w:r>
    </w:p>
    <w:p w:rsidR="005B1CBB" w:rsidRPr="009B2FDF" w:rsidRDefault="006D7208" w:rsidP="005B1CBB">
      <w:pPr>
        <w:pStyle w:val="Default"/>
        <w:numPr>
          <w:ilvl w:val="0"/>
          <w:numId w:val="7"/>
        </w:numPr>
        <w:rPr>
          <w:rFonts w:asciiTheme="minorHAnsi" w:hAnsiTheme="minorHAnsi" w:cs="Calibri"/>
          <w:sz w:val="22"/>
          <w:szCs w:val="22"/>
        </w:rPr>
      </w:pPr>
      <w:r>
        <w:rPr>
          <w:rFonts w:ascii="Calibri" w:hAnsi="Calibri" w:cs="Calibri"/>
          <w:sz w:val="22"/>
          <w:szCs w:val="22"/>
        </w:rPr>
        <w:t>identifying potential synergies between AIP</w:t>
      </w:r>
      <w:r w:rsidR="00905CB2">
        <w:rPr>
          <w:rFonts w:ascii="Calibri" w:hAnsi="Calibri" w:cs="Calibri"/>
          <w:sz w:val="22"/>
          <w:szCs w:val="22"/>
        </w:rPr>
        <w:t>J</w:t>
      </w:r>
      <w:r>
        <w:rPr>
          <w:rFonts w:ascii="Calibri" w:hAnsi="Calibri" w:cs="Calibri"/>
          <w:sz w:val="22"/>
          <w:szCs w:val="22"/>
        </w:rPr>
        <w:t xml:space="preserve"> and other AusAID programs </w:t>
      </w:r>
      <w:r w:rsidR="00E93453">
        <w:rPr>
          <w:rFonts w:asciiTheme="minorHAnsi" w:hAnsiTheme="minorHAnsi" w:cstheme="minorHAnsi"/>
          <w:sz w:val="22"/>
          <w:szCs w:val="22"/>
        </w:rPr>
        <w:t xml:space="preserve">to </w:t>
      </w:r>
      <w:r w:rsidR="005B1CBB" w:rsidRPr="009B2FDF">
        <w:rPr>
          <w:rFonts w:asciiTheme="minorHAnsi" w:hAnsiTheme="minorHAnsi" w:cstheme="minorHAnsi"/>
          <w:sz w:val="22"/>
          <w:szCs w:val="22"/>
        </w:rPr>
        <w:t>maximise the program’s overall benefits to poor people</w:t>
      </w:r>
      <w:r w:rsidR="00873D51">
        <w:rPr>
          <w:rFonts w:asciiTheme="minorHAnsi" w:hAnsiTheme="minorHAnsi" w:cstheme="minorHAnsi"/>
          <w:sz w:val="22"/>
          <w:szCs w:val="22"/>
        </w:rPr>
        <w:t>; and</w:t>
      </w:r>
    </w:p>
    <w:p w:rsidR="005B1CBB" w:rsidRDefault="006D7208" w:rsidP="005B1CBB">
      <w:pPr>
        <w:pStyle w:val="Default"/>
        <w:numPr>
          <w:ilvl w:val="0"/>
          <w:numId w:val="7"/>
        </w:numPr>
        <w:rPr>
          <w:rFonts w:ascii="Calibri" w:hAnsi="Calibri" w:cs="Calibri"/>
          <w:sz w:val="22"/>
          <w:szCs w:val="22"/>
        </w:rPr>
      </w:pPr>
      <w:proofErr w:type="gramStart"/>
      <w:r>
        <w:rPr>
          <w:rFonts w:ascii="Calibri" w:hAnsi="Calibri" w:cs="Calibri"/>
          <w:sz w:val="22"/>
          <w:szCs w:val="22"/>
        </w:rPr>
        <w:t>exploring</w:t>
      </w:r>
      <w:proofErr w:type="gramEnd"/>
      <w:r>
        <w:rPr>
          <w:rFonts w:ascii="Calibri" w:hAnsi="Calibri" w:cs="Calibri"/>
          <w:sz w:val="22"/>
          <w:szCs w:val="22"/>
        </w:rPr>
        <w:t xml:space="preserve"> how</w:t>
      </w:r>
      <w:r w:rsidRPr="00E3122D">
        <w:rPr>
          <w:rFonts w:ascii="Calibri" w:hAnsi="Calibri" w:cs="Calibri"/>
          <w:sz w:val="22"/>
          <w:szCs w:val="22"/>
        </w:rPr>
        <w:t xml:space="preserve"> </w:t>
      </w:r>
      <w:r w:rsidR="005B1CBB" w:rsidRPr="00E3122D">
        <w:rPr>
          <w:rFonts w:ascii="Calibri" w:hAnsi="Calibri" w:cs="Calibri"/>
          <w:sz w:val="22"/>
          <w:szCs w:val="22"/>
        </w:rPr>
        <w:t>AI</w:t>
      </w:r>
      <w:r w:rsidR="005B1CBB">
        <w:rPr>
          <w:rFonts w:ascii="Calibri" w:hAnsi="Calibri" w:cs="Calibri"/>
          <w:sz w:val="22"/>
          <w:szCs w:val="22"/>
        </w:rPr>
        <w:t>PJ</w:t>
      </w:r>
      <w:r w:rsidR="005B1CBB" w:rsidRPr="00E3122D">
        <w:rPr>
          <w:rFonts w:ascii="Calibri" w:hAnsi="Calibri" w:cs="Calibri"/>
          <w:sz w:val="22"/>
          <w:szCs w:val="22"/>
        </w:rPr>
        <w:t xml:space="preserve"> might focus on the po</w:t>
      </w:r>
      <w:r w:rsidR="00920EE7">
        <w:rPr>
          <w:rFonts w:ascii="Calibri" w:hAnsi="Calibri" w:cs="Calibri"/>
          <w:sz w:val="22"/>
          <w:szCs w:val="22"/>
        </w:rPr>
        <w:t>or and marginal</w:t>
      </w:r>
      <w:r w:rsidR="00D31068">
        <w:rPr>
          <w:rFonts w:ascii="Calibri" w:hAnsi="Calibri" w:cs="Calibri"/>
          <w:sz w:val="22"/>
          <w:szCs w:val="22"/>
        </w:rPr>
        <w:t>ised</w:t>
      </w:r>
      <w:r w:rsidR="00920EE7">
        <w:rPr>
          <w:rFonts w:ascii="Calibri" w:hAnsi="Calibri" w:cs="Calibri"/>
          <w:sz w:val="22"/>
          <w:szCs w:val="22"/>
        </w:rPr>
        <w:t xml:space="preserve"> communities as </w:t>
      </w:r>
      <w:r w:rsidR="005B1CBB" w:rsidRPr="00E3122D">
        <w:rPr>
          <w:rFonts w:ascii="Calibri" w:hAnsi="Calibri" w:cs="Calibri"/>
          <w:sz w:val="22"/>
          <w:szCs w:val="22"/>
        </w:rPr>
        <w:t>explicitly as possible.</w:t>
      </w:r>
      <w:r w:rsidR="005B1CBB" w:rsidRPr="00E3122D">
        <w:rPr>
          <w:rStyle w:val="FootnoteReference"/>
          <w:rFonts w:ascii="Calibri" w:hAnsi="Calibri" w:cs="Calibri"/>
          <w:sz w:val="22"/>
          <w:szCs w:val="22"/>
        </w:rPr>
        <w:footnoteReference w:id="7"/>
      </w:r>
    </w:p>
    <w:p w:rsidR="001E0F22" w:rsidRDefault="001E0F22" w:rsidP="005B1CBB">
      <w:pPr>
        <w:rPr>
          <w:rFonts w:ascii="Calibri" w:eastAsia="Times New Roman" w:hAnsi="Calibri" w:cs="Calibri"/>
        </w:rPr>
      </w:pPr>
    </w:p>
    <w:p w:rsidR="005B1CBB" w:rsidRDefault="005B1CBB" w:rsidP="005B1CBB">
      <w:pPr>
        <w:rPr>
          <w:rFonts w:ascii="Calibri" w:eastAsia="Times New Roman" w:hAnsi="Calibri" w:cs="Calibri"/>
        </w:rPr>
      </w:pPr>
      <w:r w:rsidRPr="00E3122D">
        <w:rPr>
          <w:rFonts w:ascii="Calibri" w:eastAsia="Times New Roman" w:hAnsi="Calibri" w:cs="Calibri"/>
        </w:rPr>
        <w:t xml:space="preserve">The </w:t>
      </w:r>
      <w:r>
        <w:rPr>
          <w:rFonts w:cstheme="minorHAnsi"/>
        </w:rPr>
        <w:t>evaluation process wa</w:t>
      </w:r>
      <w:r w:rsidRPr="00E3122D">
        <w:rPr>
          <w:rFonts w:ascii="Calibri" w:eastAsia="Times New Roman" w:hAnsi="Calibri" w:cs="Calibri"/>
        </w:rPr>
        <w:t xml:space="preserve">s based on a collaborative approach within the team. </w:t>
      </w:r>
      <w:r>
        <w:rPr>
          <w:rFonts w:cstheme="minorHAnsi"/>
        </w:rPr>
        <w:t>Team members</w:t>
      </w:r>
      <w:r w:rsidRPr="00E3122D">
        <w:rPr>
          <w:rFonts w:ascii="Calibri" w:eastAsia="Times New Roman" w:hAnsi="Calibri" w:cs="Calibri"/>
        </w:rPr>
        <w:t xml:space="preserve"> each assume</w:t>
      </w:r>
      <w:r>
        <w:rPr>
          <w:rFonts w:cstheme="minorHAnsi"/>
        </w:rPr>
        <w:t>d</w:t>
      </w:r>
      <w:r w:rsidRPr="00E3122D">
        <w:rPr>
          <w:rFonts w:ascii="Calibri" w:eastAsia="Times New Roman" w:hAnsi="Calibri" w:cs="Calibri"/>
        </w:rPr>
        <w:t xml:space="preserve"> responsibility for tasks including interviewing stakeholders and confirming the questions under each of the evaluation criteria. </w:t>
      </w:r>
    </w:p>
    <w:p w:rsidR="005B1CBB" w:rsidRPr="00AA2539" w:rsidRDefault="005B1CBB" w:rsidP="004D261E">
      <w:pPr>
        <w:pStyle w:val="Heading1"/>
      </w:pPr>
      <w:bookmarkStart w:id="7" w:name="_Toc345320819"/>
      <w:r w:rsidRPr="00AA2539">
        <w:t>AIPJ Background</w:t>
      </w:r>
      <w:bookmarkEnd w:id="7"/>
    </w:p>
    <w:p w:rsidR="006C29BB" w:rsidRDefault="006C29BB" w:rsidP="006C29BB">
      <w:pPr>
        <w:spacing w:after="120"/>
        <w:rPr>
          <w:rFonts w:ascii="Calibri" w:hAnsi="Calibri"/>
          <w:bCs/>
        </w:rPr>
      </w:pPr>
      <w:r>
        <w:rPr>
          <w:rFonts w:ascii="Calibri" w:hAnsi="Calibri"/>
          <w:bCs/>
        </w:rPr>
        <w:t xml:space="preserve">AIPJ is a five-year, $50 million program which commenced in June 2011 with the objective of </w:t>
      </w:r>
      <w:r w:rsidRPr="000A5506">
        <w:rPr>
          <w:rFonts w:ascii="Calibri" w:hAnsi="Calibri"/>
          <w:b/>
          <w:bCs/>
          <w:i/>
        </w:rPr>
        <w:t>“</w:t>
      </w:r>
      <w:r>
        <w:rPr>
          <w:rFonts w:ascii="Calibri" w:hAnsi="Calibri"/>
          <w:b/>
          <w:bCs/>
          <w:i/>
        </w:rPr>
        <w:t>i</w:t>
      </w:r>
      <w:r w:rsidRPr="000A5506">
        <w:rPr>
          <w:rFonts w:ascii="Calibri" w:hAnsi="Calibri"/>
          <w:b/>
          <w:bCs/>
          <w:i/>
        </w:rPr>
        <w:t>ncreased access to better quality legal information and services”</w:t>
      </w:r>
      <w:r w:rsidRPr="00B33BB1">
        <w:rPr>
          <w:rFonts w:ascii="Calibri" w:hAnsi="Calibri"/>
          <w:bCs/>
        </w:rPr>
        <w:t xml:space="preserve"> for people in Indonesia</w:t>
      </w:r>
      <w:r w:rsidRPr="00E169F2">
        <w:rPr>
          <w:rFonts w:ascii="Calibri" w:hAnsi="Calibri"/>
          <w:bCs/>
        </w:rPr>
        <w:t>.</w:t>
      </w:r>
      <w:r>
        <w:rPr>
          <w:rFonts w:ascii="Calibri" w:hAnsi="Calibri"/>
          <w:b/>
          <w:bCs/>
        </w:rPr>
        <w:t xml:space="preserve"> </w:t>
      </w:r>
      <w:r>
        <w:rPr>
          <w:rFonts w:ascii="Calibri" w:hAnsi="Calibri"/>
          <w:bCs/>
        </w:rPr>
        <w:t>AIPJ is an initiative of the Governments of Australia and Indonesia.</w:t>
      </w:r>
    </w:p>
    <w:p w:rsidR="006C29BB" w:rsidRDefault="006C29BB" w:rsidP="006C29BB">
      <w:pPr>
        <w:spacing w:after="120"/>
        <w:rPr>
          <w:rFonts w:ascii="Calibri" w:hAnsi="Calibri"/>
          <w:bCs/>
        </w:rPr>
      </w:pPr>
      <w:r>
        <w:rPr>
          <w:rFonts w:ascii="Calibri" w:hAnsi="Calibri"/>
          <w:bCs/>
        </w:rPr>
        <w:t xml:space="preserve">The Australian Government has been investing in Indonesia’s law and justice sector for the past ten years, including through the $25 million Indonesia Australia Legal Development Facility (IALDF) (April 2004 - December 2009), during which time a number of high-level reform commitments </w:t>
      </w:r>
      <w:r w:rsidR="00873D51">
        <w:rPr>
          <w:rFonts w:ascii="Calibri" w:hAnsi="Calibri"/>
          <w:bCs/>
        </w:rPr>
        <w:t>were</w:t>
      </w:r>
      <w:r>
        <w:rPr>
          <w:rFonts w:ascii="Calibri" w:hAnsi="Calibri"/>
          <w:bCs/>
        </w:rPr>
        <w:t xml:space="preserve"> made. The focus of the AIPJ is on transforming these commitments into concrete improvements </w:t>
      </w:r>
      <w:r w:rsidR="00946AB9">
        <w:rPr>
          <w:rFonts w:ascii="Calibri" w:hAnsi="Calibri"/>
          <w:bCs/>
        </w:rPr>
        <w:t xml:space="preserve">in </w:t>
      </w:r>
      <w:r>
        <w:rPr>
          <w:rFonts w:ascii="Calibri" w:hAnsi="Calibri"/>
          <w:bCs/>
        </w:rPr>
        <w:t xml:space="preserve">the way </w:t>
      </w:r>
      <w:r>
        <w:rPr>
          <w:rFonts w:ascii="Calibri" w:hAnsi="Calibri"/>
          <w:bCs/>
        </w:rPr>
        <w:lastRenderedPageBreak/>
        <w:t>Indonesia’s law and justice institutions support community needs through “</w:t>
      </w:r>
      <w:r w:rsidRPr="00211969">
        <w:rPr>
          <w:rFonts w:ascii="Calibri" w:hAnsi="Calibri"/>
          <w:bCs/>
        </w:rPr>
        <w:t>the provision of quality legal services and information, particularly at the local level”</w:t>
      </w:r>
      <w:r>
        <w:rPr>
          <w:rFonts w:ascii="Calibri" w:hAnsi="Calibri"/>
          <w:bCs/>
        </w:rPr>
        <w:t>.</w:t>
      </w:r>
    </w:p>
    <w:p w:rsidR="006C29BB" w:rsidRDefault="006C29BB" w:rsidP="006C29BB">
      <w:pPr>
        <w:spacing w:after="120"/>
        <w:rPr>
          <w:rFonts w:ascii="Calibri" w:hAnsi="Calibri"/>
          <w:bCs/>
        </w:rPr>
      </w:pPr>
      <w:r>
        <w:rPr>
          <w:rFonts w:ascii="Calibri" w:hAnsi="Calibri"/>
          <w:bCs/>
        </w:rPr>
        <w:t>AIPJ’s objective has been designed to contribute to the Government of Indonesia’s current Medium-</w:t>
      </w:r>
      <w:r w:rsidR="00B753A5">
        <w:rPr>
          <w:rFonts w:ascii="Calibri" w:hAnsi="Calibri"/>
          <w:bCs/>
        </w:rPr>
        <w:t>T</w:t>
      </w:r>
      <w:r>
        <w:rPr>
          <w:rFonts w:ascii="Calibri" w:hAnsi="Calibri"/>
          <w:bCs/>
        </w:rPr>
        <w:t xml:space="preserve">erm Development Plan (2010-2014) goal of </w:t>
      </w:r>
      <w:r w:rsidRPr="000A5506">
        <w:rPr>
          <w:rFonts w:ascii="Calibri" w:hAnsi="Calibri"/>
          <w:b/>
          <w:bCs/>
          <w:i/>
        </w:rPr>
        <w:t>“improved adherence to good governance principles, based on the rule of law and human rights and supported by government agencies which are clean, respected, responsible and professional”.</w:t>
      </w:r>
      <w:r>
        <w:rPr>
          <w:rFonts w:ascii="Calibri" w:hAnsi="Calibri"/>
          <w:bCs/>
        </w:rPr>
        <w:t xml:space="preserve"> </w:t>
      </w:r>
    </w:p>
    <w:p w:rsidR="006C29BB" w:rsidRDefault="006C29BB" w:rsidP="006C29BB">
      <w:pPr>
        <w:spacing w:after="120"/>
        <w:rPr>
          <w:rFonts w:ascii="Calibri" w:hAnsi="Calibri"/>
          <w:bCs/>
        </w:rPr>
      </w:pPr>
      <w:r>
        <w:rPr>
          <w:rFonts w:ascii="Calibri" w:hAnsi="Calibri"/>
          <w:bCs/>
        </w:rPr>
        <w:t>AIPJ is targeted at priorities which Indonesia has identified as being of critical importance to the sector and for which Australian assistance is likely to bring about sustainable and meaningful impacts. The five outcomes identified in the design document to assist Indonesia to achieve its aims in the law and justice sector are:</w:t>
      </w:r>
    </w:p>
    <w:p w:rsidR="006C29BB" w:rsidRDefault="006C29BB" w:rsidP="006C29BB">
      <w:pPr>
        <w:numPr>
          <w:ilvl w:val="0"/>
          <w:numId w:val="3"/>
        </w:numPr>
        <w:spacing w:after="120" w:line="240" w:lineRule="auto"/>
        <w:rPr>
          <w:rFonts w:ascii="Calibri" w:hAnsi="Calibri"/>
          <w:bCs/>
        </w:rPr>
      </w:pPr>
      <w:r>
        <w:rPr>
          <w:rFonts w:ascii="Calibri" w:hAnsi="Calibri"/>
          <w:bCs/>
        </w:rPr>
        <w:t>Improved judicial dispute resolutions systems for marginalised groups (including the poor, women and people with a disability);</w:t>
      </w:r>
    </w:p>
    <w:p w:rsidR="006C29BB" w:rsidRDefault="006C29BB" w:rsidP="006C29BB">
      <w:pPr>
        <w:numPr>
          <w:ilvl w:val="0"/>
          <w:numId w:val="3"/>
        </w:numPr>
        <w:spacing w:after="120" w:line="240" w:lineRule="auto"/>
        <w:rPr>
          <w:rFonts w:ascii="Calibri" w:hAnsi="Calibri"/>
          <w:bCs/>
        </w:rPr>
      </w:pPr>
      <w:r>
        <w:rPr>
          <w:rFonts w:ascii="Calibri" w:hAnsi="Calibri"/>
          <w:bCs/>
        </w:rPr>
        <w:t>Prosecutorial agencies better able to process corruption cases;</w:t>
      </w:r>
    </w:p>
    <w:p w:rsidR="006C29BB" w:rsidRDefault="006C29BB" w:rsidP="006C29BB">
      <w:pPr>
        <w:numPr>
          <w:ilvl w:val="0"/>
          <w:numId w:val="3"/>
        </w:numPr>
        <w:spacing w:after="120" w:line="240" w:lineRule="auto"/>
        <w:rPr>
          <w:rFonts w:ascii="Calibri" w:hAnsi="Calibri"/>
          <w:bCs/>
        </w:rPr>
      </w:pPr>
      <w:r>
        <w:rPr>
          <w:rFonts w:ascii="Calibri" w:hAnsi="Calibri"/>
          <w:bCs/>
        </w:rPr>
        <w:t xml:space="preserve">Increased public access to and use  of legal information, particularly relating to human rights (including women’s rights) and anti-corruption; </w:t>
      </w:r>
    </w:p>
    <w:p w:rsidR="006C29BB" w:rsidRDefault="006C29BB" w:rsidP="006C29BB">
      <w:pPr>
        <w:numPr>
          <w:ilvl w:val="0"/>
          <w:numId w:val="3"/>
        </w:numPr>
        <w:spacing w:after="120" w:line="240" w:lineRule="auto"/>
        <w:rPr>
          <w:rFonts w:ascii="Calibri" w:hAnsi="Calibri"/>
          <w:bCs/>
        </w:rPr>
      </w:pPr>
      <w:r>
        <w:rPr>
          <w:rFonts w:ascii="Calibri" w:hAnsi="Calibri"/>
          <w:bCs/>
        </w:rPr>
        <w:t>Improved framework and delivery of a legal aid system; and</w:t>
      </w:r>
    </w:p>
    <w:p w:rsidR="006C29BB" w:rsidRDefault="006C29BB" w:rsidP="006C29BB">
      <w:pPr>
        <w:numPr>
          <w:ilvl w:val="0"/>
          <w:numId w:val="3"/>
        </w:numPr>
        <w:spacing w:after="120" w:line="240" w:lineRule="auto"/>
        <w:rPr>
          <w:rFonts w:ascii="Calibri" w:hAnsi="Calibri"/>
          <w:bCs/>
        </w:rPr>
      </w:pPr>
      <w:r>
        <w:rPr>
          <w:rFonts w:ascii="Calibri" w:hAnsi="Calibri"/>
          <w:bCs/>
        </w:rPr>
        <w:t>Increased capacity of civil society organizations and national commissions to support Indonesian law and justice sector reform efforts.</w:t>
      </w:r>
    </w:p>
    <w:p w:rsidR="006C29BB" w:rsidRDefault="006C29BB" w:rsidP="006C29BB">
      <w:pPr>
        <w:spacing w:after="120"/>
        <w:rPr>
          <w:rFonts w:ascii="Calibri" w:hAnsi="Calibri"/>
          <w:bCs/>
        </w:rPr>
      </w:pPr>
      <w:r>
        <w:rPr>
          <w:rFonts w:ascii="Calibri" w:hAnsi="Calibri"/>
          <w:bCs/>
        </w:rPr>
        <w:t>The design also identifies four cross-cutting themes which should directly inform AIPJ’s activities:</w:t>
      </w:r>
    </w:p>
    <w:p w:rsidR="006C29BB" w:rsidRDefault="006C29BB" w:rsidP="006C29BB">
      <w:pPr>
        <w:numPr>
          <w:ilvl w:val="0"/>
          <w:numId w:val="3"/>
        </w:numPr>
        <w:spacing w:after="120" w:line="240" w:lineRule="auto"/>
        <w:rPr>
          <w:rFonts w:ascii="Calibri" w:hAnsi="Calibri"/>
          <w:bCs/>
        </w:rPr>
      </w:pPr>
      <w:r>
        <w:rPr>
          <w:rFonts w:ascii="Calibri" w:hAnsi="Calibri"/>
          <w:bCs/>
        </w:rPr>
        <w:t>Supporting h</w:t>
      </w:r>
      <w:r w:rsidRPr="00E75172">
        <w:rPr>
          <w:rFonts w:ascii="Calibri" w:hAnsi="Calibri"/>
          <w:bCs/>
        </w:rPr>
        <w:t xml:space="preserve">uman rights, </w:t>
      </w:r>
      <w:r>
        <w:rPr>
          <w:rFonts w:ascii="Calibri" w:hAnsi="Calibri"/>
          <w:bCs/>
        </w:rPr>
        <w:t>particularly the rights of poor women and people with disabilities;</w:t>
      </w:r>
    </w:p>
    <w:p w:rsidR="006C29BB" w:rsidRDefault="006C29BB" w:rsidP="006C29BB">
      <w:pPr>
        <w:numPr>
          <w:ilvl w:val="0"/>
          <w:numId w:val="3"/>
        </w:numPr>
        <w:spacing w:after="120" w:line="240" w:lineRule="auto"/>
        <w:rPr>
          <w:rFonts w:ascii="Calibri" w:hAnsi="Calibri"/>
          <w:bCs/>
        </w:rPr>
      </w:pPr>
      <w:r>
        <w:rPr>
          <w:rFonts w:ascii="Calibri" w:hAnsi="Calibri"/>
          <w:bCs/>
        </w:rPr>
        <w:t xml:space="preserve">Supporting </w:t>
      </w:r>
      <w:r w:rsidRPr="00E75172">
        <w:rPr>
          <w:rFonts w:ascii="Calibri" w:hAnsi="Calibri"/>
          <w:bCs/>
        </w:rPr>
        <w:t>anti-corruption</w:t>
      </w:r>
      <w:r>
        <w:rPr>
          <w:rFonts w:ascii="Calibri" w:hAnsi="Calibri"/>
          <w:bCs/>
        </w:rPr>
        <w:t>;</w:t>
      </w:r>
    </w:p>
    <w:p w:rsidR="006C29BB" w:rsidRDefault="006C29BB" w:rsidP="006C29BB">
      <w:pPr>
        <w:numPr>
          <w:ilvl w:val="0"/>
          <w:numId w:val="3"/>
        </w:numPr>
        <w:spacing w:after="120" w:line="240" w:lineRule="auto"/>
        <w:rPr>
          <w:rFonts w:ascii="Calibri" w:hAnsi="Calibri"/>
          <w:bCs/>
        </w:rPr>
      </w:pPr>
      <w:r>
        <w:rPr>
          <w:rFonts w:ascii="Calibri" w:hAnsi="Calibri"/>
          <w:bCs/>
        </w:rPr>
        <w:t xml:space="preserve">Enhancing </w:t>
      </w:r>
      <w:r w:rsidRPr="00E75172">
        <w:rPr>
          <w:rFonts w:ascii="Calibri" w:hAnsi="Calibri"/>
          <w:bCs/>
        </w:rPr>
        <w:t>partnerships and policy dialogue between Indonesian and Australian law</w:t>
      </w:r>
      <w:r>
        <w:rPr>
          <w:rFonts w:ascii="Calibri" w:hAnsi="Calibri"/>
          <w:bCs/>
        </w:rPr>
        <w:t xml:space="preserve"> </w:t>
      </w:r>
      <w:r w:rsidRPr="00E75172">
        <w:rPr>
          <w:rFonts w:ascii="Calibri" w:hAnsi="Calibri"/>
          <w:bCs/>
        </w:rPr>
        <w:t>and justice institutions</w:t>
      </w:r>
      <w:r>
        <w:rPr>
          <w:rFonts w:ascii="Calibri" w:hAnsi="Calibri"/>
          <w:bCs/>
        </w:rPr>
        <w:t>; and</w:t>
      </w:r>
    </w:p>
    <w:p w:rsidR="006C29BB" w:rsidRDefault="006C29BB" w:rsidP="006C29BB">
      <w:pPr>
        <w:numPr>
          <w:ilvl w:val="0"/>
          <w:numId w:val="3"/>
        </w:numPr>
        <w:spacing w:after="120" w:line="240" w:lineRule="auto"/>
        <w:rPr>
          <w:rFonts w:ascii="Calibri" w:hAnsi="Calibri"/>
          <w:bCs/>
        </w:rPr>
      </w:pPr>
      <w:r>
        <w:rPr>
          <w:rFonts w:ascii="Calibri" w:hAnsi="Calibri"/>
          <w:bCs/>
        </w:rPr>
        <w:t xml:space="preserve">Improving </w:t>
      </w:r>
      <w:r w:rsidRPr="00E75172">
        <w:rPr>
          <w:rFonts w:ascii="Calibri" w:hAnsi="Calibri"/>
          <w:bCs/>
        </w:rPr>
        <w:t xml:space="preserve">systems and capacity of </w:t>
      </w:r>
      <w:r>
        <w:rPr>
          <w:rFonts w:ascii="Calibri" w:hAnsi="Calibri"/>
          <w:bCs/>
        </w:rPr>
        <w:t xml:space="preserve">Indonesian </w:t>
      </w:r>
      <w:r w:rsidRPr="00E75172">
        <w:rPr>
          <w:rFonts w:ascii="Calibri" w:hAnsi="Calibri"/>
          <w:bCs/>
        </w:rPr>
        <w:t>law and justice</w:t>
      </w:r>
      <w:r>
        <w:rPr>
          <w:rFonts w:ascii="Calibri" w:hAnsi="Calibri"/>
          <w:bCs/>
        </w:rPr>
        <w:t xml:space="preserve"> </w:t>
      </w:r>
      <w:r w:rsidRPr="00E75172">
        <w:rPr>
          <w:rFonts w:ascii="Calibri" w:hAnsi="Calibri"/>
          <w:bCs/>
        </w:rPr>
        <w:t>sector institutions to monitor and evaluate activities, strategies and policies</w:t>
      </w:r>
      <w:r>
        <w:rPr>
          <w:rFonts w:ascii="Calibri" w:hAnsi="Calibri"/>
          <w:bCs/>
        </w:rPr>
        <w:t>.</w:t>
      </w:r>
    </w:p>
    <w:p w:rsidR="006C29BB" w:rsidRDefault="006C29BB" w:rsidP="006C29BB">
      <w:pPr>
        <w:spacing w:after="120"/>
        <w:rPr>
          <w:rFonts w:ascii="Calibri" w:hAnsi="Calibri"/>
          <w:bCs/>
        </w:rPr>
      </w:pPr>
      <w:r>
        <w:rPr>
          <w:rFonts w:ascii="Calibri" w:hAnsi="Calibri"/>
          <w:bCs/>
        </w:rPr>
        <w:t>AIPJ has commenced implementation in the midst of what is likely to be a large scale-up of Australia’s development assistance to Indonesia, particularly in the areas of education, infrastructure and social protection. While this entails challenges for AusAID in managing a larger portfolio with fewer human resources relative to overall expenditure, the scale-up also provides opportunities for AIPJ to leverage larger Australian investments and contribute to their success.</w:t>
      </w:r>
    </w:p>
    <w:p w:rsidR="006C29BB" w:rsidRDefault="006C29BB" w:rsidP="006C29BB">
      <w:pPr>
        <w:spacing w:after="120"/>
        <w:rPr>
          <w:rFonts w:ascii="Calibri" w:hAnsi="Calibri"/>
          <w:bCs/>
        </w:rPr>
      </w:pPr>
      <w:r>
        <w:rPr>
          <w:rFonts w:ascii="Calibri" w:hAnsi="Calibri"/>
          <w:bCs/>
        </w:rPr>
        <w:t xml:space="preserve">AIPJ is funded by AusAID, currently through AusAID Jakarta’s Democratic Governance Section, and is implemented by an implementation service provider, </w:t>
      </w:r>
      <w:proofErr w:type="spellStart"/>
      <w:r>
        <w:rPr>
          <w:rFonts w:ascii="Calibri" w:hAnsi="Calibri"/>
          <w:bCs/>
        </w:rPr>
        <w:t>Cardno</w:t>
      </w:r>
      <w:proofErr w:type="spellEnd"/>
      <w:r>
        <w:rPr>
          <w:rFonts w:ascii="Calibri" w:hAnsi="Calibri"/>
          <w:bCs/>
        </w:rPr>
        <w:t xml:space="preserve"> Emerging Markets, under the direction of an AusAID-contracted Program Director. This is a new model for delivering Australian aid to Indonesia’s law and justice sector and its effectiveness remains untested.</w:t>
      </w:r>
    </w:p>
    <w:p w:rsidR="005B1CBB" w:rsidRPr="0036318C" w:rsidRDefault="005B1CBB" w:rsidP="005B1CBB">
      <w:pPr>
        <w:pStyle w:val="Heading1"/>
      </w:pPr>
      <w:bookmarkStart w:id="8" w:name="_Toc345320820"/>
      <w:r w:rsidRPr="0036318C">
        <w:t xml:space="preserve">AIPJ Strategy or </w:t>
      </w:r>
      <w:r>
        <w:t>Theory of Ch</w:t>
      </w:r>
      <w:r w:rsidRPr="0036318C">
        <w:t>ange</w:t>
      </w:r>
      <w:bookmarkEnd w:id="8"/>
    </w:p>
    <w:p w:rsidR="00E93453" w:rsidRDefault="0006152B" w:rsidP="005B1CBB">
      <w:pPr>
        <w:spacing w:line="240" w:lineRule="auto"/>
        <w:rPr>
          <w:rFonts w:cstheme="minorHAnsi"/>
        </w:rPr>
      </w:pPr>
      <w:r>
        <w:rPr>
          <w:rFonts w:cstheme="minorHAnsi"/>
        </w:rPr>
        <w:t xml:space="preserve">AIPJ is structured around </w:t>
      </w:r>
      <w:r w:rsidR="005B1CBB" w:rsidRPr="00AB4617">
        <w:rPr>
          <w:rFonts w:cstheme="minorHAnsi"/>
        </w:rPr>
        <w:t>five program outcomes</w:t>
      </w:r>
      <w:r w:rsidR="008211CF">
        <w:rPr>
          <w:rFonts w:cstheme="minorHAnsi"/>
        </w:rPr>
        <w:t xml:space="preserve">, </w:t>
      </w:r>
      <w:r w:rsidR="00DD1C15">
        <w:rPr>
          <w:rFonts w:cstheme="minorHAnsi"/>
        </w:rPr>
        <w:t xml:space="preserve">and </w:t>
      </w:r>
      <w:r w:rsidR="008211CF">
        <w:rPr>
          <w:rFonts w:cstheme="minorHAnsi"/>
        </w:rPr>
        <w:t xml:space="preserve">each is </w:t>
      </w:r>
      <w:r>
        <w:rPr>
          <w:rFonts w:cstheme="minorHAnsi"/>
        </w:rPr>
        <w:t>supported by</w:t>
      </w:r>
      <w:r w:rsidR="00DD1C15">
        <w:rPr>
          <w:rFonts w:cstheme="minorHAnsi"/>
        </w:rPr>
        <w:t xml:space="preserve"> e</w:t>
      </w:r>
      <w:r w:rsidR="005B1CBB" w:rsidRPr="00AB4617">
        <w:rPr>
          <w:rFonts w:cstheme="minorHAnsi"/>
        </w:rPr>
        <w:t>nd-of-program ou</w:t>
      </w:r>
      <w:r w:rsidR="00F2471C">
        <w:rPr>
          <w:rFonts w:cstheme="minorHAnsi"/>
        </w:rPr>
        <w:t>tcomes</w:t>
      </w:r>
      <w:r>
        <w:rPr>
          <w:rFonts w:cstheme="minorHAnsi"/>
        </w:rPr>
        <w:t>.</w:t>
      </w:r>
      <w:r w:rsidR="00F2471C">
        <w:rPr>
          <w:rFonts w:cstheme="minorHAnsi"/>
        </w:rPr>
        <w:t xml:space="preserve"> </w:t>
      </w:r>
    </w:p>
    <w:p w:rsidR="000548A0" w:rsidRDefault="0006152B" w:rsidP="005B1CBB">
      <w:pPr>
        <w:spacing w:line="240" w:lineRule="auto"/>
        <w:rPr>
          <w:rFonts w:cstheme="minorHAnsi"/>
        </w:rPr>
      </w:pPr>
      <w:r>
        <w:rPr>
          <w:rFonts w:cstheme="minorHAnsi"/>
        </w:rPr>
        <w:lastRenderedPageBreak/>
        <w:t>AIP</w:t>
      </w:r>
      <w:r w:rsidR="00DD1C15">
        <w:rPr>
          <w:rFonts w:cstheme="minorHAnsi"/>
        </w:rPr>
        <w:t>J</w:t>
      </w:r>
      <w:r>
        <w:rPr>
          <w:rFonts w:cstheme="minorHAnsi"/>
        </w:rPr>
        <w:t xml:space="preserve"> programming therefore </w:t>
      </w:r>
      <w:r w:rsidR="005B1CBB">
        <w:rPr>
          <w:rFonts w:cstheme="minorHAnsi"/>
        </w:rPr>
        <w:t>works backwards from the</w:t>
      </w:r>
      <w:r w:rsidR="007222FB">
        <w:rPr>
          <w:rFonts w:cstheme="minorHAnsi"/>
        </w:rPr>
        <w:t>se</w:t>
      </w:r>
      <w:r w:rsidR="005B1CBB">
        <w:rPr>
          <w:rFonts w:cstheme="minorHAnsi"/>
        </w:rPr>
        <w:t xml:space="preserve"> pre-set outcomes through various activities to ultimately, bring about the desired change.</w:t>
      </w:r>
      <w:r w:rsidR="00AF16F7">
        <w:rPr>
          <w:rFonts w:cstheme="minorHAnsi"/>
        </w:rPr>
        <w:t xml:space="preserve"> </w:t>
      </w:r>
      <w:r>
        <w:rPr>
          <w:rFonts w:cstheme="minorHAnsi"/>
        </w:rPr>
        <w:t xml:space="preserve">At present this approach </w:t>
      </w:r>
      <w:r w:rsidR="001416CA">
        <w:rPr>
          <w:rFonts w:cstheme="minorHAnsi"/>
        </w:rPr>
        <w:t>has not been developed</w:t>
      </w:r>
      <w:r w:rsidR="008E7018">
        <w:rPr>
          <w:rFonts w:cstheme="minorHAnsi"/>
        </w:rPr>
        <w:t xml:space="preserve"> </w:t>
      </w:r>
      <w:r w:rsidR="005B1CBB">
        <w:rPr>
          <w:rFonts w:cstheme="minorHAnsi"/>
        </w:rPr>
        <w:t xml:space="preserve">to </w:t>
      </w:r>
      <w:r w:rsidR="007222FB">
        <w:rPr>
          <w:rFonts w:cstheme="minorHAnsi"/>
        </w:rPr>
        <w:t xml:space="preserve">its </w:t>
      </w:r>
      <w:r w:rsidR="005B1CBB">
        <w:rPr>
          <w:rFonts w:cstheme="minorHAnsi"/>
        </w:rPr>
        <w:t xml:space="preserve">full potential.  </w:t>
      </w:r>
      <w:r w:rsidR="005B1CBB" w:rsidRPr="00AF16F7">
        <w:rPr>
          <w:rFonts w:cstheme="minorHAnsi"/>
        </w:rPr>
        <w:t>As part of AIPJ strategic development, AusAID</w:t>
      </w:r>
      <w:r w:rsidR="00B8092A">
        <w:rPr>
          <w:rFonts w:cstheme="minorHAnsi"/>
        </w:rPr>
        <w:t>,</w:t>
      </w:r>
      <w:r w:rsidR="005B1CBB" w:rsidRPr="00AF16F7">
        <w:rPr>
          <w:rFonts w:cstheme="minorHAnsi"/>
        </w:rPr>
        <w:t xml:space="preserve"> </w:t>
      </w:r>
      <w:proofErr w:type="spellStart"/>
      <w:r w:rsidR="005B1CBB" w:rsidRPr="00AF16F7">
        <w:rPr>
          <w:rFonts w:cstheme="minorHAnsi"/>
        </w:rPr>
        <w:t>Bappenas</w:t>
      </w:r>
      <w:proofErr w:type="spellEnd"/>
      <w:r w:rsidR="005B1CBB" w:rsidRPr="00AF16F7">
        <w:rPr>
          <w:rFonts w:cstheme="minorHAnsi"/>
        </w:rPr>
        <w:t xml:space="preserve"> </w:t>
      </w:r>
      <w:r w:rsidR="00B8092A">
        <w:rPr>
          <w:rFonts w:cstheme="minorHAnsi"/>
        </w:rPr>
        <w:t xml:space="preserve">and other stakeholders </w:t>
      </w:r>
      <w:r w:rsidR="005B1CBB" w:rsidRPr="00AF16F7">
        <w:rPr>
          <w:rFonts w:cstheme="minorHAnsi"/>
        </w:rPr>
        <w:t>should</w:t>
      </w:r>
      <w:r w:rsidR="00B8092A">
        <w:rPr>
          <w:rFonts w:cstheme="minorHAnsi"/>
        </w:rPr>
        <w:t xml:space="preserve"> review the current AIP</w:t>
      </w:r>
      <w:r w:rsidR="00DD1C15">
        <w:rPr>
          <w:rFonts w:cstheme="minorHAnsi"/>
        </w:rPr>
        <w:t>J</w:t>
      </w:r>
      <w:r w:rsidR="00B8092A">
        <w:rPr>
          <w:rFonts w:cstheme="minorHAnsi"/>
        </w:rPr>
        <w:t xml:space="preserve"> strategic plan</w:t>
      </w:r>
      <w:r w:rsidR="007222FB">
        <w:rPr>
          <w:rFonts w:cstheme="minorHAnsi"/>
        </w:rPr>
        <w:t>.</w:t>
      </w:r>
      <w:r w:rsidR="005B1CBB" w:rsidRPr="00951A15">
        <w:rPr>
          <w:rFonts w:cstheme="minorHAnsi"/>
        </w:rPr>
        <w:t xml:space="preserve">  </w:t>
      </w:r>
      <w:r>
        <w:rPr>
          <w:rFonts w:cstheme="minorHAnsi"/>
        </w:rPr>
        <w:t xml:space="preserve">It should be determined whether the </w:t>
      </w:r>
      <w:r w:rsidR="007222FB">
        <w:rPr>
          <w:rFonts w:cstheme="minorHAnsi"/>
        </w:rPr>
        <w:t>five</w:t>
      </w:r>
      <w:r>
        <w:rPr>
          <w:rFonts w:cstheme="minorHAnsi"/>
        </w:rPr>
        <w:t xml:space="preserve"> sector outcomes, and activities which sit underneath them, are still relevant and will deliver results within the program timeframe and budget. </w:t>
      </w:r>
      <w:r w:rsidR="00D35CF0">
        <w:rPr>
          <w:rFonts w:cstheme="minorHAnsi"/>
        </w:rPr>
        <w:t>This</w:t>
      </w:r>
      <w:r w:rsidR="00AB4617">
        <w:rPr>
          <w:rFonts w:cstheme="minorHAnsi"/>
        </w:rPr>
        <w:t xml:space="preserve"> exercise should be under</w:t>
      </w:r>
      <w:r w:rsidR="005B1CBB">
        <w:rPr>
          <w:rFonts w:cstheme="minorHAnsi"/>
        </w:rPr>
        <w:t xml:space="preserve">taken immediately by the AIPJ </w:t>
      </w:r>
      <w:r w:rsidR="00B82AEF">
        <w:rPr>
          <w:rFonts w:cstheme="minorHAnsi"/>
        </w:rPr>
        <w:t>PD and ISP</w:t>
      </w:r>
      <w:r w:rsidR="005B1CBB">
        <w:rPr>
          <w:rFonts w:cstheme="minorHAnsi"/>
        </w:rPr>
        <w:t xml:space="preserve">. The results of the review should be presented to AusAID and </w:t>
      </w:r>
      <w:proofErr w:type="spellStart"/>
      <w:r w:rsidR="005B1CBB">
        <w:rPr>
          <w:rFonts w:cstheme="minorHAnsi"/>
        </w:rPr>
        <w:t>Bappenas</w:t>
      </w:r>
      <w:proofErr w:type="spellEnd"/>
      <w:r w:rsidR="005B1CBB">
        <w:rPr>
          <w:rFonts w:cstheme="minorHAnsi"/>
        </w:rPr>
        <w:t xml:space="preserve">. </w:t>
      </w:r>
    </w:p>
    <w:p w:rsidR="00946AB9" w:rsidRDefault="005B1CBB" w:rsidP="005B1CBB">
      <w:pPr>
        <w:spacing w:line="240" w:lineRule="auto"/>
        <w:rPr>
          <w:rFonts w:cstheme="minorHAnsi"/>
        </w:rPr>
      </w:pPr>
      <w:r>
        <w:rPr>
          <w:rFonts w:cstheme="minorHAnsi"/>
        </w:rPr>
        <w:t xml:space="preserve">The AIPJ </w:t>
      </w:r>
      <w:r w:rsidR="00B82AEF">
        <w:rPr>
          <w:rFonts w:cstheme="minorHAnsi"/>
        </w:rPr>
        <w:t xml:space="preserve">PD and ISP </w:t>
      </w:r>
      <w:r w:rsidR="00E93453">
        <w:rPr>
          <w:rFonts w:cstheme="minorHAnsi"/>
        </w:rPr>
        <w:t xml:space="preserve">currently </w:t>
      </w:r>
      <w:r w:rsidR="00AB4617">
        <w:rPr>
          <w:rFonts w:cstheme="minorHAnsi"/>
        </w:rPr>
        <w:t>employ</w:t>
      </w:r>
      <w:r>
        <w:rPr>
          <w:rFonts w:cstheme="minorHAnsi"/>
        </w:rPr>
        <w:t xml:space="preserve"> an an</w:t>
      </w:r>
      <w:r w:rsidR="00AB4617">
        <w:rPr>
          <w:rFonts w:cstheme="minorHAnsi"/>
        </w:rPr>
        <w:t>nual planning process together with</w:t>
      </w:r>
      <w:r>
        <w:rPr>
          <w:rFonts w:cstheme="minorHAnsi"/>
        </w:rPr>
        <w:t xml:space="preserve"> a monitoring and evaluation process to measure success. </w:t>
      </w:r>
      <w:r w:rsidR="008E3B92">
        <w:rPr>
          <w:rFonts w:cstheme="minorHAnsi"/>
        </w:rPr>
        <w:t>Consultation w</w:t>
      </w:r>
      <w:r w:rsidR="007222FB">
        <w:rPr>
          <w:rFonts w:cstheme="minorHAnsi"/>
        </w:rPr>
        <w:t>i</w:t>
      </w:r>
      <w:r w:rsidR="008E3B92">
        <w:rPr>
          <w:rFonts w:cstheme="minorHAnsi"/>
        </w:rPr>
        <w:t>th stakeholders needs to take pl</w:t>
      </w:r>
      <w:r w:rsidR="007222FB">
        <w:rPr>
          <w:rFonts w:cstheme="minorHAnsi"/>
        </w:rPr>
        <w:t>a</w:t>
      </w:r>
      <w:r w:rsidR="008E3B92">
        <w:rPr>
          <w:rFonts w:cstheme="minorHAnsi"/>
        </w:rPr>
        <w:t xml:space="preserve">ce in order to increase program coherence and ensure that future programming will achieve results.  </w:t>
      </w:r>
      <w:r w:rsidR="0006152B">
        <w:rPr>
          <w:rFonts w:cstheme="minorHAnsi"/>
        </w:rPr>
        <w:t>M</w:t>
      </w:r>
      <w:r>
        <w:rPr>
          <w:rFonts w:cstheme="minorHAnsi"/>
        </w:rPr>
        <w:t xml:space="preserve">ore needs to be done by the </w:t>
      </w:r>
      <w:r w:rsidR="00AB4617">
        <w:rPr>
          <w:rFonts w:cstheme="minorHAnsi"/>
        </w:rPr>
        <w:t xml:space="preserve">AIPJ </w:t>
      </w:r>
      <w:r w:rsidR="00B82AEF">
        <w:rPr>
          <w:rFonts w:cstheme="minorHAnsi"/>
        </w:rPr>
        <w:t>PD and ISP</w:t>
      </w:r>
      <w:r>
        <w:rPr>
          <w:rFonts w:cstheme="minorHAnsi"/>
        </w:rPr>
        <w:t xml:space="preserve"> to </w:t>
      </w:r>
      <w:r w:rsidR="00AB4617">
        <w:rPr>
          <w:rFonts w:cstheme="minorHAnsi"/>
        </w:rPr>
        <w:t xml:space="preserve">strategically </w:t>
      </w:r>
      <w:r>
        <w:rPr>
          <w:rFonts w:cstheme="minorHAnsi"/>
        </w:rPr>
        <w:t xml:space="preserve">develop and manage AIPJ. </w:t>
      </w:r>
      <w:r w:rsidR="008E3B92">
        <w:rPr>
          <w:rFonts w:cstheme="minorHAnsi"/>
        </w:rPr>
        <w:t xml:space="preserve">The process of strategic management should be ongoing throughout the life of the program, allowing the program to build on lessons learnt at all stages of the program cycle.  </w:t>
      </w:r>
    </w:p>
    <w:p w:rsidR="005B1CBB" w:rsidRPr="00EF1F1C" w:rsidRDefault="008E3B92" w:rsidP="005B1CBB">
      <w:pPr>
        <w:spacing w:line="240" w:lineRule="auto"/>
        <w:rPr>
          <w:rFonts w:cstheme="minorHAnsi"/>
        </w:rPr>
      </w:pPr>
      <w:r>
        <w:rPr>
          <w:rFonts w:cstheme="minorHAnsi"/>
        </w:rPr>
        <w:t xml:space="preserve">During consultations, the review team was </w:t>
      </w:r>
      <w:r w:rsidR="005B1CBB">
        <w:rPr>
          <w:rFonts w:cstheme="minorHAnsi"/>
        </w:rPr>
        <w:t>told</w:t>
      </w:r>
      <w:r>
        <w:rPr>
          <w:rFonts w:cstheme="minorHAnsi"/>
        </w:rPr>
        <w:t xml:space="preserve"> </w:t>
      </w:r>
      <w:r w:rsidR="005B1CBB">
        <w:rPr>
          <w:rFonts w:cstheme="minorHAnsi"/>
        </w:rPr>
        <w:t xml:space="preserve">the design is restricting this practice.  </w:t>
      </w:r>
      <w:r w:rsidR="007F7285">
        <w:rPr>
          <w:rFonts w:cstheme="minorHAnsi"/>
        </w:rPr>
        <w:t xml:space="preserve">There is nothing in the design which prevents </w:t>
      </w:r>
      <w:r>
        <w:rPr>
          <w:rFonts w:cstheme="minorHAnsi"/>
        </w:rPr>
        <w:t>ongoing strategic management of AIPJ</w:t>
      </w:r>
      <w:r w:rsidR="007F7285">
        <w:rPr>
          <w:rFonts w:cstheme="minorHAnsi"/>
        </w:rPr>
        <w:t>, including the development of a coherent narrative</w:t>
      </w:r>
      <w:r w:rsidR="00B82F4B">
        <w:rPr>
          <w:rFonts w:cstheme="minorHAnsi"/>
        </w:rPr>
        <w:t>. T</w:t>
      </w:r>
      <w:r w:rsidR="005B1CBB">
        <w:rPr>
          <w:rFonts w:cstheme="minorHAnsi"/>
        </w:rPr>
        <w:t>here is opportunity to implement a more rigorous strategic regime now</w:t>
      </w:r>
      <w:r w:rsidR="00FF302D">
        <w:rPr>
          <w:rFonts w:cstheme="minorHAnsi"/>
        </w:rPr>
        <w:t xml:space="preserve"> to ensure greater performance </w:t>
      </w:r>
      <w:r w:rsidR="00F2471C">
        <w:rPr>
          <w:rFonts w:cstheme="minorHAnsi"/>
        </w:rPr>
        <w:t xml:space="preserve">as measured </w:t>
      </w:r>
      <w:r w:rsidR="00FF302D">
        <w:rPr>
          <w:rFonts w:cstheme="minorHAnsi"/>
        </w:rPr>
        <w:t>against the assessment criteria for this review and others in the future</w:t>
      </w:r>
      <w:r w:rsidR="005B1CBB">
        <w:rPr>
          <w:rFonts w:cstheme="minorHAnsi"/>
        </w:rPr>
        <w:t>.</w:t>
      </w:r>
    </w:p>
    <w:p w:rsidR="005B1CBB" w:rsidRPr="0036318C" w:rsidRDefault="005B1CBB" w:rsidP="005B1CBB">
      <w:pPr>
        <w:pStyle w:val="Heading1"/>
      </w:pPr>
      <w:bookmarkStart w:id="9" w:name="_Toc345320821"/>
      <w:r w:rsidRPr="0036318C">
        <w:t>Evaluation Criteria</w:t>
      </w:r>
      <w:r>
        <w:t>-Assessment</w:t>
      </w:r>
      <w:bookmarkEnd w:id="9"/>
      <w:r w:rsidRPr="0036318C">
        <w:tab/>
      </w:r>
    </w:p>
    <w:p w:rsidR="005B1CBB" w:rsidRDefault="005B1CBB" w:rsidP="005B1CBB">
      <w:pPr>
        <w:pStyle w:val="Heading2"/>
      </w:pPr>
      <w:bookmarkStart w:id="10" w:name="_Toc345320822"/>
      <w:r w:rsidRPr="00093F5E">
        <w:t>Design</w:t>
      </w:r>
      <w:bookmarkEnd w:id="10"/>
    </w:p>
    <w:p w:rsidR="005B1CBB" w:rsidRPr="00F96AD3" w:rsidRDefault="005B1CBB" w:rsidP="005B1CBB">
      <w:pPr>
        <w:spacing w:line="240" w:lineRule="auto"/>
        <w:rPr>
          <w:rFonts w:cstheme="minorHAnsi"/>
          <w:b/>
          <w:i/>
        </w:rPr>
      </w:pPr>
      <w:r w:rsidRPr="00B32798">
        <w:rPr>
          <w:rFonts w:cstheme="minorHAnsi"/>
          <w:b/>
          <w:i/>
        </w:rPr>
        <w:t xml:space="preserve">To what extent has AIPJ selected the right interventions that will achieve </w:t>
      </w:r>
      <w:r w:rsidR="00946AB9">
        <w:rPr>
          <w:rFonts w:cstheme="minorHAnsi"/>
          <w:b/>
          <w:i/>
        </w:rPr>
        <w:t>its</w:t>
      </w:r>
      <w:r w:rsidR="00946AB9" w:rsidRPr="00B32798">
        <w:rPr>
          <w:rFonts w:cstheme="minorHAnsi"/>
          <w:b/>
          <w:i/>
        </w:rPr>
        <w:t xml:space="preserve"> </w:t>
      </w:r>
      <w:r w:rsidRPr="00B32798">
        <w:rPr>
          <w:rFonts w:cstheme="minorHAnsi"/>
          <w:b/>
          <w:i/>
        </w:rPr>
        <w:t xml:space="preserve">outcomes, considering the current environment in the justice sector and considering the program should benefit the poor? To what extent </w:t>
      </w:r>
      <w:r w:rsidR="00946AB9">
        <w:rPr>
          <w:rFonts w:cstheme="minorHAnsi"/>
          <w:b/>
          <w:i/>
        </w:rPr>
        <w:t>does AIPJ</w:t>
      </w:r>
      <w:r w:rsidRPr="00B32798">
        <w:rPr>
          <w:rFonts w:cstheme="minorHAnsi"/>
          <w:b/>
          <w:i/>
        </w:rPr>
        <w:t xml:space="preserve"> have a line of sight to poor people from </w:t>
      </w:r>
      <w:r w:rsidR="00946AB9">
        <w:rPr>
          <w:rFonts w:cstheme="minorHAnsi"/>
          <w:b/>
          <w:i/>
        </w:rPr>
        <w:t>its</w:t>
      </w:r>
      <w:r w:rsidR="00946AB9" w:rsidRPr="00B32798">
        <w:rPr>
          <w:rFonts w:cstheme="minorHAnsi"/>
          <w:b/>
          <w:i/>
        </w:rPr>
        <w:t xml:space="preserve"> </w:t>
      </w:r>
      <w:r w:rsidRPr="00B32798">
        <w:rPr>
          <w:rFonts w:cstheme="minorHAnsi"/>
          <w:b/>
          <w:i/>
        </w:rPr>
        <w:t>interventions?</w:t>
      </w:r>
    </w:p>
    <w:p w:rsidR="007072A7" w:rsidRPr="000157EB" w:rsidRDefault="000157EB" w:rsidP="007072A7">
      <w:r w:rsidRPr="000157EB">
        <w:t xml:space="preserve">AIPJ needs to develop interventions which have a clearer line of sight to the poor. </w:t>
      </w:r>
    </w:p>
    <w:p w:rsidR="00484A44" w:rsidRPr="00734B8D" w:rsidRDefault="00637867" w:rsidP="005B1CBB">
      <w:r w:rsidRPr="00734B8D">
        <w:t xml:space="preserve">There is a threshold question that should be clarified. Do the </w:t>
      </w:r>
      <w:r w:rsidR="003E30A2" w:rsidRPr="00374C0B">
        <w:t>s</w:t>
      </w:r>
      <w:r w:rsidR="00FE6DA0" w:rsidRPr="00734B8D">
        <w:t xml:space="preserve">ector </w:t>
      </w:r>
      <w:r w:rsidR="003E30A2" w:rsidRPr="00374C0B">
        <w:t>o</w:t>
      </w:r>
      <w:r w:rsidRPr="00734B8D">
        <w:t xml:space="preserve">utcomes remain a contemporary goal? AusAID and </w:t>
      </w:r>
      <w:proofErr w:type="spellStart"/>
      <w:r w:rsidRPr="00734B8D">
        <w:t>Bappenas</w:t>
      </w:r>
      <w:proofErr w:type="spellEnd"/>
      <w:r w:rsidRPr="00734B8D">
        <w:t xml:space="preserve"> can provide such confirmation. That is to say, given the information provided to the </w:t>
      </w:r>
      <w:r w:rsidR="00EC0DA0" w:rsidRPr="00734B8D">
        <w:t>Review Team</w:t>
      </w:r>
      <w:r w:rsidRPr="00734B8D">
        <w:t xml:space="preserve">, it appears there is some doubt about the ability to deliver </w:t>
      </w:r>
      <w:r w:rsidR="00FE6DA0" w:rsidRPr="00734B8D">
        <w:t xml:space="preserve">successfully against the Sector Outcomes </w:t>
      </w:r>
      <w:r w:rsidRPr="00734B8D">
        <w:t>and</w:t>
      </w:r>
      <w:r w:rsidR="006906B4" w:rsidRPr="00374C0B">
        <w:t xml:space="preserve"> some</w:t>
      </w:r>
      <w:r w:rsidRPr="00734B8D">
        <w:t xml:space="preserve"> query </w:t>
      </w:r>
      <w:r w:rsidR="006906B4" w:rsidRPr="00374C0B">
        <w:t xml:space="preserve">as to </w:t>
      </w:r>
      <w:r w:rsidRPr="00734B8D">
        <w:t>whether they represent the best opportunity for reform. For example,</w:t>
      </w:r>
      <w:r w:rsidR="00CD3EBC" w:rsidRPr="00734B8D">
        <w:t xml:space="preserve"> on its face,</w:t>
      </w:r>
      <w:r w:rsidR="00FE6DA0" w:rsidRPr="00734B8D">
        <w:t xml:space="preserve"> </w:t>
      </w:r>
      <w:r w:rsidR="00CD3EBC" w:rsidRPr="00734B8D">
        <w:t xml:space="preserve">it is difficult to see how </w:t>
      </w:r>
      <w:r w:rsidR="00FE6DA0" w:rsidRPr="00734B8D">
        <w:t>the</w:t>
      </w:r>
      <w:r w:rsidR="006906B4" w:rsidRPr="00374C0B">
        <w:t xml:space="preserve"> current</w:t>
      </w:r>
      <w:r w:rsidR="006906B4" w:rsidRPr="00374C0B">
        <w:rPr>
          <w:i/>
        </w:rPr>
        <w:t xml:space="preserve"> </w:t>
      </w:r>
      <w:r w:rsidR="006906B4" w:rsidRPr="00374C0B">
        <w:t>activities, immediate outcomes and end of program outcomes will</w:t>
      </w:r>
      <w:r w:rsidR="00CD3EBC" w:rsidRPr="00734B8D">
        <w:t xml:space="preserve"> deliver against </w:t>
      </w:r>
      <w:r w:rsidR="00FE6DA0" w:rsidRPr="00734B8D">
        <w:rPr>
          <w:i/>
        </w:rPr>
        <w:t>Sector Outcome 1:</w:t>
      </w:r>
      <w:r w:rsidR="00FE6DA0" w:rsidRPr="00734B8D">
        <w:t xml:space="preserve"> </w:t>
      </w:r>
      <w:r w:rsidR="00FE6DA0" w:rsidRPr="00734B8D">
        <w:rPr>
          <w:i/>
        </w:rPr>
        <w:t xml:space="preserve">Improved judicial resolution systems for marginalised groups (including the poor, women and people with </w:t>
      </w:r>
      <w:r w:rsidR="000574F0" w:rsidRPr="00374C0B">
        <w:rPr>
          <w:i/>
        </w:rPr>
        <w:t xml:space="preserve">a </w:t>
      </w:r>
      <w:r w:rsidR="00CD3EBC" w:rsidRPr="00734B8D">
        <w:rPr>
          <w:i/>
        </w:rPr>
        <w:t>disability</w:t>
      </w:r>
      <w:r w:rsidR="000574F0" w:rsidRPr="00374C0B">
        <w:rPr>
          <w:i/>
        </w:rPr>
        <w:t>)</w:t>
      </w:r>
      <w:r w:rsidR="00CD3EBC" w:rsidRPr="00734B8D">
        <w:rPr>
          <w:i/>
        </w:rPr>
        <w:t>.</w:t>
      </w:r>
      <w:r w:rsidR="00CD3EBC" w:rsidRPr="00734B8D">
        <w:t xml:space="preserve"> </w:t>
      </w:r>
      <w:r w:rsidR="00734B8D">
        <w:t>The</w:t>
      </w:r>
      <w:r w:rsidR="00CD3EBC" w:rsidRPr="00734B8D">
        <w:t xml:space="preserve"> </w:t>
      </w:r>
      <w:r w:rsidR="00B82AEF" w:rsidRPr="00734B8D">
        <w:rPr>
          <w:rFonts w:cstheme="minorHAnsi"/>
        </w:rPr>
        <w:t xml:space="preserve">PD and ISP </w:t>
      </w:r>
      <w:r w:rsidR="00CD3EBC" w:rsidRPr="00734B8D">
        <w:t xml:space="preserve">should re-assess </w:t>
      </w:r>
      <w:r w:rsidR="00734B8D">
        <w:t xml:space="preserve">this situation </w:t>
      </w:r>
      <w:r w:rsidR="00CD3EBC" w:rsidRPr="00734B8D">
        <w:t xml:space="preserve">and provide advice </w:t>
      </w:r>
      <w:r w:rsidR="00AB4617" w:rsidRPr="00734B8D">
        <w:t xml:space="preserve">to </w:t>
      </w:r>
      <w:r w:rsidR="005B1CBB" w:rsidRPr="00734B8D">
        <w:t xml:space="preserve">AusAID and </w:t>
      </w:r>
      <w:proofErr w:type="spellStart"/>
      <w:r w:rsidR="005B1CBB" w:rsidRPr="00734B8D">
        <w:t>Bappenas</w:t>
      </w:r>
      <w:proofErr w:type="spellEnd"/>
      <w:r w:rsidR="005B1CBB" w:rsidRPr="00734B8D">
        <w:t xml:space="preserve">. </w:t>
      </w:r>
    </w:p>
    <w:p w:rsidR="00AB4617" w:rsidRDefault="00AB4617" w:rsidP="005B1CBB">
      <w:r w:rsidRPr="00734B8D">
        <w:t>In su</w:t>
      </w:r>
      <w:r w:rsidR="00FF302D" w:rsidRPr="00734B8D">
        <w:t>m, the strategic development of</w:t>
      </w:r>
      <w:r w:rsidRPr="00734B8D">
        <w:t xml:space="preserve"> AIPJ needs to be re-assessed</w:t>
      </w:r>
      <w:r w:rsidR="00E32419" w:rsidRPr="00734B8D">
        <w:t xml:space="preserve"> and further developed</w:t>
      </w:r>
      <w:r w:rsidRPr="00734B8D">
        <w:t>, not the design.</w:t>
      </w:r>
      <w:r w:rsidR="00FF302D" w:rsidRPr="00734B8D">
        <w:t xml:space="preserve"> New opportunities and partners can be developed </w:t>
      </w:r>
      <w:r w:rsidR="00E32419" w:rsidRPr="00734B8D">
        <w:t>through more strategic planning within AIPJ.</w:t>
      </w:r>
    </w:p>
    <w:p w:rsidR="005B1CBB" w:rsidRDefault="00970039" w:rsidP="005B1CBB">
      <w:r>
        <w:t>T</w:t>
      </w:r>
      <w:r w:rsidR="005B1CBB" w:rsidRPr="00164201">
        <w:t xml:space="preserve">he </w:t>
      </w:r>
      <w:r w:rsidR="00327B29">
        <w:t xml:space="preserve">AIPJ </w:t>
      </w:r>
      <w:r w:rsidR="005B1CBB" w:rsidRPr="00164201">
        <w:t>design was developed with two fundamental principles as its platform. It was firstly, designed</w:t>
      </w:r>
      <w:r w:rsidR="005B1CBB">
        <w:t>:</w:t>
      </w:r>
    </w:p>
    <w:p w:rsidR="005B1CBB" w:rsidRDefault="005B1CBB" w:rsidP="005B1CBB">
      <w:r>
        <w:rPr>
          <w:i/>
        </w:rPr>
        <w:t>“I</w:t>
      </w:r>
      <w:r w:rsidRPr="00164201">
        <w:rPr>
          <w:i/>
        </w:rPr>
        <w:t>n the context of the Indonesian Government’s long-term goals of ‘entrenched rule of law and the enforcement of human rights’”</w:t>
      </w:r>
    </w:p>
    <w:p w:rsidR="005B1CBB" w:rsidRDefault="005B1CBB" w:rsidP="005B1CBB">
      <w:r w:rsidRPr="00164201">
        <w:lastRenderedPageBreak/>
        <w:t>And secondly,</w:t>
      </w:r>
      <w:r w:rsidR="004D261E">
        <w:t xml:space="preserve"> the design</w:t>
      </w:r>
      <w:r>
        <w:t>:</w:t>
      </w:r>
    </w:p>
    <w:p w:rsidR="005B1CBB" w:rsidRDefault="005B1CBB" w:rsidP="005B1CBB">
      <w:proofErr w:type="gramStart"/>
      <w:r w:rsidRPr="00164201">
        <w:rPr>
          <w:i/>
        </w:rPr>
        <w:t>“Recognises the widely accepted view that governance reform, including of the law and justice sector, is a long-term endeavour and that substantive and sustainable change requires long timeframes and local ownership by both state and civil society organisations”</w:t>
      </w:r>
      <w:r w:rsidRPr="00164201">
        <w:t>.</w:t>
      </w:r>
      <w:proofErr w:type="gramEnd"/>
    </w:p>
    <w:p w:rsidR="00B77EB7" w:rsidRDefault="00970039" w:rsidP="005B1CBB">
      <w:pPr>
        <w:widowControl w:val="0"/>
        <w:autoSpaceDE w:val="0"/>
        <w:autoSpaceDN w:val="0"/>
        <w:adjustRightInd w:val="0"/>
      </w:pPr>
      <w:r>
        <w:t>To date the ISP has</w:t>
      </w:r>
      <w:r w:rsidR="005B1CBB">
        <w:t xml:space="preserve"> focussed much of its energy and attention to supporting institutional capacity development so that institutions are better able to supply quality legal services and information to the community. </w:t>
      </w:r>
      <w:r>
        <w:t>T</w:t>
      </w:r>
      <w:r w:rsidR="005B1CBB">
        <w:t xml:space="preserve">his strategy is targeted at benefiting the poor by developing the capacity of institutions </w:t>
      </w:r>
      <w:r w:rsidR="00BD47C8">
        <w:t>that</w:t>
      </w:r>
      <w:r w:rsidR="005B1CBB">
        <w:t xml:space="preserve"> are charged with the responsibility of providing access to justice for all citizens</w:t>
      </w:r>
      <w:r w:rsidR="00AB4617">
        <w:t xml:space="preserve"> (including the poor)</w:t>
      </w:r>
      <w:r w:rsidR="00931306">
        <w:t xml:space="preserve">. It is well </w:t>
      </w:r>
      <w:r w:rsidR="005B1CBB">
        <w:t xml:space="preserve">recognised that inadequate capacity of government law and justice sector institutions leads to poor administration of justice and other law and justice sector issues which have a direct impact on the poor and marginalised. So a direct link can be drawn between supporting formal justice institutions and helping the poor and the marginalised. </w:t>
      </w:r>
      <w:r>
        <w:t xml:space="preserve">While it is reasonable that institutional strengthening should be part of the overall AIPJ program, institutional strengthening should be undertaken in conjunction with other activities which focus more directly on benefiting poor Indonesians. </w:t>
      </w:r>
    </w:p>
    <w:p w:rsidR="00B77EB7" w:rsidRPr="00E14934" w:rsidRDefault="00B77EB7" w:rsidP="00B77EB7">
      <w:pPr>
        <w:widowControl w:val="0"/>
        <w:autoSpaceDE w:val="0"/>
        <w:autoSpaceDN w:val="0"/>
        <w:adjustRightInd w:val="0"/>
        <w:rPr>
          <w:rFonts w:ascii="Calibri" w:hAnsi="Calibri" w:cs="Calibri"/>
        </w:rPr>
      </w:pPr>
      <w:r>
        <w:rPr>
          <w:rFonts w:ascii="Calibri" w:hAnsi="Calibri" w:cs="Calibri"/>
        </w:rPr>
        <w:t xml:space="preserve">While institutional reform is needed, it is also not enough.  </w:t>
      </w:r>
      <w:r w:rsidRPr="00327B29">
        <w:rPr>
          <w:rFonts w:ascii="Calibri" w:hAnsi="Calibri" w:cs="Calibri"/>
        </w:rPr>
        <w:t xml:space="preserve">The </w:t>
      </w:r>
      <w:r w:rsidRPr="00327B29">
        <w:t xml:space="preserve">Office of Development Effectiveness’ (ODE) Evaluation of Australian Law and Justice Assistance, </w:t>
      </w:r>
      <w:r w:rsidR="002D1A20" w:rsidRPr="00327B29">
        <w:t xml:space="preserve">Draft </w:t>
      </w:r>
      <w:r w:rsidRPr="00327B29">
        <w:t xml:space="preserve">Indonesia Case Study, noted: ‘This is not to say that Australia should not invest in supporting reform processes that look promising.  But to be sure of delivering results, support for long-term and uncertain reform </w:t>
      </w:r>
      <w:r w:rsidR="00BD47C8" w:rsidRPr="00327B29">
        <w:t>processes need</w:t>
      </w:r>
      <w:r w:rsidRPr="00327B29">
        <w:t xml:space="preserve"> to be balanced with a more explicit focus on service delivery and problem-solving approaches that deliver immediate benefits to the intended beneficiaries.’</w:t>
      </w:r>
      <w:r w:rsidRPr="00327B29">
        <w:rPr>
          <w:rStyle w:val="FootnoteReference"/>
        </w:rPr>
        <w:footnoteReference w:id="8"/>
      </w:r>
    </w:p>
    <w:p w:rsidR="005B1CBB" w:rsidRDefault="005B1CBB" w:rsidP="005B1CBB">
      <w:pPr>
        <w:widowControl w:val="0"/>
        <w:autoSpaceDE w:val="0"/>
        <w:autoSpaceDN w:val="0"/>
        <w:adjustRightInd w:val="0"/>
      </w:pPr>
      <w:r w:rsidRPr="00951A15">
        <w:t>Other strategies should also</w:t>
      </w:r>
      <w:r w:rsidR="007A48D2">
        <w:t xml:space="preserve"> be</w:t>
      </w:r>
      <w:r w:rsidRPr="00951A15">
        <w:t xml:space="preserve"> employed that would include working (and partnering) with others (such as NGOs, DPOs and CSOs) to deliver more explicit support</w:t>
      </w:r>
      <w:r w:rsidR="00E14934" w:rsidRPr="00951A15">
        <w:t xml:space="preserve"> to the poor</w:t>
      </w:r>
      <w:r w:rsidRPr="00951A15">
        <w:t xml:space="preserve">. </w:t>
      </w:r>
      <w:r w:rsidR="00617AAE">
        <w:t>Indeed, the original design supports b</w:t>
      </w:r>
      <w:r w:rsidRPr="00951A15">
        <w:t xml:space="preserve">oth strategies and </w:t>
      </w:r>
      <w:r w:rsidR="00617AAE">
        <w:t xml:space="preserve">they </w:t>
      </w:r>
      <w:r w:rsidRPr="00951A15">
        <w:t xml:space="preserve">are complementary to each other.  </w:t>
      </w:r>
    </w:p>
    <w:p w:rsidR="00E14934" w:rsidRDefault="005B1CBB" w:rsidP="005B1CBB">
      <w:r>
        <w:t xml:space="preserve">The </w:t>
      </w:r>
      <w:r w:rsidR="00EC0DA0">
        <w:t>Review Team</w:t>
      </w:r>
      <w:r>
        <w:t xml:space="preserve"> </w:t>
      </w:r>
      <w:r w:rsidR="00AE59EB">
        <w:t>recommends the PD and ISP engage with</w:t>
      </w:r>
      <w:r>
        <w:t xml:space="preserve"> civil society groups </w:t>
      </w:r>
      <w:r w:rsidR="00E14934">
        <w:t>(including DPO’s</w:t>
      </w:r>
      <w:r w:rsidR="00FF302D">
        <w:t>) and</w:t>
      </w:r>
      <w:r w:rsidR="00484A44">
        <w:t xml:space="preserve"> </w:t>
      </w:r>
      <w:proofErr w:type="spellStart"/>
      <w:r>
        <w:t>Komnas</w:t>
      </w:r>
      <w:proofErr w:type="spellEnd"/>
      <w:r>
        <w:t xml:space="preserve"> H</w:t>
      </w:r>
      <w:r w:rsidR="00EF65EB">
        <w:t>AM</w:t>
      </w:r>
      <w:r>
        <w:t xml:space="preserve"> and </w:t>
      </w:r>
      <w:proofErr w:type="spellStart"/>
      <w:r>
        <w:t>Komnas</w:t>
      </w:r>
      <w:proofErr w:type="spellEnd"/>
      <w:r>
        <w:t xml:space="preserve"> </w:t>
      </w:r>
      <w:proofErr w:type="spellStart"/>
      <w:r>
        <w:t>Perempuan</w:t>
      </w:r>
      <w:proofErr w:type="spellEnd"/>
      <w:r>
        <w:t xml:space="preserve"> to develop activities</w:t>
      </w:r>
      <w:r w:rsidR="00E14934">
        <w:t xml:space="preserve"> </w:t>
      </w:r>
      <w:r w:rsidR="00AE59EB">
        <w:t>which directly</w:t>
      </w:r>
      <w:r w:rsidR="00E14934">
        <w:t xml:space="preserve"> </w:t>
      </w:r>
      <w:r w:rsidR="00E04CF5">
        <w:t xml:space="preserve">and </w:t>
      </w:r>
      <w:r w:rsidR="00AD41E8">
        <w:t xml:space="preserve">measurably </w:t>
      </w:r>
      <w:r w:rsidR="00E14934">
        <w:t>benefit the poor</w:t>
      </w:r>
      <w:r w:rsidR="00AE59EB">
        <w:t>,</w:t>
      </w:r>
      <w:r w:rsidR="00E14934">
        <w:t xml:space="preserve"> including women</w:t>
      </w:r>
      <w:r>
        <w:t xml:space="preserve">. </w:t>
      </w:r>
    </w:p>
    <w:p w:rsidR="00E14934" w:rsidRDefault="00B21230" w:rsidP="005B1CBB">
      <w:pPr>
        <w:rPr>
          <w:rFonts w:ascii="Calibri" w:hAnsi="Calibri" w:cs="Calibri"/>
        </w:rPr>
      </w:pPr>
      <w:r>
        <w:rPr>
          <w:rFonts w:ascii="Calibri" w:hAnsi="Calibri" w:cs="Calibri"/>
        </w:rPr>
        <w:t>I</w:t>
      </w:r>
      <w:r w:rsidR="00AE59EB">
        <w:rPr>
          <w:rFonts w:ascii="Calibri" w:hAnsi="Calibri" w:cs="Calibri"/>
        </w:rPr>
        <w:t>n addition to</w:t>
      </w:r>
      <w:r w:rsidR="005B1CBB" w:rsidRPr="00B20C90">
        <w:rPr>
          <w:rFonts w:ascii="Calibri" w:hAnsi="Calibri" w:cs="Calibri"/>
        </w:rPr>
        <w:t xml:space="preserve"> key civil society partners </w:t>
      </w:r>
      <w:r w:rsidR="005B1CBB">
        <w:rPr>
          <w:rFonts w:ascii="Calibri" w:hAnsi="Calibri" w:cs="Calibri"/>
        </w:rPr>
        <w:t xml:space="preserve">the </w:t>
      </w:r>
      <w:r w:rsidR="00AD41E8">
        <w:rPr>
          <w:rFonts w:ascii="Calibri" w:hAnsi="Calibri" w:cs="Calibri"/>
        </w:rPr>
        <w:t>Review T</w:t>
      </w:r>
      <w:r w:rsidR="005B1CBB" w:rsidRPr="00B20C90">
        <w:rPr>
          <w:rFonts w:ascii="Calibri" w:hAnsi="Calibri" w:cs="Calibri"/>
        </w:rPr>
        <w:t xml:space="preserve">eam </w:t>
      </w:r>
      <w:r w:rsidR="005B1CBB">
        <w:rPr>
          <w:rFonts w:ascii="Calibri" w:hAnsi="Calibri" w:cs="Calibri"/>
        </w:rPr>
        <w:t xml:space="preserve">advises AIPJ </w:t>
      </w:r>
      <w:r w:rsidR="00E96356">
        <w:rPr>
          <w:rFonts w:ascii="Calibri" w:hAnsi="Calibri" w:cs="Calibri"/>
        </w:rPr>
        <w:t xml:space="preserve">to </w:t>
      </w:r>
      <w:r w:rsidR="005B1CBB">
        <w:rPr>
          <w:rFonts w:ascii="Calibri" w:hAnsi="Calibri" w:cs="Calibri"/>
        </w:rPr>
        <w:t>explore</w:t>
      </w:r>
      <w:r w:rsidR="005B1CBB" w:rsidRPr="00B20C90">
        <w:rPr>
          <w:rFonts w:ascii="Calibri" w:hAnsi="Calibri" w:cs="Calibri"/>
        </w:rPr>
        <w:t xml:space="preserve"> working with </w:t>
      </w:r>
      <w:r w:rsidR="00AE59EB">
        <w:rPr>
          <w:rFonts w:ascii="Calibri" w:hAnsi="Calibri" w:cs="Calibri"/>
        </w:rPr>
        <w:t xml:space="preserve">new </w:t>
      </w:r>
      <w:r w:rsidR="005B1CBB" w:rsidRPr="00B20C90">
        <w:rPr>
          <w:rFonts w:ascii="Calibri" w:hAnsi="Calibri" w:cs="Calibri"/>
        </w:rPr>
        <w:t xml:space="preserve">partners, both </w:t>
      </w:r>
      <w:r w:rsidR="00AE59EB">
        <w:rPr>
          <w:rFonts w:ascii="Calibri" w:hAnsi="Calibri" w:cs="Calibri"/>
        </w:rPr>
        <w:t>law and justice institutions and CSOs</w:t>
      </w:r>
      <w:r w:rsidR="005B1CBB" w:rsidRPr="00B20C90">
        <w:rPr>
          <w:rFonts w:ascii="Calibri" w:hAnsi="Calibri" w:cs="Calibri"/>
        </w:rPr>
        <w:t xml:space="preserve">. </w:t>
      </w:r>
      <w:r w:rsidR="00AE59EB">
        <w:rPr>
          <w:rFonts w:ascii="Calibri" w:hAnsi="Calibri" w:cs="Calibri"/>
        </w:rPr>
        <w:t>T</w:t>
      </w:r>
      <w:r w:rsidR="005B1CBB" w:rsidRPr="00B20C90">
        <w:rPr>
          <w:rFonts w:ascii="Calibri" w:hAnsi="Calibri" w:cs="Calibri"/>
        </w:rPr>
        <w:t xml:space="preserve">he nature of some of the program activities may require closer engagement with government departments and institutions such as </w:t>
      </w:r>
      <w:r w:rsidR="00AE59EB">
        <w:rPr>
          <w:rFonts w:ascii="Calibri" w:hAnsi="Calibri" w:cs="Calibri"/>
        </w:rPr>
        <w:t xml:space="preserve">the </w:t>
      </w:r>
      <w:r w:rsidR="00044FC9">
        <w:rPr>
          <w:rFonts w:ascii="Calibri" w:hAnsi="Calibri" w:cs="Calibri"/>
        </w:rPr>
        <w:t>Ministry</w:t>
      </w:r>
      <w:r w:rsidR="00AE59EB">
        <w:rPr>
          <w:rFonts w:ascii="Calibri" w:hAnsi="Calibri" w:cs="Calibri"/>
        </w:rPr>
        <w:t xml:space="preserve"> of </w:t>
      </w:r>
      <w:r w:rsidR="005B1CBB" w:rsidRPr="00B20C90">
        <w:rPr>
          <w:rFonts w:ascii="Calibri" w:hAnsi="Calibri" w:cs="Calibri"/>
        </w:rPr>
        <w:t>Home Affairs (</w:t>
      </w:r>
      <w:proofErr w:type="spellStart"/>
      <w:r w:rsidR="00044FC9">
        <w:rPr>
          <w:rFonts w:ascii="Calibri" w:hAnsi="Calibri" w:cs="Calibri"/>
        </w:rPr>
        <w:t>MoHA</w:t>
      </w:r>
      <w:proofErr w:type="spellEnd"/>
      <w:r w:rsidR="005B1CBB" w:rsidRPr="00B20C90">
        <w:rPr>
          <w:rFonts w:ascii="Calibri" w:hAnsi="Calibri" w:cs="Calibri"/>
        </w:rPr>
        <w:t>) and the National Statistics Office, as well</w:t>
      </w:r>
      <w:r w:rsidR="00E14934">
        <w:rPr>
          <w:rFonts w:ascii="Calibri" w:hAnsi="Calibri" w:cs="Calibri"/>
        </w:rPr>
        <w:t xml:space="preserve"> as universities</w:t>
      </w:r>
      <w:r w:rsidR="00044FC9">
        <w:rPr>
          <w:rFonts w:ascii="Calibri" w:hAnsi="Calibri" w:cs="Calibri"/>
        </w:rPr>
        <w:t>. T</w:t>
      </w:r>
      <w:r w:rsidR="00E14934">
        <w:rPr>
          <w:rFonts w:ascii="Calibri" w:hAnsi="Calibri" w:cs="Calibri"/>
        </w:rPr>
        <w:t xml:space="preserve">he </w:t>
      </w:r>
      <w:r w:rsidR="00EC0DA0">
        <w:rPr>
          <w:rFonts w:ascii="Calibri" w:hAnsi="Calibri" w:cs="Calibri"/>
        </w:rPr>
        <w:t>Review Team</w:t>
      </w:r>
      <w:r w:rsidR="005B1CBB" w:rsidRPr="00B20C90">
        <w:rPr>
          <w:rFonts w:ascii="Calibri" w:hAnsi="Calibri" w:cs="Calibri"/>
        </w:rPr>
        <w:t xml:space="preserve"> </w:t>
      </w:r>
      <w:r w:rsidR="00AE59EB">
        <w:rPr>
          <w:rFonts w:ascii="Calibri" w:hAnsi="Calibri" w:cs="Calibri"/>
        </w:rPr>
        <w:t xml:space="preserve">also </w:t>
      </w:r>
      <w:r w:rsidR="005B1CBB" w:rsidRPr="00B20C90">
        <w:rPr>
          <w:rFonts w:ascii="Calibri" w:hAnsi="Calibri" w:cs="Calibri"/>
        </w:rPr>
        <w:t xml:space="preserve">recommends </w:t>
      </w:r>
      <w:r w:rsidR="00AE59EB">
        <w:rPr>
          <w:rFonts w:ascii="Calibri" w:hAnsi="Calibri" w:cs="Calibri"/>
        </w:rPr>
        <w:t xml:space="preserve">that future programming under AIPJ include a greater </w:t>
      </w:r>
      <w:r w:rsidR="00E14934">
        <w:rPr>
          <w:rFonts w:ascii="Calibri" w:hAnsi="Calibri" w:cs="Calibri"/>
        </w:rPr>
        <w:t xml:space="preserve">regional </w:t>
      </w:r>
      <w:r w:rsidR="00AE59EB">
        <w:rPr>
          <w:rFonts w:ascii="Calibri" w:hAnsi="Calibri" w:cs="Calibri"/>
        </w:rPr>
        <w:t xml:space="preserve">and </w:t>
      </w:r>
      <w:r w:rsidR="005B1CBB" w:rsidRPr="00B20C90">
        <w:rPr>
          <w:rFonts w:ascii="Calibri" w:hAnsi="Calibri" w:cs="Calibri"/>
        </w:rPr>
        <w:t>local focus,</w:t>
      </w:r>
      <w:r w:rsidR="00E14934">
        <w:rPr>
          <w:rFonts w:ascii="Calibri" w:hAnsi="Calibri" w:cs="Calibri"/>
        </w:rPr>
        <w:t xml:space="preserve"> </w:t>
      </w:r>
      <w:r w:rsidR="00AE59EB">
        <w:rPr>
          <w:rFonts w:ascii="Calibri" w:hAnsi="Calibri" w:cs="Calibri"/>
        </w:rPr>
        <w:t xml:space="preserve">drawing on </w:t>
      </w:r>
      <w:r w:rsidR="005B1CBB" w:rsidRPr="00B20C90">
        <w:rPr>
          <w:rFonts w:ascii="Calibri" w:hAnsi="Calibri" w:cs="Calibri"/>
        </w:rPr>
        <w:t xml:space="preserve">established CSO networks </w:t>
      </w:r>
      <w:r w:rsidR="00AE59EB">
        <w:rPr>
          <w:rFonts w:ascii="Calibri" w:hAnsi="Calibri" w:cs="Calibri"/>
        </w:rPr>
        <w:t>and existing AusAID programs</w:t>
      </w:r>
      <w:r w:rsidR="005B1CBB" w:rsidRPr="00B20C90">
        <w:rPr>
          <w:rFonts w:ascii="Calibri" w:hAnsi="Calibri" w:cs="Calibri"/>
        </w:rPr>
        <w:t xml:space="preserve"> (such as </w:t>
      </w:r>
      <w:r w:rsidR="00B36FD7">
        <w:rPr>
          <w:rFonts w:ascii="Calibri" w:hAnsi="Calibri" w:cs="Calibri"/>
        </w:rPr>
        <w:t xml:space="preserve">the </w:t>
      </w:r>
      <w:r w:rsidR="00B36FD7" w:rsidRPr="00374C0B">
        <w:rPr>
          <w:rFonts w:ascii="Calibri" w:hAnsi="Calibri" w:cs="Calibri"/>
        </w:rPr>
        <w:t>Australian Community Development and Civil Society Strengthening Program</w:t>
      </w:r>
      <w:r w:rsidR="00B36FD7" w:rsidRPr="00B20C90">
        <w:rPr>
          <w:rFonts w:ascii="Calibri" w:hAnsi="Calibri" w:cs="Calibri"/>
        </w:rPr>
        <w:t xml:space="preserve"> </w:t>
      </w:r>
      <w:r w:rsidR="00B36FD7">
        <w:rPr>
          <w:rFonts w:ascii="Calibri" w:hAnsi="Calibri" w:cs="Calibri"/>
        </w:rPr>
        <w:t>(</w:t>
      </w:r>
      <w:r w:rsidR="005B1CBB" w:rsidRPr="00B20C90">
        <w:rPr>
          <w:rFonts w:ascii="Calibri" w:hAnsi="Calibri" w:cs="Calibri"/>
        </w:rPr>
        <w:t>ACCESS</w:t>
      </w:r>
      <w:r w:rsidR="00B36FD7">
        <w:rPr>
          <w:rFonts w:ascii="Calibri" w:hAnsi="Calibri" w:cs="Calibri"/>
        </w:rPr>
        <w:t>)</w:t>
      </w:r>
      <w:r w:rsidR="005B1CBB" w:rsidRPr="00B20C90">
        <w:rPr>
          <w:rFonts w:ascii="Calibri" w:hAnsi="Calibri" w:cs="Calibri"/>
        </w:rPr>
        <w:t xml:space="preserve"> or</w:t>
      </w:r>
      <w:r w:rsidR="00B36FD7">
        <w:rPr>
          <w:rFonts w:ascii="Calibri" w:hAnsi="Calibri" w:cs="Calibri"/>
        </w:rPr>
        <w:t xml:space="preserve"> the National Program for Community Empowerment</w:t>
      </w:r>
      <w:r w:rsidR="005B1CBB" w:rsidRPr="00B20C90">
        <w:rPr>
          <w:rFonts w:ascii="Calibri" w:hAnsi="Calibri" w:cs="Calibri"/>
        </w:rPr>
        <w:t xml:space="preserve"> </w:t>
      </w:r>
      <w:r w:rsidR="00B36FD7">
        <w:rPr>
          <w:rFonts w:ascii="Calibri" w:hAnsi="Calibri" w:cs="Calibri"/>
        </w:rPr>
        <w:t>(</w:t>
      </w:r>
      <w:r w:rsidR="00B82AEF">
        <w:rPr>
          <w:rFonts w:ascii="Calibri" w:hAnsi="Calibri" w:cs="Calibri"/>
        </w:rPr>
        <w:t>PNPM</w:t>
      </w:r>
      <w:r w:rsidR="005B1CBB" w:rsidRPr="00B20C90">
        <w:rPr>
          <w:rFonts w:ascii="Calibri" w:hAnsi="Calibri" w:cs="Calibri"/>
        </w:rPr>
        <w:t>).</w:t>
      </w:r>
      <w:r w:rsidR="00E14934">
        <w:rPr>
          <w:rStyle w:val="FootnoteReference"/>
          <w:rFonts w:ascii="Calibri" w:hAnsi="Calibri" w:cs="Calibri"/>
        </w:rPr>
        <w:footnoteReference w:id="9"/>
      </w:r>
    </w:p>
    <w:p w:rsidR="00B77EB7" w:rsidRPr="00327B29" w:rsidRDefault="00B77EB7" w:rsidP="008F37FE">
      <w:pPr>
        <w:rPr>
          <w:rFonts w:ascii="Calibri" w:hAnsi="Calibri" w:cs="Calibri"/>
          <w:b/>
        </w:rPr>
      </w:pPr>
      <w:r w:rsidRPr="00327B29">
        <w:rPr>
          <w:rFonts w:ascii="Calibri" w:hAnsi="Calibri" w:cs="Calibri"/>
          <w:b/>
          <w:u w:val="single"/>
        </w:rPr>
        <w:lastRenderedPageBreak/>
        <w:t>Recommendation</w:t>
      </w:r>
      <w:r w:rsidR="008F37FE">
        <w:rPr>
          <w:rFonts w:ascii="Calibri" w:hAnsi="Calibri" w:cs="Calibri"/>
          <w:b/>
          <w:u w:val="single"/>
        </w:rPr>
        <w:t xml:space="preserve"> 1</w:t>
      </w:r>
      <w:r w:rsidRPr="00327B29">
        <w:rPr>
          <w:rFonts w:ascii="Calibri" w:hAnsi="Calibri" w:cs="Calibri"/>
          <w:b/>
        </w:rPr>
        <w:t xml:space="preserve">: </w:t>
      </w:r>
      <w:r w:rsidRPr="00327B29">
        <w:rPr>
          <w:b/>
        </w:rPr>
        <w:t>AIPJ’s activities should seek a more appropriate balance between institutional reform and support for local-level service delivery, with support at both levels having a line of sight to the poor and marginalised. At present, striking this balance will require greater investment to support local-level service delivery, including through piloting activities at the district level. Where necessary, institutional reform activities should be dropped or refocused to ensure they support the poor and marginalised.</w:t>
      </w:r>
    </w:p>
    <w:p w:rsidR="00D31C7A" w:rsidRDefault="00BC70DE" w:rsidP="005B1CBB">
      <w:r>
        <w:t xml:space="preserve">AIPJ is </w:t>
      </w:r>
      <w:r w:rsidR="00E96356">
        <w:t>twelve</w:t>
      </w:r>
      <w:r>
        <w:t xml:space="preserve"> months into implementation. The PD and ISP need to </w:t>
      </w:r>
      <w:r w:rsidR="005B1CBB">
        <w:t xml:space="preserve">do more to discern how this program will </w:t>
      </w:r>
      <w:r w:rsidR="00E04CF5">
        <w:t xml:space="preserve">help </w:t>
      </w:r>
      <w:r w:rsidR="005B1CBB">
        <w:t xml:space="preserve">increase access to better quality legal information and services for people of Indonesia and particularly, </w:t>
      </w:r>
      <w:r>
        <w:t xml:space="preserve">how these benefits will flow on to poor Indonesians. </w:t>
      </w:r>
      <w:r w:rsidR="00583E7D">
        <w:t xml:space="preserve">The PD and ISP have </w:t>
      </w:r>
      <w:r w:rsidR="00FB13DF">
        <w:t>cited</w:t>
      </w:r>
      <w:r w:rsidR="00C664D6">
        <w:t xml:space="preserve"> </w:t>
      </w:r>
      <w:r w:rsidR="00583E7D">
        <w:t xml:space="preserve">the design as a </w:t>
      </w:r>
      <w:r w:rsidR="00583E7D" w:rsidRPr="00EF1F1C">
        <w:t>source of inhibition to identified change</w:t>
      </w:r>
      <w:r w:rsidR="00583E7D">
        <w:t xml:space="preserve"> including doing more to benefit the poor. However t</w:t>
      </w:r>
      <w:r w:rsidR="005B1CBB" w:rsidRPr="00EF1F1C">
        <w:t xml:space="preserve">he design cannot and should not be the sole determinant of contemporary policy. </w:t>
      </w:r>
      <w:r w:rsidR="00583E7D">
        <w:t>Instead the</w:t>
      </w:r>
      <w:r w:rsidR="005B1CBB">
        <w:t xml:space="preserve"> </w:t>
      </w:r>
      <w:r w:rsidR="00B82AEF">
        <w:rPr>
          <w:rFonts w:cstheme="minorHAnsi"/>
        </w:rPr>
        <w:t xml:space="preserve">PD and ISP </w:t>
      </w:r>
      <w:r w:rsidR="00E32419">
        <w:t>need</w:t>
      </w:r>
      <w:r w:rsidR="005B1CBB">
        <w:t xml:space="preserve"> to re-assess </w:t>
      </w:r>
      <w:r w:rsidR="00E32419">
        <w:t xml:space="preserve">the program’s </w:t>
      </w:r>
      <w:r w:rsidR="005B1CBB">
        <w:t xml:space="preserve">capacity to deliver against AusAID and </w:t>
      </w:r>
      <w:proofErr w:type="spellStart"/>
      <w:r w:rsidR="005B1CBB">
        <w:t>Bappenas</w:t>
      </w:r>
      <w:proofErr w:type="spellEnd"/>
      <w:r w:rsidR="005B1CBB">
        <w:t xml:space="preserve"> requirements</w:t>
      </w:r>
      <w:r w:rsidR="00E04CF5">
        <w:t xml:space="preserve">. </w:t>
      </w:r>
    </w:p>
    <w:p w:rsidR="005B1CBB" w:rsidRDefault="00E14934" w:rsidP="005B1CBB">
      <w:r>
        <w:t>It is recommended</w:t>
      </w:r>
      <w:r w:rsidR="000157EB">
        <w:t xml:space="preserve"> that</w:t>
      </w:r>
      <w:r w:rsidR="00E96356">
        <w:t xml:space="preserve"> </w:t>
      </w:r>
      <w:r w:rsidR="00D35CF0" w:rsidRPr="00E32419">
        <w:t>AusAID</w:t>
      </w:r>
      <w:r w:rsidR="00D35CF0">
        <w:t xml:space="preserve"> </w:t>
      </w:r>
      <w:r w:rsidR="00D35CF0" w:rsidRPr="00E14934">
        <w:t>an</w:t>
      </w:r>
      <w:r w:rsidR="00D35CF0">
        <w:t>d</w:t>
      </w:r>
      <w:r>
        <w:t xml:space="preserve"> </w:t>
      </w:r>
      <w:proofErr w:type="spellStart"/>
      <w:r>
        <w:t>Bappenas</w:t>
      </w:r>
      <w:proofErr w:type="spellEnd"/>
      <w:r>
        <w:t xml:space="preserve"> reconfirm the</w:t>
      </w:r>
      <w:r w:rsidR="005B1CBB" w:rsidRPr="00E14934">
        <w:t xml:space="preserve"> </w:t>
      </w:r>
      <w:r w:rsidR="000157EB">
        <w:t xml:space="preserve">strategic </w:t>
      </w:r>
      <w:r w:rsidR="007F7285">
        <w:t xml:space="preserve">policy </w:t>
      </w:r>
      <w:r w:rsidR="000157EB">
        <w:t>direction</w:t>
      </w:r>
      <w:r w:rsidR="007F7285">
        <w:t>s</w:t>
      </w:r>
      <w:r w:rsidR="000157EB">
        <w:t xml:space="preserve"> of AIPJ to </w:t>
      </w:r>
      <w:r w:rsidR="00B753A5">
        <w:t xml:space="preserve">the </w:t>
      </w:r>
      <w:r w:rsidR="000157EB">
        <w:t>PD, ISP and implementing partners</w:t>
      </w:r>
      <w:r w:rsidR="005B1CBB" w:rsidRPr="00E14934">
        <w:t>.</w:t>
      </w:r>
      <w:r w:rsidR="00D35CF0">
        <w:t xml:space="preserve"> </w:t>
      </w:r>
      <w:r>
        <w:t xml:space="preserve">Together, AusAID and </w:t>
      </w:r>
      <w:proofErr w:type="spellStart"/>
      <w:r>
        <w:t>Bappenas</w:t>
      </w:r>
      <w:proofErr w:type="spellEnd"/>
      <w:r>
        <w:t xml:space="preserve"> should reconfirm or make new agreed statements of intent or commitment about what AIPJ will support in its activity program going forward.</w:t>
      </w:r>
      <w:r>
        <w:rPr>
          <w:rStyle w:val="FootnoteReference"/>
        </w:rPr>
        <w:footnoteReference w:id="10"/>
      </w:r>
      <w:r>
        <w:t xml:space="preserve"> The </w:t>
      </w:r>
      <w:r w:rsidR="00B82AEF">
        <w:rPr>
          <w:rFonts w:cstheme="minorHAnsi"/>
        </w:rPr>
        <w:t xml:space="preserve">PD and ISP </w:t>
      </w:r>
      <w:r w:rsidR="00D31C7A">
        <w:t>sh</w:t>
      </w:r>
      <w:r>
        <w:t xml:space="preserve">ould then operate in accordance with these agreed policies.  </w:t>
      </w:r>
      <w:r w:rsidR="005B1CBB">
        <w:t xml:space="preserve">This would ideally be progressed through </w:t>
      </w:r>
      <w:r w:rsidR="00E96356">
        <w:t>consultation</w:t>
      </w:r>
      <w:r>
        <w:t xml:space="preserve"> between AusAID and </w:t>
      </w:r>
      <w:proofErr w:type="spellStart"/>
      <w:r>
        <w:t>Bappenas</w:t>
      </w:r>
      <w:proofErr w:type="spellEnd"/>
      <w:r w:rsidR="005B1CBB">
        <w:t xml:space="preserve"> to </w:t>
      </w:r>
      <w:r>
        <w:t xml:space="preserve">confirm </w:t>
      </w:r>
      <w:r w:rsidR="005B1CBB">
        <w:t>agree</w:t>
      </w:r>
      <w:r>
        <w:t>ment</w:t>
      </w:r>
      <w:r w:rsidR="005B1CBB">
        <w:t xml:space="preserve"> on a</w:t>
      </w:r>
      <w:r>
        <w:t xml:space="preserve"> mutual policy. This policy would </w:t>
      </w:r>
      <w:r w:rsidR="005B1CBB">
        <w:t xml:space="preserve">guide AIPJ decision making to achieve expected outcomes. </w:t>
      </w:r>
    </w:p>
    <w:p w:rsidR="005B1CBB" w:rsidRPr="004432AA" w:rsidRDefault="008C0DA7" w:rsidP="005B1CBB">
      <w:r>
        <w:t>The</w:t>
      </w:r>
      <w:r w:rsidR="00D31C7A">
        <w:t xml:space="preserve"> </w:t>
      </w:r>
      <w:r w:rsidR="00EC0DA0">
        <w:t>Review Team</w:t>
      </w:r>
      <w:r w:rsidR="00D31C7A">
        <w:t xml:space="preserve"> finds t</w:t>
      </w:r>
      <w:r w:rsidR="005B1CBB">
        <w:t>here is sufficient focus and scope within the</w:t>
      </w:r>
      <w:r w:rsidR="005B1CBB" w:rsidRPr="00EF1F1C">
        <w:t xml:space="preserve"> design </w:t>
      </w:r>
      <w:r w:rsidR="005B1CBB">
        <w:t xml:space="preserve">to develop </w:t>
      </w:r>
      <w:r w:rsidR="005B1CBB" w:rsidRPr="00EF1F1C">
        <w:t>interventions</w:t>
      </w:r>
      <w:r w:rsidR="005B1CBB">
        <w:t xml:space="preserve"> </w:t>
      </w:r>
      <w:r w:rsidR="005B1CBB" w:rsidRPr="00EF1F1C">
        <w:t xml:space="preserve">to deliver against </w:t>
      </w:r>
      <w:r w:rsidR="005B1CBB">
        <w:t>program objectives</w:t>
      </w:r>
      <w:r w:rsidR="000157EB">
        <w:t>,</w:t>
      </w:r>
      <w:r w:rsidR="005B1CBB">
        <w:t xml:space="preserve"> including doing more to </w:t>
      </w:r>
      <w:r w:rsidR="000157EB">
        <w:t xml:space="preserve">directly </w:t>
      </w:r>
      <w:r w:rsidR="005B1CBB">
        <w:t xml:space="preserve">benefit the poor.  For example; the design refers to </w:t>
      </w:r>
      <w:r w:rsidR="005B1CBB" w:rsidRPr="0069534C">
        <w:t xml:space="preserve">the end of program </w:t>
      </w:r>
      <w:r w:rsidR="005B1CBB" w:rsidRPr="00BB2618">
        <w:t xml:space="preserve">objective </w:t>
      </w:r>
      <w:r w:rsidR="005B1CBB" w:rsidRPr="004432AA">
        <w:t>which:</w:t>
      </w:r>
    </w:p>
    <w:p w:rsidR="005B1CBB" w:rsidRDefault="005B1CBB" w:rsidP="005B1CBB">
      <w:r>
        <w:rPr>
          <w:i/>
        </w:rPr>
        <w:t xml:space="preserve"> </w:t>
      </w:r>
      <w:r w:rsidRPr="002B4642">
        <w:rPr>
          <w:i/>
        </w:rPr>
        <w:t>“Focuses on strengthening</w:t>
      </w:r>
      <w:r w:rsidRPr="00EE06BD">
        <w:rPr>
          <w:i/>
        </w:rPr>
        <w:t xml:space="preserve"> Indonesia’s leading law and justice sector institutions to become more effective and eventually provide more cost-e</w:t>
      </w:r>
      <w:r>
        <w:rPr>
          <w:i/>
        </w:rPr>
        <w:t>ffective, accessible and predic</w:t>
      </w:r>
      <w:r w:rsidRPr="00EE06BD">
        <w:rPr>
          <w:i/>
        </w:rPr>
        <w:t>table legal services and information. AIPJ recognises that the most effective way to strengthen these services is to work with both those demanding improved services and those tasked with supplying these services. It recognises t</w:t>
      </w:r>
      <w:r>
        <w:rPr>
          <w:i/>
        </w:rPr>
        <w:t>hat poor and marginalised group</w:t>
      </w:r>
      <w:r w:rsidRPr="00EE06BD">
        <w:rPr>
          <w:i/>
        </w:rPr>
        <w:t>s face particular problems in accessing services and focuses particularly on the obstacles facing women and people with disability</w:t>
      </w:r>
      <w:r>
        <w:rPr>
          <w:i/>
        </w:rPr>
        <w:t>”</w:t>
      </w:r>
      <w:r>
        <w:t>.</w:t>
      </w:r>
    </w:p>
    <w:p w:rsidR="00D31068" w:rsidRDefault="00D31068" w:rsidP="00D31068">
      <w:r>
        <w:t xml:space="preserve">AusAID and </w:t>
      </w:r>
      <w:proofErr w:type="spellStart"/>
      <w:r>
        <w:t>Bappenas</w:t>
      </w:r>
      <w:proofErr w:type="spellEnd"/>
      <w:r>
        <w:t xml:space="preserve"> may want to use this objective to set the new strategic policy direction for AIPJ. This objective in itself provides a clear intention of AIPJ - to work with both the supply and demand side of justice sector service delivery. In so doing, AIPJ should seek to support broad and powerful enough reformist networks and coalitions that span government institutions and civil society.  This is consistent with international research suggesting that treating demand and supply approaches separately is unlikely to be as successful in advancing reform.</w:t>
      </w:r>
      <w:r>
        <w:rPr>
          <w:rStyle w:val="FootnoteReference"/>
        </w:rPr>
        <w:footnoteReference w:id="11"/>
      </w:r>
      <w:r>
        <w:t xml:space="preserve">  E</w:t>
      </w:r>
      <w:r w:rsidRPr="00EF1F1C">
        <w:t xml:space="preserve">ven if there is </w:t>
      </w:r>
      <w:r>
        <w:t>perhaps an emphasis</w:t>
      </w:r>
      <w:r w:rsidRPr="00EF1F1C">
        <w:t xml:space="preserve"> in the</w:t>
      </w:r>
      <w:r>
        <w:t xml:space="preserve"> design </w:t>
      </w:r>
      <w:r w:rsidRPr="00EF1F1C">
        <w:t xml:space="preserve">to </w:t>
      </w:r>
      <w:r>
        <w:t xml:space="preserve">a </w:t>
      </w:r>
      <w:r w:rsidRPr="00EF1F1C">
        <w:t xml:space="preserve">focus of AIPJ being on </w:t>
      </w:r>
      <w:r>
        <w:t>Jakarta based</w:t>
      </w:r>
      <w:r w:rsidRPr="00EF1F1C">
        <w:t xml:space="preserve"> institutions it should be clearly </w:t>
      </w:r>
      <w:r w:rsidRPr="00EF1F1C">
        <w:lastRenderedPageBreak/>
        <w:t>recognised</w:t>
      </w:r>
      <w:r>
        <w:t xml:space="preserve"> the institutions themselves</w:t>
      </w:r>
      <w:r w:rsidRPr="00EF1F1C">
        <w:t xml:space="preserve"> are not the ultimate beneficiaries, but rather serve as vehicles or funnels to achieve that higher outcome.</w:t>
      </w:r>
      <w:r>
        <w:rPr>
          <w:rStyle w:val="FootnoteReference"/>
          <w:rFonts w:cs="MetaSerifOT-Book"/>
          <w:color w:val="000000"/>
        </w:rPr>
        <w:footnoteReference w:id="12"/>
      </w:r>
      <w:r>
        <w:t xml:space="preserve">  </w:t>
      </w:r>
      <w:r>
        <w:rPr>
          <w:rFonts w:cs="MetaSerifOT-Book"/>
          <w:color w:val="000000"/>
        </w:rPr>
        <w:t xml:space="preserve"> </w:t>
      </w:r>
    </w:p>
    <w:p w:rsidR="005B1CBB" w:rsidRDefault="000157EB" w:rsidP="005B1CBB">
      <w:r>
        <w:t>T</w:t>
      </w:r>
      <w:r w:rsidR="005B1CBB" w:rsidRPr="00EF1F1C">
        <w:t>he design should not be viewed as a barrier</w:t>
      </w:r>
      <w:r w:rsidR="005B1CBB">
        <w:rPr>
          <w:rStyle w:val="FootnoteReference"/>
        </w:rPr>
        <w:footnoteReference w:id="13"/>
      </w:r>
      <w:r w:rsidR="005B1CBB" w:rsidRPr="00EF1F1C">
        <w:t xml:space="preserve"> to </w:t>
      </w:r>
      <w:r>
        <w:t>designing interventions</w:t>
      </w:r>
      <w:r w:rsidR="005B1CBB" w:rsidRPr="00EF1F1C">
        <w:t xml:space="preserve"> that </w:t>
      </w:r>
      <w:r>
        <w:t>specifically</w:t>
      </w:r>
      <w:r w:rsidR="005B1CBB" w:rsidRPr="00EF1F1C">
        <w:t xml:space="preserve"> </w:t>
      </w:r>
      <w:r w:rsidR="005B1CBB" w:rsidRPr="00D01C81">
        <w:t xml:space="preserve">deliver access to justice </w:t>
      </w:r>
      <w:r>
        <w:t>for</w:t>
      </w:r>
      <w:r w:rsidR="005B1CBB" w:rsidRPr="00D01C81">
        <w:t xml:space="preserve"> the poor and marginalised</w:t>
      </w:r>
      <w:r w:rsidR="005B1CBB" w:rsidRPr="00EF1F1C">
        <w:t>.</w:t>
      </w:r>
      <w:r w:rsidR="005B1CBB">
        <w:t xml:space="preserve"> </w:t>
      </w:r>
      <w:r>
        <w:t xml:space="preserve">Interviews indicated that </w:t>
      </w:r>
      <w:r w:rsidR="004B6CD4">
        <w:t>the</w:t>
      </w:r>
      <w:r>
        <w:t xml:space="preserve"> initial response to the AIPJ design was positive</w:t>
      </w:r>
      <w:r w:rsidR="00E84CD7">
        <w:t xml:space="preserve"> and the </w:t>
      </w:r>
      <w:r>
        <w:t xml:space="preserve">design was viewed as </w:t>
      </w:r>
      <w:r w:rsidR="005B1CBB" w:rsidRPr="00EF1F1C">
        <w:t>“exciting”</w:t>
      </w:r>
      <w:r w:rsidR="00E84CD7">
        <w:t xml:space="preserve"> and</w:t>
      </w:r>
      <w:r w:rsidR="005B1CBB" w:rsidRPr="00EF1F1C">
        <w:t xml:space="preserve"> “a new approach”</w:t>
      </w:r>
      <w:r w:rsidR="00E84CD7">
        <w:t>.</w:t>
      </w:r>
      <w:r w:rsidR="003505E3">
        <w:t xml:space="preserve"> </w:t>
      </w:r>
      <w:r w:rsidR="005B1CBB">
        <w:t>The design provides sufficient scope to develop activities that w</w:t>
      </w:r>
      <w:r w:rsidR="00A32E19">
        <w:t xml:space="preserve">ould see a greater response to </w:t>
      </w:r>
      <w:r w:rsidR="005B1CBB">
        <w:t>marginalised groups</w:t>
      </w:r>
      <w:r w:rsidR="00110B74">
        <w:t xml:space="preserve">, </w:t>
      </w:r>
      <w:r w:rsidR="005B1CBB">
        <w:t>including the poor</w:t>
      </w:r>
      <w:r w:rsidR="008E7018">
        <w:t>,</w:t>
      </w:r>
      <w:r w:rsidR="005B1CBB">
        <w:t xml:space="preserve"> wo</w:t>
      </w:r>
      <w:r w:rsidR="00A32E19">
        <w:t>men</w:t>
      </w:r>
      <w:r w:rsidR="00B237E3">
        <w:t xml:space="preserve"> and people with disability</w:t>
      </w:r>
      <w:r w:rsidR="00110B74">
        <w:t>.</w:t>
      </w:r>
      <w:r w:rsidR="00E84CD7">
        <w:t xml:space="preserve"> </w:t>
      </w:r>
      <w:r w:rsidR="004B6CD4">
        <w:t xml:space="preserve">AusAID and </w:t>
      </w:r>
      <w:proofErr w:type="spellStart"/>
      <w:r w:rsidR="004B6CD4">
        <w:t>Ba</w:t>
      </w:r>
      <w:r w:rsidR="00110B74">
        <w:t>ppenas</w:t>
      </w:r>
      <w:proofErr w:type="spellEnd"/>
      <w:r w:rsidR="00110B74">
        <w:t xml:space="preserve"> should instruct </w:t>
      </w:r>
      <w:r w:rsidR="00E84CD7">
        <w:t xml:space="preserve">the </w:t>
      </w:r>
      <w:r w:rsidR="00110B74">
        <w:t xml:space="preserve">PD and ISP </w:t>
      </w:r>
      <w:r w:rsidR="004B6CD4">
        <w:t>to design</w:t>
      </w:r>
      <w:r w:rsidR="00110B74">
        <w:t xml:space="preserve"> activities which directly benefit poor Indonesians.</w:t>
      </w:r>
      <w:r w:rsidR="00E84CD7">
        <w:t xml:space="preserve"> </w:t>
      </w:r>
      <w:r w:rsidR="004B6CD4">
        <w:t xml:space="preserve">These interventions should be developed in partnership with relevant stakeholders, including CSOs and DPOs. </w:t>
      </w:r>
      <w:r w:rsidR="00110B74">
        <w:t xml:space="preserve"> </w:t>
      </w:r>
    </w:p>
    <w:p w:rsidR="005B1CBB" w:rsidRPr="009D1E01" w:rsidRDefault="00D7412C" w:rsidP="009D1E01">
      <w:r>
        <w:rPr>
          <w:rFonts w:ascii="Calibri" w:hAnsi="Calibri" w:cs="Calibri"/>
        </w:rPr>
        <w:t xml:space="preserve">AIPJ is fundamentally </w:t>
      </w:r>
      <w:r w:rsidRPr="00E14934">
        <w:rPr>
          <w:rFonts w:ascii="Calibri" w:hAnsi="Calibri" w:cs="Calibri"/>
        </w:rPr>
        <w:t xml:space="preserve">aligned with the priorities of the Government of Indonesia, notably the </w:t>
      </w:r>
      <w:r w:rsidR="00B753A5" w:rsidRPr="00E14934">
        <w:rPr>
          <w:rFonts w:ascii="Calibri" w:hAnsi="Calibri" w:cs="Calibri"/>
        </w:rPr>
        <w:t>M</w:t>
      </w:r>
      <w:r w:rsidR="00B753A5">
        <w:rPr>
          <w:rFonts w:ascii="Calibri" w:hAnsi="Calibri" w:cs="Calibri"/>
        </w:rPr>
        <w:t>edium-</w:t>
      </w:r>
      <w:r w:rsidRPr="00E14934">
        <w:rPr>
          <w:rFonts w:ascii="Calibri" w:hAnsi="Calibri" w:cs="Calibri"/>
        </w:rPr>
        <w:t xml:space="preserve">Term Development Plan and the Blueprints for the Supreme Court and </w:t>
      </w:r>
      <w:r w:rsidR="00E84CD7">
        <w:rPr>
          <w:rFonts w:ascii="Calibri" w:hAnsi="Calibri" w:cs="Calibri"/>
        </w:rPr>
        <w:t>the Attorney General’s Office (</w:t>
      </w:r>
      <w:r w:rsidRPr="00E14934">
        <w:rPr>
          <w:rFonts w:ascii="Calibri" w:hAnsi="Calibri" w:cs="Calibri"/>
        </w:rPr>
        <w:t>AGO</w:t>
      </w:r>
      <w:r w:rsidR="00E84CD7">
        <w:rPr>
          <w:rFonts w:ascii="Calibri" w:hAnsi="Calibri" w:cs="Calibri"/>
        </w:rPr>
        <w:t>)</w:t>
      </w:r>
      <w:r w:rsidRPr="00E14934">
        <w:rPr>
          <w:rFonts w:ascii="Calibri" w:hAnsi="Calibri" w:cs="Calibri"/>
        </w:rPr>
        <w:t>.</w:t>
      </w:r>
      <w:r>
        <w:rPr>
          <w:rFonts w:ascii="Calibri" w:hAnsi="Calibri" w:cs="Calibri"/>
        </w:rPr>
        <w:t xml:space="preserve"> However</w:t>
      </w:r>
      <w:r w:rsidR="00BC68CA">
        <w:rPr>
          <w:rFonts w:ascii="Calibri" w:hAnsi="Calibri" w:cs="Calibri"/>
        </w:rPr>
        <w:t>,</w:t>
      </w:r>
      <w:r>
        <w:rPr>
          <w:rFonts w:ascii="Calibri" w:hAnsi="Calibri" w:cs="Calibri"/>
        </w:rPr>
        <w:t xml:space="preserve"> </w:t>
      </w:r>
      <w:proofErr w:type="spellStart"/>
      <w:r>
        <w:rPr>
          <w:rFonts w:ascii="Calibri" w:hAnsi="Calibri" w:cs="Calibri"/>
        </w:rPr>
        <w:t>Bappenas</w:t>
      </w:r>
      <w:proofErr w:type="spellEnd"/>
      <w:r>
        <w:rPr>
          <w:rFonts w:ascii="Calibri" w:hAnsi="Calibri" w:cs="Calibri"/>
        </w:rPr>
        <w:t xml:space="preserve"> and other key stakeholders indicated dissatisfaction with the degree to which AIPJ synergises with broader government policy and planning. AIPJ needs to engage in dialogue </w:t>
      </w:r>
      <w:r w:rsidR="004B6CD4">
        <w:rPr>
          <w:rFonts w:ascii="Calibri" w:hAnsi="Calibri" w:cs="Calibri"/>
        </w:rPr>
        <w:t xml:space="preserve">with the Government of Indonesia </w:t>
      </w:r>
      <w:r>
        <w:rPr>
          <w:rFonts w:ascii="Calibri" w:hAnsi="Calibri" w:cs="Calibri"/>
        </w:rPr>
        <w:t>when developing activities and determining the str</w:t>
      </w:r>
      <w:r w:rsidR="004B6CD4">
        <w:rPr>
          <w:rFonts w:ascii="Calibri" w:hAnsi="Calibri" w:cs="Calibri"/>
        </w:rPr>
        <w:t>ategic direction of the program to ensure alignment with government policy and</w:t>
      </w:r>
      <w:r w:rsidR="007F7285">
        <w:rPr>
          <w:rFonts w:ascii="Calibri" w:hAnsi="Calibri" w:cs="Calibri"/>
        </w:rPr>
        <w:t xml:space="preserve"> – though it will be no easy task – </w:t>
      </w:r>
      <w:r w:rsidR="004B6CD4">
        <w:rPr>
          <w:rFonts w:ascii="Calibri" w:hAnsi="Calibri" w:cs="Calibri"/>
        </w:rPr>
        <w:t xml:space="preserve">the strategic plans of the organisations </w:t>
      </w:r>
      <w:r w:rsidR="00BC68CA">
        <w:rPr>
          <w:rFonts w:ascii="Calibri" w:hAnsi="Calibri" w:cs="Calibri"/>
        </w:rPr>
        <w:t>with</w:t>
      </w:r>
      <w:r w:rsidR="004B6CD4">
        <w:rPr>
          <w:rFonts w:ascii="Calibri" w:hAnsi="Calibri" w:cs="Calibri"/>
        </w:rPr>
        <w:t xml:space="preserve"> whom AIPJ partners</w:t>
      </w:r>
      <w:r w:rsidR="00BC68CA">
        <w:rPr>
          <w:rFonts w:ascii="Calibri" w:hAnsi="Calibri" w:cs="Calibri"/>
        </w:rPr>
        <w:t>.</w:t>
      </w:r>
      <w:r>
        <w:rPr>
          <w:rFonts w:ascii="Calibri" w:hAnsi="Calibri" w:cs="Calibri"/>
        </w:rPr>
        <w:t xml:space="preserve"> </w:t>
      </w:r>
      <w:r w:rsidR="00DB3FFC">
        <w:t xml:space="preserve"> </w:t>
      </w:r>
    </w:p>
    <w:p w:rsidR="009D1E01" w:rsidRDefault="00D31C7A" w:rsidP="00D7412C">
      <w:pPr>
        <w:widowControl w:val="0"/>
        <w:autoSpaceDE w:val="0"/>
        <w:autoSpaceDN w:val="0"/>
        <w:adjustRightInd w:val="0"/>
      </w:pPr>
      <w:r>
        <w:rPr>
          <w:rFonts w:ascii="Calibri" w:hAnsi="Calibri" w:cs="Calibri"/>
        </w:rPr>
        <w:t xml:space="preserve">From what the </w:t>
      </w:r>
      <w:r w:rsidR="00EC0DA0">
        <w:rPr>
          <w:rFonts w:ascii="Calibri" w:hAnsi="Calibri" w:cs="Calibri"/>
        </w:rPr>
        <w:t>Review Team</w:t>
      </w:r>
      <w:r>
        <w:rPr>
          <w:rFonts w:ascii="Calibri" w:hAnsi="Calibri" w:cs="Calibri"/>
        </w:rPr>
        <w:t xml:space="preserve"> underst</w:t>
      </w:r>
      <w:r w:rsidR="00B753A5">
        <w:rPr>
          <w:rFonts w:ascii="Calibri" w:hAnsi="Calibri" w:cs="Calibri"/>
        </w:rPr>
        <w:t>ood</w:t>
      </w:r>
      <w:r>
        <w:rPr>
          <w:rFonts w:ascii="Calibri" w:hAnsi="Calibri" w:cs="Calibri"/>
        </w:rPr>
        <w:t>, sound corporate</w:t>
      </w:r>
      <w:r w:rsidR="00BC68CA">
        <w:rPr>
          <w:rFonts w:ascii="Calibri" w:hAnsi="Calibri" w:cs="Calibri"/>
        </w:rPr>
        <w:t xml:space="preserve"> and </w:t>
      </w:r>
      <w:r>
        <w:rPr>
          <w:rFonts w:ascii="Calibri" w:hAnsi="Calibri" w:cs="Calibri"/>
        </w:rPr>
        <w:t>strategic planning is needed across the law and justice sector</w:t>
      </w:r>
      <w:r w:rsidR="00BC68CA">
        <w:rPr>
          <w:rFonts w:ascii="Calibri" w:hAnsi="Calibri" w:cs="Calibri"/>
        </w:rPr>
        <w:t xml:space="preserve"> and the law and justice</w:t>
      </w:r>
      <w:r w:rsidRPr="00E14934">
        <w:rPr>
          <w:rFonts w:ascii="Calibri" w:hAnsi="Calibri" w:cs="Calibri"/>
        </w:rPr>
        <w:t xml:space="preserve"> institutions </w:t>
      </w:r>
      <w:r w:rsidR="00BC68CA">
        <w:rPr>
          <w:rFonts w:ascii="Calibri" w:hAnsi="Calibri" w:cs="Calibri"/>
        </w:rPr>
        <w:t xml:space="preserve">in Indonesia need </w:t>
      </w:r>
      <w:r w:rsidRPr="00E14934">
        <w:rPr>
          <w:rFonts w:ascii="Calibri" w:hAnsi="Calibri" w:cs="Calibri"/>
        </w:rPr>
        <w:t xml:space="preserve">to have </w:t>
      </w:r>
      <w:r>
        <w:rPr>
          <w:rFonts w:ascii="Calibri" w:hAnsi="Calibri" w:cs="Calibri"/>
        </w:rPr>
        <w:t>a clear reform plan</w:t>
      </w:r>
      <w:r w:rsidRPr="00E14934">
        <w:rPr>
          <w:rFonts w:ascii="Calibri" w:hAnsi="Calibri" w:cs="Calibri"/>
        </w:rPr>
        <w:t>.</w:t>
      </w:r>
      <w:r w:rsidR="003505E3">
        <w:rPr>
          <w:rFonts w:ascii="Calibri" w:hAnsi="Calibri" w:cs="Calibri"/>
        </w:rPr>
        <w:t xml:space="preserve"> Such planning would provide </w:t>
      </w:r>
      <w:r w:rsidR="00D7412C">
        <w:rPr>
          <w:rFonts w:ascii="Calibri" w:hAnsi="Calibri" w:cs="Calibri"/>
        </w:rPr>
        <w:t xml:space="preserve">greater </w:t>
      </w:r>
      <w:r w:rsidR="003505E3">
        <w:rPr>
          <w:rFonts w:ascii="Calibri" w:hAnsi="Calibri" w:cs="Calibri"/>
        </w:rPr>
        <w:t xml:space="preserve">opportunity for </w:t>
      </w:r>
      <w:r>
        <w:rPr>
          <w:rFonts w:ascii="Calibri" w:hAnsi="Calibri" w:cs="Calibri"/>
        </w:rPr>
        <w:t xml:space="preserve">AIPJ to link </w:t>
      </w:r>
      <w:r w:rsidR="008E7018">
        <w:rPr>
          <w:rFonts w:ascii="Calibri" w:hAnsi="Calibri" w:cs="Calibri"/>
        </w:rPr>
        <w:t xml:space="preserve">to </w:t>
      </w:r>
      <w:r>
        <w:rPr>
          <w:rFonts w:ascii="Calibri" w:hAnsi="Calibri" w:cs="Calibri"/>
        </w:rPr>
        <w:t>and support this policy and planning.</w:t>
      </w:r>
      <w:r w:rsidR="00D7412C">
        <w:rPr>
          <w:rFonts w:ascii="Calibri" w:hAnsi="Calibri" w:cs="Calibri"/>
        </w:rPr>
        <w:t xml:space="preserve"> </w:t>
      </w:r>
      <w:r w:rsidR="009D1E01">
        <w:t xml:space="preserve">Those </w:t>
      </w:r>
      <w:r w:rsidR="003505E3">
        <w:t xml:space="preserve">organisations </w:t>
      </w:r>
      <w:r w:rsidR="009D1E01">
        <w:t xml:space="preserve">interviewed indicated they either had organisational strategic plans or would like to develop them. </w:t>
      </w:r>
      <w:r w:rsidR="003505E3">
        <w:t xml:space="preserve">There may be an opportunity for the </w:t>
      </w:r>
      <w:r w:rsidR="00B82AEF">
        <w:rPr>
          <w:rFonts w:cstheme="minorHAnsi"/>
        </w:rPr>
        <w:t xml:space="preserve">PD and ISP </w:t>
      </w:r>
      <w:r w:rsidR="003505E3">
        <w:t xml:space="preserve">to assist the organisations with this capacity development.  </w:t>
      </w:r>
    </w:p>
    <w:p w:rsidR="009D1E01" w:rsidRDefault="00440A92" w:rsidP="00E14934">
      <w:pPr>
        <w:widowControl w:val="0"/>
        <w:autoSpaceDE w:val="0"/>
        <w:autoSpaceDN w:val="0"/>
        <w:adjustRightInd w:val="0"/>
        <w:rPr>
          <w:rFonts w:ascii="Calibri" w:hAnsi="Calibri" w:cs="Calibri"/>
        </w:rPr>
      </w:pPr>
      <w:r>
        <w:rPr>
          <w:rFonts w:ascii="Calibri" w:hAnsi="Calibri" w:cs="Calibri"/>
        </w:rPr>
        <w:t>The</w:t>
      </w:r>
      <w:r w:rsidR="005B1CBB" w:rsidRPr="00E14934">
        <w:rPr>
          <w:rFonts w:ascii="Calibri" w:hAnsi="Calibri" w:cs="Calibri"/>
        </w:rPr>
        <w:t xml:space="preserve"> </w:t>
      </w:r>
      <w:r w:rsidR="00EC0DA0">
        <w:rPr>
          <w:rFonts w:ascii="Calibri" w:hAnsi="Calibri" w:cs="Calibri"/>
        </w:rPr>
        <w:t>Review Team</w:t>
      </w:r>
      <w:r w:rsidR="005B1CBB" w:rsidRPr="00E14934">
        <w:rPr>
          <w:rFonts w:ascii="Calibri" w:hAnsi="Calibri" w:cs="Calibri"/>
        </w:rPr>
        <w:t xml:space="preserve"> particularly welcomes plans for </w:t>
      </w:r>
      <w:r w:rsidR="008F37FE">
        <w:rPr>
          <w:rFonts w:ascii="Calibri" w:hAnsi="Calibri" w:cs="Calibri"/>
        </w:rPr>
        <w:t>the Australia-Indonesia Partnership for Pro-Poor Policy (the ‘</w:t>
      </w:r>
      <w:r w:rsidR="005B1CBB" w:rsidRPr="00E14934">
        <w:rPr>
          <w:rFonts w:ascii="Calibri" w:hAnsi="Calibri" w:cs="Calibri"/>
        </w:rPr>
        <w:t>Knowledge Sector Program</w:t>
      </w:r>
      <w:r w:rsidR="008F37FE">
        <w:rPr>
          <w:rFonts w:ascii="Calibri" w:hAnsi="Calibri" w:cs="Calibri"/>
        </w:rPr>
        <w:t>’)</w:t>
      </w:r>
      <w:r w:rsidR="005B1CBB" w:rsidRPr="00E14934">
        <w:rPr>
          <w:rFonts w:ascii="Calibri" w:hAnsi="Calibri" w:cs="Calibri"/>
        </w:rPr>
        <w:t xml:space="preserve"> since it addresses this more fundamental gap precisely. </w:t>
      </w:r>
      <w:r w:rsidR="002141AE" w:rsidRPr="002141AE">
        <w:rPr>
          <w:rFonts w:ascii="Calibri" w:hAnsi="Calibri" w:cs="Calibri"/>
        </w:rPr>
        <w:t xml:space="preserve">The proposed 'Revitalising Indonesia's Knowledge Sector for Development Policy' program aims to enable Indonesian policy-makers to make contestable, evidence-informed decisions on how best to spend national budgetary resources in ways that help the poor. It will support the domestic supply of knowledge products </w:t>
      </w:r>
      <w:r w:rsidR="00A1256F">
        <w:rPr>
          <w:rFonts w:ascii="Calibri" w:hAnsi="Calibri" w:cs="Calibri"/>
        </w:rPr>
        <w:t xml:space="preserve">– produced by government, the private sector and civil society organisations – </w:t>
      </w:r>
      <w:r w:rsidR="002141AE" w:rsidRPr="002141AE">
        <w:rPr>
          <w:rFonts w:ascii="Calibri" w:hAnsi="Calibri" w:cs="Calibri"/>
        </w:rPr>
        <w:t xml:space="preserve">to inform policy, as well as the ability of decision makers to use those products to inform their policy choices.  </w:t>
      </w:r>
      <w:r w:rsidR="005B1CBB" w:rsidRPr="00E14934">
        <w:rPr>
          <w:rFonts w:ascii="Calibri" w:hAnsi="Calibri" w:cs="Calibri"/>
        </w:rPr>
        <w:t xml:space="preserve">The </w:t>
      </w:r>
      <w:r w:rsidR="000A4417">
        <w:rPr>
          <w:rFonts w:ascii="Calibri" w:hAnsi="Calibri" w:cs="Calibri"/>
        </w:rPr>
        <w:t xml:space="preserve">Review </w:t>
      </w:r>
      <w:r w:rsidR="005B1CBB" w:rsidRPr="00E14934">
        <w:rPr>
          <w:rFonts w:ascii="Calibri" w:hAnsi="Calibri" w:cs="Calibri"/>
        </w:rPr>
        <w:t>Team regards it as important that AIPJ, in anticipation of the establishment of the Knowledge Sector Program, invests in the design of sound framework supporting the design of</w:t>
      </w:r>
      <w:r w:rsidR="00A25479">
        <w:rPr>
          <w:rFonts w:ascii="Calibri" w:hAnsi="Calibri" w:cs="Calibri"/>
        </w:rPr>
        <w:t xml:space="preserve"> justice sector</w:t>
      </w:r>
      <w:r w:rsidR="005B1CBB" w:rsidRPr="00E14934">
        <w:rPr>
          <w:rFonts w:ascii="Calibri" w:hAnsi="Calibri" w:cs="Calibri"/>
        </w:rPr>
        <w:t xml:space="preserve"> institutional reform policies</w:t>
      </w:r>
      <w:r w:rsidR="00A1256F">
        <w:rPr>
          <w:rFonts w:ascii="Calibri" w:hAnsi="Calibri" w:cs="Calibri"/>
        </w:rPr>
        <w:t xml:space="preserve"> based on an evidence-based approach</w:t>
      </w:r>
      <w:r w:rsidR="005B1CBB" w:rsidRPr="00E14934">
        <w:rPr>
          <w:rFonts w:ascii="Calibri" w:hAnsi="Calibri" w:cs="Calibri"/>
        </w:rPr>
        <w:t xml:space="preserve">. </w:t>
      </w:r>
    </w:p>
    <w:p w:rsidR="00E93390" w:rsidRDefault="009D1E01" w:rsidP="00E14934">
      <w:pPr>
        <w:widowControl w:val="0"/>
        <w:autoSpaceDE w:val="0"/>
        <w:autoSpaceDN w:val="0"/>
        <w:adjustRightInd w:val="0"/>
        <w:rPr>
          <w:rFonts w:ascii="Calibri" w:hAnsi="Calibri" w:cs="Calibri"/>
        </w:rPr>
      </w:pPr>
      <w:r>
        <w:rPr>
          <w:rFonts w:ascii="Calibri" w:hAnsi="Calibri" w:cs="Calibri"/>
        </w:rPr>
        <w:lastRenderedPageBreak/>
        <w:t xml:space="preserve">The </w:t>
      </w:r>
      <w:r w:rsidR="00EC0DA0">
        <w:rPr>
          <w:rFonts w:ascii="Calibri" w:hAnsi="Calibri" w:cs="Calibri"/>
        </w:rPr>
        <w:t>Review Team</w:t>
      </w:r>
      <w:r>
        <w:rPr>
          <w:rFonts w:ascii="Calibri" w:hAnsi="Calibri" w:cs="Calibri"/>
        </w:rPr>
        <w:t xml:space="preserve"> were unable to </w:t>
      </w:r>
      <w:r w:rsidR="00451FDB">
        <w:rPr>
          <w:rFonts w:ascii="Calibri" w:hAnsi="Calibri" w:cs="Calibri"/>
        </w:rPr>
        <w:t>evaluate</w:t>
      </w:r>
      <w:r w:rsidR="00D35CF0">
        <w:rPr>
          <w:rFonts w:ascii="Calibri" w:hAnsi="Calibri" w:cs="Calibri"/>
        </w:rPr>
        <w:t xml:space="preserve"> </w:t>
      </w:r>
      <w:r>
        <w:rPr>
          <w:rFonts w:ascii="Calibri" w:hAnsi="Calibri" w:cs="Calibri"/>
        </w:rPr>
        <w:t xml:space="preserve">whether AIPJ </w:t>
      </w:r>
      <w:r w:rsidR="00AA06CC">
        <w:rPr>
          <w:rFonts w:ascii="Calibri" w:hAnsi="Calibri" w:cs="Calibri"/>
        </w:rPr>
        <w:t>sh</w:t>
      </w:r>
      <w:r>
        <w:rPr>
          <w:rFonts w:ascii="Calibri" w:hAnsi="Calibri" w:cs="Calibri"/>
        </w:rPr>
        <w:t xml:space="preserve">ould expand </w:t>
      </w:r>
      <w:r w:rsidR="00451FDB">
        <w:rPr>
          <w:rFonts w:ascii="Calibri" w:hAnsi="Calibri" w:cs="Calibri"/>
        </w:rPr>
        <w:t xml:space="preserve">the </w:t>
      </w:r>
      <w:r>
        <w:rPr>
          <w:rFonts w:ascii="Calibri" w:hAnsi="Calibri" w:cs="Calibri"/>
        </w:rPr>
        <w:t>scope</w:t>
      </w:r>
      <w:r w:rsidR="00451FDB">
        <w:rPr>
          <w:rFonts w:ascii="Calibri" w:hAnsi="Calibri" w:cs="Calibri"/>
        </w:rPr>
        <w:t xml:space="preserve"> of its</w:t>
      </w:r>
      <w:r>
        <w:rPr>
          <w:rFonts w:ascii="Calibri" w:hAnsi="Calibri" w:cs="Calibri"/>
        </w:rPr>
        <w:t xml:space="preserve"> target</w:t>
      </w:r>
      <w:r w:rsidR="00451FDB">
        <w:rPr>
          <w:rFonts w:ascii="Calibri" w:hAnsi="Calibri" w:cs="Calibri"/>
        </w:rPr>
        <w:t>ed</w:t>
      </w:r>
      <w:r>
        <w:rPr>
          <w:rFonts w:ascii="Calibri" w:hAnsi="Calibri" w:cs="Calibri"/>
        </w:rPr>
        <w:t xml:space="preserve"> groups </w:t>
      </w:r>
      <w:r w:rsidR="00451FDB">
        <w:rPr>
          <w:rFonts w:ascii="Calibri" w:hAnsi="Calibri" w:cs="Calibri"/>
        </w:rPr>
        <w:t xml:space="preserve">to include </w:t>
      </w:r>
      <w:r>
        <w:rPr>
          <w:rFonts w:ascii="Calibri" w:hAnsi="Calibri" w:cs="Calibri"/>
        </w:rPr>
        <w:t>children</w:t>
      </w:r>
      <w:r w:rsidR="00451FDB">
        <w:rPr>
          <w:rFonts w:ascii="Calibri" w:hAnsi="Calibri" w:cs="Calibri"/>
        </w:rPr>
        <w:t xml:space="preserve"> in conflict with the law</w:t>
      </w:r>
      <w:r w:rsidR="00C67EBF">
        <w:rPr>
          <w:rFonts w:ascii="Calibri" w:hAnsi="Calibri" w:cs="Calibri"/>
        </w:rPr>
        <w:t xml:space="preserve"> per se.</w:t>
      </w:r>
      <w:r w:rsidR="00D35CF0">
        <w:rPr>
          <w:rFonts w:ascii="Calibri" w:hAnsi="Calibri" w:cs="Calibri"/>
        </w:rPr>
        <w:t xml:space="preserve"> </w:t>
      </w:r>
      <w:r w:rsidR="00451FDB">
        <w:rPr>
          <w:rFonts w:ascii="Calibri" w:hAnsi="Calibri" w:cs="Calibri"/>
        </w:rPr>
        <w:t>AIPJ’s Sector Outcome One refers to improved judicial resolution systems for marginalised groups – with a particular focus on the</w:t>
      </w:r>
      <w:r w:rsidR="00D35CF0">
        <w:rPr>
          <w:rFonts w:ascii="Calibri" w:hAnsi="Calibri" w:cs="Calibri"/>
        </w:rPr>
        <w:t xml:space="preserve"> </w:t>
      </w:r>
      <w:r w:rsidR="00451FDB">
        <w:rPr>
          <w:rFonts w:ascii="Calibri" w:hAnsi="Calibri" w:cs="Calibri"/>
        </w:rPr>
        <w:t xml:space="preserve">poor, women and people with a disability. </w:t>
      </w:r>
      <w:r w:rsidR="00E93390">
        <w:rPr>
          <w:rFonts w:ascii="Calibri" w:hAnsi="Calibri" w:cs="Calibri"/>
        </w:rPr>
        <w:t xml:space="preserve">Therefore, while activities focused on children in conflict with the law could potentially come under this sector outcome, they are not a current focus. </w:t>
      </w:r>
      <w:r w:rsidR="00AA06CC">
        <w:rPr>
          <w:rFonts w:ascii="Calibri" w:hAnsi="Calibri" w:cs="Calibri"/>
        </w:rPr>
        <w:t xml:space="preserve">The fact that the Juvenile Justice </w:t>
      </w:r>
      <w:r w:rsidR="00B753A5">
        <w:rPr>
          <w:rFonts w:ascii="Calibri" w:hAnsi="Calibri" w:cs="Calibri"/>
        </w:rPr>
        <w:t>L</w:t>
      </w:r>
      <w:r w:rsidR="00AA06CC">
        <w:rPr>
          <w:rFonts w:ascii="Calibri" w:hAnsi="Calibri" w:cs="Calibri"/>
        </w:rPr>
        <w:t>aw was passed during the Team</w:t>
      </w:r>
      <w:r w:rsidR="00DB31D3">
        <w:rPr>
          <w:rFonts w:ascii="Calibri" w:hAnsi="Calibri" w:cs="Calibri"/>
        </w:rPr>
        <w:t xml:space="preserve">’s in-country mission </w:t>
      </w:r>
      <w:r w:rsidR="00D7412C">
        <w:rPr>
          <w:rFonts w:ascii="Calibri" w:hAnsi="Calibri" w:cs="Calibri"/>
        </w:rPr>
        <w:t>was</w:t>
      </w:r>
      <w:r w:rsidR="00AA06CC">
        <w:rPr>
          <w:rFonts w:ascii="Calibri" w:hAnsi="Calibri" w:cs="Calibri"/>
        </w:rPr>
        <w:t xml:space="preserve"> raised by only one Indonesian stakeholder</w:t>
      </w:r>
      <w:r>
        <w:rPr>
          <w:rFonts w:ascii="Calibri" w:hAnsi="Calibri" w:cs="Calibri"/>
        </w:rPr>
        <w:t>.</w:t>
      </w:r>
      <w:r w:rsidR="00DB31D3">
        <w:rPr>
          <w:rFonts w:ascii="Calibri" w:hAnsi="Calibri" w:cs="Calibri"/>
        </w:rPr>
        <w:t xml:space="preserve">  Potential are</w:t>
      </w:r>
      <w:r w:rsidR="009364B6">
        <w:rPr>
          <w:rFonts w:ascii="Calibri" w:hAnsi="Calibri" w:cs="Calibri"/>
        </w:rPr>
        <w:t xml:space="preserve">as for future </w:t>
      </w:r>
      <w:r w:rsidR="00A31360">
        <w:rPr>
          <w:rFonts w:ascii="Calibri" w:hAnsi="Calibri" w:cs="Calibri"/>
        </w:rPr>
        <w:t xml:space="preserve">AIPJ </w:t>
      </w:r>
      <w:r w:rsidR="009364B6">
        <w:rPr>
          <w:rFonts w:ascii="Calibri" w:hAnsi="Calibri" w:cs="Calibri"/>
        </w:rPr>
        <w:t>engagement in the area of juvenile justice were</w:t>
      </w:r>
      <w:r w:rsidR="00EC6277">
        <w:rPr>
          <w:rFonts w:ascii="Calibri" w:hAnsi="Calibri" w:cs="Calibri"/>
        </w:rPr>
        <w:t xml:space="preserve"> not substantively discussed.</w:t>
      </w:r>
      <w:r w:rsidR="00D35CF0">
        <w:rPr>
          <w:rFonts w:ascii="Calibri" w:hAnsi="Calibri" w:cs="Calibri"/>
        </w:rPr>
        <w:t xml:space="preserve"> </w:t>
      </w:r>
      <w:r w:rsidR="000A4417">
        <w:rPr>
          <w:rFonts w:ascii="Calibri" w:hAnsi="Calibri" w:cs="Calibri"/>
        </w:rPr>
        <w:t xml:space="preserve">AIPJ’s </w:t>
      </w:r>
      <w:r w:rsidR="000A4417" w:rsidRPr="000A4417">
        <w:rPr>
          <w:rFonts w:ascii="Calibri" w:hAnsi="Calibri" w:cs="Calibri"/>
          <w:i/>
        </w:rPr>
        <w:t>Sector Outcome 4: I</w:t>
      </w:r>
      <w:r w:rsidR="00381BBA" w:rsidRPr="000A4417">
        <w:rPr>
          <w:rFonts w:ascii="Calibri" w:hAnsi="Calibri" w:cs="Calibri"/>
          <w:i/>
        </w:rPr>
        <w:t xml:space="preserve">mproved framework and delivery of a legal aid </w:t>
      </w:r>
      <w:r w:rsidR="00D35CF0" w:rsidRPr="000A4417">
        <w:rPr>
          <w:rFonts w:ascii="Calibri" w:hAnsi="Calibri" w:cs="Calibri"/>
          <w:i/>
        </w:rPr>
        <w:t>system</w:t>
      </w:r>
      <w:r w:rsidR="00C67EBF">
        <w:rPr>
          <w:rFonts w:ascii="Calibri" w:hAnsi="Calibri" w:cs="Calibri"/>
        </w:rPr>
        <w:t>, is another area of activity clearly relevant to the issue of children in conflict</w:t>
      </w:r>
      <w:r w:rsidR="00BF641F">
        <w:rPr>
          <w:rFonts w:ascii="Calibri" w:hAnsi="Calibri" w:cs="Calibri"/>
        </w:rPr>
        <w:t xml:space="preserve"> with the law</w:t>
      </w:r>
      <w:r w:rsidR="00C67EBF">
        <w:rPr>
          <w:rFonts w:ascii="Calibri" w:hAnsi="Calibri" w:cs="Calibri"/>
        </w:rPr>
        <w:t>.</w:t>
      </w:r>
      <w:r w:rsidR="00D35CF0">
        <w:rPr>
          <w:rFonts w:ascii="Calibri" w:hAnsi="Calibri" w:cs="Calibri"/>
        </w:rPr>
        <w:t xml:space="preserve"> </w:t>
      </w:r>
      <w:r w:rsidR="00230116">
        <w:rPr>
          <w:rFonts w:ascii="Calibri" w:hAnsi="Calibri" w:cs="Calibri"/>
        </w:rPr>
        <w:t>Support for l</w:t>
      </w:r>
      <w:r w:rsidR="00BF641F">
        <w:rPr>
          <w:rFonts w:ascii="Calibri" w:hAnsi="Calibri" w:cs="Calibri"/>
        </w:rPr>
        <w:t xml:space="preserve">egal aid organisations that are </w:t>
      </w:r>
      <w:r w:rsidR="00230116">
        <w:rPr>
          <w:rFonts w:ascii="Calibri" w:hAnsi="Calibri" w:cs="Calibri"/>
        </w:rPr>
        <w:t>part of a revitalised legal aid network could</w:t>
      </w:r>
      <w:r w:rsidR="00D35CF0">
        <w:rPr>
          <w:rFonts w:ascii="Calibri" w:hAnsi="Calibri" w:cs="Calibri"/>
        </w:rPr>
        <w:t xml:space="preserve"> </w:t>
      </w:r>
      <w:r w:rsidR="00230116">
        <w:rPr>
          <w:rFonts w:ascii="Calibri" w:hAnsi="Calibri" w:cs="Calibri"/>
        </w:rPr>
        <w:t xml:space="preserve">build on AusAID support provided through the Human Rights </w:t>
      </w:r>
      <w:r w:rsidR="00BF641F">
        <w:rPr>
          <w:rFonts w:ascii="Calibri" w:hAnsi="Calibri" w:cs="Calibri"/>
        </w:rPr>
        <w:t>Grants Scheme.  D</w:t>
      </w:r>
      <w:r w:rsidR="00230116">
        <w:rPr>
          <w:rFonts w:ascii="Calibri" w:hAnsi="Calibri" w:cs="Calibri"/>
        </w:rPr>
        <w:t>epending on the areas of focus this could also include child rights.</w:t>
      </w:r>
      <w:r w:rsidR="0023259E">
        <w:rPr>
          <w:rStyle w:val="FootnoteReference"/>
          <w:rFonts w:ascii="Calibri" w:hAnsi="Calibri" w:cs="Calibri"/>
        </w:rPr>
        <w:footnoteReference w:id="14"/>
      </w:r>
    </w:p>
    <w:p w:rsidR="009D1E01" w:rsidRDefault="009D1E01" w:rsidP="00E14934">
      <w:pPr>
        <w:widowControl w:val="0"/>
        <w:autoSpaceDE w:val="0"/>
        <w:autoSpaceDN w:val="0"/>
        <w:adjustRightInd w:val="0"/>
        <w:rPr>
          <w:rFonts w:ascii="Calibri" w:hAnsi="Calibri" w:cs="Calibri"/>
        </w:rPr>
      </w:pPr>
      <w:r>
        <w:rPr>
          <w:rFonts w:ascii="Calibri" w:hAnsi="Calibri" w:cs="Calibri"/>
        </w:rPr>
        <w:t xml:space="preserve">Human trafficking </w:t>
      </w:r>
      <w:r w:rsidR="00E93390">
        <w:rPr>
          <w:rFonts w:ascii="Calibri" w:hAnsi="Calibri" w:cs="Calibri"/>
        </w:rPr>
        <w:t>was also not discussed at length with the Review Team</w:t>
      </w:r>
      <w:r>
        <w:rPr>
          <w:rFonts w:ascii="Calibri" w:hAnsi="Calibri" w:cs="Calibri"/>
        </w:rPr>
        <w:t xml:space="preserve">. </w:t>
      </w:r>
      <w:r w:rsidR="00231831">
        <w:rPr>
          <w:rFonts w:ascii="Calibri" w:hAnsi="Calibri" w:cs="Calibri"/>
        </w:rPr>
        <w:t xml:space="preserve"> </w:t>
      </w:r>
      <w:r w:rsidR="004836EC">
        <w:rPr>
          <w:rFonts w:ascii="Calibri" w:hAnsi="Calibri" w:cs="Calibri"/>
        </w:rPr>
        <w:t>O</w:t>
      </w:r>
      <w:r w:rsidR="00D707DF">
        <w:rPr>
          <w:rFonts w:ascii="Calibri" w:hAnsi="Calibri" w:cs="Calibri"/>
        </w:rPr>
        <w:t xml:space="preserve">ne stakeholder </w:t>
      </w:r>
      <w:r w:rsidR="004836EC">
        <w:rPr>
          <w:rFonts w:ascii="Calibri" w:hAnsi="Calibri" w:cs="Calibri"/>
        </w:rPr>
        <w:t xml:space="preserve">mentioned </w:t>
      </w:r>
      <w:r w:rsidR="00D707DF">
        <w:rPr>
          <w:rFonts w:ascii="Calibri" w:hAnsi="Calibri" w:cs="Calibri"/>
        </w:rPr>
        <w:t>a</w:t>
      </w:r>
      <w:r w:rsidR="00A31360">
        <w:rPr>
          <w:rFonts w:ascii="Calibri" w:hAnsi="Calibri" w:cs="Calibri"/>
        </w:rPr>
        <w:t>n apparent</w:t>
      </w:r>
      <w:r w:rsidR="00D707DF">
        <w:rPr>
          <w:rFonts w:ascii="Calibri" w:hAnsi="Calibri" w:cs="Calibri"/>
        </w:rPr>
        <w:t xml:space="preserve"> decline in the funding of other donors in this area over the past decade</w:t>
      </w:r>
      <w:r w:rsidR="004836EC">
        <w:rPr>
          <w:rFonts w:ascii="Calibri" w:hAnsi="Calibri" w:cs="Calibri"/>
        </w:rPr>
        <w:t>, but apart from this the issue was not raised</w:t>
      </w:r>
      <w:r w:rsidR="00D707DF">
        <w:rPr>
          <w:rFonts w:ascii="Calibri" w:hAnsi="Calibri" w:cs="Calibri"/>
        </w:rPr>
        <w:t xml:space="preserve">.  The Review Team did not </w:t>
      </w:r>
      <w:r w:rsidR="00E93390">
        <w:rPr>
          <w:rFonts w:ascii="Calibri" w:hAnsi="Calibri" w:cs="Calibri"/>
        </w:rPr>
        <w:t xml:space="preserve">have the opportunity to </w:t>
      </w:r>
      <w:r w:rsidR="00D707DF">
        <w:rPr>
          <w:rFonts w:ascii="Calibri" w:hAnsi="Calibri" w:cs="Calibri"/>
        </w:rPr>
        <w:t xml:space="preserve">investigate potential synergies with other AusAID regional </w:t>
      </w:r>
      <w:r w:rsidR="00CC4E5D">
        <w:rPr>
          <w:rFonts w:ascii="Calibri" w:hAnsi="Calibri" w:cs="Calibri"/>
        </w:rPr>
        <w:t xml:space="preserve">trafficking </w:t>
      </w:r>
      <w:r w:rsidR="00D707DF">
        <w:rPr>
          <w:rFonts w:ascii="Calibri" w:hAnsi="Calibri" w:cs="Calibri"/>
        </w:rPr>
        <w:t>programs or the work of other donors.</w:t>
      </w:r>
    </w:p>
    <w:p w:rsidR="00440A92" w:rsidRPr="00374C0B" w:rsidRDefault="00440A92" w:rsidP="00E14934">
      <w:pPr>
        <w:widowControl w:val="0"/>
        <w:autoSpaceDE w:val="0"/>
        <w:autoSpaceDN w:val="0"/>
        <w:adjustRightInd w:val="0"/>
        <w:rPr>
          <w:rFonts w:ascii="Calibri" w:hAnsi="Calibri" w:cs="Calibri"/>
          <w:b/>
        </w:rPr>
      </w:pPr>
      <w:r w:rsidRPr="00374C0B">
        <w:rPr>
          <w:rFonts w:ascii="Calibri" w:hAnsi="Calibri" w:cs="Calibri"/>
          <w:b/>
          <w:u w:val="single"/>
        </w:rPr>
        <w:t>Recommendation</w:t>
      </w:r>
      <w:r w:rsidR="008F37FE">
        <w:rPr>
          <w:rFonts w:ascii="Calibri" w:hAnsi="Calibri" w:cs="Calibri"/>
          <w:b/>
          <w:u w:val="single"/>
        </w:rPr>
        <w:t xml:space="preserve"> 2</w:t>
      </w:r>
      <w:r w:rsidRPr="00374C0B">
        <w:rPr>
          <w:rFonts w:ascii="Calibri" w:hAnsi="Calibri" w:cs="Calibri"/>
          <w:b/>
        </w:rPr>
        <w:t xml:space="preserve">: </w:t>
      </w:r>
      <w:r w:rsidRPr="00374C0B">
        <w:rPr>
          <w:b/>
        </w:rPr>
        <w:t>AIPJ should work with relevant stakeholders to develop a Strategic Framework which, using the original design as a starting point, explains what results AIPJ will achieve and how it will achieve them. The Strategic Framework should align with relevant Indonesian state and civil society policies and organisational plans, and should acknowledge the importance of reformist networks and coalitions.</w:t>
      </w:r>
    </w:p>
    <w:p w:rsidR="005B1CBB" w:rsidRPr="00093F5E" w:rsidRDefault="005B1CBB" w:rsidP="005B1CBB">
      <w:pPr>
        <w:pStyle w:val="Heading2"/>
      </w:pPr>
      <w:bookmarkStart w:id="11" w:name="_Toc345320823"/>
      <w:r w:rsidRPr="00093F5E">
        <w:t>Implementation Arrangements</w:t>
      </w:r>
      <w:bookmarkEnd w:id="11"/>
    </w:p>
    <w:p w:rsidR="005B1CBB" w:rsidRDefault="005B1CBB" w:rsidP="005B1CBB">
      <w:pPr>
        <w:spacing w:line="240" w:lineRule="auto"/>
        <w:rPr>
          <w:rFonts w:cstheme="minorHAnsi"/>
          <w:b/>
          <w:i/>
        </w:rPr>
      </w:pPr>
      <w:r w:rsidRPr="0031018F">
        <w:rPr>
          <w:rFonts w:cstheme="minorHAnsi"/>
          <w:b/>
          <w:i/>
        </w:rPr>
        <w:t>Consider whether AIPJ has adequate resources to deliver the program and whether there is adequate breath of engagement for the purpose of decision making. It will also consider whether there is adequate contestability and clarity of roles and responsibilities within the current program structure.</w:t>
      </w:r>
    </w:p>
    <w:p w:rsidR="0050608B" w:rsidRPr="00402D8D" w:rsidRDefault="0050608B" w:rsidP="0050608B">
      <w:pPr>
        <w:pStyle w:val="Heading3"/>
      </w:pPr>
      <w:bookmarkStart w:id="12" w:name="_Toc345320824"/>
      <w:r>
        <w:t>Resourcing</w:t>
      </w:r>
      <w:bookmarkEnd w:id="12"/>
    </w:p>
    <w:p w:rsidR="001A45D6" w:rsidRDefault="001A45D6" w:rsidP="001A45D6">
      <w:pPr>
        <w:spacing w:line="240" w:lineRule="auto"/>
        <w:rPr>
          <w:rFonts w:cstheme="minorHAnsi"/>
        </w:rPr>
      </w:pPr>
      <w:r>
        <w:rPr>
          <w:rFonts w:cstheme="minorHAnsi"/>
        </w:rPr>
        <w:t xml:space="preserve">AIPJ has </w:t>
      </w:r>
      <w:r w:rsidRPr="00D457E5">
        <w:rPr>
          <w:rFonts w:cstheme="minorHAnsi"/>
        </w:rPr>
        <w:t xml:space="preserve">adequate budget to deliver the program. </w:t>
      </w:r>
      <w:r>
        <w:rPr>
          <w:rFonts w:cstheme="minorHAnsi"/>
        </w:rPr>
        <w:t>However, the</w:t>
      </w:r>
      <w:r w:rsidRPr="00D457E5">
        <w:rPr>
          <w:rFonts w:cstheme="minorHAnsi"/>
        </w:rPr>
        <w:t xml:space="preserve"> program is not </w:t>
      </w:r>
      <w:r>
        <w:rPr>
          <w:rFonts w:cstheme="minorHAnsi"/>
        </w:rPr>
        <w:t xml:space="preserve">currently operating at </w:t>
      </w:r>
      <w:r w:rsidRPr="00D457E5">
        <w:rPr>
          <w:rFonts w:cstheme="minorHAnsi"/>
        </w:rPr>
        <w:t>expected implementation</w:t>
      </w:r>
      <w:r>
        <w:rPr>
          <w:rFonts w:cstheme="minorHAnsi"/>
        </w:rPr>
        <w:t xml:space="preserve"> or </w:t>
      </w:r>
      <w:r w:rsidRPr="00D457E5">
        <w:rPr>
          <w:rFonts w:cstheme="minorHAnsi"/>
        </w:rPr>
        <w:t xml:space="preserve">expenditure levels. This should be </w:t>
      </w:r>
      <w:r>
        <w:rPr>
          <w:rFonts w:cstheme="minorHAnsi"/>
        </w:rPr>
        <w:t>rectified</w:t>
      </w:r>
      <w:r w:rsidRPr="00D457E5">
        <w:rPr>
          <w:rFonts w:cstheme="minorHAnsi"/>
        </w:rPr>
        <w:t xml:space="preserve"> by the </w:t>
      </w:r>
      <w:r>
        <w:rPr>
          <w:rFonts w:cstheme="minorHAnsi"/>
        </w:rPr>
        <w:t xml:space="preserve">PD and ISP </w:t>
      </w:r>
      <w:r w:rsidRPr="00D457E5">
        <w:rPr>
          <w:rFonts w:cstheme="minorHAnsi"/>
        </w:rPr>
        <w:t xml:space="preserve">and advice provided to AusAID and </w:t>
      </w:r>
      <w:proofErr w:type="spellStart"/>
      <w:r w:rsidRPr="00D457E5">
        <w:rPr>
          <w:rFonts w:cstheme="minorHAnsi"/>
        </w:rPr>
        <w:t>Bappenas</w:t>
      </w:r>
      <w:proofErr w:type="spellEnd"/>
      <w:r w:rsidRPr="00D457E5">
        <w:rPr>
          <w:rFonts w:cstheme="minorHAnsi"/>
        </w:rPr>
        <w:t xml:space="preserve"> with forecasts and strategies to ensure expenditure progresses as planned. </w:t>
      </w:r>
    </w:p>
    <w:p w:rsidR="001A45D6" w:rsidRPr="00D457E5" w:rsidRDefault="001A45D6" w:rsidP="001A45D6">
      <w:pPr>
        <w:spacing w:line="240" w:lineRule="auto"/>
        <w:rPr>
          <w:rFonts w:cstheme="minorHAnsi"/>
        </w:rPr>
      </w:pPr>
      <w:r w:rsidRPr="00D457E5">
        <w:rPr>
          <w:rFonts w:cstheme="minorHAnsi"/>
        </w:rPr>
        <w:t xml:space="preserve">The funding requirements are intrinsically linked to the size and scope of the planned activity program.  At this stage the </w:t>
      </w:r>
      <w:r>
        <w:rPr>
          <w:rFonts w:cstheme="minorHAnsi"/>
        </w:rPr>
        <w:t xml:space="preserve">exact </w:t>
      </w:r>
      <w:r w:rsidRPr="00D457E5">
        <w:rPr>
          <w:rFonts w:cstheme="minorHAnsi"/>
        </w:rPr>
        <w:t xml:space="preserve">size and scope of the program </w:t>
      </w:r>
      <w:r>
        <w:rPr>
          <w:rFonts w:cstheme="minorHAnsi"/>
        </w:rPr>
        <w:t>plans are</w:t>
      </w:r>
      <w:r w:rsidRPr="00D457E5">
        <w:rPr>
          <w:rFonts w:cstheme="minorHAnsi"/>
        </w:rPr>
        <w:t xml:space="preserve"> not known or at least understood and given there is potential to increase and broaden the program, more strategic analysis is needed to determine budget requirements (including allocation and rate of expenditure) against size, scope, strategy and deliverables. Until this work is done it is likely that a broadening of the program would further exacerbate the capacity issues within the management of the program.</w:t>
      </w:r>
    </w:p>
    <w:p w:rsidR="00116F39" w:rsidRDefault="00D457E5" w:rsidP="00EC2E25">
      <w:pPr>
        <w:spacing w:line="240" w:lineRule="auto"/>
        <w:rPr>
          <w:rFonts w:cstheme="minorHAnsi"/>
        </w:rPr>
      </w:pPr>
      <w:r>
        <w:rPr>
          <w:rFonts w:cstheme="minorHAnsi"/>
        </w:rPr>
        <w:lastRenderedPageBreak/>
        <w:t xml:space="preserve">It remains uncertain whether AIPJ has adequate </w:t>
      </w:r>
      <w:r w:rsidR="00CD47FA">
        <w:rPr>
          <w:rFonts w:cstheme="minorHAnsi"/>
        </w:rPr>
        <w:t xml:space="preserve">staffing </w:t>
      </w:r>
      <w:r>
        <w:rPr>
          <w:rFonts w:cstheme="minorHAnsi"/>
        </w:rPr>
        <w:t>resources at this stage but i</w:t>
      </w:r>
      <w:r w:rsidR="001562EB">
        <w:rPr>
          <w:rFonts w:cstheme="minorHAnsi"/>
        </w:rPr>
        <w:t>t is clear</w:t>
      </w:r>
      <w:r w:rsidR="00CD47FA">
        <w:rPr>
          <w:rFonts w:cstheme="minorHAnsi"/>
        </w:rPr>
        <w:t xml:space="preserve"> that the program has sufficient funds</w:t>
      </w:r>
      <w:r w:rsidR="001562EB">
        <w:rPr>
          <w:rFonts w:cstheme="minorHAnsi"/>
        </w:rPr>
        <w:t xml:space="preserve">. There </w:t>
      </w:r>
      <w:r w:rsidR="00C1777A">
        <w:rPr>
          <w:rFonts w:cstheme="minorHAnsi"/>
        </w:rPr>
        <w:t xml:space="preserve">was some </w:t>
      </w:r>
      <w:r w:rsidR="001562EB">
        <w:rPr>
          <w:rFonts w:cstheme="minorHAnsi"/>
        </w:rPr>
        <w:t xml:space="preserve">complaint made to the </w:t>
      </w:r>
      <w:r w:rsidR="00EC0DA0">
        <w:rPr>
          <w:rFonts w:cstheme="minorHAnsi"/>
        </w:rPr>
        <w:t>Review Team</w:t>
      </w:r>
      <w:r w:rsidR="001562EB">
        <w:rPr>
          <w:rFonts w:cstheme="minorHAnsi"/>
        </w:rPr>
        <w:t xml:space="preserve"> about </w:t>
      </w:r>
      <w:r w:rsidR="00C1777A">
        <w:rPr>
          <w:rFonts w:cstheme="minorHAnsi"/>
        </w:rPr>
        <w:t xml:space="preserve">staff </w:t>
      </w:r>
      <w:r w:rsidR="001562EB">
        <w:rPr>
          <w:rFonts w:cstheme="minorHAnsi"/>
        </w:rPr>
        <w:t xml:space="preserve">resources. </w:t>
      </w:r>
      <w:r w:rsidR="00C1777A">
        <w:rPr>
          <w:rFonts w:cstheme="minorHAnsi"/>
        </w:rPr>
        <w:t>For example, it was noted that administrative staff had processed around 52 contracts in one month for bureaucratic reform</w:t>
      </w:r>
      <w:r w:rsidR="00587D3F">
        <w:rPr>
          <w:rFonts w:cstheme="minorHAnsi"/>
        </w:rPr>
        <w:t xml:space="preserve"> </w:t>
      </w:r>
      <w:r w:rsidR="00C1777A">
        <w:rPr>
          <w:rFonts w:cstheme="minorHAnsi"/>
        </w:rPr>
        <w:t>activities</w:t>
      </w:r>
      <w:r w:rsidR="00587D3F">
        <w:rPr>
          <w:rFonts w:cstheme="minorHAnsi"/>
        </w:rPr>
        <w:t xml:space="preserve"> </w:t>
      </w:r>
      <w:r w:rsidR="00C1777A">
        <w:rPr>
          <w:rFonts w:cstheme="minorHAnsi"/>
        </w:rPr>
        <w:t>and that this was ‘not sustainable’ going forward.  Also some key positions remain to be filled (</w:t>
      </w:r>
      <w:r w:rsidR="00D35CF0">
        <w:rPr>
          <w:rFonts w:cstheme="minorHAnsi"/>
        </w:rPr>
        <w:t>e.g.</w:t>
      </w:r>
      <w:r w:rsidR="00C1777A">
        <w:rPr>
          <w:rFonts w:cstheme="minorHAnsi"/>
        </w:rPr>
        <w:t xml:space="preserve"> Gender and Human Rights adviser position and</w:t>
      </w:r>
      <w:r w:rsidR="00567F7C">
        <w:rPr>
          <w:rFonts w:cstheme="minorHAnsi"/>
        </w:rPr>
        <w:t xml:space="preserve"> a Monitoring and Evaluation</w:t>
      </w:r>
      <w:r w:rsidR="00C1777A">
        <w:rPr>
          <w:rFonts w:cstheme="minorHAnsi"/>
        </w:rPr>
        <w:t xml:space="preserve"> adviser position).  </w:t>
      </w:r>
      <w:r w:rsidR="00263094">
        <w:rPr>
          <w:rFonts w:cstheme="minorHAnsi"/>
        </w:rPr>
        <w:t>While this could</w:t>
      </w:r>
      <w:r w:rsidR="00EC2E25">
        <w:rPr>
          <w:rFonts w:cstheme="minorHAnsi"/>
        </w:rPr>
        <w:t xml:space="preserve"> be of </w:t>
      </w:r>
      <w:r w:rsidR="00263094">
        <w:rPr>
          <w:rFonts w:cstheme="minorHAnsi"/>
        </w:rPr>
        <w:t xml:space="preserve">some </w:t>
      </w:r>
      <w:r w:rsidR="00EC2E25">
        <w:rPr>
          <w:rFonts w:cstheme="minorHAnsi"/>
        </w:rPr>
        <w:t xml:space="preserve">concern in the short-term, a greater issue however is the lack of </w:t>
      </w:r>
      <w:r w:rsidR="00263094">
        <w:rPr>
          <w:rFonts w:cstheme="minorHAnsi"/>
        </w:rPr>
        <w:t xml:space="preserve">overall </w:t>
      </w:r>
      <w:r w:rsidR="00EC2E25">
        <w:rPr>
          <w:rFonts w:cstheme="minorHAnsi"/>
        </w:rPr>
        <w:t>strategic developmen</w:t>
      </w:r>
      <w:r w:rsidR="00263094">
        <w:rPr>
          <w:rFonts w:cstheme="minorHAnsi"/>
        </w:rPr>
        <w:t>t and management of the program</w:t>
      </w:r>
      <w:r w:rsidR="00567F7C">
        <w:rPr>
          <w:rFonts w:cstheme="minorHAnsi"/>
        </w:rPr>
        <w:t xml:space="preserve"> </w:t>
      </w:r>
      <w:r w:rsidR="009A7639">
        <w:rPr>
          <w:rFonts w:cstheme="minorHAnsi"/>
        </w:rPr>
        <w:t>and there was evidence that</w:t>
      </w:r>
      <w:r w:rsidR="001562EB">
        <w:rPr>
          <w:rFonts w:cstheme="minorHAnsi"/>
        </w:rPr>
        <w:t xml:space="preserve"> the program was not</w:t>
      </w:r>
      <w:r w:rsidR="00AF1E15">
        <w:rPr>
          <w:rFonts w:cstheme="minorHAnsi"/>
        </w:rPr>
        <w:t xml:space="preserve"> on track to operate</w:t>
      </w:r>
      <w:r w:rsidR="001562EB">
        <w:rPr>
          <w:rFonts w:cstheme="minorHAnsi"/>
        </w:rPr>
        <w:t xml:space="preserve"> at expected expenditure levels</w:t>
      </w:r>
      <w:r w:rsidR="00AF1E15">
        <w:rPr>
          <w:rFonts w:cstheme="minorHAnsi"/>
        </w:rPr>
        <w:t xml:space="preserve"> in the forward years</w:t>
      </w:r>
      <w:r w:rsidR="001562EB">
        <w:rPr>
          <w:rFonts w:cstheme="minorHAnsi"/>
        </w:rPr>
        <w:t xml:space="preserve">. This fact should be investigated by the </w:t>
      </w:r>
      <w:r w:rsidR="00B82AEF">
        <w:rPr>
          <w:rFonts w:cstheme="minorHAnsi"/>
        </w:rPr>
        <w:t xml:space="preserve">PD and ISP </w:t>
      </w:r>
      <w:r w:rsidR="001562EB">
        <w:rPr>
          <w:rFonts w:cstheme="minorHAnsi"/>
        </w:rPr>
        <w:t>and advice provided with forecasts and strategies to ensure expenditure progresses as forecasted</w:t>
      </w:r>
      <w:r w:rsidR="009A7639">
        <w:rPr>
          <w:rFonts w:cstheme="minorHAnsi"/>
        </w:rPr>
        <w:t>, together with a value for money analysis of planned activities</w:t>
      </w:r>
      <w:r w:rsidR="001562EB">
        <w:rPr>
          <w:rFonts w:cstheme="minorHAnsi"/>
        </w:rPr>
        <w:t xml:space="preserve">. </w:t>
      </w:r>
    </w:p>
    <w:p w:rsidR="0050608B" w:rsidRDefault="009A7639" w:rsidP="00374C0B">
      <w:pPr>
        <w:widowControl w:val="0"/>
        <w:autoSpaceDE w:val="0"/>
        <w:autoSpaceDN w:val="0"/>
        <w:adjustRightInd w:val="0"/>
        <w:rPr>
          <w:rFonts w:cstheme="minorHAnsi"/>
        </w:rPr>
      </w:pPr>
      <w:r>
        <w:rPr>
          <w:rFonts w:cstheme="minorHAnsi"/>
        </w:rPr>
        <w:t xml:space="preserve">The Review Team found that through greater strategic planning, there is opportunity and scope to expand the AIPJ program, </w:t>
      </w:r>
      <w:r w:rsidR="001562EB">
        <w:rPr>
          <w:rFonts w:cstheme="minorHAnsi"/>
        </w:rPr>
        <w:t>but a deeper analysis</w:t>
      </w:r>
      <w:r>
        <w:rPr>
          <w:rFonts w:cstheme="minorHAnsi"/>
        </w:rPr>
        <w:t xml:space="preserve"> than can be gathered in a two week review mission needs to</w:t>
      </w:r>
      <w:r w:rsidR="001562EB">
        <w:rPr>
          <w:rFonts w:cstheme="minorHAnsi"/>
        </w:rPr>
        <w:t xml:space="preserve"> be undertaken</w:t>
      </w:r>
      <w:r>
        <w:rPr>
          <w:rFonts w:cstheme="minorHAnsi"/>
        </w:rPr>
        <w:t>.</w:t>
      </w:r>
      <w:r w:rsidR="0038411B">
        <w:rPr>
          <w:rFonts w:cstheme="minorHAnsi"/>
        </w:rPr>
        <w:t xml:space="preserve"> A</w:t>
      </w:r>
      <w:r w:rsidR="007E413E">
        <w:rPr>
          <w:rFonts w:cstheme="minorHAnsi"/>
        </w:rPr>
        <w:t xml:space="preserve">ctivity planning including forecasting and costing </w:t>
      </w:r>
      <w:r w:rsidR="001562EB">
        <w:rPr>
          <w:rFonts w:cstheme="minorHAnsi"/>
        </w:rPr>
        <w:t>should</w:t>
      </w:r>
      <w:r>
        <w:rPr>
          <w:rFonts w:cstheme="minorHAnsi"/>
        </w:rPr>
        <w:t xml:space="preserve"> be included in the development of a new </w:t>
      </w:r>
      <w:r w:rsidR="001562EB">
        <w:rPr>
          <w:rFonts w:cstheme="minorHAnsi"/>
        </w:rPr>
        <w:t xml:space="preserve">strategic operating platform for the </w:t>
      </w:r>
      <w:r>
        <w:rPr>
          <w:rFonts w:cstheme="minorHAnsi"/>
        </w:rPr>
        <w:t xml:space="preserve">program. Staff </w:t>
      </w:r>
      <w:r w:rsidR="007E413E">
        <w:rPr>
          <w:rFonts w:cstheme="minorHAnsi"/>
        </w:rPr>
        <w:t>r</w:t>
      </w:r>
      <w:r w:rsidR="0050608B" w:rsidRPr="00211914">
        <w:rPr>
          <w:rFonts w:cstheme="minorHAnsi"/>
        </w:rPr>
        <w:t>esourcing levels</w:t>
      </w:r>
      <w:r>
        <w:rPr>
          <w:rFonts w:cstheme="minorHAnsi"/>
        </w:rPr>
        <w:t xml:space="preserve"> </w:t>
      </w:r>
      <w:r w:rsidR="0050608B" w:rsidRPr="00211914">
        <w:rPr>
          <w:rFonts w:cstheme="minorHAnsi"/>
        </w:rPr>
        <w:t>should</w:t>
      </w:r>
      <w:r>
        <w:rPr>
          <w:rFonts w:cstheme="minorHAnsi"/>
        </w:rPr>
        <w:t xml:space="preserve"> also</w:t>
      </w:r>
      <w:r w:rsidR="0050608B" w:rsidRPr="00211914">
        <w:rPr>
          <w:rFonts w:cstheme="minorHAnsi"/>
        </w:rPr>
        <w:t xml:space="preserve"> be assessed as part of th</w:t>
      </w:r>
      <w:r>
        <w:rPr>
          <w:rFonts w:cstheme="minorHAnsi"/>
        </w:rPr>
        <w:t>is</w:t>
      </w:r>
      <w:r w:rsidR="0050608B" w:rsidRPr="00211914">
        <w:rPr>
          <w:rFonts w:cstheme="minorHAnsi"/>
        </w:rPr>
        <w:t xml:space="preserve"> strategic development</w:t>
      </w:r>
      <w:r>
        <w:rPr>
          <w:rFonts w:cstheme="minorHAnsi"/>
        </w:rPr>
        <w:t xml:space="preserve">, and should be based on what is required to deliver the AIPJ work plan. The </w:t>
      </w:r>
      <w:r w:rsidR="0050608B">
        <w:rPr>
          <w:rFonts w:cstheme="minorHAnsi"/>
        </w:rPr>
        <w:t>AIPJ</w:t>
      </w:r>
      <w:r>
        <w:rPr>
          <w:rFonts w:cstheme="minorHAnsi"/>
        </w:rPr>
        <w:t xml:space="preserve"> PD and the ISP s</w:t>
      </w:r>
      <w:r w:rsidR="0050608B">
        <w:rPr>
          <w:rFonts w:cstheme="minorHAnsi"/>
        </w:rPr>
        <w:t>hould make this assessment and make recommendations to</w:t>
      </w:r>
      <w:r>
        <w:rPr>
          <w:rFonts w:cstheme="minorHAnsi"/>
        </w:rPr>
        <w:t xml:space="preserve"> AusAID</w:t>
      </w:r>
      <w:r w:rsidR="0050608B">
        <w:rPr>
          <w:rFonts w:cstheme="minorHAnsi"/>
        </w:rPr>
        <w:t xml:space="preserve"> for approval. </w:t>
      </w:r>
    </w:p>
    <w:p w:rsidR="00965842" w:rsidRDefault="00822FDB" w:rsidP="005B1CBB">
      <w:pPr>
        <w:spacing w:line="240" w:lineRule="auto"/>
        <w:rPr>
          <w:rFonts w:cstheme="minorHAnsi"/>
        </w:rPr>
      </w:pPr>
      <w:r>
        <w:rPr>
          <w:rFonts w:cstheme="minorHAnsi"/>
        </w:rPr>
        <w:t>T</w:t>
      </w:r>
      <w:r w:rsidR="0050608B">
        <w:rPr>
          <w:rFonts w:cstheme="minorHAnsi"/>
        </w:rPr>
        <w:t xml:space="preserve">he </w:t>
      </w:r>
      <w:r>
        <w:rPr>
          <w:rFonts w:cstheme="minorHAnsi"/>
        </w:rPr>
        <w:t xml:space="preserve">annual </w:t>
      </w:r>
      <w:r w:rsidR="0050608B">
        <w:rPr>
          <w:rFonts w:cstheme="minorHAnsi"/>
        </w:rPr>
        <w:t xml:space="preserve">budget allocation for each of the </w:t>
      </w:r>
      <w:r w:rsidR="00D35426">
        <w:rPr>
          <w:rFonts w:cstheme="minorHAnsi"/>
        </w:rPr>
        <w:t xml:space="preserve">current </w:t>
      </w:r>
      <w:r w:rsidR="0050608B">
        <w:rPr>
          <w:rFonts w:cstheme="minorHAnsi"/>
        </w:rPr>
        <w:t>interventions</w:t>
      </w:r>
      <w:r w:rsidR="00322BBD">
        <w:rPr>
          <w:rFonts w:cstheme="minorHAnsi"/>
        </w:rPr>
        <w:t xml:space="preserve"> </w:t>
      </w:r>
      <w:r>
        <w:rPr>
          <w:rFonts w:cstheme="minorHAnsi"/>
        </w:rPr>
        <w:t xml:space="preserve">is </w:t>
      </w:r>
      <w:r w:rsidR="002A78FF">
        <w:rPr>
          <w:rFonts w:cstheme="minorHAnsi"/>
        </w:rPr>
        <w:t xml:space="preserve">outlined </w:t>
      </w:r>
      <w:r>
        <w:rPr>
          <w:rFonts w:cstheme="minorHAnsi"/>
        </w:rPr>
        <w:t xml:space="preserve">in AIPJ’s 2012 Annual </w:t>
      </w:r>
      <w:r w:rsidR="00BD47C8">
        <w:rPr>
          <w:rFonts w:cstheme="minorHAnsi"/>
        </w:rPr>
        <w:t>Plan;</w:t>
      </w:r>
      <w:r w:rsidR="0050608B">
        <w:rPr>
          <w:rFonts w:cstheme="minorHAnsi"/>
        </w:rPr>
        <w:t xml:space="preserve"> </w:t>
      </w:r>
      <w:r>
        <w:rPr>
          <w:rFonts w:cstheme="minorHAnsi"/>
        </w:rPr>
        <w:t>however</w:t>
      </w:r>
      <w:r w:rsidR="002A78FF">
        <w:rPr>
          <w:rFonts w:cstheme="minorHAnsi"/>
        </w:rPr>
        <w:t xml:space="preserve"> </w:t>
      </w:r>
      <w:r>
        <w:rPr>
          <w:rFonts w:cstheme="minorHAnsi"/>
        </w:rPr>
        <w:t>budget allocation</w:t>
      </w:r>
      <w:r w:rsidR="00263094">
        <w:rPr>
          <w:rFonts w:cstheme="minorHAnsi"/>
        </w:rPr>
        <w:t xml:space="preserve"> </w:t>
      </w:r>
      <w:r w:rsidR="009963FE">
        <w:rPr>
          <w:rFonts w:cstheme="minorHAnsi"/>
        </w:rPr>
        <w:t>against</w:t>
      </w:r>
      <w:r w:rsidR="002A78FF">
        <w:rPr>
          <w:rFonts w:cstheme="minorHAnsi"/>
        </w:rPr>
        <w:t xml:space="preserve"> the </w:t>
      </w:r>
      <w:r w:rsidR="0050608B">
        <w:rPr>
          <w:rFonts w:cstheme="minorHAnsi"/>
        </w:rPr>
        <w:t xml:space="preserve">delivery of </w:t>
      </w:r>
      <w:r w:rsidR="002A78FF">
        <w:rPr>
          <w:rFonts w:cstheme="minorHAnsi"/>
        </w:rPr>
        <w:t xml:space="preserve">AIPJ </w:t>
      </w:r>
      <w:r w:rsidR="0050608B">
        <w:rPr>
          <w:rFonts w:cstheme="minorHAnsi"/>
        </w:rPr>
        <w:t>outcome</w:t>
      </w:r>
      <w:r>
        <w:rPr>
          <w:rFonts w:cstheme="minorHAnsi"/>
        </w:rPr>
        <w:t>s for future years</w:t>
      </w:r>
      <w:r w:rsidR="002A78FF">
        <w:rPr>
          <w:rFonts w:cstheme="minorHAnsi"/>
        </w:rPr>
        <w:t xml:space="preserve"> has not been </w:t>
      </w:r>
      <w:r w:rsidR="009963FE">
        <w:rPr>
          <w:rFonts w:cstheme="minorHAnsi"/>
        </w:rPr>
        <w:t>fully devised</w:t>
      </w:r>
      <w:r w:rsidR="0050608B">
        <w:rPr>
          <w:rFonts w:cstheme="minorHAnsi"/>
        </w:rPr>
        <w:t xml:space="preserve">. Partners did not display knowledge about the overall budget process; how it is developed, the quantum and the apportionment strategy.  </w:t>
      </w:r>
      <w:r w:rsidR="004151C9">
        <w:rPr>
          <w:rFonts w:cstheme="minorHAnsi"/>
        </w:rPr>
        <w:t>The Review Team found that t</w:t>
      </w:r>
      <w:r w:rsidR="0050608B">
        <w:rPr>
          <w:rFonts w:cstheme="minorHAnsi"/>
        </w:rPr>
        <w:t xml:space="preserve">he budget process is not </w:t>
      </w:r>
      <w:r w:rsidR="004151C9">
        <w:rPr>
          <w:rFonts w:cstheme="minorHAnsi"/>
        </w:rPr>
        <w:t xml:space="preserve">sufficiently </w:t>
      </w:r>
      <w:r w:rsidR="0050608B">
        <w:rPr>
          <w:rFonts w:cstheme="minorHAnsi"/>
        </w:rPr>
        <w:t xml:space="preserve">transparent to all partners. </w:t>
      </w:r>
    </w:p>
    <w:p w:rsidR="0050608B" w:rsidRPr="00B23DD3" w:rsidRDefault="0050608B" w:rsidP="0050608B">
      <w:pPr>
        <w:pStyle w:val="Heading3"/>
      </w:pPr>
      <w:bookmarkStart w:id="13" w:name="_Toc345320825"/>
      <w:r w:rsidRPr="00B23DD3">
        <w:t>Breadth of Engagement and Discourse</w:t>
      </w:r>
      <w:bookmarkEnd w:id="13"/>
    </w:p>
    <w:p w:rsidR="0050608B" w:rsidRPr="00EF1F1C" w:rsidRDefault="009963FE" w:rsidP="0050608B">
      <w:pPr>
        <w:rPr>
          <w:rFonts w:cstheme="minorHAnsi"/>
        </w:rPr>
      </w:pPr>
      <w:r>
        <w:rPr>
          <w:rFonts w:cstheme="minorHAnsi"/>
        </w:rPr>
        <w:t>AIPJ</w:t>
      </w:r>
      <w:r w:rsidR="0050608B" w:rsidRPr="00EF1F1C">
        <w:rPr>
          <w:rFonts w:cstheme="minorHAnsi"/>
        </w:rPr>
        <w:t xml:space="preserve"> should make better use of the</w:t>
      </w:r>
      <w:r>
        <w:rPr>
          <w:rFonts w:cstheme="minorHAnsi"/>
        </w:rPr>
        <w:t xml:space="preserve"> skills and experience of the staff within </w:t>
      </w:r>
      <w:r w:rsidR="005F155A">
        <w:rPr>
          <w:rFonts w:cstheme="minorHAnsi"/>
        </w:rPr>
        <w:t xml:space="preserve">the </w:t>
      </w:r>
      <w:r>
        <w:rPr>
          <w:rFonts w:cstheme="minorHAnsi"/>
        </w:rPr>
        <w:t xml:space="preserve">ISP team as well as external </w:t>
      </w:r>
      <w:r w:rsidR="0050608B" w:rsidRPr="00EF1F1C">
        <w:rPr>
          <w:rFonts w:cstheme="minorHAnsi"/>
        </w:rPr>
        <w:t>expertise</w:t>
      </w:r>
      <w:r w:rsidR="0050608B">
        <w:rPr>
          <w:rFonts w:cstheme="minorHAnsi"/>
        </w:rPr>
        <w:t xml:space="preserve"> to improve the strategic development and implementation </w:t>
      </w:r>
      <w:r>
        <w:rPr>
          <w:rFonts w:cstheme="minorHAnsi"/>
        </w:rPr>
        <w:t xml:space="preserve">of the </w:t>
      </w:r>
      <w:r w:rsidR="0050608B">
        <w:rPr>
          <w:rFonts w:cstheme="minorHAnsi"/>
        </w:rPr>
        <w:t>program</w:t>
      </w:r>
      <w:r w:rsidR="0050608B" w:rsidRPr="00EF1F1C">
        <w:rPr>
          <w:rFonts w:cstheme="minorHAnsi"/>
        </w:rPr>
        <w:t xml:space="preserve">. The complexities of </w:t>
      </w:r>
      <w:r>
        <w:rPr>
          <w:rFonts w:cstheme="minorHAnsi"/>
        </w:rPr>
        <w:t xml:space="preserve">a law and justice </w:t>
      </w:r>
      <w:r w:rsidR="0050608B" w:rsidRPr="00EF1F1C">
        <w:rPr>
          <w:rFonts w:cstheme="minorHAnsi"/>
        </w:rPr>
        <w:t xml:space="preserve">program </w:t>
      </w:r>
      <w:r w:rsidR="005F155A">
        <w:rPr>
          <w:rFonts w:cstheme="minorHAnsi"/>
        </w:rPr>
        <w:t xml:space="preserve">are </w:t>
      </w:r>
      <w:r w:rsidR="006E4A4A">
        <w:rPr>
          <w:rFonts w:cstheme="minorHAnsi"/>
        </w:rPr>
        <w:t>difficult</w:t>
      </w:r>
      <w:r w:rsidR="0050608B" w:rsidRPr="00EF1F1C">
        <w:rPr>
          <w:rFonts w:cstheme="minorHAnsi"/>
        </w:rPr>
        <w:t xml:space="preserve"> to address by a single or even small group of persons.</w:t>
      </w:r>
      <w:r>
        <w:rPr>
          <w:rFonts w:cstheme="minorHAnsi"/>
        </w:rPr>
        <w:t xml:space="preserve"> If confined to only a small group of persons, the program is denied </w:t>
      </w:r>
      <w:r w:rsidR="0050608B" w:rsidRPr="00EF1F1C">
        <w:rPr>
          <w:rFonts w:cstheme="minorHAnsi"/>
        </w:rPr>
        <w:t xml:space="preserve">the </w:t>
      </w:r>
      <w:r w:rsidR="005F155A" w:rsidRPr="00EF1F1C">
        <w:rPr>
          <w:rFonts w:cstheme="minorHAnsi"/>
        </w:rPr>
        <w:t>rich</w:t>
      </w:r>
      <w:r w:rsidR="005F155A">
        <w:rPr>
          <w:rFonts w:cstheme="minorHAnsi"/>
        </w:rPr>
        <w:t>n</w:t>
      </w:r>
      <w:r w:rsidR="005F155A" w:rsidRPr="00EF1F1C">
        <w:rPr>
          <w:rFonts w:cstheme="minorHAnsi"/>
        </w:rPr>
        <w:t>ess</w:t>
      </w:r>
      <w:r w:rsidR="00BD47C8" w:rsidRPr="00EF1F1C">
        <w:rPr>
          <w:rFonts w:cstheme="minorHAnsi"/>
        </w:rPr>
        <w:t>;</w:t>
      </w:r>
      <w:r w:rsidR="0050608B" w:rsidRPr="00EF1F1C">
        <w:rPr>
          <w:rFonts w:cstheme="minorHAnsi"/>
        </w:rPr>
        <w:t xml:space="preserve"> versatility and leverage </w:t>
      </w:r>
      <w:r>
        <w:rPr>
          <w:rFonts w:cstheme="minorHAnsi"/>
        </w:rPr>
        <w:t xml:space="preserve">that </w:t>
      </w:r>
      <w:r w:rsidR="0050608B" w:rsidRPr="00EF1F1C">
        <w:rPr>
          <w:rFonts w:cstheme="minorHAnsi"/>
        </w:rPr>
        <w:t xml:space="preserve">large </w:t>
      </w:r>
      <w:r>
        <w:rPr>
          <w:rFonts w:cstheme="minorHAnsi"/>
        </w:rPr>
        <w:t xml:space="preserve">and complex </w:t>
      </w:r>
      <w:r w:rsidR="0050608B" w:rsidRPr="00EF1F1C">
        <w:rPr>
          <w:rFonts w:cstheme="minorHAnsi"/>
        </w:rPr>
        <w:t>programs</w:t>
      </w:r>
      <w:r>
        <w:rPr>
          <w:rFonts w:cstheme="minorHAnsi"/>
        </w:rPr>
        <w:t xml:space="preserve"> need to succeed</w:t>
      </w:r>
      <w:r w:rsidR="0050608B" w:rsidRPr="00EF1F1C">
        <w:rPr>
          <w:rFonts w:cstheme="minorHAnsi"/>
        </w:rPr>
        <w:t xml:space="preserve">. Overreliance on few people with </w:t>
      </w:r>
      <w:r>
        <w:rPr>
          <w:rFonts w:cstheme="minorHAnsi"/>
        </w:rPr>
        <w:t>little to no</w:t>
      </w:r>
      <w:r w:rsidR="0050608B" w:rsidRPr="00EF1F1C">
        <w:rPr>
          <w:rFonts w:cstheme="minorHAnsi"/>
        </w:rPr>
        <w:t xml:space="preserve"> contestability both inside and outside the program also carries significant risks. </w:t>
      </w:r>
      <w:r>
        <w:rPr>
          <w:rFonts w:cstheme="minorHAnsi"/>
        </w:rPr>
        <w:t>AIPJ is operating</w:t>
      </w:r>
      <w:r w:rsidR="0050608B" w:rsidRPr="00EF1F1C">
        <w:rPr>
          <w:rFonts w:cstheme="minorHAnsi"/>
        </w:rPr>
        <w:t xml:space="preserve"> in a multi-layered field where the formal legal system interacts with bureaucratic as well as social and political dynamics. The premise of the current approach</w:t>
      </w:r>
      <w:r>
        <w:rPr>
          <w:rFonts w:cstheme="minorHAnsi"/>
        </w:rPr>
        <w:t xml:space="preserve"> taken by the PD and the ISP</w:t>
      </w:r>
      <w:r w:rsidR="0050608B" w:rsidRPr="00EF1F1C">
        <w:rPr>
          <w:rFonts w:cstheme="minorHAnsi"/>
        </w:rPr>
        <w:t xml:space="preserve"> is </w:t>
      </w:r>
      <w:r w:rsidR="0050608B">
        <w:rPr>
          <w:rFonts w:cstheme="minorHAnsi"/>
        </w:rPr>
        <w:t xml:space="preserve">that </w:t>
      </w:r>
      <w:r w:rsidR="0050608B" w:rsidRPr="00EF1F1C">
        <w:rPr>
          <w:rFonts w:cstheme="minorHAnsi"/>
        </w:rPr>
        <w:t>a good idea will be recognized on its own merits, and that academic knowledge suffices</w:t>
      </w:r>
      <w:r w:rsidR="0050608B">
        <w:rPr>
          <w:rFonts w:cstheme="minorHAnsi"/>
        </w:rPr>
        <w:t xml:space="preserve"> to make a program go forward</w:t>
      </w:r>
      <w:r>
        <w:rPr>
          <w:rFonts w:cstheme="minorHAnsi"/>
        </w:rPr>
        <w:t>, however the r</w:t>
      </w:r>
      <w:r w:rsidR="0050608B" w:rsidRPr="00EF1F1C">
        <w:rPr>
          <w:rFonts w:cstheme="minorHAnsi"/>
        </w:rPr>
        <w:t xml:space="preserve">eality is different. </w:t>
      </w:r>
    </w:p>
    <w:p w:rsidR="0050608B" w:rsidRDefault="0050608B" w:rsidP="0050608B">
      <w:pPr>
        <w:spacing w:line="240" w:lineRule="auto"/>
        <w:rPr>
          <w:rFonts w:cstheme="minorHAnsi"/>
        </w:rPr>
      </w:pPr>
      <w:r w:rsidRPr="00EF1F1C">
        <w:rPr>
          <w:rFonts w:cstheme="minorHAnsi"/>
        </w:rPr>
        <w:t>Regardless of their actual merit, for ideas to go forward, they need to be more broadly embedded in the field dynamics, answering and accommodating stakeholder interests. It</w:t>
      </w:r>
      <w:r w:rsidR="00135007">
        <w:rPr>
          <w:rFonts w:cstheme="minorHAnsi"/>
        </w:rPr>
        <w:t xml:space="preserve"> is</w:t>
      </w:r>
      <w:r w:rsidRPr="00EF1F1C">
        <w:rPr>
          <w:rFonts w:cstheme="minorHAnsi"/>
        </w:rPr>
        <w:t xml:space="preserve"> therefore critical that the program strengthens its discourse, both internally (</w:t>
      </w:r>
      <w:r w:rsidRPr="00951A15">
        <w:rPr>
          <w:rFonts w:cstheme="minorHAnsi"/>
        </w:rPr>
        <w:t>by creating more space for staff to give inpu</w:t>
      </w:r>
      <w:r w:rsidR="001854BA">
        <w:rPr>
          <w:rFonts w:cstheme="minorHAnsi"/>
        </w:rPr>
        <w:t>t and</w:t>
      </w:r>
      <w:r w:rsidRPr="00951A15">
        <w:rPr>
          <w:rFonts w:cstheme="minorHAnsi"/>
        </w:rPr>
        <w:t xml:space="preserve"> develop agendas)</w:t>
      </w:r>
      <w:r w:rsidRPr="00951A15">
        <w:rPr>
          <w:rStyle w:val="FootnoteReference"/>
          <w:rFonts w:cstheme="minorHAnsi"/>
        </w:rPr>
        <w:footnoteReference w:id="15"/>
      </w:r>
      <w:r w:rsidRPr="00EF1F1C">
        <w:rPr>
          <w:rFonts w:cstheme="minorHAnsi"/>
        </w:rPr>
        <w:t xml:space="preserve"> and </w:t>
      </w:r>
      <w:r w:rsidR="00D35CF0" w:rsidRPr="00EF1F1C">
        <w:rPr>
          <w:rFonts w:cstheme="minorHAnsi"/>
        </w:rPr>
        <w:t>externally.</w:t>
      </w:r>
      <w:r w:rsidR="00D35CF0">
        <w:rPr>
          <w:rFonts w:cstheme="minorHAnsi"/>
        </w:rPr>
        <w:t xml:space="preserve"> The</w:t>
      </w:r>
      <w:r>
        <w:rPr>
          <w:rFonts w:cstheme="minorHAnsi"/>
        </w:rPr>
        <w:t xml:space="preserve"> </w:t>
      </w:r>
      <w:r w:rsidR="00EC0DA0">
        <w:rPr>
          <w:rFonts w:cstheme="minorHAnsi"/>
        </w:rPr>
        <w:t>Review Team</w:t>
      </w:r>
      <w:r>
        <w:rPr>
          <w:rFonts w:cstheme="minorHAnsi"/>
        </w:rPr>
        <w:t xml:space="preserve"> </w:t>
      </w:r>
      <w:r w:rsidR="001854BA">
        <w:rPr>
          <w:rFonts w:cstheme="minorHAnsi"/>
        </w:rPr>
        <w:t>believes that AIPJ</w:t>
      </w:r>
      <w:r>
        <w:rPr>
          <w:rFonts w:cstheme="minorHAnsi"/>
        </w:rPr>
        <w:t xml:space="preserve"> staff </w:t>
      </w:r>
      <w:r w:rsidR="001854BA">
        <w:rPr>
          <w:rFonts w:cstheme="minorHAnsi"/>
        </w:rPr>
        <w:t>could have m</w:t>
      </w:r>
      <w:r>
        <w:rPr>
          <w:rFonts w:cstheme="minorHAnsi"/>
        </w:rPr>
        <w:t xml:space="preserve">ore to offer within a stronger team environment. </w:t>
      </w:r>
    </w:p>
    <w:p w:rsidR="0050608B" w:rsidRDefault="0050608B" w:rsidP="005B1CBB">
      <w:pPr>
        <w:spacing w:line="240" w:lineRule="auto"/>
      </w:pPr>
      <w:r>
        <w:lastRenderedPageBreak/>
        <w:t xml:space="preserve">The consultative process within the program, </w:t>
      </w:r>
      <w:r w:rsidR="00F16148">
        <w:t xml:space="preserve">regarding </w:t>
      </w:r>
      <w:r>
        <w:t xml:space="preserve">the development of activities, </w:t>
      </w:r>
      <w:r w:rsidR="001854BA">
        <w:t>needs to</w:t>
      </w:r>
      <w:r>
        <w:t xml:space="preserve"> be strengthened with an aim to enrich the internal discourse, to better embed the program in the broader ongoing reform dynamic recognizing and to optimize the experience and expertise of technical experts for the benefit of the program. </w:t>
      </w:r>
    </w:p>
    <w:p w:rsidR="001B5207" w:rsidRDefault="001B5207" w:rsidP="001B5207">
      <w:pPr>
        <w:spacing w:line="240" w:lineRule="auto"/>
        <w:rPr>
          <w:b/>
        </w:rPr>
      </w:pPr>
      <w:r w:rsidRPr="00374C0B">
        <w:rPr>
          <w:rFonts w:cstheme="minorHAnsi"/>
          <w:b/>
          <w:u w:val="single"/>
        </w:rPr>
        <w:t>Recommendation</w:t>
      </w:r>
      <w:r w:rsidR="008F37FE">
        <w:rPr>
          <w:rFonts w:cstheme="minorHAnsi"/>
          <w:b/>
          <w:u w:val="single"/>
        </w:rPr>
        <w:t xml:space="preserve"> </w:t>
      </w:r>
      <w:r w:rsidR="009F69A2">
        <w:rPr>
          <w:rFonts w:cstheme="minorHAnsi"/>
          <w:b/>
          <w:u w:val="single"/>
        </w:rPr>
        <w:t>3</w:t>
      </w:r>
      <w:r w:rsidRPr="00374C0B">
        <w:rPr>
          <w:rFonts w:cstheme="minorHAnsi"/>
          <w:b/>
        </w:rPr>
        <w:t xml:space="preserve">: </w:t>
      </w:r>
      <w:r w:rsidRPr="00374C0B">
        <w:rPr>
          <w:b/>
        </w:rPr>
        <w:t>AIPJ should establish communication protocols which ensure constant discourse with partners (both in Indonesia and Australia) and a consultative annual planning process. A budget forecast for the remainder of the program should be produced and shared with key stakeholders.</w:t>
      </w:r>
    </w:p>
    <w:p w:rsidR="00116F39" w:rsidRPr="00116F39" w:rsidRDefault="00116F39" w:rsidP="00116F39">
      <w:pPr>
        <w:spacing w:line="240" w:lineRule="auto"/>
        <w:rPr>
          <w:rFonts w:cstheme="minorHAnsi"/>
        </w:rPr>
      </w:pPr>
      <w:r w:rsidRPr="00116F39">
        <w:rPr>
          <w:rFonts w:cstheme="minorHAnsi"/>
        </w:rPr>
        <w:t xml:space="preserve">AIPJ </w:t>
      </w:r>
      <w:r w:rsidR="00AE781A">
        <w:rPr>
          <w:rFonts w:cstheme="minorHAnsi"/>
        </w:rPr>
        <w:t xml:space="preserve">should </w:t>
      </w:r>
      <w:r w:rsidRPr="00116F39">
        <w:rPr>
          <w:rFonts w:cstheme="minorHAnsi"/>
        </w:rPr>
        <w:t xml:space="preserve">engage in structured consultation with senior and experienced domestic and international reformers on whose experience the program can draw and who in turn can give the program </w:t>
      </w:r>
      <w:r w:rsidR="001854BA">
        <w:rPr>
          <w:rFonts w:cstheme="minorHAnsi"/>
        </w:rPr>
        <w:t xml:space="preserve">the </w:t>
      </w:r>
      <w:r w:rsidRPr="00116F39">
        <w:rPr>
          <w:rFonts w:cstheme="minorHAnsi"/>
        </w:rPr>
        <w:t>constituency support</w:t>
      </w:r>
      <w:r w:rsidR="001854BA">
        <w:rPr>
          <w:rFonts w:cstheme="minorHAnsi"/>
        </w:rPr>
        <w:t xml:space="preserve"> it needs to succeed</w:t>
      </w:r>
      <w:r w:rsidRPr="00116F39">
        <w:rPr>
          <w:rFonts w:cstheme="minorHAnsi"/>
        </w:rPr>
        <w:t>. This c</w:t>
      </w:r>
      <w:r w:rsidR="001854BA">
        <w:rPr>
          <w:rFonts w:cstheme="minorHAnsi"/>
        </w:rPr>
        <w:t>ould</w:t>
      </w:r>
      <w:r w:rsidRPr="00116F39">
        <w:rPr>
          <w:rFonts w:cstheme="minorHAnsi"/>
        </w:rPr>
        <w:t xml:space="preserve"> take the form of an advisory board</w:t>
      </w:r>
      <w:r w:rsidR="00D35426">
        <w:rPr>
          <w:rFonts w:cstheme="minorHAnsi"/>
        </w:rPr>
        <w:t xml:space="preserve"> or panel</w:t>
      </w:r>
      <w:r w:rsidR="001854BA">
        <w:rPr>
          <w:rFonts w:cstheme="minorHAnsi"/>
        </w:rPr>
        <w:t xml:space="preserve"> and </w:t>
      </w:r>
      <w:r w:rsidRPr="00116F39">
        <w:rPr>
          <w:rFonts w:cstheme="minorHAnsi"/>
        </w:rPr>
        <w:t>should be properly constituted and employed (unlike the previous experience</w:t>
      </w:r>
      <w:r w:rsidR="001854BA">
        <w:rPr>
          <w:rFonts w:cstheme="minorHAnsi"/>
        </w:rPr>
        <w:t xml:space="preserve"> under the Indonesia Australia Legal Development Facility (IALDF)</w:t>
      </w:r>
      <w:r w:rsidRPr="00116F39">
        <w:rPr>
          <w:rFonts w:cstheme="minorHAnsi"/>
        </w:rPr>
        <w:t>). Structured consultation with</w:t>
      </w:r>
      <w:r w:rsidR="00EA2090">
        <w:rPr>
          <w:rFonts w:cstheme="minorHAnsi"/>
        </w:rPr>
        <w:t xml:space="preserve"> </w:t>
      </w:r>
      <w:r w:rsidRPr="00116F39">
        <w:rPr>
          <w:rFonts w:cstheme="minorHAnsi"/>
        </w:rPr>
        <w:t xml:space="preserve">senior and experienced domestic reformers will enrich the program, provide constituency support, and raise comfort levels with both partners and AusAID.  Such a group of senior and experienced advisors will not just help enrich the program and focus program strategy, but will also </w:t>
      </w:r>
      <w:r w:rsidR="001854BA">
        <w:rPr>
          <w:rFonts w:cstheme="minorHAnsi"/>
        </w:rPr>
        <w:t>improve</w:t>
      </w:r>
      <w:r w:rsidRPr="00116F39">
        <w:rPr>
          <w:rFonts w:cstheme="minorHAnsi"/>
        </w:rPr>
        <w:t xml:space="preserve"> communication between the program and</w:t>
      </w:r>
      <w:r w:rsidR="001854BA">
        <w:rPr>
          <w:rFonts w:cstheme="minorHAnsi"/>
        </w:rPr>
        <w:t xml:space="preserve"> its</w:t>
      </w:r>
      <w:r w:rsidRPr="00116F39">
        <w:rPr>
          <w:rFonts w:cstheme="minorHAnsi"/>
        </w:rPr>
        <w:t xml:space="preserve"> partners, as well as AusAID. If such a group is properly engaged</w:t>
      </w:r>
      <w:r w:rsidR="00832A0B">
        <w:rPr>
          <w:rStyle w:val="FootnoteReference"/>
          <w:rFonts w:cstheme="minorHAnsi"/>
        </w:rPr>
        <w:footnoteReference w:id="16"/>
      </w:r>
      <w:r w:rsidRPr="00116F39">
        <w:rPr>
          <w:rFonts w:cstheme="minorHAnsi"/>
        </w:rPr>
        <w:t xml:space="preserve">, it will replace the current one-to-one rapport between </w:t>
      </w:r>
      <w:r w:rsidR="001854BA">
        <w:rPr>
          <w:rFonts w:cstheme="minorHAnsi"/>
        </w:rPr>
        <w:t>AIPJ</w:t>
      </w:r>
      <w:r w:rsidR="001854BA" w:rsidRPr="00116F39">
        <w:rPr>
          <w:rFonts w:cstheme="minorHAnsi"/>
        </w:rPr>
        <w:t xml:space="preserve"> </w:t>
      </w:r>
      <w:r w:rsidRPr="00116F39">
        <w:rPr>
          <w:rFonts w:cstheme="minorHAnsi"/>
        </w:rPr>
        <w:t>management and partners</w:t>
      </w:r>
      <w:r w:rsidR="00EA2090">
        <w:rPr>
          <w:rFonts w:cstheme="minorHAnsi"/>
        </w:rPr>
        <w:t xml:space="preserve"> (</w:t>
      </w:r>
      <w:r w:rsidRPr="00116F39">
        <w:rPr>
          <w:rFonts w:cstheme="minorHAnsi"/>
        </w:rPr>
        <w:t xml:space="preserve">or </w:t>
      </w:r>
      <w:r w:rsidR="00EA2090">
        <w:rPr>
          <w:rFonts w:cstheme="minorHAnsi"/>
        </w:rPr>
        <w:t xml:space="preserve">with </w:t>
      </w:r>
      <w:r w:rsidRPr="00116F39">
        <w:rPr>
          <w:rFonts w:cstheme="minorHAnsi"/>
        </w:rPr>
        <w:t>AusAID as the case may be</w:t>
      </w:r>
      <w:r w:rsidR="00EA2090">
        <w:rPr>
          <w:rFonts w:cstheme="minorHAnsi"/>
        </w:rPr>
        <w:t>)</w:t>
      </w:r>
      <w:r w:rsidRPr="00116F39">
        <w:rPr>
          <w:rFonts w:cstheme="minorHAnsi"/>
        </w:rPr>
        <w:t xml:space="preserve"> with a triangular rapport</w:t>
      </w:r>
      <w:r w:rsidR="00EA2090">
        <w:rPr>
          <w:rFonts w:cstheme="minorHAnsi"/>
        </w:rPr>
        <w:t xml:space="preserve">. This means that </w:t>
      </w:r>
      <w:r w:rsidRPr="00116F39">
        <w:rPr>
          <w:rFonts w:cstheme="minorHAnsi"/>
        </w:rPr>
        <w:t xml:space="preserve">AIPJ </w:t>
      </w:r>
      <w:r w:rsidR="00EA2090">
        <w:rPr>
          <w:rFonts w:cstheme="minorHAnsi"/>
        </w:rPr>
        <w:t>planning and decision making w</w:t>
      </w:r>
      <w:r w:rsidRPr="00116F39">
        <w:rPr>
          <w:rFonts w:cstheme="minorHAnsi"/>
        </w:rPr>
        <w:t xml:space="preserve">ill have been first processed and vetted by </w:t>
      </w:r>
      <w:r w:rsidR="00EA2090">
        <w:rPr>
          <w:rFonts w:cstheme="minorHAnsi"/>
        </w:rPr>
        <w:t xml:space="preserve">an experienced team of </w:t>
      </w:r>
      <w:r w:rsidRPr="00116F39">
        <w:rPr>
          <w:rFonts w:cstheme="minorHAnsi"/>
        </w:rPr>
        <w:t xml:space="preserve">advisors, who also can be called upon by partners (or AusAID, as the case may be) for information, or more generally, to explore program strategy. </w:t>
      </w:r>
    </w:p>
    <w:p w:rsidR="00116F39" w:rsidRDefault="00116F39" w:rsidP="00116F39">
      <w:pPr>
        <w:spacing w:line="240" w:lineRule="auto"/>
        <w:rPr>
          <w:rFonts w:cstheme="minorHAnsi"/>
        </w:rPr>
      </w:pPr>
      <w:r w:rsidRPr="00EF1F1C">
        <w:rPr>
          <w:rFonts w:cstheme="minorHAnsi"/>
        </w:rPr>
        <w:t>Such triangulation affects power relations: it cushions the position of manage</w:t>
      </w:r>
      <w:r w:rsidR="00B16A13">
        <w:rPr>
          <w:rFonts w:cstheme="minorHAnsi"/>
        </w:rPr>
        <w:t>ment,</w:t>
      </w:r>
      <w:r w:rsidRPr="00EF1F1C">
        <w:rPr>
          <w:rFonts w:cstheme="minorHAnsi"/>
        </w:rPr>
        <w:t xml:space="preserve"> notably in the</w:t>
      </w:r>
      <w:r w:rsidR="00B16A13">
        <w:rPr>
          <w:rFonts w:cstheme="minorHAnsi"/>
        </w:rPr>
        <w:t>ir</w:t>
      </w:r>
      <w:r w:rsidRPr="00EF1F1C">
        <w:rPr>
          <w:rFonts w:cstheme="minorHAnsi"/>
        </w:rPr>
        <w:t xml:space="preserve"> rapport with partner institutions, by embedding the program deeper in an Indonesian context, and so giv</w:t>
      </w:r>
      <w:r w:rsidR="00B16A13">
        <w:rPr>
          <w:rFonts w:cstheme="minorHAnsi"/>
        </w:rPr>
        <w:t>es</w:t>
      </w:r>
      <w:r w:rsidRPr="00EF1F1C">
        <w:rPr>
          <w:rFonts w:cstheme="minorHAnsi"/>
        </w:rPr>
        <w:t xml:space="preserve"> power and credibility to content and reduc</w:t>
      </w:r>
      <w:r w:rsidR="00B16A13">
        <w:rPr>
          <w:rFonts w:cstheme="minorHAnsi"/>
        </w:rPr>
        <w:t>es</w:t>
      </w:r>
      <w:r w:rsidRPr="00EF1F1C">
        <w:rPr>
          <w:rFonts w:cstheme="minorHAnsi"/>
        </w:rPr>
        <w:t xml:space="preserve"> the space for unfair criticism. Such institutionalized internal contestability therefore</w:t>
      </w:r>
      <w:r w:rsidR="00B16A13">
        <w:rPr>
          <w:rFonts w:cstheme="minorHAnsi"/>
        </w:rPr>
        <w:t xml:space="preserve"> </w:t>
      </w:r>
      <w:r w:rsidRPr="00EF1F1C">
        <w:rPr>
          <w:rFonts w:cstheme="minorHAnsi"/>
        </w:rPr>
        <w:t>not only enriches the program, but actually strengthens the position of th</w:t>
      </w:r>
      <w:r w:rsidR="00B16A13">
        <w:rPr>
          <w:rFonts w:cstheme="minorHAnsi"/>
        </w:rPr>
        <w:t>ose managing the program</w:t>
      </w:r>
      <w:r w:rsidRPr="00EF1F1C">
        <w:rPr>
          <w:rFonts w:cstheme="minorHAnsi"/>
        </w:rPr>
        <w:t xml:space="preserve"> without it being fully apparent.</w:t>
      </w:r>
    </w:p>
    <w:p w:rsidR="00FA34AF" w:rsidRDefault="00FA34AF" w:rsidP="00FA34AF">
      <w:r>
        <w:t xml:space="preserve">The review finds, as provided in the design, the need for a commitment by AusAID and </w:t>
      </w:r>
      <w:proofErr w:type="spellStart"/>
      <w:r>
        <w:t>Bappenas</w:t>
      </w:r>
      <w:proofErr w:type="spellEnd"/>
      <w:r>
        <w:t xml:space="preserve"> to governance and implementation arrangements that foster shared commitment and principles and that also foster joint decision-making and increase </w:t>
      </w:r>
      <w:proofErr w:type="spellStart"/>
      <w:r>
        <w:t>GoI</w:t>
      </w:r>
      <w:proofErr w:type="spellEnd"/>
      <w:r>
        <w:t xml:space="preserve"> leadership and ownership of AIPJ.</w:t>
      </w:r>
    </w:p>
    <w:p w:rsidR="00FA34AF" w:rsidRDefault="00FA34AF" w:rsidP="00FA34AF">
      <w:r>
        <w:t>The</w:t>
      </w:r>
      <w:r w:rsidRPr="00D74A5A">
        <w:t xml:space="preserve"> role of </w:t>
      </w:r>
      <w:r>
        <w:t xml:space="preserve">the </w:t>
      </w:r>
      <w:r w:rsidRPr="00D74A5A">
        <w:t>AIPJ Partnership Board</w:t>
      </w:r>
      <w:r>
        <w:rPr>
          <w:rStyle w:val="FootnoteReference"/>
        </w:rPr>
        <w:footnoteReference w:id="17"/>
      </w:r>
      <w:r w:rsidRPr="00D74A5A">
        <w:t xml:space="preserve">  aims to </w:t>
      </w:r>
      <w:r>
        <w:t xml:space="preserve">provide joint oversight of the program, foster </w:t>
      </w:r>
      <w:r w:rsidRPr="00D74A5A">
        <w:t>joint leadership</w:t>
      </w:r>
      <w:r>
        <w:t xml:space="preserve"> as well as provide</w:t>
      </w:r>
      <w:r w:rsidRPr="00D74A5A">
        <w:t xml:space="preserve"> guidance to the program. This review hasn’t been able to evaluate</w:t>
      </w:r>
      <w:r>
        <w:t xml:space="preserve"> the effectiveness of the AIPJ Partnership Board</w:t>
      </w:r>
      <w:r w:rsidRPr="00D74A5A">
        <w:t xml:space="preserve"> </w:t>
      </w:r>
      <w:r>
        <w:t>in this regard</w:t>
      </w:r>
      <w:r w:rsidRPr="00D74A5A">
        <w:t xml:space="preserve"> but wishes to underscore the importance of the Board, and the need to sustain and, where necessary, further enhance its role. </w:t>
      </w:r>
      <w:r>
        <w:t xml:space="preserve">It is suggested that AusAID and </w:t>
      </w:r>
      <w:proofErr w:type="spellStart"/>
      <w:r>
        <w:t>Bappenas</w:t>
      </w:r>
      <w:proofErr w:type="spellEnd"/>
      <w:r>
        <w:t xml:space="preserve"> might find an assessment of the role and function of the Board timely. </w:t>
      </w:r>
      <w:r w:rsidRPr="00D74A5A">
        <w:t>Informative questions that may assist in this process are the follo</w:t>
      </w:r>
      <w:r>
        <w:t xml:space="preserve">wing: </w:t>
      </w:r>
    </w:p>
    <w:p w:rsidR="00FA34AF" w:rsidRDefault="00FA34AF" w:rsidP="00FA34AF">
      <w:pPr>
        <w:pStyle w:val="ListParagraph"/>
        <w:numPr>
          <w:ilvl w:val="0"/>
          <w:numId w:val="10"/>
        </w:numPr>
      </w:pPr>
      <w:r>
        <w:lastRenderedPageBreak/>
        <w:t xml:space="preserve">Is it a Board to </w:t>
      </w:r>
      <w:r w:rsidR="00F16148">
        <w:t xml:space="preserve">oversee </w:t>
      </w:r>
      <w:r>
        <w:t xml:space="preserve">and strategically direct AIPJ? </w:t>
      </w:r>
    </w:p>
    <w:p w:rsidR="00FA34AF" w:rsidRDefault="00FA34AF" w:rsidP="00FA34AF">
      <w:pPr>
        <w:pStyle w:val="ListParagraph"/>
        <w:numPr>
          <w:ilvl w:val="0"/>
          <w:numId w:val="10"/>
        </w:numPr>
      </w:pPr>
      <w:r>
        <w:t xml:space="preserve">Is the annual Board meeting a primary stakeholder annual meeting? Who are the primary stakeholders? </w:t>
      </w:r>
    </w:p>
    <w:p w:rsidR="00FA34AF" w:rsidRDefault="00FA34AF" w:rsidP="00FA34AF">
      <w:pPr>
        <w:pStyle w:val="ListParagraph"/>
        <w:numPr>
          <w:ilvl w:val="0"/>
          <w:numId w:val="10"/>
        </w:numPr>
      </w:pPr>
      <w:r>
        <w:t>Is it a coordinating mechanism or indeed, something else?</w:t>
      </w:r>
    </w:p>
    <w:p w:rsidR="00FA34AF" w:rsidRDefault="00FA34AF" w:rsidP="00FA34AF">
      <w:pPr>
        <w:pStyle w:val="ListParagraph"/>
        <w:numPr>
          <w:ilvl w:val="0"/>
          <w:numId w:val="10"/>
        </w:numPr>
      </w:pPr>
      <w:r>
        <w:t>Is an annual meeting sufficient?</w:t>
      </w:r>
    </w:p>
    <w:p w:rsidR="00FA34AF" w:rsidRPr="001562EB" w:rsidRDefault="00FA34AF" w:rsidP="00FA34AF">
      <w:pPr>
        <w:pStyle w:val="ListParagraph"/>
        <w:numPr>
          <w:ilvl w:val="0"/>
          <w:numId w:val="10"/>
        </w:numPr>
      </w:pPr>
      <w:r>
        <w:t>What is the role of the Working Committee? Who are the members and how often should they meet?</w:t>
      </w:r>
    </w:p>
    <w:p w:rsidR="00D64AE7" w:rsidRPr="00374C0B" w:rsidRDefault="00965842" w:rsidP="00374C0B">
      <w:pPr>
        <w:spacing w:line="240" w:lineRule="auto"/>
        <w:rPr>
          <w:rFonts w:cstheme="minorHAnsi"/>
          <w:b/>
        </w:rPr>
      </w:pPr>
      <w:r w:rsidRPr="00374C0B">
        <w:rPr>
          <w:b/>
          <w:u w:val="single"/>
        </w:rPr>
        <w:t>Recommendation</w:t>
      </w:r>
      <w:r w:rsidR="008F37FE">
        <w:rPr>
          <w:b/>
          <w:u w:val="single"/>
        </w:rPr>
        <w:t xml:space="preserve"> </w:t>
      </w:r>
      <w:r w:rsidR="009F69A2">
        <w:rPr>
          <w:b/>
          <w:u w:val="single"/>
        </w:rPr>
        <w:t>4</w:t>
      </w:r>
      <w:r w:rsidRPr="001B5207">
        <w:rPr>
          <w:b/>
        </w:rPr>
        <w:t>:</w:t>
      </w:r>
      <w:r w:rsidR="00D64AE7" w:rsidRPr="001B5207">
        <w:rPr>
          <w:rFonts w:cstheme="minorHAnsi"/>
          <w:b/>
        </w:rPr>
        <w:t xml:space="preserve"> </w:t>
      </w:r>
      <w:r w:rsidR="00D64AE7" w:rsidRPr="00374C0B">
        <w:rPr>
          <w:b/>
        </w:rPr>
        <w:t>AIPJ should establish more effective governance arrangements, involving:</w:t>
      </w:r>
    </w:p>
    <w:p w:rsidR="00D64AE7" w:rsidRPr="00374C0B" w:rsidRDefault="00D64AE7" w:rsidP="00D64AE7">
      <w:pPr>
        <w:pStyle w:val="ListParagraph"/>
        <w:numPr>
          <w:ilvl w:val="1"/>
          <w:numId w:val="42"/>
        </w:numPr>
        <w:rPr>
          <w:b/>
        </w:rPr>
      </w:pPr>
      <w:proofErr w:type="gramStart"/>
      <w:r w:rsidRPr="00374C0B">
        <w:rPr>
          <w:b/>
        </w:rPr>
        <w:t>structured</w:t>
      </w:r>
      <w:proofErr w:type="gramEnd"/>
      <w:r w:rsidRPr="00374C0B">
        <w:rPr>
          <w:b/>
        </w:rPr>
        <w:t xml:space="preserve"> consultation with senior, experienced reformers (primarily Indonesians but possibly also international experts), to ensure independent strategic advice and contestability. These resource people should be properly engaged and remunerated;</w:t>
      </w:r>
    </w:p>
    <w:p w:rsidR="00D64AE7" w:rsidRPr="001B5207" w:rsidRDefault="00D64AE7" w:rsidP="00374C0B">
      <w:pPr>
        <w:pStyle w:val="ListParagraph"/>
        <w:numPr>
          <w:ilvl w:val="1"/>
          <w:numId w:val="42"/>
        </w:numPr>
        <w:rPr>
          <w:b/>
        </w:rPr>
      </w:pPr>
      <w:r w:rsidRPr="00374C0B">
        <w:rPr>
          <w:b/>
        </w:rPr>
        <w:t>refining the composition and role of the Partnership Board, which should focus on ensuring AIPJ has visibility and ownership by major government and non-government partners in Indonesia and Australia;</w:t>
      </w:r>
    </w:p>
    <w:p w:rsidR="00965842" w:rsidRPr="00374C0B" w:rsidRDefault="00D64AE7" w:rsidP="00374C0B">
      <w:pPr>
        <w:pStyle w:val="ListParagraph"/>
        <w:numPr>
          <w:ilvl w:val="1"/>
          <w:numId w:val="42"/>
        </w:numPr>
        <w:rPr>
          <w:b/>
        </w:rPr>
      </w:pPr>
      <w:proofErr w:type="gramStart"/>
      <w:r w:rsidRPr="00374C0B">
        <w:rPr>
          <w:b/>
        </w:rPr>
        <w:t>reinforcing</w:t>
      </w:r>
      <w:proofErr w:type="gramEnd"/>
      <w:r w:rsidRPr="00374C0B">
        <w:rPr>
          <w:b/>
        </w:rPr>
        <w:t xml:space="preserve"> the role of the Working Committee (AusAID and </w:t>
      </w:r>
      <w:proofErr w:type="spellStart"/>
      <w:r w:rsidRPr="00374C0B">
        <w:rPr>
          <w:b/>
        </w:rPr>
        <w:t>Bappenas</w:t>
      </w:r>
      <w:proofErr w:type="spellEnd"/>
      <w:r w:rsidRPr="00374C0B">
        <w:rPr>
          <w:b/>
        </w:rPr>
        <w:t>) as the body which approves and is consulted in advance on AIPJ’s work plans.</w:t>
      </w:r>
    </w:p>
    <w:p w:rsidR="005B1CBB" w:rsidRPr="005D37F7" w:rsidRDefault="005B1CBB" w:rsidP="005B1CBB">
      <w:pPr>
        <w:pStyle w:val="Heading3"/>
      </w:pPr>
      <w:bookmarkStart w:id="14" w:name="_Toc345320826"/>
      <w:r>
        <w:t>Program Organisational Structure</w:t>
      </w:r>
      <w:bookmarkEnd w:id="14"/>
    </w:p>
    <w:p w:rsidR="005B1CBB" w:rsidRDefault="005B1CBB" w:rsidP="005B1CBB">
      <w:pPr>
        <w:spacing w:line="240" w:lineRule="auto"/>
        <w:rPr>
          <w:rFonts w:cstheme="minorHAnsi"/>
        </w:rPr>
      </w:pPr>
      <w:r w:rsidRPr="00751DB1">
        <w:t>The roles of AusAID, the AusAID contracted Program Director (PD)</w:t>
      </w:r>
      <w:r>
        <w:t xml:space="preserve"> and the ISP </w:t>
      </w:r>
      <w:proofErr w:type="gramStart"/>
      <w:r w:rsidRPr="00751DB1">
        <w:t>are</w:t>
      </w:r>
      <w:proofErr w:type="gramEnd"/>
      <w:r w:rsidRPr="00751DB1">
        <w:t xml:space="preserve"> not </w:t>
      </w:r>
      <w:r>
        <w:t xml:space="preserve">clear to </w:t>
      </w:r>
      <w:r w:rsidR="00C84E42">
        <w:t>AIPJ’s</w:t>
      </w:r>
      <w:r>
        <w:t xml:space="preserve"> </w:t>
      </w:r>
      <w:r w:rsidRPr="00751DB1">
        <w:t>par</w:t>
      </w:r>
      <w:r>
        <w:t>tners</w:t>
      </w:r>
      <w:r w:rsidRPr="00751DB1">
        <w:t>. Indeed, the role of the PD,</w:t>
      </w:r>
      <w:r>
        <w:t xml:space="preserve"> as an Aus</w:t>
      </w:r>
      <w:r w:rsidRPr="00751DB1">
        <w:t>AID contractor, is confusing to many. “</w:t>
      </w:r>
      <w:r w:rsidRPr="00751DB1">
        <w:rPr>
          <w:i/>
        </w:rPr>
        <w:t>AusAID one</w:t>
      </w:r>
      <w:r w:rsidRPr="00751DB1">
        <w:t>” and “</w:t>
      </w:r>
      <w:r w:rsidRPr="00751DB1">
        <w:rPr>
          <w:i/>
        </w:rPr>
        <w:t>AusAID two</w:t>
      </w:r>
      <w:r w:rsidRPr="00751DB1">
        <w:t xml:space="preserve">” is how the reference was made-jokingly (but </w:t>
      </w:r>
      <w:r>
        <w:t>with a discomforting</w:t>
      </w:r>
      <w:r w:rsidR="00D35CF0">
        <w:t xml:space="preserve"> </w:t>
      </w:r>
      <w:r w:rsidRPr="00751DB1">
        <w:rPr>
          <w:rFonts w:cstheme="minorHAnsi"/>
        </w:rPr>
        <w:t xml:space="preserve">ounce of </w:t>
      </w:r>
      <w:r>
        <w:rPr>
          <w:rFonts w:cstheme="minorHAnsi"/>
        </w:rPr>
        <w:t>cynicism</w:t>
      </w:r>
      <w:r w:rsidRPr="00751DB1">
        <w:rPr>
          <w:rFonts w:cstheme="minorHAnsi"/>
        </w:rPr>
        <w:t xml:space="preserve"> included). Other observations included, for all intents and purposes, “</w:t>
      </w:r>
      <w:r w:rsidRPr="00751DB1">
        <w:rPr>
          <w:rFonts w:cstheme="minorHAnsi"/>
          <w:i/>
        </w:rPr>
        <w:t xml:space="preserve">the PD role is </w:t>
      </w:r>
      <w:proofErr w:type="spellStart"/>
      <w:r w:rsidRPr="00751DB1">
        <w:rPr>
          <w:rFonts w:cstheme="minorHAnsi"/>
          <w:i/>
        </w:rPr>
        <w:t>Cardno</w:t>
      </w:r>
      <w:proofErr w:type="spellEnd"/>
      <w:r w:rsidRPr="00751DB1">
        <w:rPr>
          <w:rFonts w:cstheme="minorHAnsi"/>
        </w:rPr>
        <w:t>” – or “</w:t>
      </w:r>
      <w:r w:rsidRPr="00751DB1">
        <w:rPr>
          <w:rFonts w:cstheme="minorHAnsi"/>
          <w:i/>
        </w:rPr>
        <w:t>couldn’t see AusAID in the PD role</w:t>
      </w:r>
      <w:r w:rsidRPr="00751DB1">
        <w:rPr>
          <w:rFonts w:cstheme="minorHAnsi"/>
        </w:rPr>
        <w:t>”. There was also uncertainty as to whether the program had a “</w:t>
      </w:r>
      <w:r w:rsidRPr="00751DB1">
        <w:rPr>
          <w:rFonts w:cstheme="minorHAnsi"/>
          <w:i/>
        </w:rPr>
        <w:t>Program or Partnership Director</w:t>
      </w:r>
      <w:r w:rsidRPr="00751DB1">
        <w:rPr>
          <w:rFonts w:cstheme="minorHAnsi"/>
        </w:rPr>
        <w:t xml:space="preserve">” and a query about the difference? </w:t>
      </w:r>
      <w:r w:rsidR="004115EF">
        <w:rPr>
          <w:rFonts w:cstheme="minorHAnsi"/>
        </w:rPr>
        <w:t xml:space="preserve"> Suffice to say, t</w:t>
      </w:r>
      <w:r>
        <w:rPr>
          <w:rFonts w:cstheme="minorHAnsi"/>
        </w:rPr>
        <w:t>here is negativity surrounding the PD being the AusAID lead representative of AIPJ</w:t>
      </w:r>
      <w:r w:rsidR="00C84E42">
        <w:rPr>
          <w:rFonts w:cstheme="minorHAnsi"/>
        </w:rPr>
        <w:t xml:space="preserve"> and</w:t>
      </w:r>
      <w:r>
        <w:rPr>
          <w:rFonts w:cstheme="minorHAnsi"/>
        </w:rPr>
        <w:t xml:space="preserve"> </w:t>
      </w:r>
      <w:r w:rsidR="00C84E42">
        <w:rPr>
          <w:rFonts w:cstheme="minorHAnsi"/>
        </w:rPr>
        <w:t>i</w:t>
      </w:r>
      <w:r>
        <w:rPr>
          <w:rFonts w:cstheme="minorHAnsi"/>
        </w:rPr>
        <w:t>t is confusing.</w:t>
      </w:r>
    </w:p>
    <w:p w:rsidR="00532E12" w:rsidRDefault="00C84E42" w:rsidP="005B1CBB">
      <w:pPr>
        <w:spacing w:line="240" w:lineRule="auto"/>
        <w:rPr>
          <w:rFonts w:cstheme="minorHAnsi"/>
        </w:rPr>
      </w:pPr>
      <w:r>
        <w:rPr>
          <w:rFonts w:cstheme="minorHAnsi"/>
        </w:rPr>
        <w:t xml:space="preserve">During Review Team meetings, there were </w:t>
      </w:r>
      <w:r w:rsidR="005B1CBB" w:rsidRPr="00751DB1">
        <w:rPr>
          <w:rFonts w:cstheme="minorHAnsi"/>
        </w:rPr>
        <w:t xml:space="preserve">consistent reports </w:t>
      </w:r>
      <w:r>
        <w:rPr>
          <w:rFonts w:cstheme="minorHAnsi"/>
        </w:rPr>
        <w:t xml:space="preserve">that </w:t>
      </w:r>
      <w:r w:rsidR="005B1CBB" w:rsidRPr="00751DB1">
        <w:rPr>
          <w:rFonts w:cstheme="minorHAnsi"/>
        </w:rPr>
        <w:t xml:space="preserve">demonstrated </w:t>
      </w:r>
      <w:r>
        <w:rPr>
          <w:rFonts w:cstheme="minorHAnsi"/>
        </w:rPr>
        <w:t xml:space="preserve">that </w:t>
      </w:r>
      <w:r w:rsidR="005B1CBB" w:rsidRPr="00751DB1">
        <w:rPr>
          <w:rFonts w:cstheme="minorHAnsi"/>
        </w:rPr>
        <w:t>partners are beginning to wonder who AusAID is in the context of AIPJ. It is felt AusAID is used as a trump card in routine program operations to either reject or allow something. There is muddying of</w:t>
      </w:r>
      <w:r w:rsidR="005B1CBB">
        <w:rPr>
          <w:rFonts w:cstheme="minorHAnsi"/>
        </w:rPr>
        <w:t xml:space="preserve"> waters</w:t>
      </w:r>
      <w:r w:rsidR="005B1CBB" w:rsidRPr="00751DB1">
        <w:rPr>
          <w:rFonts w:cstheme="minorHAnsi"/>
        </w:rPr>
        <w:t>, which ends up eroding the authority both of AusAID and of the PD.</w:t>
      </w:r>
      <w:r w:rsidR="005B1CBB">
        <w:rPr>
          <w:rFonts w:cstheme="minorHAnsi"/>
        </w:rPr>
        <w:t xml:space="preserve"> It is</w:t>
      </w:r>
      <w:r>
        <w:rPr>
          <w:rFonts w:cstheme="minorHAnsi"/>
        </w:rPr>
        <w:t xml:space="preserve"> also</w:t>
      </w:r>
      <w:r w:rsidR="005B1CBB">
        <w:rPr>
          <w:rFonts w:cstheme="minorHAnsi"/>
        </w:rPr>
        <w:t xml:space="preserve"> discomforting that </w:t>
      </w:r>
      <w:r w:rsidR="00E53923">
        <w:rPr>
          <w:rFonts w:cstheme="minorHAnsi"/>
        </w:rPr>
        <w:t>this leads to</w:t>
      </w:r>
      <w:r w:rsidR="005B1CBB">
        <w:rPr>
          <w:rFonts w:cstheme="minorHAnsi"/>
        </w:rPr>
        <w:t xml:space="preserve"> </w:t>
      </w:r>
      <w:r w:rsidR="005B1CBB" w:rsidRPr="001B5207">
        <w:rPr>
          <w:rFonts w:cstheme="minorHAnsi"/>
        </w:rPr>
        <w:t>stakeholders</w:t>
      </w:r>
      <w:r w:rsidR="005B1CBB">
        <w:rPr>
          <w:rFonts w:cstheme="minorHAnsi"/>
        </w:rPr>
        <w:t xml:space="preserve"> </w:t>
      </w:r>
      <w:r w:rsidR="00E53923">
        <w:rPr>
          <w:rFonts w:cstheme="minorHAnsi"/>
        </w:rPr>
        <w:t>not feeling</w:t>
      </w:r>
      <w:r w:rsidR="005B1CBB">
        <w:rPr>
          <w:rFonts w:cstheme="minorHAnsi"/>
        </w:rPr>
        <w:t xml:space="preserve"> (or act</w:t>
      </w:r>
      <w:r w:rsidR="00E53923">
        <w:rPr>
          <w:rFonts w:cstheme="minorHAnsi"/>
        </w:rPr>
        <w:t>ing</w:t>
      </w:r>
      <w:r w:rsidR="005B1CBB">
        <w:rPr>
          <w:rFonts w:cstheme="minorHAnsi"/>
        </w:rPr>
        <w:t xml:space="preserve">) </w:t>
      </w:r>
      <w:r w:rsidR="00E53923">
        <w:rPr>
          <w:rFonts w:cstheme="minorHAnsi"/>
        </w:rPr>
        <w:t>like</w:t>
      </w:r>
      <w:r w:rsidR="005B1CBB">
        <w:rPr>
          <w:rFonts w:cstheme="minorHAnsi"/>
        </w:rPr>
        <w:t xml:space="preserve"> true partners of AusAID when the AusAID rank or authority is used to justify a negative response</w:t>
      </w:r>
      <w:r w:rsidR="0050608B">
        <w:rPr>
          <w:rFonts w:cstheme="minorHAnsi"/>
        </w:rPr>
        <w:t xml:space="preserve"> to their requests</w:t>
      </w:r>
      <w:r w:rsidR="005B1CBB">
        <w:rPr>
          <w:rFonts w:cstheme="minorHAnsi"/>
        </w:rPr>
        <w:t xml:space="preserve">. It leads to an unbalancing (indeed subservience) of the partnership which negatively impacts on </w:t>
      </w:r>
      <w:r w:rsidR="00E53923">
        <w:rPr>
          <w:rFonts w:cstheme="minorHAnsi"/>
        </w:rPr>
        <w:t>what AIPJ is trying to achieve.</w:t>
      </w:r>
    </w:p>
    <w:p w:rsidR="005B1CBB" w:rsidRDefault="005B1CBB" w:rsidP="005B1CBB">
      <w:pPr>
        <w:spacing w:line="240" w:lineRule="auto"/>
        <w:rPr>
          <w:rFonts w:cstheme="minorHAnsi"/>
        </w:rPr>
      </w:pPr>
      <w:r>
        <w:rPr>
          <w:rFonts w:cstheme="minorHAnsi"/>
        </w:rPr>
        <w:t xml:space="preserve">There is also uncertainty </w:t>
      </w:r>
      <w:r w:rsidR="00B54B35">
        <w:rPr>
          <w:rFonts w:cstheme="minorHAnsi"/>
        </w:rPr>
        <w:t>amongst</w:t>
      </w:r>
      <w:r>
        <w:rPr>
          <w:rFonts w:cstheme="minorHAnsi"/>
        </w:rPr>
        <w:t xml:space="preserve"> </w:t>
      </w:r>
      <w:proofErr w:type="spellStart"/>
      <w:r>
        <w:rPr>
          <w:rFonts w:cstheme="minorHAnsi"/>
        </w:rPr>
        <w:t>GoI</w:t>
      </w:r>
      <w:proofErr w:type="spellEnd"/>
      <w:r>
        <w:rPr>
          <w:rFonts w:cstheme="minorHAnsi"/>
        </w:rPr>
        <w:t xml:space="preserve"> partners about who truly represents AusAID and when? Who represents the Partnership between AusAID and </w:t>
      </w:r>
      <w:proofErr w:type="spellStart"/>
      <w:r>
        <w:rPr>
          <w:rFonts w:cstheme="minorHAnsi"/>
        </w:rPr>
        <w:t>Bappenas</w:t>
      </w:r>
      <w:proofErr w:type="spellEnd"/>
      <w:r>
        <w:rPr>
          <w:rFonts w:cstheme="minorHAnsi"/>
        </w:rPr>
        <w:t xml:space="preserve">? Inconsistency is felt, sometimes AusAID is the PD and other times it’s the </w:t>
      </w:r>
      <w:r w:rsidR="00E53923">
        <w:rPr>
          <w:rFonts w:cstheme="minorHAnsi"/>
        </w:rPr>
        <w:t>AusAID Counsellor for Democratic Governance</w:t>
      </w:r>
      <w:r>
        <w:rPr>
          <w:rFonts w:cstheme="minorHAnsi"/>
        </w:rPr>
        <w:t xml:space="preserve">. Clarity about </w:t>
      </w:r>
      <w:r w:rsidRPr="00EF1F1C">
        <w:rPr>
          <w:rFonts w:cstheme="minorHAnsi"/>
        </w:rPr>
        <w:t>t</w:t>
      </w:r>
      <w:r>
        <w:rPr>
          <w:rFonts w:cstheme="minorHAnsi"/>
        </w:rPr>
        <w:t xml:space="preserve">hese roles is sought </w:t>
      </w:r>
      <w:r w:rsidR="00B54B35">
        <w:rPr>
          <w:rFonts w:cstheme="minorHAnsi"/>
        </w:rPr>
        <w:t xml:space="preserve">by partners </w:t>
      </w:r>
      <w:r>
        <w:rPr>
          <w:rFonts w:cstheme="minorHAnsi"/>
        </w:rPr>
        <w:t>and</w:t>
      </w:r>
      <w:r w:rsidR="00B54B35">
        <w:rPr>
          <w:rFonts w:cstheme="minorHAnsi"/>
        </w:rPr>
        <w:t xml:space="preserve"> is</w:t>
      </w:r>
      <w:r>
        <w:rPr>
          <w:rFonts w:cstheme="minorHAnsi"/>
        </w:rPr>
        <w:t xml:space="preserve"> needed</w:t>
      </w:r>
      <w:r w:rsidR="00B54B35">
        <w:rPr>
          <w:rFonts w:cstheme="minorHAnsi"/>
        </w:rPr>
        <w:t xml:space="preserve"> immediately</w:t>
      </w:r>
      <w:r w:rsidRPr="00EF1F1C">
        <w:rPr>
          <w:rFonts w:cstheme="minorHAnsi"/>
        </w:rPr>
        <w:t>.</w:t>
      </w:r>
    </w:p>
    <w:p w:rsidR="00637867" w:rsidRPr="00EF1F1C" w:rsidRDefault="00637867" w:rsidP="00637867">
      <w:pPr>
        <w:spacing w:line="240" w:lineRule="auto"/>
        <w:rPr>
          <w:rFonts w:cstheme="minorHAnsi"/>
        </w:rPr>
      </w:pPr>
      <w:r w:rsidRPr="00EF1F1C">
        <w:rPr>
          <w:rFonts w:cstheme="minorHAnsi"/>
        </w:rPr>
        <w:t>The design of the</w:t>
      </w:r>
      <w:r w:rsidR="005833E7">
        <w:rPr>
          <w:rFonts w:cstheme="minorHAnsi"/>
        </w:rPr>
        <w:t xml:space="preserve"> current implementation</w:t>
      </w:r>
      <w:r w:rsidRPr="00EF1F1C">
        <w:rPr>
          <w:rFonts w:cstheme="minorHAnsi"/>
        </w:rPr>
        <w:t xml:space="preserve"> arrangements res</w:t>
      </w:r>
      <w:r>
        <w:rPr>
          <w:rFonts w:cstheme="minorHAnsi"/>
        </w:rPr>
        <w:t xml:space="preserve">ts the </w:t>
      </w:r>
      <w:r w:rsidRPr="00EF1F1C">
        <w:rPr>
          <w:rFonts w:cstheme="minorHAnsi"/>
        </w:rPr>
        <w:t>strategic direction and implementation management with one person</w:t>
      </w:r>
      <w:r w:rsidR="005833E7">
        <w:rPr>
          <w:rFonts w:cstheme="minorHAnsi"/>
        </w:rPr>
        <w:t xml:space="preserve"> </w:t>
      </w:r>
      <w:r w:rsidRPr="00EF1F1C">
        <w:rPr>
          <w:rFonts w:cstheme="minorHAnsi"/>
        </w:rPr>
        <w:t>-</w:t>
      </w:r>
      <w:r w:rsidR="005833E7">
        <w:rPr>
          <w:rFonts w:cstheme="minorHAnsi"/>
        </w:rPr>
        <w:t xml:space="preserve"> </w:t>
      </w:r>
      <w:r w:rsidRPr="00EF1F1C">
        <w:rPr>
          <w:rFonts w:cstheme="minorHAnsi"/>
        </w:rPr>
        <w:t>the</w:t>
      </w:r>
      <w:r>
        <w:rPr>
          <w:rFonts w:cstheme="minorHAnsi"/>
        </w:rPr>
        <w:t xml:space="preserve"> AusAID contracted </w:t>
      </w:r>
      <w:r w:rsidRPr="00EF1F1C">
        <w:rPr>
          <w:rFonts w:cstheme="minorHAnsi"/>
        </w:rPr>
        <w:t>P</w:t>
      </w:r>
      <w:r>
        <w:rPr>
          <w:rFonts w:cstheme="minorHAnsi"/>
        </w:rPr>
        <w:t xml:space="preserve">rogram </w:t>
      </w:r>
      <w:r w:rsidRPr="00EF1F1C">
        <w:rPr>
          <w:rFonts w:cstheme="minorHAnsi"/>
        </w:rPr>
        <w:t>D</w:t>
      </w:r>
      <w:r>
        <w:rPr>
          <w:rFonts w:cstheme="minorHAnsi"/>
        </w:rPr>
        <w:t>irector</w:t>
      </w:r>
      <w:r w:rsidRPr="00EF1F1C">
        <w:rPr>
          <w:rFonts w:cstheme="minorHAnsi"/>
        </w:rPr>
        <w:t xml:space="preserve"> (with a deputy to manage some of the day-to-day aspects and a part-time deputy to manage report writing and M&amp;E). This situation needs to change. It may have been the intention to outsource policy and strategic direction with a contractor (contracted directly to AusAID) in the </w:t>
      </w:r>
      <w:r>
        <w:rPr>
          <w:rFonts w:cstheme="minorHAnsi"/>
        </w:rPr>
        <w:t xml:space="preserve">belief AusAID was in fact, </w:t>
      </w:r>
      <w:r w:rsidRPr="00EF1F1C">
        <w:rPr>
          <w:rFonts w:cstheme="minorHAnsi"/>
        </w:rPr>
        <w:t xml:space="preserve">providing this input, but </w:t>
      </w:r>
      <w:r>
        <w:rPr>
          <w:rFonts w:cstheme="minorHAnsi"/>
        </w:rPr>
        <w:t xml:space="preserve">in the present case, the reality is </w:t>
      </w:r>
      <w:r w:rsidRPr="00EF1F1C">
        <w:rPr>
          <w:rFonts w:cstheme="minorHAnsi"/>
        </w:rPr>
        <w:t xml:space="preserve">the contractor cannot truly represent the views of AusAID.  </w:t>
      </w:r>
    </w:p>
    <w:p w:rsidR="00637867" w:rsidRDefault="00637867" w:rsidP="005B1CBB">
      <w:pPr>
        <w:spacing w:line="240" w:lineRule="auto"/>
        <w:rPr>
          <w:rFonts w:cstheme="minorHAnsi"/>
        </w:rPr>
      </w:pPr>
      <w:r w:rsidRPr="00EF1F1C">
        <w:rPr>
          <w:rFonts w:cstheme="minorHAnsi"/>
        </w:rPr>
        <w:lastRenderedPageBreak/>
        <w:t xml:space="preserve">AusAID policy and how it is conveyed is often sensitive and </w:t>
      </w:r>
      <w:r w:rsidR="005833E7">
        <w:rPr>
          <w:rFonts w:cstheme="minorHAnsi"/>
        </w:rPr>
        <w:t xml:space="preserve">is always </w:t>
      </w:r>
      <w:r w:rsidRPr="00EF1F1C">
        <w:rPr>
          <w:rFonts w:cstheme="minorHAnsi"/>
        </w:rPr>
        <w:t xml:space="preserve">evolving and consequently (for this and other reasons) </w:t>
      </w:r>
      <w:r w:rsidR="005833E7">
        <w:rPr>
          <w:rFonts w:cstheme="minorHAnsi"/>
        </w:rPr>
        <w:t xml:space="preserve">it </w:t>
      </w:r>
      <w:r w:rsidRPr="00EF1F1C">
        <w:rPr>
          <w:rFonts w:cstheme="minorHAnsi"/>
        </w:rPr>
        <w:t xml:space="preserve">is best positioned with ‘in house’ AusAID personnel. AusAID personnel possess the necessary access to broader AusAID policy, information and knowledge and are best placed to synthesise this intelligence and make the ultimate calls on </w:t>
      </w:r>
      <w:r>
        <w:rPr>
          <w:rFonts w:cstheme="minorHAnsi"/>
        </w:rPr>
        <w:t xml:space="preserve">program </w:t>
      </w:r>
      <w:r w:rsidRPr="00EF1F1C">
        <w:rPr>
          <w:rFonts w:cstheme="minorHAnsi"/>
        </w:rPr>
        <w:t xml:space="preserve">policy direction. Added to this complication, is the difficulty, under this current model, for there to be sound governance, independence, contestability, and indeed, accountability for performance. </w:t>
      </w:r>
      <w:r w:rsidR="006C3627">
        <w:rPr>
          <w:rFonts w:cstheme="minorHAnsi"/>
        </w:rPr>
        <w:t xml:space="preserve">With the current arrangements as they are, there is much </w:t>
      </w:r>
      <w:r w:rsidRPr="00EF1F1C">
        <w:rPr>
          <w:rFonts w:cstheme="minorHAnsi"/>
        </w:rPr>
        <w:t xml:space="preserve">confusion in the sector and </w:t>
      </w:r>
      <w:r w:rsidR="006C3627">
        <w:rPr>
          <w:rFonts w:cstheme="minorHAnsi"/>
        </w:rPr>
        <w:t xml:space="preserve">this </w:t>
      </w:r>
      <w:r w:rsidRPr="00EF1F1C">
        <w:rPr>
          <w:rFonts w:cstheme="minorHAnsi"/>
        </w:rPr>
        <w:t xml:space="preserve">is reflecting negatively on AusAID performance.  </w:t>
      </w:r>
      <w:r>
        <w:rPr>
          <w:rFonts w:cstheme="minorHAnsi"/>
        </w:rPr>
        <w:t>A separation of the policy making role from the</w:t>
      </w:r>
      <w:r w:rsidR="004115EF">
        <w:rPr>
          <w:rFonts w:cstheme="minorHAnsi"/>
        </w:rPr>
        <w:t xml:space="preserve"> strategic</w:t>
      </w:r>
      <w:r>
        <w:rPr>
          <w:rFonts w:cstheme="minorHAnsi"/>
        </w:rPr>
        <w:t xml:space="preserve"> management </w:t>
      </w:r>
      <w:r w:rsidR="004115EF">
        <w:rPr>
          <w:rFonts w:cstheme="minorHAnsi"/>
        </w:rPr>
        <w:t xml:space="preserve">and implementation </w:t>
      </w:r>
      <w:r>
        <w:rPr>
          <w:rFonts w:cstheme="minorHAnsi"/>
        </w:rPr>
        <w:t>role would alleviate th</w:t>
      </w:r>
      <w:r w:rsidR="006C3627">
        <w:rPr>
          <w:rFonts w:cstheme="minorHAnsi"/>
        </w:rPr>
        <w:t>is</w:t>
      </w:r>
      <w:r>
        <w:rPr>
          <w:rFonts w:cstheme="minorHAnsi"/>
        </w:rPr>
        <w:t xml:space="preserve"> confusion and</w:t>
      </w:r>
      <w:r w:rsidR="006C3627">
        <w:rPr>
          <w:rFonts w:cstheme="minorHAnsi"/>
        </w:rPr>
        <w:t xml:space="preserve"> the </w:t>
      </w:r>
      <w:r>
        <w:rPr>
          <w:rFonts w:cstheme="minorHAnsi"/>
        </w:rPr>
        <w:t xml:space="preserve">doubt about the legitimacy of a contractor representing AusAID at this level.  </w:t>
      </w:r>
    </w:p>
    <w:p w:rsidR="005B1CBB" w:rsidRDefault="005B1CBB" w:rsidP="005B1CBB">
      <w:pPr>
        <w:spacing w:line="240" w:lineRule="auto"/>
        <w:rPr>
          <w:rFonts w:cstheme="minorHAnsi"/>
        </w:rPr>
      </w:pPr>
      <w:r>
        <w:rPr>
          <w:rFonts w:cstheme="minorHAnsi"/>
        </w:rPr>
        <w:t xml:space="preserve">The ISP role seems to be understood by the partners. The </w:t>
      </w:r>
      <w:r w:rsidR="00EC0DA0">
        <w:rPr>
          <w:rFonts w:cstheme="minorHAnsi"/>
        </w:rPr>
        <w:t>Review Team</w:t>
      </w:r>
      <w:r>
        <w:rPr>
          <w:rFonts w:cstheme="minorHAnsi"/>
        </w:rPr>
        <w:t xml:space="preserve"> also believe, from our </w:t>
      </w:r>
      <w:r w:rsidR="00C63442">
        <w:rPr>
          <w:rFonts w:cstheme="minorHAnsi"/>
        </w:rPr>
        <w:t xml:space="preserve">desk review of program documents and in-country </w:t>
      </w:r>
      <w:r>
        <w:rPr>
          <w:rFonts w:cstheme="minorHAnsi"/>
        </w:rPr>
        <w:t>consultations</w:t>
      </w:r>
      <w:r w:rsidR="00F16148">
        <w:rPr>
          <w:rFonts w:cstheme="minorHAnsi"/>
        </w:rPr>
        <w:t>,</w:t>
      </w:r>
      <w:r w:rsidR="00C63442">
        <w:rPr>
          <w:rFonts w:cstheme="minorHAnsi"/>
        </w:rPr>
        <w:t xml:space="preserve"> that the ISP</w:t>
      </w:r>
      <w:r>
        <w:rPr>
          <w:rFonts w:cstheme="minorHAnsi"/>
        </w:rPr>
        <w:t xml:space="preserve"> could provide</w:t>
      </w:r>
      <w:r w:rsidR="00C63442">
        <w:rPr>
          <w:rFonts w:cstheme="minorHAnsi"/>
        </w:rPr>
        <w:t xml:space="preserve"> more support to the program</w:t>
      </w:r>
      <w:r>
        <w:rPr>
          <w:rFonts w:cstheme="minorHAnsi"/>
        </w:rPr>
        <w:t xml:space="preserve">. For example, it was indicated to the </w:t>
      </w:r>
      <w:r w:rsidR="00EC0DA0">
        <w:rPr>
          <w:rFonts w:cstheme="minorHAnsi"/>
        </w:rPr>
        <w:t>Review Team</w:t>
      </w:r>
      <w:r>
        <w:rPr>
          <w:rFonts w:cstheme="minorHAnsi"/>
        </w:rPr>
        <w:t xml:space="preserve"> that essentially, all strategic programming decisions were left to the PD when the ISP could or should be more active in guiding the program strategic direction. The </w:t>
      </w:r>
      <w:r w:rsidR="00EC0DA0">
        <w:rPr>
          <w:rFonts w:cstheme="minorHAnsi"/>
        </w:rPr>
        <w:t>Review Team</w:t>
      </w:r>
      <w:r>
        <w:rPr>
          <w:rFonts w:cstheme="minorHAnsi"/>
        </w:rPr>
        <w:t xml:space="preserve"> suggests the ISP role is too narrow and given the ISP is a development specialist</w:t>
      </w:r>
      <w:r w:rsidR="00F16148">
        <w:rPr>
          <w:rFonts w:cstheme="minorHAnsi"/>
        </w:rPr>
        <w:t>,</w:t>
      </w:r>
      <w:r>
        <w:rPr>
          <w:rFonts w:cstheme="minorHAnsi"/>
        </w:rPr>
        <w:t xml:space="preserve"> the opportunity to use their </w:t>
      </w:r>
      <w:r w:rsidR="004115EF">
        <w:rPr>
          <w:rFonts w:cstheme="minorHAnsi"/>
        </w:rPr>
        <w:t xml:space="preserve">professional </w:t>
      </w:r>
      <w:r>
        <w:rPr>
          <w:rFonts w:cstheme="minorHAnsi"/>
        </w:rPr>
        <w:t xml:space="preserve">strategic and management capacity (to provide more opportunity to deliver development outcomes) should be sourced. </w:t>
      </w:r>
    </w:p>
    <w:p w:rsidR="00402D8D" w:rsidRDefault="00402D8D" w:rsidP="00402D8D">
      <w:pPr>
        <w:spacing w:line="240" w:lineRule="auto"/>
      </w:pPr>
      <w:r w:rsidRPr="00EF1F1C">
        <w:rPr>
          <w:rFonts w:cstheme="minorHAnsi"/>
        </w:rPr>
        <w:t xml:space="preserve">The program needs </w:t>
      </w:r>
      <w:r w:rsidR="00D35426">
        <w:rPr>
          <w:rFonts w:cstheme="minorHAnsi"/>
        </w:rPr>
        <w:t>three elements of program management</w:t>
      </w:r>
      <w:r w:rsidR="00F16148">
        <w:rPr>
          <w:rFonts w:cstheme="minorHAnsi"/>
        </w:rPr>
        <w:t>:</w:t>
      </w:r>
      <w:r w:rsidR="002A6829">
        <w:rPr>
          <w:rFonts w:cstheme="minorHAnsi"/>
        </w:rPr>
        <w:t xml:space="preserve"> </w:t>
      </w:r>
      <w:r w:rsidRPr="000059DF">
        <w:rPr>
          <w:rFonts w:cstheme="minorHAnsi"/>
          <w:b/>
        </w:rPr>
        <w:t>(1</w:t>
      </w:r>
      <w:r w:rsidR="00D35CF0" w:rsidRPr="000059DF">
        <w:rPr>
          <w:rFonts w:cstheme="minorHAnsi"/>
          <w:b/>
        </w:rPr>
        <w:t>)</w:t>
      </w:r>
      <w:r w:rsidR="00D35CF0" w:rsidRPr="00EF1F1C">
        <w:rPr>
          <w:b/>
        </w:rPr>
        <w:t xml:space="preserve"> policy</w:t>
      </w:r>
      <w:r w:rsidRPr="00EF1F1C">
        <w:rPr>
          <w:b/>
        </w:rPr>
        <w:t xml:space="preserve"> making and management</w:t>
      </w:r>
      <w:r w:rsidR="002A6829">
        <w:rPr>
          <w:b/>
        </w:rPr>
        <w:t>;</w:t>
      </w:r>
      <w:r w:rsidR="00D35CF0">
        <w:rPr>
          <w:b/>
        </w:rPr>
        <w:t xml:space="preserve"> </w:t>
      </w:r>
      <w:r w:rsidR="002A6829">
        <w:rPr>
          <w:b/>
        </w:rPr>
        <w:t>(</w:t>
      </w:r>
      <w:r w:rsidRPr="000059DF">
        <w:rPr>
          <w:b/>
        </w:rPr>
        <w:t>2</w:t>
      </w:r>
      <w:r w:rsidR="00D35CF0" w:rsidRPr="000059DF">
        <w:rPr>
          <w:b/>
        </w:rPr>
        <w:t>)</w:t>
      </w:r>
      <w:r w:rsidR="00D35CF0">
        <w:rPr>
          <w:rFonts w:cstheme="minorHAnsi"/>
          <w:b/>
        </w:rPr>
        <w:t xml:space="preserve"> strategic</w:t>
      </w:r>
      <w:r>
        <w:rPr>
          <w:rFonts w:cstheme="minorHAnsi"/>
          <w:b/>
        </w:rPr>
        <w:t xml:space="preserve"> direction, management and performance </w:t>
      </w:r>
      <w:r w:rsidRPr="00EF1F1C">
        <w:rPr>
          <w:b/>
        </w:rPr>
        <w:t>of the</w:t>
      </w:r>
      <w:r w:rsidR="002A6829">
        <w:rPr>
          <w:b/>
        </w:rPr>
        <w:t xml:space="preserve"> implementation program</w:t>
      </w:r>
      <w:r>
        <w:t xml:space="preserve"> and </w:t>
      </w:r>
      <w:r w:rsidRPr="002E0A51">
        <w:rPr>
          <w:b/>
        </w:rPr>
        <w:t xml:space="preserve">(3) </w:t>
      </w:r>
      <w:r w:rsidR="002A6829">
        <w:rPr>
          <w:b/>
        </w:rPr>
        <w:t>c</w:t>
      </w:r>
      <w:r w:rsidRPr="002E0A51">
        <w:rPr>
          <w:b/>
        </w:rPr>
        <w:t xml:space="preserve">orporate </w:t>
      </w:r>
      <w:r w:rsidR="00472B06">
        <w:rPr>
          <w:b/>
        </w:rPr>
        <w:t>s</w:t>
      </w:r>
      <w:r w:rsidRPr="002E0A51">
        <w:rPr>
          <w:b/>
        </w:rPr>
        <w:t>ervice support</w:t>
      </w:r>
      <w:r>
        <w:rPr>
          <w:b/>
        </w:rPr>
        <w:t>.</w:t>
      </w:r>
    </w:p>
    <w:p w:rsidR="00402D8D" w:rsidRDefault="00402D8D" w:rsidP="00402D8D">
      <w:pPr>
        <w:spacing w:line="240" w:lineRule="auto"/>
      </w:pPr>
      <w:r>
        <w:t xml:space="preserve">The </w:t>
      </w:r>
      <w:r w:rsidRPr="0000768C">
        <w:rPr>
          <w:b/>
        </w:rPr>
        <w:t>policy making and management</w:t>
      </w:r>
      <w:r>
        <w:t xml:space="preserve"> first and foremost needs </w:t>
      </w:r>
      <w:r w:rsidRPr="00EF1F1C">
        <w:t xml:space="preserve">to ensure both partners (of the </w:t>
      </w:r>
      <w:proofErr w:type="spellStart"/>
      <w:r>
        <w:t>GoA</w:t>
      </w:r>
      <w:proofErr w:type="spellEnd"/>
      <w:r>
        <w:t xml:space="preserve"> and </w:t>
      </w:r>
      <w:proofErr w:type="spellStart"/>
      <w:r>
        <w:t>GoI</w:t>
      </w:r>
      <w:proofErr w:type="spellEnd"/>
      <w:r>
        <w:t xml:space="preserve"> </w:t>
      </w:r>
      <w:r w:rsidRPr="00EF1F1C">
        <w:t xml:space="preserve">partnership) </w:t>
      </w:r>
      <w:r>
        <w:t xml:space="preserve">have AIPJ operating as they desire and </w:t>
      </w:r>
      <w:r w:rsidRPr="00EF1F1C">
        <w:t xml:space="preserve">are </w:t>
      </w:r>
      <w:r w:rsidR="002A6829">
        <w:t>getting the results</w:t>
      </w:r>
      <w:r w:rsidRPr="00EF1F1C">
        <w:t xml:space="preserve"> they seek. AusAID </w:t>
      </w:r>
      <w:r>
        <w:t xml:space="preserve">and </w:t>
      </w:r>
      <w:proofErr w:type="spellStart"/>
      <w:r>
        <w:t>Bappenas</w:t>
      </w:r>
      <w:proofErr w:type="spellEnd"/>
      <w:r>
        <w:t xml:space="preserve"> are the Government to Government representatives and are </w:t>
      </w:r>
      <w:r w:rsidRPr="00EF1F1C">
        <w:t>responsible</w:t>
      </w:r>
      <w:r>
        <w:t>,</w:t>
      </w:r>
      <w:r w:rsidR="00D35CF0">
        <w:t xml:space="preserve"> </w:t>
      </w:r>
      <w:r>
        <w:t xml:space="preserve">on behalf of their respective governments, </w:t>
      </w:r>
      <w:r w:rsidRPr="00EF1F1C">
        <w:t>fo</w:t>
      </w:r>
      <w:r w:rsidR="004115EF">
        <w:t>r</w:t>
      </w:r>
      <w:r>
        <w:t xml:space="preserve"> </w:t>
      </w:r>
      <w:r w:rsidR="0092025B">
        <w:t>AI</w:t>
      </w:r>
      <w:r w:rsidR="00EF65EB">
        <w:t>PJ</w:t>
      </w:r>
      <w:r w:rsidR="0092025B">
        <w:t xml:space="preserve"> (the </w:t>
      </w:r>
      <w:r>
        <w:t>P</w:t>
      </w:r>
      <w:r w:rsidRPr="00EF1F1C">
        <w:t>artnership</w:t>
      </w:r>
      <w:r w:rsidR="0092025B">
        <w:t>)</w:t>
      </w:r>
      <w:r w:rsidRPr="00EF1F1C">
        <w:t xml:space="preserve">. </w:t>
      </w:r>
      <w:r>
        <w:t>They</w:t>
      </w:r>
      <w:r w:rsidR="002A6829">
        <w:t>,</w:t>
      </w:r>
      <w:r>
        <w:t xml:space="preserve"> </w:t>
      </w:r>
      <w:r w:rsidR="009352DC">
        <w:t xml:space="preserve">along with the leaders of the partnering organisations </w:t>
      </w:r>
      <w:r>
        <w:t xml:space="preserve">are </w:t>
      </w:r>
      <w:r w:rsidR="009352DC">
        <w:t xml:space="preserve">indeed, </w:t>
      </w:r>
      <w:r>
        <w:t xml:space="preserve">the partners (or the high-level leaders and sponsors of the program). </w:t>
      </w:r>
      <w:r w:rsidRPr="00EF1F1C">
        <w:t xml:space="preserve">Thus, </w:t>
      </w:r>
      <w:r>
        <w:t xml:space="preserve">AusAID high-level </w:t>
      </w:r>
      <w:r w:rsidR="00D35426">
        <w:t>policy making,</w:t>
      </w:r>
      <w:r w:rsidRPr="00EF1F1C">
        <w:t xml:space="preserve"> management and accountability for AIPJ, should l</w:t>
      </w:r>
      <w:r w:rsidR="002A6829">
        <w:t>ie</w:t>
      </w:r>
      <w:r w:rsidRPr="00EF1F1C">
        <w:t xml:space="preserve"> with the AusAID </w:t>
      </w:r>
      <w:r w:rsidR="002A6829">
        <w:t xml:space="preserve">Indonesia Democratic </w:t>
      </w:r>
      <w:r w:rsidRPr="00EF1F1C">
        <w:t xml:space="preserve">Governance </w:t>
      </w:r>
      <w:r w:rsidR="002A6829">
        <w:t>Unit</w:t>
      </w:r>
      <w:r w:rsidRPr="00EF1F1C">
        <w:t xml:space="preserve"> and in particular, the Counsellor</w:t>
      </w:r>
      <w:r>
        <w:t xml:space="preserve"> Democratic Governance, Public Affairs and Policy Coordination in partnership, </w:t>
      </w:r>
      <w:r w:rsidR="002D1A20">
        <w:t xml:space="preserve">and </w:t>
      </w:r>
      <w:r>
        <w:t xml:space="preserve">with </w:t>
      </w:r>
      <w:proofErr w:type="spellStart"/>
      <w:r>
        <w:t>Bappena</w:t>
      </w:r>
      <w:r w:rsidR="002A6829">
        <w:t>s</w:t>
      </w:r>
      <w:proofErr w:type="spellEnd"/>
      <w:r w:rsidRPr="00EF1F1C">
        <w:t xml:space="preserve">. </w:t>
      </w:r>
      <w:r>
        <w:t>These two organisations should provide</w:t>
      </w:r>
      <w:r w:rsidR="002A6829">
        <w:t>,</w:t>
      </w:r>
      <w:r w:rsidR="004115EF">
        <w:t xml:space="preserve"> through high level policy direction</w:t>
      </w:r>
      <w:r w:rsidR="00145FEF">
        <w:t xml:space="preserve"> -</w:t>
      </w:r>
      <w:r w:rsidR="004115EF">
        <w:t xml:space="preserve"> the ultimate leadership, </w:t>
      </w:r>
      <w:r>
        <w:t xml:space="preserve">management and accountability for AIPJ. The assumption of this role by the Counsellor and away from the </w:t>
      </w:r>
      <w:r w:rsidR="00F16148">
        <w:t>PD</w:t>
      </w:r>
      <w:r>
        <w:t xml:space="preserve"> </w:t>
      </w:r>
      <w:r w:rsidRPr="00EF1F1C">
        <w:t>would provide less confusion</w:t>
      </w:r>
      <w:r>
        <w:t xml:space="preserve"> (within AIPJ) and would clearly demonstrate that AusAID (as the partners understand AusAID to be) is managing the high-level policy for AIPJ with </w:t>
      </w:r>
      <w:proofErr w:type="spellStart"/>
      <w:r>
        <w:t>Bappenas</w:t>
      </w:r>
      <w:proofErr w:type="spellEnd"/>
      <w:r w:rsidRPr="00EF1F1C">
        <w:t>.</w:t>
      </w:r>
      <w:r w:rsidR="0092025B">
        <w:t xml:space="preserve"> </w:t>
      </w:r>
    </w:p>
    <w:p w:rsidR="00402D8D" w:rsidRDefault="00402D8D" w:rsidP="00402D8D">
      <w:pPr>
        <w:spacing w:line="240" w:lineRule="auto"/>
      </w:pPr>
      <w:r>
        <w:t xml:space="preserve">The </w:t>
      </w:r>
      <w:r>
        <w:rPr>
          <w:rFonts w:cstheme="minorHAnsi"/>
          <w:b/>
        </w:rPr>
        <w:t xml:space="preserve">strategic direction, management and performance </w:t>
      </w:r>
      <w:r w:rsidRPr="00EF1F1C">
        <w:rPr>
          <w:b/>
        </w:rPr>
        <w:t xml:space="preserve">of the implementation </w:t>
      </w:r>
      <w:r w:rsidR="00D35CF0" w:rsidRPr="00EF1F1C">
        <w:rPr>
          <w:b/>
        </w:rPr>
        <w:t>program</w:t>
      </w:r>
      <w:r w:rsidR="00D35CF0" w:rsidRPr="00253569">
        <w:t xml:space="preserve"> is</w:t>
      </w:r>
      <w:r>
        <w:t xml:space="preserve"> a separate function from the policy making and management function and is the </w:t>
      </w:r>
      <w:r w:rsidR="00145FEF">
        <w:t>function</w:t>
      </w:r>
      <w:r>
        <w:t xml:space="preserve"> that supervises and manages the st</w:t>
      </w:r>
      <w:r w:rsidR="00B164B6">
        <w:t xml:space="preserve">rategic planning, </w:t>
      </w:r>
      <w:r>
        <w:t>development, management and implementation of the activitie</w:t>
      </w:r>
      <w:r w:rsidR="00B164B6">
        <w:t xml:space="preserve">s that support the </w:t>
      </w:r>
      <w:proofErr w:type="spellStart"/>
      <w:r w:rsidR="00B164B6">
        <w:t>GoI</w:t>
      </w:r>
      <w:proofErr w:type="spellEnd"/>
      <w:r w:rsidR="00B164B6">
        <w:t xml:space="preserve"> and </w:t>
      </w:r>
      <w:proofErr w:type="spellStart"/>
      <w:r w:rsidR="00B164B6">
        <w:t>GoA</w:t>
      </w:r>
      <w:proofErr w:type="spellEnd"/>
      <w:r w:rsidR="00B164B6">
        <w:t xml:space="preserve"> p</w:t>
      </w:r>
      <w:r>
        <w:t xml:space="preserve">artnership to deliver against </w:t>
      </w:r>
      <w:r w:rsidR="001562EB">
        <w:t>AIPJ</w:t>
      </w:r>
      <w:r w:rsidR="00145FEF">
        <w:t xml:space="preserve">’s strategy, goals and objectives. </w:t>
      </w:r>
      <w:r w:rsidR="0092025B">
        <w:t>This is the typical project management role</w:t>
      </w:r>
      <w:r w:rsidR="00D21034">
        <w:t xml:space="preserve"> and should be done by the ISP, in consultation with AusAID</w:t>
      </w:r>
      <w:r w:rsidR="0092025B">
        <w:t xml:space="preserve">. </w:t>
      </w:r>
      <w:r>
        <w:t xml:space="preserve">This function </w:t>
      </w:r>
      <w:r w:rsidR="001562EB">
        <w:t>is accountable to AusAID</w:t>
      </w:r>
      <w:r w:rsidR="009352DC">
        <w:t xml:space="preserve"> (</w:t>
      </w:r>
      <w:r w:rsidR="009352DC" w:rsidRPr="00EF1F1C">
        <w:t>Counsellor</w:t>
      </w:r>
      <w:r w:rsidR="009352DC">
        <w:t xml:space="preserve"> Democratic Governance, Public Affairs and Policy Coordination)</w:t>
      </w:r>
      <w:r w:rsidR="001562EB">
        <w:t xml:space="preserve"> and </w:t>
      </w:r>
      <w:r>
        <w:t xml:space="preserve">works with the </w:t>
      </w:r>
      <w:r w:rsidR="001B2EFA">
        <w:t>partners</w:t>
      </w:r>
      <w:r w:rsidR="000C5CB7">
        <w:t xml:space="preserve"> and </w:t>
      </w:r>
      <w:r>
        <w:t>stakeholders to develop programs and activities and manages the successful implementation of the program to deliver the</w:t>
      </w:r>
      <w:r w:rsidR="000C5CB7">
        <w:t xml:space="preserve"> program’s objectives </w:t>
      </w:r>
      <w:r>
        <w:t xml:space="preserve">to the satisfaction of the Partnership.   </w:t>
      </w:r>
    </w:p>
    <w:p w:rsidR="00402D8D" w:rsidRDefault="00402D8D" w:rsidP="00402D8D">
      <w:pPr>
        <w:spacing w:line="240" w:lineRule="auto"/>
        <w:rPr>
          <w:b/>
        </w:rPr>
      </w:pPr>
      <w:r>
        <w:t xml:space="preserve">The </w:t>
      </w:r>
      <w:r>
        <w:rPr>
          <w:b/>
        </w:rPr>
        <w:t>c</w:t>
      </w:r>
      <w:r w:rsidRPr="002E0A51">
        <w:rPr>
          <w:b/>
        </w:rPr>
        <w:t xml:space="preserve">orporate </w:t>
      </w:r>
      <w:r>
        <w:rPr>
          <w:b/>
        </w:rPr>
        <w:t>s</w:t>
      </w:r>
      <w:r w:rsidRPr="002E0A51">
        <w:rPr>
          <w:b/>
        </w:rPr>
        <w:t>ervice</w:t>
      </w:r>
      <w:r>
        <w:t xml:space="preserve"> support currently provided through the ISP arrangements should continue. Their role is to support the roles of </w:t>
      </w:r>
      <w:r w:rsidRPr="0000768C">
        <w:rPr>
          <w:b/>
        </w:rPr>
        <w:t>policy making and management</w:t>
      </w:r>
      <w:r w:rsidR="00D35CF0">
        <w:rPr>
          <w:b/>
        </w:rPr>
        <w:t xml:space="preserve"> </w:t>
      </w:r>
      <w:r>
        <w:t xml:space="preserve">and </w:t>
      </w:r>
      <w:r>
        <w:rPr>
          <w:rFonts w:cstheme="minorHAnsi"/>
          <w:b/>
        </w:rPr>
        <w:t xml:space="preserve">strategic direction, management and performance </w:t>
      </w:r>
      <w:r w:rsidRPr="00EF1F1C">
        <w:rPr>
          <w:b/>
        </w:rPr>
        <w:t>of the implementation program</w:t>
      </w:r>
      <w:r>
        <w:rPr>
          <w:b/>
        </w:rPr>
        <w:t>.</w:t>
      </w:r>
    </w:p>
    <w:p w:rsidR="001B5207" w:rsidRPr="00BE676F" w:rsidRDefault="001B5207" w:rsidP="001B5207">
      <w:pPr>
        <w:spacing w:line="240" w:lineRule="auto"/>
        <w:rPr>
          <w:rFonts w:cstheme="minorHAnsi"/>
          <w:b/>
        </w:rPr>
      </w:pPr>
      <w:r w:rsidRPr="00374C0B">
        <w:rPr>
          <w:rFonts w:cstheme="minorHAnsi"/>
          <w:b/>
          <w:u w:val="single"/>
        </w:rPr>
        <w:lastRenderedPageBreak/>
        <w:t>Recommendation</w:t>
      </w:r>
      <w:r w:rsidR="008F37FE">
        <w:rPr>
          <w:rFonts w:cstheme="minorHAnsi"/>
          <w:b/>
          <w:u w:val="single"/>
        </w:rPr>
        <w:t xml:space="preserve"> </w:t>
      </w:r>
      <w:r w:rsidR="009F69A2">
        <w:rPr>
          <w:rFonts w:cstheme="minorHAnsi"/>
          <w:b/>
          <w:u w:val="single"/>
        </w:rPr>
        <w:t>5</w:t>
      </w:r>
      <w:r w:rsidRPr="00374C0B">
        <w:rPr>
          <w:rFonts w:cstheme="minorHAnsi"/>
          <w:b/>
        </w:rPr>
        <w:t xml:space="preserve">: </w:t>
      </w:r>
      <w:r w:rsidRPr="00374C0B">
        <w:rPr>
          <w:b/>
        </w:rPr>
        <w:t xml:space="preserve">The Program Director role should be discontinued, with that position’s high-level policy-making responsibilities transferred to </w:t>
      </w:r>
      <w:proofErr w:type="spellStart"/>
      <w:r w:rsidRPr="00374C0B">
        <w:rPr>
          <w:b/>
        </w:rPr>
        <w:t>AusAID’s</w:t>
      </w:r>
      <w:proofErr w:type="spellEnd"/>
      <w:r w:rsidRPr="00374C0B">
        <w:rPr>
          <w:b/>
        </w:rPr>
        <w:t xml:space="preserve"> Counsellor for Democratic Governance and the remainder of responsibilities – including those relating to strategic direction, activity implementation and quality assurance – transferred to the Implementation Service Provider.</w:t>
      </w:r>
    </w:p>
    <w:p w:rsidR="001562EB" w:rsidRPr="001562EB" w:rsidRDefault="001562EB" w:rsidP="001562EB">
      <w:pPr>
        <w:pStyle w:val="Heading3"/>
      </w:pPr>
      <w:bookmarkStart w:id="15" w:name="_Toc345320827"/>
      <w:r w:rsidRPr="001562EB">
        <w:t xml:space="preserve">The Asia Foundation and the International Development </w:t>
      </w:r>
      <w:r w:rsidR="000F3B54">
        <w:t xml:space="preserve">Law </w:t>
      </w:r>
      <w:r w:rsidRPr="001562EB">
        <w:t>Organisation</w:t>
      </w:r>
      <w:bookmarkEnd w:id="15"/>
      <w:r w:rsidRPr="001562EB">
        <w:t xml:space="preserve"> </w:t>
      </w:r>
    </w:p>
    <w:p w:rsidR="001562EB" w:rsidRDefault="001562EB" w:rsidP="001562EB">
      <w:pPr>
        <w:spacing w:line="240" w:lineRule="auto"/>
        <w:rPr>
          <w:rFonts w:cstheme="minorHAnsi"/>
        </w:rPr>
      </w:pPr>
      <w:r>
        <w:rPr>
          <w:rFonts w:cstheme="minorHAnsi"/>
        </w:rPr>
        <w:t>The Asia Foundation (TAF) has from the outset been a relevant partner for the program</w:t>
      </w:r>
      <w:r w:rsidR="00917213">
        <w:rPr>
          <w:rFonts w:cstheme="minorHAnsi"/>
        </w:rPr>
        <w:t xml:space="preserve"> with the potential to add significant value, a point which was apparently reflected in the program’s tender documents</w:t>
      </w:r>
      <w:r>
        <w:rPr>
          <w:rFonts w:cstheme="minorHAnsi"/>
        </w:rPr>
        <w:t xml:space="preserve">.  It has extensive experience in building and maintaining civil society networks and a long-standing local presence.  Engaging TAF early in the program would have likely strengthened the program’s capacity to develop other effective relationships and synergies and therefore, strengthen the breath of engagement and discourse. </w:t>
      </w:r>
      <w:r w:rsidRPr="00F3263E">
        <w:t>While one TAF staff member is seconded to work on the program’s anti-corruption component, engagement has been otherwise limited.</w:t>
      </w:r>
      <w:r>
        <w:rPr>
          <w:rFonts w:cstheme="minorHAnsi"/>
        </w:rPr>
        <w:t xml:space="preserve"> It is encouraging to note recent approaches by AIPJ to work with TAF and deepen the rapport. This affiliation needs to be pursued with some renewed enthusiasm. The leverage opportunities provided through TAF need to be identified and employed as part of the strategic framework.</w:t>
      </w:r>
    </w:p>
    <w:p w:rsidR="001562EB" w:rsidRDefault="001562EB" w:rsidP="001562EB">
      <w:pPr>
        <w:autoSpaceDE w:val="0"/>
        <w:autoSpaceDN w:val="0"/>
        <w:spacing w:after="240"/>
        <w:rPr>
          <w:rFonts w:ascii="Calibri" w:hAnsi="Calibri" w:cs="Calibri"/>
        </w:rPr>
      </w:pPr>
      <w:r w:rsidRPr="000D6780">
        <w:rPr>
          <w:rFonts w:ascii="Calibri" w:hAnsi="Calibri" w:cs="Calibri"/>
        </w:rPr>
        <w:t>The intended role of the International Development</w:t>
      </w:r>
      <w:r w:rsidR="000F3B54">
        <w:rPr>
          <w:rFonts w:ascii="Calibri" w:hAnsi="Calibri" w:cs="Calibri"/>
        </w:rPr>
        <w:t xml:space="preserve"> Law</w:t>
      </w:r>
      <w:r w:rsidRPr="000D6780">
        <w:rPr>
          <w:rFonts w:ascii="Calibri" w:hAnsi="Calibri" w:cs="Calibri"/>
        </w:rPr>
        <w:t xml:space="preserve"> Organisation (IDLO), as a founding partner for the program, was not discussed with the </w:t>
      </w:r>
      <w:r w:rsidR="00EC0DA0">
        <w:rPr>
          <w:rFonts w:ascii="Calibri" w:hAnsi="Calibri" w:cs="Calibri"/>
        </w:rPr>
        <w:t>Review Team</w:t>
      </w:r>
      <w:r w:rsidRPr="000D6780">
        <w:rPr>
          <w:rFonts w:ascii="Calibri" w:hAnsi="Calibri" w:cs="Calibri"/>
        </w:rPr>
        <w:t xml:space="preserve"> in depth.  IDLO's mission is to strengthen the rule of law, human rights and good governance in developing countries, through offering legal expertise, resources, tools and professional support.</w:t>
      </w:r>
      <w:r>
        <w:rPr>
          <w:rStyle w:val="FootnoteReference"/>
          <w:rFonts w:ascii="Calibri" w:hAnsi="Calibri" w:cs="Calibri"/>
        </w:rPr>
        <w:footnoteReference w:id="18"/>
      </w:r>
      <w:r w:rsidRPr="000D6780">
        <w:rPr>
          <w:rFonts w:ascii="Calibri" w:hAnsi="Calibri" w:cs="Calibri"/>
        </w:rPr>
        <w:t>Before AIPJ</w:t>
      </w:r>
      <w:r w:rsidR="00D35CF0" w:rsidRPr="000D6780">
        <w:rPr>
          <w:rFonts w:ascii="Calibri" w:hAnsi="Calibri" w:cs="Calibri"/>
        </w:rPr>
        <w:t>, IDLO’s</w:t>
      </w:r>
      <w:r w:rsidRPr="000D6780">
        <w:rPr>
          <w:rFonts w:ascii="Calibri" w:hAnsi="Calibri" w:cs="Calibri"/>
        </w:rPr>
        <w:t xml:space="preserve"> experience in Indonesia includ</w:t>
      </w:r>
      <w:r>
        <w:rPr>
          <w:rFonts w:ascii="Calibri" w:hAnsi="Calibri" w:cs="Calibri"/>
        </w:rPr>
        <w:t>ed, for example, technical and</w:t>
      </w:r>
      <w:r w:rsidRPr="000D6780">
        <w:rPr>
          <w:rFonts w:ascii="Calibri" w:hAnsi="Calibri" w:cs="Calibri"/>
        </w:rPr>
        <w:t xml:space="preserve"> financial support for HIV-related law reform and legal services and for research on natural resources management.  Unlike TAF however, IDLO does not have a country office in Indonesia and, since the resignation of AIPJ’s Deputy Program Director from IDLO, it no longer has a </w:t>
      </w:r>
      <w:proofErr w:type="spellStart"/>
      <w:r w:rsidRPr="000D6780">
        <w:rPr>
          <w:rFonts w:ascii="Calibri" w:hAnsi="Calibri" w:cs="Calibri"/>
        </w:rPr>
        <w:t>secondee</w:t>
      </w:r>
      <w:proofErr w:type="spellEnd"/>
      <w:r w:rsidRPr="000D6780">
        <w:rPr>
          <w:rFonts w:ascii="Calibri" w:hAnsi="Calibri" w:cs="Calibri"/>
        </w:rPr>
        <w:t xml:space="preserve"> working with the program or other apparent program links.  Depending on the activity to be pursued, IDLO may yet prove to be an appropriate AIPJ partner.  However IDLO’s relatively small-scale engagement in Indonesia on particular niche</w:t>
      </w:r>
      <w:r>
        <w:rPr>
          <w:rFonts w:ascii="Calibri" w:hAnsi="Calibri" w:cs="Calibri"/>
        </w:rPr>
        <w:t xml:space="preserve"> areas of expertise</w:t>
      </w:r>
      <w:r>
        <w:rPr>
          <w:rStyle w:val="FootnoteReference"/>
          <w:rFonts w:ascii="Calibri" w:hAnsi="Calibri" w:cs="Calibri"/>
        </w:rPr>
        <w:footnoteReference w:id="19"/>
      </w:r>
      <w:r w:rsidRPr="000D6780">
        <w:rPr>
          <w:rFonts w:ascii="Calibri" w:hAnsi="Calibri" w:cs="Calibri"/>
        </w:rPr>
        <w:t xml:space="preserve">, combined with these other considerations, supports a finding that AIPJ need not re-establish engagement with IDLO as a current priority. </w:t>
      </w:r>
    </w:p>
    <w:p w:rsidR="00FA34AF" w:rsidRPr="00374C0B" w:rsidRDefault="00FA34AF" w:rsidP="001562EB">
      <w:pPr>
        <w:autoSpaceDE w:val="0"/>
        <w:autoSpaceDN w:val="0"/>
        <w:spacing w:after="240"/>
        <w:rPr>
          <w:rFonts w:ascii="Calibri" w:hAnsi="Calibri" w:cs="Calibri"/>
          <w:b/>
        </w:rPr>
      </w:pPr>
      <w:r w:rsidRPr="00374C0B">
        <w:rPr>
          <w:rFonts w:ascii="Calibri" w:hAnsi="Calibri" w:cs="Calibri"/>
          <w:b/>
          <w:u w:val="single"/>
        </w:rPr>
        <w:t>Recommendation</w:t>
      </w:r>
      <w:r w:rsidR="008F37FE">
        <w:rPr>
          <w:rFonts w:ascii="Calibri" w:hAnsi="Calibri" w:cs="Calibri"/>
          <w:b/>
          <w:u w:val="single"/>
        </w:rPr>
        <w:t xml:space="preserve"> </w:t>
      </w:r>
      <w:r w:rsidR="009F69A2">
        <w:rPr>
          <w:rFonts w:ascii="Calibri" w:hAnsi="Calibri" w:cs="Calibri"/>
          <w:b/>
          <w:u w:val="single"/>
        </w:rPr>
        <w:t>6</w:t>
      </w:r>
      <w:r w:rsidRPr="00374C0B">
        <w:rPr>
          <w:rFonts w:ascii="Calibri" w:hAnsi="Calibri" w:cs="Calibri"/>
          <w:b/>
        </w:rPr>
        <w:t xml:space="preserve">: </w:t>
      </w:r>
      <w:r w:rsidRPr="00374C0B">
        <w:rPr>
          <w:b/>
        </w:rPr>
        <w:t>AIPJ should deepen its engagement with The Asia Foundation (TAF), drawing on TAF’s knowledge and experience in fostering reformist networks and coalitions in Indonesia.</w:t>
      </w:r>
    </w:p>
    <w:p w:rsidR="007B761E" w:rsidRPr="008312EC" w:rsidRDefault="007B761E" w:rsidP="007B761E">
      <w:pPr>
        <w:pStyle w:val="Heading3"/>
      </w:pPr>
      <w:bookmarkStart w:id="16" w:name="_Toc345320828"/>
      <w:r>
        <w:t>Whole of Government Cooperation</w:t>
      </w:r>
      <w:bookmarkEnd w:id="16"/>
    </w:p>
    <w:p w:rsidR="007B761E" w:rsidRDefault="00284BF7" w:rsidP="00417FC2">
      <w:pPr>
        <w:rPr>
          <w:rFonts w:cstheme="minorHAnsi"/>
        </w:rPr>
      </w:pPr>
      <w:r>
        <w:rPr>
          <w:rFonts w:cstheme="minorHAnsi"/>
        </w:rPr>
        <w:t xml:space="preserve">Delivery of assistance by </w:t>
      </w:r>
      <w:r w:rsidR="00917213">
        <w:rPr>
          <w:rFonts w:cstheme="minorHAnsi"/>
        </w:rPr>
        <w:t xml:space="preserve">Australian courts and </w:t>
      </w:r>
      <w:r>
        <w:rPr>
          <w:rFonts w:cstheme="minorHAnsi"/>
        </w:rPr>
        <w:t>other Australian Government departments</w:t>
      </w:r>
      <w:r w:rsidR="002A2E87">
        <w:rPr>
          <w:rFonts w:cstheme="minorHAnsi"/>
        </w:rPr>
        <w:t xml:space="preserve"> in Indonesia</w:t>
      </w:r>
      <w:r>
        <w:rPr>
          <w:rFonts w:cstheme="minorHAnsi"/>
        </w:rPr>
        <w:t xml:space="preserve"> </w:t>
      </w:r>
      <w:r w:rsidR="007B761E" w:rsidRPr="00EF1F1C">
        <w:rPr>
          <w:rFonts w:cstheme="minorHAnsi"/>
        </w:rPr>
        <w:t xml:space="preserve">is positive and there are </w:t>
      </w:r>
      <w:r w:rsidR="007B761E">
        <w:rPr>
          <w:rFonts w:cstheme="minorHAnsi"/>
        </w:rPr>
        <w:t xml:space="preserve">advantages </w:t>
      </w:r>
      <w:r w:rsidR="002A2E87">
        <w:rPr>
          <w:rFonts w:cstheme="minorHAnsi"/>
        </w:rPr>
        <w:t>for</w:t>
      </w:r>
      <w:r w:rsidR="007B761E">
        <w:rPr>
          <w:rFonts w:cstheme="minorHAnsi"/>
        </w:rPr>
        <w:t xml:space="preserve"> both countries </w:t>
      </w:r>
      <w:r w:rsidR="002A2E87">
        <w:rPr>
          <w:rFonts w:cstheme="minorHAnsi"/>
        </w:rPr>
        <w:t xml:space="preserve">in </w:t>
      </w:r>
      <w:r w:rsidR="007B761E" w:rsidRPr="00EF1F1C">
        <w:rPr>
          <w:rFonts w:cstheme="minorHAnsi"/>
        </w:rPr>
        <w:t>building and maintaining long term relationships between Australia</w:t>
      </w:r>
      <w:r w:rsidR="007B761E">
        <w:rPr>
          <w:rFonts w:cstheme="minorHAnsi"/>
        </w:rPr>
        <w:t>n</w:t>
      </w:r>
      <w:r w:rsidR="007B761E" w:rsidRPr="00EF1F1C">
        <w:rPr>
          <w:rFonts w:cstheme="minorHAnsi"/>
        </w:rPr>
        <w:t xml:space="preserve"> and Indonesian institutions. In particular, the multi-layered and subtle relationships currently </w:t>
      </w:r>
      <w:r w:rsidR="00A11E29">
        <w:rPr>
          <w:rFonts w:cstheme="minorHAnsi"/>
        </w:rPr>
        <w:t xml:space="preserve">in place </w:t>
      </w:r>
      <w:r w:rsidR="007B761E" w:rsidRPr="00EF1F1C">
        <w:rPr>
          <w:rFonts w:cstheme="minorHAnsi"/>
        </w:rPr>
        <w:t xml:space="preserve">between the Indonesian Supreme Court and the Federal Court of Australia and the Family Court of Australia and between Indonesian Government institutions </w:t>
      </w:r>
      <w:r w:rsidR="007B761E">
        <w:rPr>
          <w:rFonts w:cstheme="minorHAnsi"/>
        </w:rPr>
        <w:t xml:space="preserve">such as the Attorney General’s Office </w:t>
      </w:r>
      <w:r w:rsidR="007B761E" w:rsidRPr="00EF1F1C">
        <w:rPr>
          <w:rFonts w:cstheme="minorHAnsi"/>
        </w:rPr>
        <w:t xml:space="preserve">and </w:t>
      </w:r>
      <w:r w:rsidR="007B761E">
        <w:rPr>
          <w:rFonts w:cstheme="minorHAnsi"/>
        </w:rPr>
        <w:t xml:space="preserve">with </w:t>
      </w:r>
      <w:r w:rsidR="007B761E" w:rsidRPr="00EF1F1C">
        <w:rPr>
          <w:rFonts w:cstheme="minorHAnsi"/>
        </w:rPr>
        <w:t>the Common</w:t>
      </w:r>
      <w:r w:rsidR="007B761E">
        <w:rPr>
          <w:rFonts w:cstheme="minorHAnsi"/>
        </w:rPr>
        <w:t xml:space="preserve">wealth Attorney General’s Department are valued by both </w:t>
      </w:r>
      <w:r w:rsidR="007B761E" w:rsidRPr="00EF1F1C">
        <w:rPr>
          <w:rFonts w:cstheme="minorHAnsi"/>
        </w:rPr>
        <w:t xml:space="preserve">Indonesian </w:t>
      </w:r>
      <w:r w:rsidR="007B761E">
        <w:rPr>
          <w:rFonts w:cstheme="minorHAnsi"/>
        </w:rPr>
        <w:t xml:space="preserve">and Australian </w:t>
      </w:r>
      <w:r w:rsidR="007B761E" w:rsidRPr="00EF1F1C">
        <w:rPr>
          <w:rFonts w:cstheme="minorHAnsi"/>
        </w:rPr>
        <w:t>counterparts</w:t>
      </w:r>
      <w:r w:rsidR="007B761E">
        <w:rPr>
          <w:rFonts w:cstheme="minorHAnsi"/>
        </w:rPr>
        <w:t xml:space="preserve">. Other Australian partners, such as the Australian Human Rights Commission, New South Wales Judicial Commission and Australian </w:t>
      </w:r>
      <w:r w:rsidR="007B761E">
        <w:rPr>
          <w:rFonts w:cstheme="minorHAnsi"/>
        </w:rPr>
        <w:lastRenderedPageBreak/>
        <w:t>Commission for Law Enforcement Integrity (ACLEI) are</w:t>
      </w:r>
      <w:r w:rsidR="002A2E87">
        <w:rPr>
          <w:rFonts w:cstheme="minorHAnsi"/>
        </w:rPr>
        <w:t>,</w:t>
      </w:r>
      <w:r w:rsidR="007B761E">
        <w:rPr>
          <w:rFonts w:cstheme="minorHAnsi"/>
        </w:rPr>
        <w:t xml:space="preserve"> with</w:t>
      </w:r>
      <w:r w:rsidR="002A2E87">
        <w:rPr>
          <w:rFonts w:cstheme="minorHAnsi"/>
        </w:rPr>
        <w:t xml:space="preserve"> their respective</w:t>
      </w:r>
      <w:r w:rsidR="007B761E">
        <w:rPr>
          <w:rFonts w:cstheme="minorHAnsi"/>
        </w:rPr>
        <w:t xml:space="preserve"> counterparts, developing partnerships and it is important to support these</w:t>
      </w:r>
      <w:r w:rsidR="002A2E87">
        <w:rPr>
          <w:rFonts w:cstheme="minorHAnsi"/>
        </w:rPr>
        <w:t xml:space="preserve"> r</w:t>
      </w:r>
      <w:r w:rsidR="007B761E">
        <w:rPr>
          <w:rFonts w:cstheme="minorHAnsi"/>
        </w:rPr>
        <w:t>elationships.</w:t>
      </w:r>
      <w:r w:rsidR="00917213">
        <w:rPr>
          <w:rStyle w:val="FootnoteReference"/>
          <w:rFonts w:cstheme="minorHAnsi"/>
        </w:rPr>
        <w:footnoteReference w:id="20"/>
      </w:r>
      <w:r w:rsidR="007B761E" w:rsidRPr="00EF1F1C">
        <w:rPr>
          <w:rFonts w:cstheme="minorHAnsi"/>
        </w:rPr>
        <w:t xml:space="preserve"> This assistance (and strategy) should continue to be supported </w:t>
      </w:r>
      <w:r w:rsidR="00010A78">
        <w:rPr>
          <w:rFonts w:cstheme="minorHAnsi"/>
        </w:rPr>
        <w:t>through AIPJ</w:t>
      </w:r>
      <w:r w:rsidR="007B761E">
        <w:rPr>
          <w:rFonts w:cstheme="minorHAnsi"/>
        </w:rPr>
        <w:t xml:space="preserve"> and</w:t>
      </w:r>
      <w:r w:rsidR="00010A78">
        <w:rPr>
          <w:rFonts w:cstheme="minorHAnsi"/>
        </w:rPr>
        <w:t xml:space="preserve"> must be</w:t>
      </w:r>
      <w:r w:rsidR="007B761E">
        <w:rPr>
          <w:rFonts w:cstheme="minorHAnsi"/>
        </w:rPr>
        <w:t xml:space="preserve"> linked to the AIPJ mission</w:t>
      </w:r>
      <w:r w:rsidR="00010A78">
        <w:rPr>
          <w:rFonts w:cstheme="minorHAnsi"/>
        </w:rPr>
        <w:t xml:space="preserve"> and goals</w:t>
      </w:r>
      <w:r w:rsidR="007B761E" w:rsidRPr="00EF1F1C">
        <w:rPr>
          <w:rFonts w:cstheme="minorHAnsi"/>
        </w:rPr>
        <w:t>. Care in the management of th</w:t>
      </w:r>
      <w:r w:rsidR="007B761E">
        <w:rPr>
          <w:rFonts w:cstheme="minorHAnsi"/>
        </w:rPr>
        <w:t xml:space="preserve">e various inputs from the various </w:t>
      </w:r>
      <w:proofErr w:type="spellStart"/>
      <w:r w:rsidR="007B761E">
        <w:rPr>
          <w:rFonts w:cstheme="minorHAnsi"/>
        </w:rPr>
        <w:t>WoG</w:t>
      </w:r>
      <w:proofErr w:type="spellEnd"/>
      <w:r w:rsidR="007B761E">
        <w:rPr>
          <w:rFonts w:cstheme="minorHAnsi"/>
        </w:rPr>
        <w:t xml:space="preserve"> partners </w:t>
      </w:r>
      <w:r w:rsidR="007B761E" w:rsidRPr="00EF1F1C">
        <w:rPr>
          <w:rFonts w:cstheme="minorHAnsi"/>
        </w:rPr>
        <w:t>should be taken to e</w:t>
      </w:r>
      <w:r w:rsidR="007B761E">
        <w:rPr>
          <w:rFonts w:cstheme="minorHAnsi"/>
        </w:rPr>
        <w:t xml:space="preserve">nsure </w:t>
      </w:r>
      <w:r w:rsidR="00010A78">
        <w:rPr>
          <w:rFonts w:cstheme="minorHAnsi"/>
        </w:rPr>
        <w:t xml:space="preserve">there is not </w:t>
      </w:r>
      <w:r w:rsidR="007B761E">
        <w:rPr>
          <w:rFonts w:cstheme="minorHAnsi"/>
        </w:rPr>
        <w:t xml:space="preserve">confusion </w:t>
      </w:r>
      <w:r w:rsidR="00010A78">
        <w:rPr>
          <w:rFonts w:cstheme="minorHAnsi"/>
        </w:rPr>
        <w:t>amongst</w:t>
      </w:r>
      <w:r w:rsidR="007B761E" w:rsidRPr="00EF1F1C">
        <w:rPr>
          <w:rFonts w:cstheme="minorHAnsi"/>
        </w:rPr>
        <w:t xml:space="preserve"> Indonesian partners.</w:t>
      </w:r>
      <w:r w:rsidR="007B761E">
        <w:rPr>
          <w:rFonts w:cstheme="minorHAnsi"/>
        </w:rPr>
        <w:t xml:space="preserve"> It is also important that the whole Australian</w:t>
      </w:r>
      <w:r w:rsidR="00010A78">
        <w:rPr>
          <w:rFonts w:cstheme="minorHAnsi"/>
        </w:rPr>
        <w:t xml:space="preserve"> Government effort in the sector </w:t>
      </w:r>
      <w:r w:rsidR="007B761E">
        <w:rPr>
          <w:rFonts w:cstheme="minorHAnsi"/>
        </w:rPr>
        <w:t>can link to the AIPJ strategic framework</w:t>
      </w:r>
      <w:r w:rsidR="00010A78">
        <w:rPr>
          <w:rFonts w:cstheme="minorHAnsi"/>
        </w:rPr>
        <w:t xml:space="preserve"> and </w:t>
      </w:r>
      <w:r w:rsidR="007B761E">
        <w:rPr>
          <w:rFonts w:cstheme="minorHAnsi"/>
        </w:rPr>
        <w:t>can measurably contribute to the delivery of AIPJ</w:t>
      </w:r>
      <w:r w:rsidR="00010A78">
        <w:rPr>
          <w:rFonts w:cstheme="minorHAnsi"/>
        </w:rPr>
        <w:t>’s outcomes</w:t>
      </w:r>
      <w:r w:rsidR="007B761E">
        <w:rPr>
          <w:rFonts w:cstheme="minorHAnsi"/>
        </w:rPr>
        <w:t xml:space="preserve">. </w:t>
      </w:r>
      <w:r w:rsidR="00B164B6">
        <w:rPr>
          <w:rFonts w:cstheme="minorHAnsi"/>
        </w:rPr>
        <w:t xml:space="preserve"> It would be beneficial if all activities could be collated and included in an annual report.</w:t>
      </w:r>
    </w:p>
    <w:p w:rsidR="007B761E" w:rsidRDefault="007B761E" w:rsidP="00234D1F">
      <w:pPr>
        <w:spacing w:after="0" w:line="288" w:lineRule="atLeast"/>
        <w:rPr>
          <w:iCs/>
          <w:color w:val="000000"/>
          <w:shd w:val="clear" w:color="auto" w:fill="FFFFFF"/>
        </w:rPr>
      </w:pPr>
      <w:r w:rsidRPr="00AD1F55">
        <w:rPr>
          <w:rFonts w:cstheme="minorHAnsi"/>
        </w:rPr>
        <w:t>The team fu</w:t>
      </w:r>
      <w:r w:rsidR="00B164B6">
        <w:rPr>
          <w:rFonts w:cstheme="minorHAnsi"/>
        </w:rPr>
        <w:t>rther recommends that the AIPJ p</w:t>
      </w:r>
      <w:r w:rsidRPr="00AD1F55">
        <w:rPr>
          <w:rFonts w:cstheme="minorHAnsi"/>
        </w:rPr>
        <w:t xml:space="preserve">rogram </w:t>
      </w:r>
      <w:r w:rsidR="00B164B6">
        <w:rPr>
          <w:rFonts w:cstheme="minorHAnsi"/>
        </w:rPr>
        <w:t xml:space="preserve">communicates and </w:t>
      </w:r>
      <w:r w:rsidRPr="00AD1F55">
        <w:rPr>
          <w:rFonts w:cstheme="minorHAnsi"/>
        </w:rPr>
        <w:t xml:space="preserve">coordinates with </w:t>
      </w:r>
      <w:r w:rsidR="00B164B6">
        <w:rPr>
          <w:rFonts w:cstheme="minorHAnsi"/>
        </w:rPr>
        <w:t xml:space="preserve">all the </w:t>
      </w:r>
      <w:r w:rsidRPr="00AD1F55">
        <w:rPr>
          <w:rFonts w:cstheme="minorHAnsi"/>
        </w:rPr>
        <w:t>legal sector programs and activities supported by Australian legal institutions</w:t>
      </w:r>
      <w:r w:rsidR="00010A78">
        <w:rPr>
          <w:rFonts w:cstheme="minorHAnsi"/>
        </w:rPr>
        <w:t xml:space="preserve"> in Indonesia</w:t>
      </w:r>
      <w:r w:rsidRPr="00AD1F55">
        <w:rPr>
          <w:rFonts w:cstheme="minorHAnsi"/>
        </w:rPr>
        <w:t xml:space="preserve">, </w:t>
      </w:r>
      <w:r w:rsidR="00B164B6">
        <w:rPr>
          <w:rFonts w:cstheme="minorHAnsi"/>
        </w:rPr>
        <w:t>with the aim</w:t>
      </w:r>
      <w:r w:rsidRPr="00AD1F55">
        <w:rPr>
          <w:rFonts w:cstheme="minorHAnsi"/>
        </w:rPr>
        <w:t xml:space="preserve"> to keep each other informed, and streamline activities where possible. </w:t>
      </w:r>
      <w:r w:rsidR="006F744F">
        <w:rPr>
          <w:iCs/>
          <w:color w:val="000000"/>
          <w:shd w:val="clear" w:color="auto" w:fill="FFFFFF"/>
        </w:rPr>
        <w:t>The Review Team commends all</w:t>
      </w:r>
      <w:r w:rsidRPr="00AD1F55">
        <w:rPr>
          <w:iCs/>
          <w:color w:val="000000"/>
          <w:shd w:val="clear" w:color="auto" w:fill="FFFFFF"/>
        </w:rPr>
        <w:t xml:space="preserve"> Australian legal i</w:t>
      </w:r>
      <w:r>
        <w:rPr>
          <w:iCs/>
          <w:color w:val="000000"/>
          <w:shd w:val="clear" w:color="auto" w:fill="FFFFFF"/>
        </w:rPr>
        <w:t xml:space="preserve">nstitutions </w:t>
      </w:r>
      <w:r w:rsidR="009460CA">
        <w:rPr>
          <w:iCs/>
          <w:color w:val="000000"/>
          <w:shd w:val="clear" w:color="auto" w:fill="FFFFFF"/>
        </w:rPr>
        <w:t xml:space="preserve">to </w:t>
      </w:r>
      <w:r w:rsidRPr="00AD1F55">
        <w:rPr>
          <w:iCs/>
          <w:color w:val="000000"/>
          <w:shd w:val="clear" w:color="auto" w:fill="FFFFFF"/>
        </w:rPr>
        <w:t>consult with AIPJ and AusAID when engaging in Indonesia.</w:t>
      </w:r>
    </w:p>
    <w:p w:rsidR="00C90083" w:rsidRPr="00532E12" w:rsidRDefault="00C90083" w:rsidP="00962C4D">
      <w:pPr>
        <w:pStyle w:val="Heading2"/>
      </w:pPr>
      <w:bookmarkStart w:id="17" w:name="_Toc345320829"/>
      <w:r>
        <w:t>Integration and Synergies</w:t>
      </w:r>
      <w:bookmarkEnd w:id="17"/>
    </w:p>
    <w:p w:rsidR="005B1CBB" w:rsidRPr="0031018F" w:rsidRDefault="005B1CBB" w:rsidP="005B1CBB">
      <w:pPr>
        <w:rPr>
          <w:rFonts w:cstheme="minorHAnsi"/>
          <w:b/>
          <w:i/>
        </w:rPr>
      </w:pPr>
      <w:r w:rsidRPr="0031018F">
        <w:rPr>
          <w:rFonts w:cstheme="minorHAnsi"/>
          <w:b/>
          <w:i/>
        </w:rPr>
        <w:t xml:space="preserve">Identify potential synergies with other AusAID programs to maximise the program’s overall benefits to poor people.  </w:t>
      </w:r>
    </w:p>
    <w:p w:rsidR="005B1CBB" w:rsidRPr="0031018F" w:rsidRDefault="005B1CBB" w:rsidP="00962C4D">
      <w:pPr>
        <w:pStyle w:val="Heading3"/>
      </w:pPr>
      <w:r>
        <w:t xml:space="preserve"> </w:t>
      </w:r>
      <w:bookmarkStart w:id="18" w:name="_Toc345320830"/>
      <w:r w:rsidR="007B761E">
        <w:t>General O</w:t>
      </w:r>
      <w:r>
        <w:t>bservations</w:t>
      </w:r>
      <w:bookmarkEnd w:id="18"/>
    </w:p>
    <w:p w:rsidR="00AA5A2D" w:rsidRDefault="005B1CBB" w:rsidP="00AA5A2D">
      <w:r>
        <w:rPr>
          <w:rFonts w:cstheme="minorHAnsi"/>
        </w:rPr>
        <w:t xml:space="preserve">The </w:t>
      </w:r>
      <w:r w:rsidR="00EC0DA0">
        <w:rPr>
          <w:rFonts w:cstheme="minorHAnsi"/>
        </w:rPr>
        <w:t>Review Team</w:t>
      </w:r>
      <w:r>
        <w:rPr>
          <w:rFonts w:cstheme="minorHAnsi"/>
        </w:rPr>
        <w:t xml:space="preserve"> met with </w:t>
      </w:r>
      <w:r w:rsidR="00B50C08">
        <w:rPr>
          <w:rFonts w:cstheme="minorHAnsi"/>
        </w:rPr>
        <w:t xml:space="preserve">other </w:t>
      </w:r>
      <w:r>
        <w:rPr>
          <w:rFonts w:cstheme="minorHAnsi"/>
        </w:rPr>
        <w:t xml:space="preserve">AusAID </w:t>
      </w:r>
      <w:r w:rsidR="00216F10">
        <w:rPr>
          <w:rFonts w:cstheme="minorHAnsi"/>
        </w:rPr>
        <w:t xml:space="preserve">programs </w:t>
      </w:r>
      <w:r w:rsidR="00B50C08">
        <w:rPr>
          <w:rFonts w:cstheme="minorHAnsi"/>
        </w:rPr>
        <w:t>in Indonesia and with other donor programs</w:t>
      </w:r>
      <w:r>
        <w:rPr>
          <w:rFonts w:cstheme="minorHAnsi"/>
        </w:rPr>
        <w:t>.</w:t>
      </w:r>
      <w:r>
        <w:rPr>
          <w:rStyle w:val="FootnoteReference"/>
          <w:rFonts w:cstheme="minorHAnsi"/>
        </w:rPr>
        <w:footnoteReference w:id="21"/>
      </w:r>
      <w:r>
        <w:rPr>
          <w:rFonts w:cstheme="minorHAnsi"/>
        </w:rPr>
        <w:t xml:space="preserve"> The meetings were informative and the team identified there i</w:t>
      </w:r>
      <w:r w:rsidR="006A00B1">
        <w:rPr>
          <w:rFonts w:cstheme="minorHAnsi"/>
        </w:rPr>
        <w:t>s</w:t>
      </w:r>
      <w:r>
        <w:rPr>
          <w:rFonts w:cstheme="minorHAnsi"/>
        </w:rPr>
        <w:t xml:space="preserve"> potential for AIPJ to work together with some or all of these programs to maximise opportunities for AIPJ</w:t>
      </w:r>
      <w:r w:rsidR="00AA5A2D">
        <w:rPr>
          <w:rFonts w:cstheme="minorHAnsi"/>
        </w:rPr>
        <w:t xml:space="preserve"> and for other programs</w:t>
      </w:r>
      <w:r>
        <w:rPr>
          <w:rFonts w:cstheme="minorHAnsi"/>
        </w:rPr>
        <w:t xml:space="preserve">. Many (if not all) of the AusAID programs indicated a limited knowledge of AIPJ and certainly were not aware of the AIPJ mission. However, all indicated, given </w:t>
      </w:r>
      <w:r w:rsidR="00571897">
        <w:rPr>
          <w:rFonts w:cstheme="minorHAnsi"/>
        </w:rPr>
        <w:t>the</w:t>
      </w:r>
      <w:r>
        <w:rPr>
          <w:rFonts w:cstheme="minorHAnsi"/>
        </w:rPr>
        <w:t xml:space="preserve"> opportunity, a willingness to cooperate with AIPJ and through discussion with the team, identif</w:t>
      </w:r>
      <w:r w:rsidR="00571897">
        <w:rPr>
          <w:rFonts w:cstheme="minorHAnsi"/>
        </w:rPr>
        <w:t>y</w:t>
      </w:r>
      <w:r>
        <w:rPr>
          <w:rFonts w:cstheme="minorHAnsi"/>
        </w:rPr>
        <w:t xml:space="preserve"> potential linkage areas such as sharing systems and knowledge. There is also potential for some of the</w:t>
      </w:r>
      <w:r w:rsidR="00571897">
        <w:rPr>
          <w:rFonts w:cstheme="minorHAnsi"/>
        </w:rPr>
        <w:t>se</w:t>
      </w:r>
      <w:r>
        <w:rPr>
          <w:rFonts w:cstheme="minorHAnsi"/>
        </w:rPr>
        <w:t xml:space="preserve"> programs to actually contribute to the</w:t>
      </w:r>
      <w:r w:rsidR="00656B05">
        <w:rPr>
          <w:rFonts w:cstheme="minorHAnsi"/>
        </w:rPr>
        <w:t xml:space="preserve"> delivery </w:t>
      </w:r>
      <w:r w:rsidR="00571897">
        <w:rPr>
          <w:rFonts w:cstheme="minorHAnsi"/>
        </w:rPr>
        <w:t xml:space="preserve">of </w:t>
      </w:r>
      <w:r w:rsidR="00656B05">
        <w:rPr>
          <w:rFonts w:cstheme="minorHAnsi"/>
        </w:rPr>
        <w:t>AIPJ</w:t>
      </w:r>
      <w:r w:rsidR="00571897">
        <w:rPr>
          <w:rFonts w:cstheme="minorHAnsi"/>
        </w:rPr>
        <w:t>’s</w:t>
      </w:r>
      <w:r w:rsidR="00656B05">
        <w:rPr>
          <w:rFonts w:cstheme="minorHAnsi"/>
        </w:rPr>
        <w:t xml:space="preserve"> objective</w:t>
      </w:r>
      <w:r w:rsidR="00B855B2">
        <w:rPr>
          <w:rFonts w:cstheme="minorHAnsi"/>
        </w:rPr>
        <w:t>s</w:t>
      </w:r>
      <w:r>
        <w:rPr>
          <w:rFonts w:cstheme="minorHAnsi"/>
        </w:rPr>
        <w:t>. For example,</w:t>
      </w:r>
      <w:r w:rsidR="00B855B2">
        <w:rPr>
          <w:rFonts w:cstheme="minorHAnsi"/>
        </w:rPr>
        <w:t xml:space="preserve"> there is a real opportunity for AIPJ to work more closely with the </w:t>
      </w:r>
      <w:proofErr w:type="spellStart"/>
      <w:r w:rsidR="00B855B2">
        <w:rPr>
          <w:rFonts w:cstheme="minorHAnsi"/>
        </w:rPr>
        <w:t>AusAID’s</w:t>
      </w:r>
      <w:proofErr w:type="spellEnd"/>
      <w:r w:rsidR="00B855B2">
        <w:rPr>
          <w:rFonts w:cstheme="minorHAnsi"/>
        </w:rPr>
        <w:t xml:space="preserve"> AIPD and ACCESS programs as well as with the World Bank’s Justice for the Poor program. Meanwhile, there a</w:t>
      </w:r>
      <w:r>
        <w:rPr>
          <w:rFonts w:cstheme="minorHAnsi"/>
        </w:rPr>
        <w:t>re others where cooperative planning and action across the AusAID programs (as well with other donors) could be enhanced to provide a more demonstrable strategic approach. There is a clear opportunity to do this now.</w:t>
      </w:r>
      <w:r w:rsidR="00216F10">
        <w:rPr>
          <w:rFonts w:cstheme="minorHAnsi"/>
        </w:rPr>
        <w:t xml:space="preserve"> </w:t>
      </w:r>
      <w:r w:rsidR="00576C17">
        <w:rPr>
          <w:rFonts w:cstheme="minorHAnsi"/>
        </w:rPr>
        <w:t>What was clear from the Review Team’s consultations was that dialogue between AusAID programs should be</w:t>
      </w:r>
      <w:r w:rsidR="00576C17">
        <w:t xml:space="preserve"> </w:t>
      </w:r>
      <w:r>
        <w:t>enhanced</w:t>
      </w:r>
      <w:r w:rsidR="00AA5A2D">
        <w:rPr>
          <w:rFonts w:cstheme="minorHAnsi"/>
        </w:rPr>
        <w:t xml:space="preserve"> and that there is a real opportunity for </w:t>
      </w:r>
      <w:r w:rsidR="00AA5A2D" w:rsidRPr="0063547B">
        <w:t>more pro-active engagement to secu</w:t>
      </w:r>
      <w:r w:rsidR="00AA5A2D">
        <w:t>re effective program synergies.</w:t>
      </w:r>
      <w:r w:rsidR="00AA5A2D" w:rsidRPr="0063547B">
        <w:t xml:space="preserve"> </w:t>
      </w:r>
    </w:p>
    <w:p w:rsidR="008F6A52" w:rsidRDefault="002918C9" w:rsidP="005B1CBB">
      <w:pPr>
        <w:rPr>
          <w:rFonts w:cstheme="minorHAnsi"/>
        </w:rPr>
      </w:pPr>
      <w:r>
        <w:rPr>
          <w:rFonts w:cstheme="minorHAnsi"/>
        </w:rPr>
        <w:t xml:space="preserve">To date, </w:t>
      </w:r>
      <w:r w:rsidR="005B1CBB">
        <w:rPr>
          <w:rFonts w:cstheme="minorHAnsi"/>
        </w:rPr>
        <w:t xml:space="preserve">AIPJ has focussed its </w:t>
      </w:r>
      <w:r>
        <w:rPr>
          <w:rFonts w:cstheme="minorHAnsi"/>
        </w:rPr>
        <w:t>interventions mostly</w:t>
      </w:r>
      <w:r w:rsidR="005B1CBB">
        <w:rPr>
          <w:rFonts w:cstheme="minorHAnsi"/>
        </w:rPr>
        <w:t xml:space="preserve"> on </w:t>
      </w:r>
      <w:r w:rsidR="001E0454">
        <w:rPr>
          <w:rFonts w:cstheme="minorHAnsi"/>
        </w:rPr>
        <w:t>Jakarta based</w:t>
      </w:r>
      <w:r w:rsidR="005B1CBB">
        <w:rPr>
          <w:rFonts w:cstheme="minorHAnsi"/>
        </w:rPr>
        <w:t xml:space="preserve"> justice institutions.  There is clear potential to investigate how the work of other AusAID-funded programs and their partners, particularly at the sub-national level, can contribute to implementing AIPJ’s reengineered strategic framework. </w:t>
      </w:r>
      <w:r w:rsidR="00F950FC">
        <w:rPr>
          <w:rFonts w:cstheme="minorHAnsi"/>
        </w:rPr>
        <w:t>Any p</w:t>
      </w:r>
      <w:r w:rsidR="005B1CBB" w:rsidRPr="00F3263E">
        <w:rPr>
          <w:rFonts w:cstheme="minorHAnsi"/>
        </w:rPr>
        <w:t xml:space="preserve">rogram synergies </w:t>
      </w:r>
      <w:r w:rsidR="00F950FC">
        <w:rPr>
          <w:rFonts w:cstheme="minorHAnsi"/>
        </w:rPr>
        <w:t xml:space="preserve">and any joint programming in this regard needs </w:t>
      </w:r>
      <w:r w:rsidR="005B1CBB" w:rsidRPr="00F3263E">
        <w:rPr>
          <w:rFonts w:cstheme="minorHAnsi"/>
        </w:rPr>
        <w:t xml:space="preserve">to be </w:t>
      </w:r>
      <w:r w:rsidR="00F950FC">
        <w:rPr>
          <w:rFonts w:cstheme="minorHAnsi"/>
        </w:rPr>
        <w:t xml:space="preserve">further </w:t>
      </w:r>
      <w:r w:rsidR="005B1CBB" w:rsidRPr="00F3263E">
        <w:rPr>
          <w:rFonts w:cstheme="minorHAnsi"/>
        </w:rPr>
        <w:t>discussed</w:t>
      </w:r>
      <w:r w:rsidR="00F950FC">
        <w:rPr>
          <w:rFonts w:cstheme="minorHAnsi"/>
        </w:rPr>
        <w:t xml:space="preserve"> and</w:t>
      </w:r>
      <w:r w:rsidR="005B1CBB" w:rsidRPr="00F3263E">
        <w:rPr>
          <w:rFonts w:cstheme="minorHAnsi"/>
        </w:rPr>
        <w:t xml:space="preserve"> clarified </w:t>
      </w:r>
      <w:r w:rsidR="00F950FC">
        <w:rPr>
          <w:rFonts w:cstheme="minorHAnsi"/>
        </w:rPr>
        <w:t>by AusAID</w:t>
      </w:r>
      <w:r w:rsidR="008F6A52">
        <w:rPr>
          <w:rFonts w:cstheme="minorHAnsi"/>
        </w:rPr>
        <w:t xml:space="preserve"> and should focus on how any potential joint programming would increase the benefit delivered to the poor. </w:t>
      </w:r>
      <w:r w:rsidR="00F950FC">
        <w:rPr>
          <w:rFonts w:cstheme="minorHAnsi"/>
        </w:rPr>
        <w:t xml:space="preserve"> </w:t>
      </w:r>
    </w:p>
    <w:p w:rsidR="005B1CBB" w:rsidRDefault="005B1CBB" w:rsidP="005B1CBB">
      <w:r w:rsidRPr="0063547B">
        <w:lastRenderedPageBreak/>
        <w:t>It should be recogni</w:t>
      </w:r>
      <w:r w:rsidR="008F6A52">
        <w:t>s</w:t>
      </w:r>
      <w:r w:rsidRPr="0063547B">
        <w:t xml:space="preserve">ed that in reality, development programs (and </w:t>
      </w:r>
      <w:r w:rsidR="008F6A52">
        <w:t>those implementing them</w:t>
      </w:r>
      <w:r w:rsidRPr="0063547B">
        <w:t>) are not naturally focused on synergizing and coordinating with other programs. Programs will recognize synergizing as a desirable thing to do, but will have difficult</w:t>
      </w:r>
      <w:r w:rsidR="008F6A52">
        <w:t>y</w:t>
      </w:r>
      <w:r w:rsidRPr="0063547B">
        <w:t xml:space="preserve"> translating this into </w:t>
      </w:r>
      <w:r w:rsidR="008F6A52">
        <w:t xml:space="preserve">something concrete. This is because joint </w:t>
      </w:r>
      <w:r w:rsidR="001E31E1">
        <w:t>programming generally imposes</w:t>
      </w:r>
      <w:r w:rsidR="008F6A52">
        <w:t xml:space="preserve"> </w:t>
      </w:r>
      <w:r w:rsidRPr="0063547B">
        <w:t xml:space="preserve">extra bureaucratic </w:t>
      </w:r>
      <w:r w:rsidR="008F6A52">
        <w:t>burden</w:t>
      </w:r>
      <w:r w:rsidRPr="0063547B">
        <w:t>, requi</w:t>
      </w:r>
      <w:r w:rsidR="008F6A52">
        <w:t>res</w:t>
      </w:r>
      <w:r w:rsidRPr="0063547B">
        <w:t xml:space="preserve"> extra effort from program staff, is</w:t>
      </w:r>
      <w:r w:rsidR="006F0944">
        <w:t xml:space="preserve"> often</w:t>
      </w:r>
      <w:r w:rsidRPr="0063547B">
        <w:t xml:space="preserve"> deemed to dilute program profile and often does not sit</w:t>
      </w:r>
      <w:r w:rsidR="006F0944">
        <w:t xml:space="preserve"> neatly within</w:t>
      </w:r>
      <w:r w:rsidRPr="0063547B">
        <w:t xml:space="preserve"> program documents. Further, program synergizing and coordination is two-way, in which both (or more) programs must be open to such cooperation. </w:t>
      </w:r>
    </w:p>
    <w:p w:rsidR="00FA34AF" w:rsidRPr="00374C0B" w:rsidRDefault="00FA34AF" w:rsidP="005B1CBB">
      <w:pPr>
        <w:rPr>
          <w:b/>
        </w:rPr>
      </w:pPr>
      <w:r w:rsidRPr="00374C0B">
        <w:rPr>
          <w:b/>
          <w:u w:val="single"/>
        </w:rPr>
        <w:t>Recommendation</w:t>
      </w:r>
      <w:r w:rsidR="008F37FE">
        <w:rPr>
          <w:b/>
          <w:u w:val="single"/>
        </w:rPr>
        <w:t xml:space="preserve"> </w:t>
      </w:r>
      <w:r w:rsidR="009F69A2">
        <w:rPr>
          <w:b/>
          <w:u w:val="single"/>
        </w:rPr>
        <w:t>7</w:t>
      </w:r>
      <w:r w:rsidRPr="00374C0B">
        <w:rPr>
          <w:b/>
        </w:rPr>
        <w:t xml:space="preserve">: AIPJ should establish a modest level of local representation in one or more sub-national target areas where </w:t>
      </w:r>
      <w:proofErr w:type="spellStart"/>
      <w:r w:rsidRPr="00374C0B">
        <w:rPr>
          <w:b/>
        </w:rPr>
        <w:t>AusAID’s</w:t>
      </w:r>
      <w:proofErr w:type="spellEnd"/>
      <w:r w:rsidRPr="00374C0B">
        <w:rPr>
          <w:b/>
        </w:rPr>
        <w:t xml:space="preserve"> decentralisation programs work.</w:t>
      </w:r>
    </w:p>
    <w:p w:rsidR="00D01A38" w:rsidRPr="0063547B" w:rsidRDefault="00D01A38" w:rsidP="00962C4D">
      <w:pPr>
        <w:pStyle w:val="Heading3"/>
      </w:pPr>
      <w:bookmarkStart w:id="19" w:name="_Toc345320831"/>
      <w:r>
        <w:t>AusAID Role</w:t>
      </w:r>
      <w:bookmarkEnd w:id="19"/>
    </w:p>
    <w:p w:rsidR="00D01A38" w:rsidRPr="005E03A5" w:rsidRDefault="00D01A38" w:rsidP="00962C4D">
      <w:pPr>
        <w:pStyle w:val="Heading4"/>
      </w:pPr>
      <w:r w:rsidRPr="005E03A5">
        <w:t xml:space="preserve">Synergizing matrix </w:t>
      </w:r>
    </w:p>
    <w:p w:rsidR="00D01A38" w:rsidRPr="005E03A5" w:rsidRDefault="003A5373" w:rsidP="00D01A38">
      <w:r>
        <w:t xml:space="preserve">To develop program synergies, AIPJ must </w:t>
      </w:r>
      <w:r w:rsidR="00D01A38" w:rsidRPr="005E03A5">
        <w:t>give clearer direction to</w:t>
      </w:r>
      <w:r w:rsidR="00D01A38">
        <w:t xml:space="preserve"> AusAID</w:t>
      </w:r>
      <w:r w:rsidR="00D01A38" w:rsidRPr="005E03A5">
        <w:t xml:space="preserve"> programs on possible areas of </w:t>
      </w:r>
      <w:r w:rsidR="00D01A38">
        <w:t>interaction</w:t>
      </w:r>
      <w:r>
        <w:t xml:space="preserve"> and potential joint programming</w:t>
      </w:r>
      <w:r w:rsidR="00D01A38" w:rsidRPr="005E03A5">
        <w:t>. This direction can be captured in a synergy matrix, which should be developed over time</w:t>
      </w:r>
      <w:r>
        <w:t xml:space="preserve">. </w:t>
      </w:r>
      <w:r w:rsidRPr="005E03A5">
        <w:t>The</w:t>
      </w:r>
      <w:r w:rsidR="00D01A38" w:rsidRPr="005E03A5">
        <w:t xml:space="preserve"> matrix </w:t>
      </w:r>
      <w:r>
        <w:t xml:space="preserve">may </w:t>
      </w:r>
      <w:r w:rsidR="00D01A38" w:rsidRPr="005E03A5">
        <w:t>include the following:</w:t>
      </w:r>
    </w:p>
    <w:p w:rsidR="00D01A38" w:rsidRDefault="00D01A38" w:rsidP="00D01A38">
      <w:pPr>
        <w:pStyle w:val="ListParagraph"/>
        <w:numPr>
          <w:ilvl w:val="0"/>
          <w:numId w:val="22"/>
        </w:numPr>
        <w:spacing w:after="0" w:line="240" w:lineRule="auto"/>
      </w:pPr>
      <w:r w:rsidRPr="008312EC">
        <w:rPr>
          <w:b/>
        </w:rPr>
        <w:t>Geographic synergy</w:t>
      </w:r>
      <w:r w:rsidRPr="005E03A5">
        <w:t>: We recommend that programs focus on the same geographic areas. This allows them to draw on each other’s local knowledge and networks of local experts</w:t>
      </w:r>
      <w:r w:rsidR="00355161">
        <w:t>.</w:t>
      </w:r>
      <w:r w:rsidRPr="005E03A5">
        <w:t xml:space="preserve"> Also, a number of programs working side by side ideally will increase donor leverage vis-à-vis local partners, and improve program </w:t>
      </w:r>
      <w:r w:rsidR="00355161">
        <w:t>outcomes</w:t>
      </w:r>
      <w:r w:rsidRPr="005E03A5">
        <w:t>.  For AIPJ we recommend that it focuses activities at a local level and with areas where programs such as ACCESS, AIPD and Justice for the Poor are currently engaged.</w:t>
      </w:r>
    </w:p>
    <w:p w:rsidR="00D01A38" w:rsidRDefault="00D01A38" w:rsidP="00D01A38">
      <w:pPr>
        <w:pStyle w:val="ListParagraph"/>
        <w:numPr>
          <w:ilvl w:val="0"/>
          <w:numId w:val="22"/>
        </w:numPr>
        <w:spacing w:after="0" w:line="240" w:lineRule="auto"/>
      </w:pPr>
      <w:r w:rsidRPr="008312EC">
        <w:rPr>
          <w:b/>
        </w:rPr>
        <w:t>Thematic synergy</w:t>
      </w:r>
      <w:r w:rsidRPr="005E03A5">
        <w:t xml:space="preserve">: We recommend that programs seek out themes and areas of activity that, while fully within their program ambit, create ‘synapses’ with other programs and program activities, with close inter-connectivity. Currently, programs typically </w:t>
      </w:r>
      <w:r w:rsidR="00FB206C">
        <w:t>address</w:t>
      </w:r>
      <w:r w:rsidRPr="005E03A5">
        <w:t xml:space="preserve"> an issue from their particular angle, even though in reality that issue is part of a broader social-economic </w:t>
      </w:r>
      <w:r w:rsidR="00FB206C">
        <w:t>landscape</w:t>
      </w:r>
      <w:r w:rsidRPr="005E03A5">
        <w:t>. Programs should aim that</w:t>
      </w:r>
      <w:r w:rsidR="00FB206C">
        <w:t>,</w:t>
      </w:r>
      <w:r w:rsidRPr="005E03A5">
        <w:t xml:space="preserve"> with </w:t>
      </w:r>
      <w:r w:rsidR="00FB206C">
        <w:t>some tweaking</w:t>
      </w:r>
      <w:r w:rsidRPr="005E03A5">
        <w:t>, their activities sit shoulder to should</w:t>
      </w:r>
      <w:r w:rsidR="00457D1C">
        <w:t>er</w:t>
      </w:r>
      <w:r w:rsidRPr="005E03A5">
        <w:t xml:space="preserve"> </w:t>
      </w:r>
      <w:r w:rsidR="00FB206C">
        <w:t>with other programs to address the full range of issues across the landscape and thereby enhance results</w:t>
      </w:r>
      <w:r w:rsidRPr="005E03A5">
        <w:t>. For AIPJ we recommend that it explores greater inter-connectivity with the local data-bases and networks developed by ACCESS, possible synergies with the public expenditure tools developed by AIPD for justice sector institutions, and close cooperation wi</w:t>
      </w:r>
      <w:r w:rsidR="00457D1C">
        <w:t>th Justice for the Poor on the Religious C</w:t>
      </w:r>
      <w:r w:rsidRPr="005E03A5">
        <w:t xml:space="preserve">ourts and the </w:t>
      </w:r>
      <w:r w:rsidR="00FB206C">
        <w:t xml:space="preserve">issuance of </w:t>
      </w:r>
      <w:r w:rsidRPr="005E03A5">
        <w:t>marriage certificates (PEKKA).</w:t>
      </w:r>
      <w:r>
        <w:t xml:space="preserve"> Other new programs in which synergies could be explored include the women in leadership (MAMPU) </w:t>
      </w:r>
      <w:r w:rsidR="00D35CF0">
        <w:t>program and</w:t>
      </w:r>
      <w:r>
        <w:t xml:space="preserve"> the Knowledge Sector program.</w:t>
      </w:r>
    </w:p>
    <w:p w:rsidR="00D01A38" w:rsidRPr="005E03A5" w:rsidRDefault="00D01A38" w:rsidP="00D35CF0">
      <w:pPr>
        <w:pStyle w:val="ListParagraph"/>
        <w:numPr>
          <w:ilvl w:val="0"/>
          <w:numId w:val="22"/>
        </w:numPr>
        <w:spacing w:after="0" w:line="240" w:lineRule="auto"/>
      </w:pPr>
      <w:r w:rsidRPr="008312EC">
        <w:rPr>
          <w:b/>
        </w:rPr>
        <w:t>Logistical synergy</w:t>
      </w:r>
      <w:r w:rsidRPr="005E03A5">
        <w:t>: We recommend that programs pool resources, where possible. This includes the usual overhead</w:t>
      </w:r>
      <w:r w:rsidR="00FB206C">
        <w:t xml:space="preserve"> costs</w:t>
      </w:r>
      <w:r w:rsidRPr="005E03A5">
        <w:t xml:space="preserve"> (offices, administrative support staff, utilities), but equally extends to </w:t>
      </w:r>
      <w:r w:rsidR="00FB206C">
        <w:t>technical assistance</w:t>
      </w:r>
      <w:r w:rsidRPr="005E03A5">
        <w:t xml:space="preserve"> experts (and</w:t>
      </w:r>
      <w:r w:rsidR="00FB206C">
        <w:t xml:space="preserve"> possible</w:t>
      </w:r>
      <w:r w:rsidRPr="005E03A5">
        <w:t xml:space="preserve"> exchange of </w:t>
      </w:r>
      <w:r w:rsidR="00FB206C">
        <w:t>technical assistance</w:t>
      </w:r>
      <w:r w:rsidRPr="005E03A5">
        <w:t xml:space="preserve"> expertise), so that local offices </w:t>
      </w:r>
      <w:r w:rsidR="00FB206C">
        <w:t>share</w:t>
      </w:r>
      <w:r w:rsidRPr="005E03A5">
        <w:t xml:space="preserve"> local knowledge. For AIPJ we recommend that it explores sharing logistics for its local activities with other AusAID-supported programs</w:t>
      </w:r>
      <w:r w:rsidR="00FB206C">
        <w:t xml:space="preserve"> already placed</w:t>
      </w:r>
      <w:r w:rsidRPr="005E03A5">
        <w:t xml:space="preserve"> in the field.</w:t>
      </w:r>
    </w:p>
    <w:p w:rsidR="00D01A38" w:rsidRPr="00C90083" w:rsidRDefault="00D01A38" w:rsidP="00962C4D">
      <w:pPr>
        <w:pStyle w:val="Heading4"/>
      </w:pPr>
      <w:r w:rsidRPr="00C90083">
        <w:t>AusAID further engagement</w:t>
      </w:r>
    </w:p>
    <w:p w:rsidR="00D01A38" w:rsidRPr="005E03A5" w:rsidRDefault="00985CEE" w:rsidP="00D01A38">
      <w:pPr>
        <w:rPr>
          <w:rFonts w:cs="Calibri"/>
        </w:rPr>
      </w:pPr>
      <w:r>
        <w:rPr>
          <w:rFonts w:cs="Calibri"/>
        </w:rPr>
        <w:t xml:space="preserve">AusAID should more </w:t>
      </w:r>
      <w:r w:rsidR="00D01A38">
        <w:rPr>
          <w:rFonts w:cs="Calibri"/>
        </w:rPr>
        <w:t>pro-active</w:t>
      </w:r>
      <w:r>
        <w:rPr>
          <w:rFonts w:cs="Calibri"/>
        </w:rPr>
        <w:t>ly</w:t>
      </w:r>
      <w:r w:rsidR="00D01A38" w:rsidRPr="005E03A5">
        <w:rPr>
          <w:rFonts w:cs="Calibri"/>
        </w:rPr>
        <w:t xml:space="preserve"> facilitat</w:t>
      </w:r>
      <w:r>
        <w:rPr>
          <w:rFonts w:cs="Calibri"/>
        </w:rPr>
        <w:t>e</w:t>
      </w:r>
      <w:r w:rsidR="00D01A38" w:rsidRPr="005E03A5">
        <w:rPr>
          <w:rFonts w:cs="Calibri"/>
        </w:rPr>
        <w:t xml:space="preserve"> program</w:t>
      </w:r>
      <w:r w:rsidR="00D01A38">
        <w:rPr>
          <w:rFonts w:cs="Calibri"/>
        </w:rPr>
        <w:t xml:space="preserve"> synergies</w:t>
      </w:r>
      <w:r>
        <w:rPr>
          <w:rFonts w:cs="Calibri"/>
        </w:rPr>
        <w:t xml:space="preserve">. </w:t>
      </w:r>
      <w:r w:rsidR="00D01A38" w:rsidRPr="005E03A5">
        <w:rPr>
          <w:rFonts w:cs="Calibri"/>
        </w:rPr>
        <w:t>Cur</w:t>
      </w:r>
      <w:r w:rsidR="00D01A38">
        <w:rPr>
          <w:rFonts w:cs="Calibri"/>
        </w:rPr>
        <w:t xml:space="preserve">rently, </w:t>
      </w:r>
      <w:r>
        <w:rPr>
          <w:rFonts w:cs="Calibri"/>
        </w:rPr>
        <w:t xml:space="preserve">AusAID programs operate in </w:t>
      </w:r>
      <w:r w:rsidR="00D01A38">
        <w:rPr>
          <w:rFonts w:cs="Calibri"/>
        </w:rPr>
        <w:t>silo</w:t>
      </w:r>
      <w:r>
        <w:rPr>
          <w:rFonts w:cs="Calibri"/>
        </w:rPr>
        <w:t>s</w:t>
      </w:r>
      <w:r w:rsidR="00D01A38" w:rsidRPr="005E03A5">
        <w:rPr>
          <w:rFonts w:cs="Calibri"/>
        </w:rPr>
        <w:t xml:space="preserve"> intellectually, </w:t>
      </w:r>
      <w:r w:rsidR="00D01A38">
        <w:rPr>
          <w:rFonts w:cs="Calibri"/>
        </w:rPr>
        <w:t>per sector</w:t>
      </w:r>
      <w:r w:rsidR="00D01A38" w:rsidRPr="005E03A5">
        <w:rPr>
          <w:rFonts w:cs="Calibri"/>
        </w:rPr>
        <w:t xml:space="preserve">, in their contracting arrangements and even in </w:t>
      </w:r>
      <w:proofErr w:type="spellStart"/>
      <w:r w:rsidR="00D01A38" w:rsidRPr="005E03A5">
        <w:rPr>
          <w:rFonts w:cs="Calibri"/>
        </w:rPr>
        <w:t>AusAID</w:t>
      </w:r>
      <w:r>
        <w:rPr>
          <w:rFonts w:cs="Calibri"/>
        </w:rPr>
        <w:t>’s</w:t>
      </w:r>
      <w:proofErr w:type="spellEnd"/>
      <w:r w:rsidR="00D01A38" w:rsidRPr="005E03A5">
        <w:rPr>
          <w:rFonts w:cs="Calibri"/>
        </w:rPr>
        <w:t xml:space="preserve"> internal structure</w:t>
      </w:r>
      <w:r>
        <w:rPr>
          <w:rFonts w:cs="Calibri"/>
        </w:rPr>
        <w:t>.</w:t>
      </w:r>
      <w:r w:rsidR="00D01A38" w:rsidRPr="005E03A5">
        <w:rPr>
          <w:rFonts w:cs="Calibri"/>
        </w:rPr>
        <w:t xml:space="preserve"> AusAID should explore taking the lead on the issue by setting up routine cross-program </w:t>
      </w:r>
      <w:r w:rsidR="00D01A38" w:rsidRPr="005E03A5">
        <w:rPr>
          <w:rFonts w:cs="Calibri"/>
        </w:rPr>
        <w:lastRenderedPageBreak/>
        <w:t>consu</w:t>
      </w:r>
      <w:r w:rsidR="00D01A38">
        <w:rPr>
          <w:rFonts w:cs="Calibri"/>
        </w:rPr>
        <w:t>ltations</w:t>
      </w:r>
      <w:r w:rsidR="00D01A38" w:rsidRPr="005E03A5">
        <w:rPr>
          <w:rFonts w:cs="Calibri"/>
        </w:rPr>
        <w:t>. The o</w:t>
      </w:r>
      <w:r w:rsidR="00D01A38">
        <w:rPr>
          <w:rFonts w:cs="Calibri"/>
        </w:rPr>
        <w:t>bjective of these meetings would be to</w:t>
      </w:r>
      <w:r w:rsidR="00D01A38" w:rsidRPr="005E03A5">
        <w:rPr>
          <w:rFonts w:cs="Calibri"/>
        </w:rPr>
        <w:t xml:space="preserve"> inform AusAID and allow it to direct programs to work together </w:t>
      </w:r>
      <w:r w:rsidR="004E220A">
        <w:rPr>
          <w:rFonts w:cs="Calibri"/>
        </w:rPr>
        <w:t xml:space="preserve">more closely </w:t>
      </w:r>
      <w:r w:rsidR="00D01A38" w:rsidRPr="005E03A5">
        <w:rPr>
          <w:rFonts w:cs="Calibri"/>
        </w:rPr>
        <w:t>on specific issues and/or in certain regions. </w:t>
      </w:r>
    </w:p>
    <w:p w:rsidR="00D01A38" w:rsidRPr="005E03A5" w:rsidRDefault="00D01A38" w:rsidP="00D01A38">
      <w:r w:rsidRPr="005E03A5">
        <w:rPr>
          <w:rFonts w:cs="Calibri"/>
        </w:rPr>
        <w:t>AusAID programs pull together a lot of knowledge and experience, both in terms of local knowledge and networks and in terms of program experience. There is a risk that such local knowledge, and the networks that underpin them, remain internal to the program without being shared to the broader benefit of the community (and of AusAID), and consequently will dissipate after program complet</w:t>
      </w:r>
      <w:r w:rsidR="00870569">
        <w:rPr>
          <w:rFonts w:cs="Calibri"/>
        </w:rPr>
        <w:t>ion. With so much funding being contributed to</w:t>
      </w:r>
      <w:r w:rsidRPr="005E03A5">
        <w:rPr>
          <w:rFonts w:cs="Calibri"/>
        </w:rPr>
        <w:t xml:space="preserve"> certain sectors and certain regions, generating detailed data and in-depth knowledge about such sectors and regions should be organized, structured and managed by AusAID - all the more so because </w:t>
      </w:r>
      <w:r w:rsidR="00DA4080">
        <w:rPr>
          <w:rFonts w:cs="Calibri"/>
        </w:rPr>
        <w:t xml:space="preserve">Jakarta </w:t>
      </w:r>
      <w:r w:rsidRPr="005E03A5">
        <w:rPr>
          <w:rFonts w:cs="Calibri"/>
        </w:rPr>
        <w:t xml:space="preserve">Post staff rotation erodes acquired knowledge and experience. </w:t>
      </w:r>
    </w:p>
    <w:p w:rsidR="00D01A38" w:rsidRDefault="00D01A38" w:rsidP="00D01A38">
      <w:r w:rsidRPr="005E03A5">
        <w:t>AusAID may explore se</w:t>
      </w:r>
      <w:r>
        <w:t>tting up a local knowledge cent</w:t>
      </w:r>
      <w:r w:rsidRPr="005E03A5">
        <w:t>r</w:t>
      </w:r>
      <w:r>
        <w:t>e</w:t>
      </w:r>
      <w:r w:rsidRPr="005E03A5">
        <w:t xml:space="preserve"> on Indonesia, properly staffed, which is a repository of the factual knowledge on local data generated by programs, as well as a resource centre on program history, strategies, approaches </w:t>
      </w:r>
      <w:r w:rsidR="003E4A11">
        <w:t xml:space="preserve">and </w:t>
      </w:r>
      <w:r w:rsidRPr="005E03A5">
        <w:t xml:space="preserve">challenges. Such a centre will be critical in driving </w:t>
      </w:r>
      <w:r w:rsidR="00DA4080">
        <w:t>joint</w:t>
      </w:r>
      <w:r w:rsidRPr="005E03A5">
        <w:t xml:space="preserve"> program</w:t>
      </w:r>
      <w:r w:rsidR="00DA4080">
        <w:t>ming</w:t>
      </w:r>
      <w:r w:rsidRPr="005E03A5">
        <w:t xml:space="preserve"> in the future.</w:t>
      </w:r>
    </w:p>
    <w:p w:rsidR="00A505C4" w:rsidRDefault="00A505C4" w:rsidP="00D01A38">
      <w:pPr>
        <w:rPr>
          <w:b/>
        </w:rPr>
      </w:pPr>
      <w:r w:rsidRPr="00374C0B">
        <w:rPr>
          <w:b/>
          <w:u w:val="single"/>
        </w:rPr>
        <w:t>Recommendation</w:t>
      </w:r>
      <w:r w:rsidR="008F37FE">
        <w:rPr>
          <w:b/>
          <w:u w:val="single"/>
        </w:rPr>
        <w:t xml:space="preserve"> </w:t>
      </w:r>
      <w:r w:rsidR="009F69A2">
        <w:rPr>
          <w:b/>
          <w:u w:val="single"/>
        </w:rPr>
        <w:t>8</w:t>
      </w:r>
      <w:r w:rsidRPr="00374C0B">
        <w:rPr>
          <w:b/>
        </w:rPr>
        <w:t>: AIPJ should produce and regularly update a brief matrix outlining possible integration and synergies with other Australian aid investments (both those funded by AusAID and other Australian Government agencies). This matrix should inform the design and implementation of AIPJ activities.</w:t>
      </w:r>
    </w:p>
    <w:p w:rsidR="005A0519" w:rsidRDefault="005A0519" w:rsidP="00D01A38">
      <w:pPr>
        <w:rPr>
          <w:b/>
        </w:rPr>
      </w:pPr>
      <w:r w:rsidRPr="00374C0B">
        <w:rPr>
          <w:b/>
          <w:u w:val="single"/>
        </w:rPr>
        <w:t>Recommendation</w:t>
      </w:r>
      <w:r w:rsidR="008F37FE">
        <w:rPr>
          <w:b/>
          <w:u w:val="single"/>
        </w:rPr>
        <w:t xml:space="preserve"> </w:t>
      </w:r>
      <w:r w:rsidR="009F69A2">
        <w:rPr>
          <w:b/>
          <w:u w:val="single"/>
        </w:rPr>
        <w:t>9</w:t>
      </w:r>
      <w:r w:rsidRPr="00374C0B">
        <w:rPr>
          <w:b/>
        </w:rPr>
        <w:t>: AIPJ should draft a brief Donor Coordination Framework, explaining how its activities will avoid duplication and maximise complementarity with other donor-funded law and justice programs in Indonesia – particularly those funded or managed by the World Bank (Justice for the Poor), USAID (Changes for Justice, Educating and Equipping Tomorrow’s Justice Reformers), UNDP (Strengthening Access to Justice in Indonesia) and the Open Society (Open Society Justice Initiative).</w:t>
      </w:r>
    </w:p>
    <w:p w:rsidR="004432AA" w:rsidRDefault="004432AA">
      <w:pPr>
        <w:rPr>
          <w:b/>
        </w:rPr>
      </w:pPr>
      <w:r>
        <w:rPr>
          <w:b/>
        </w:rPr>
        <w:br w:type="page"/>
      </w:r>
    </w:p>
    <w:p w:rsidR="004432AA" w:rsidRPr="00766188" w:rsidRDefault="004432AA" w:rsidP="00766188">
      <w:pPr>
        <w:pStyle w:val="Heading3"/>
        <w:numPr>
          <w:ilvl w:val="0"/>
          <w:numId w:val="0"/>
        </w:numPr>
        <w:jc w:val="center"/>
        <w:rPr>
          <w:rFonts w:asciiTheme="minorHAnsi" w:eastAsiaTheme="minorEastAsia" w:hAnsiTheme="minorHAnsi" w:cstheme="minorBidi"/>
          <w:bCs w:val="0"/>
          <w:color w:val="auto"/>
          <w:sz w:val="24"/>
          <w:szCs w:val="24"/>
        </w:rPr>
      </w:pPr>
      <w:bookmarkStart w:id="20" w:name="_Toc345320832"/>
      <w:r w:rsidRPr="00766188">
        <w:rPr>
          <w:rFonts w:asciiTheme="minorHAnsi" w:eastAsiaTheme="minorEastAsia" w:hAnsiTheme="minorHAnsi" w:cstheme="minorBidi"/>
          <w:bCs w:val="0"/>
          <w:color w:val="auto"/>
          <w:sz w:val="24"/>
          <w:szCs w:val="24"/>
        </w:rPr>
        <w:lastRenderedPageBreak/>
        <w:t>Annex 1</w:t>
      </w:r>
      <w:r w:rsidR="00766188" w:rsidRPr="00766188">
        <w:rPr>
          <w:rFonts w:asciiTheme="minorHAnsi" w:eastAsiaTheme="minorEastAsia" w:hAnsiTheme="minorHAnsi" w:cstheme="minorBidi"/>
          <w:bCs w:val="0"/>
          <w:color w:val="auto"/>
          <w:sz w:val="24"/>
          <w:szCs w:val="24"/>
        </w:rPr>
        <w:t xml:space="preserve"> - </w:t>
      </w:r>
      <w:r w:rsidRPr="00766188">
        <w:rPr>
          <w:rFonts w:asciiTheme="minorHAnsi" w:eastAsiaTheme="minorEastAsia" w:hAnsiTheme="minorHAnsi" w:cstheme="minorBidi"/>
          <w:bCs w:val="0"/>
          <w:color w:val="auto"/>
          <w:sz w:val="24"/>
          <w:szCs w:val="24"/>
        </w:rPr>
        <w:t>Consultations for the Independent Progress Review of the Australia Indonesia Partnership for Justice</w:t>
      </w:r>
      <w:bookmarkEnd w:id="20"/>
    </w:p>
    <w:p w:rsidR="004432AA" w:rsidRPr="004A064C" w:rsidRDefault="004432AA" w:rsidP="004432AA">
      <w:pPr>
        <w:rPr>
          <w:rFonts w:ascii="Times New Roman" w:hAnsi="Times New Roman" w:cs="Times New Roman"/>
          <w:b/>
        </w:rPr>
      </w:pPr>
      <w:r w:rsidRPr="004A064C">
        <w:rPr>
          <w:rFonts w:ascii="Times New Roman" w:hAnsi="Times New Roman" w:cs="Times New Roman"/>
          <w:b/>
        </w:rPr>
        <w:t>Consultations</w:t>
      </w:r>
      <w:r>
        <w:rPr>
          <w:rFonts w:ascii="Times New Roman" w:hAnsi="Times New Roman" w:cs="Times New Roman"/>
          <w:b/>
        </w:rPr>
        <w:t xml:space="preserve"> in Indonesia</w:t>
      </w:r>
    </w:p>
    <w:p w:rsidR="004432AA" w:rsidRPr="00D8797B" w:rsidRDefault="004432AA" w:rsidP="004432AA">
      <w:pPr>
        <w:rPr>
          <w:rFonts w:ascii="Times New Roman" w:hAnsi="Times New Roman" w:cs="Times New Roman"/>
          <w:b/>
          <w:i/>
        </w:rPr>
      </w:pPr>
      <w:r w:rsidRPr="00D8797B">
        <w:rPr>
          <w:rFonts w:ascii="Times New Roman" w:hAnsi="Times New Roman" w:cs="Times New Roman"/>
          <w:b/>
          <w:i/>
        </w:rPr>
        <w:t>Jakarta</w:t>
      </w:r>
    </w:p>
    <w:p w:rsidR="004432AA" w:rsidRDefault="004432AA" w:rsidP="004432AA">
      <w:pPr>
        <w:rPr>
          <w:rFonts w:ascii="Times New Roman" w:hAnsi="Times New Roman" w:cs="Times New Roman"/>
          <w:i/>
        </w:rPr>
      </w:pPr>
      <w:r>
        <w:rPr>
          <w:rFonts w:ascii="Times New Roman" w:hAnsi="Times New Roman" w:cs="Times New Roman"/>
          <w:i/>
        </w:rPr>
        <w:t>Australian Attorney-General’s Department</w:t>
      </w:r>
      <w:r>
        <w:rPr>
          <w:rFonts w:ascii="Times New Roman" w:hAnsi="Times New Roman" w:cs="Times New Roman"/>
          <w:i/>
        </w:rPr>
        <w:tab/>
      </w:r>
    </w:p>
    <w:p w:rsidR="004432AA" w:rsidRPr="00EE7D60" w:rsidRDefault="004432AA" w:rsidP="004432AA">
      <w:pPr>
        <w:ind w:left="720"/>
        <w:rPr>
          <w:rFonts w:ascii="Times New Roman" w:hAnsi="Times New Roman" w:cs="Times New Roman"/>
        </w:rPr>
      </w:pPr>
      <w:r>
        <w:rPr>
          <w:rFonts w:ascii="Times New Roman" w:hAnsi="Times New Roman" w:cs="Times New Roman"/>
        </w:rPr>
        <w:t>Catherine</w:t>
      </w:r>
      <w:r>
        <w:rPr>
          <w:rFonts w:ascii="Times New Roman" w:hAnsi="Times New Roman" w:cs="Times New Roman"/>
        </w:rPr>
        <w:tab/>
        <w:t>Hawkins</w:t>
      </w:r>
      <w:r>
        <w:rPr>
          <w:rFonts w:ascii="Times New Roman" w:hAnsi="Times New Roman" w:cs="Times New Roman"/>
        </w:rPr>
        <w:tab/>
      </w:r>
      <w:r>
        <w:rPr>
          <w:rFonts w:ascii="Times New Roman" w:hAnsi="Times New Roman" w:cs="Times New Roman"/>
        </w:rPr>
        <w:tab/>
        <w:t>Assistant Secretary</w:t>
      </w:r>
      <w:r>
        <w:rPr>
          <w:rFonts w:ascii="Times New Roman" w:hAnsi="Times New Roman" w:cs="Times New Roman"/>
        </w:rPr>
        <w:tab/>
      </w:r>
      <w:r>
        <w:rPr>
          <w:rFonts w:ascii="Times New Roman" w:hAnsi="Times New Roman" w:cs="Times New Roman"/>
        </w:rPr>
        <w:tab/>
      </w:r>
      <w:r w:rsidRPr="007B0F7F">
        <w:rPr>
          <w:rFonts w:ascii="Times New Roman" w:hAnsi="Times New Roman" w:cs="Times New Roman"/>
          <w:i/>
        </w:rPr>
        <w:tab/>
        <w:t>28/06/12</w:t>
      </w:r>
      <w:r>
        <w:rPr>
          <w:rFonts w:ascii="Times New Roman" w:hAnsi="Times New Roman" w:cs="Times New Roman"/>
        </w:rPr>
        <w:br/>
        <w:t>Margaret</w:t>
      </w:r>
      <w:r>
        <w:rPr>
          <w:rFonts w:ascii="Times New Roman" w:hAnsi="Times New Roman" w:cs="Times New Roman"/>
        </w:rPr>
        <w:tab/>
        <w:t>Close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B0F7F">
        <w:rPr>
          <w:rFonts w:ascii="Times New Roman" w:hAnsi="Times New Roman" w:cs="Times New Roman"/>
          <w:i/>
        </w:rPr>
        <w:t>28/06/12</w:t>
      </w:r>
      <w:r w:rsidRPr="007B0F7F">
        <w:rPr>
          <w:rFonts w:ascii="Times New Roman" w:hAnsi="Times New Roman" w:cs="Times New Roman"/>
          <w:i/>
        </w:rPr>
        <w:br/>
      </w:r>
      <w:r>
        <w:rPr>
          <w:rFonts w:ascii="Times New Roman" w:hAnsi="Times New Roman" w:cs="Times New Roman"/>
        </w:rPr>
        <w:br/>
        <w:t>Samuel</w:t>
      </w:r>
      <w:r>
        <w:rPr>
          <w:rFonts w:ascii="Times New Roman" w:hAnsi="Times New Roman" w:cs="Times New Roman"/>
        </w:rPr>
        <w:tab/>
      </w:r>
      <w:r>
        <w:rPr>
          <w:rFonts w:ascii="Times New Roman" w:hAnsi="Times New Roman" w:cs="Times New Roman"/>
        </w:rPr>
        <w:tab/>
        <w:t>Wade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Resident Legal Adviser</w:t>
      </w:r>
      <w:r>
        <w:rPr>
          <w:rFonts w:ascii="Times New Roman" w:hAnsi="Times New Roman" w:cs="Times New Roman"/>
        </w:rPr>
        <w:tab/>
      </w:r>
      <w:r w:rsidRPr="00C042D5">
        <w:rPr>
          <w:rFonts w:ascii="Times New Roman" w:hAnsi="Times New Roman" w:cs="Times New Roman"/>
          <w:i/>
        </w:rPr>
        <w:tab/>
      </w:r>
      <w:r>
        <w:rPr>
          <w:rFonts w:ascii="Times New Roman" w:hAnsi="Times New Roman" w:cs="Times New Roman"/>
          <w:i/>
        </w:rPr>
        <w:tab/>
      </w:r>
      <w:r w:rsidRPr="00C042D5">
        <w:rPr>
          <w:rFonts w:ascii="Times New Roman" w:hAnsi="Times New Roman" w:cs="Times New Roman"/>
          <w:i/>
        </w:rPr>
        <w:t>28/06/12</w:t>
      </w:r>
      <w:r>
        <w:rPr>
          <w:rFonts w:ascii="Times New Roman" w:hAnsi="Times New Roman" w:cs="Times New Roman"/>
          <w:i/>
        </w:rPr>
        <w:br/>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09/07/12</w:t>
      </w:r>
    </w:p>
    <w:p w:rsidR="004432AA" w:rsidRDefault="004432AA" w:rsidP="004432AA">
      <w:pPr>
        <w:rPr>
          <w:rFonts w:ascii="Times New Roman" w:hAnsi="Times New Roman" w:cs="Times New Roman"/>
          <w:i/>
        </w:rPr>
      </w:pPr>
      <w:r>
        <w:rPr>
          <w:rFonts w:ascii="Times New Roman" w:hAnsi="Times New Roman" w:cs="Times New Roman"/>
          <w:i/>
        </w:rPr>
        <w:t>Attorney-General’s Office and Reform Team</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04/07/12</w:t>
      </w:r>
    </w:p>
    <w:p w:rsidR="004432AA" w:rsidRPr="00EF2FD4" w:rsidRDefault="004432AA" w:rsidP="004432AA">
      <w:pPr>
        <w:rPr>
          <w:rFonts w:ascii="Times New Roman" w:hAnsi="Times New Roman" w:cs="Times New Roman"/>
        </w:rPr>
      </w:pPr>
      <w:r>
        <w:rPr>
          <w:rFonts w:ascii="Times New Roman" w:hAnsi="Times New Roman" w:cs="Times New Roman"/>
        </w:rPr>
        <w:tab/>
        <w:t>H.</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Darmono</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Vice-Attorney-General</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Feri</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Wibisono</w:t>
      </w:r>
      <w:proofErr w:type="spellEnd"/>
      <w:r>
        <w:rPr>
          <w:rFonts w:ascii="Times New Roman" w:hAnsi="Times New Roman" w:cs="Times New Roman"/>
        </w:rPr>
        <w:tab/>
      </w:r>
      <w:r>
        <w:rPr>
          <w:rFonts w:ascii="Times New Roman" w:hAnsi="Times New Roman" w:cs="Times New Roman"/>
        </w:rPr>
        <w:tab/>
        <w:t xml:space="preserve">Head of Planning </w:t>
      </w:r>
      <w:r>
        <w:rPr>
          <w:rFonts w:ascii="Times New Roman" w:hAnsi="Times New Roman" w:cs="Times New Roman"/>
        </w:rPr>
        <w:br/>
      </w:r>
      <w:r>
        <w:rPr>
          <w:rFonts w:ascii="Times New Roman" w:hAnsi="Times New Roman" w:cs="Times New Roman"/>
        </w:rPr>
        <w:tab/>
        <w:t>Hani</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Hasjim</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Reform Team</w:t>
      </w:r>
    </w:p>
    <w:p w:rsidR="004432AA" w:rsidRPr="004A064C" w:rsidRDefault="004432AA" w:rsidP="004432AA">
      <w:pPr>
        <w:ind w:left="7200" w:hanging="7200"/>
        <w:rPr>
          <w:rFonts w:ascii="Times New Roman" w:hAnsi="Times New Roman" w:cs="Times New Roman"/>
          <w:i/>
        </w:rPr>
      </w:pPr>
      <w:r w:rsidRPr="00C042D5">
        <w:rPr>
          <w:rFonts w:ascii="Times New Roman" w:hAnsi="Times New Roman" w:cs="Times New Roman"/>
          <w:i/>
        </w:rPr>
        <w:t xml:space="preserve">AusAID, </w:t>
      </w:r>
      <w:hyperlink r:id="rId10" w:history="1">
        <w:r w:rsidRPr="00C042D5">
          <w:rPr>
            <w:rFonts w:ascii="Times New Roman" w:hAnsi="Times New Roman" w:cs="Times New Roman"/>
            <w:i/>
          </w:rPr>
          <w:t>Democratic Governance, Policy &amp; Coordination</w:t>
        </w:r>
      </w:hyperlink>
      <w:r w:rsidRPr="00C042D5">
        <w:rPr>
          <w:rFonts w:ascii="Times New Roman" w:hAnsi="Times New Roman" w:cs="Times New Roman"/>
          <w:i/>
        </w:rPr>
        <w:tab/>
      </w:r>
      <w:r>
        <w:rPr>
          <w:rFonts w:ascii="Times New Roman" w:hAnsi="Times New Roman" w:cs="Times New Roman"/>
          <w:i/>
        </w:rPr>
        <w:tab/>
      </w:r>
      <w:r w:rsidRPr="00C042D5">
        <w:rPr>
          <w:rFonts w:ascii="Times New Roman" w:hAnsi="Times New Roman" w:cs="Times New Roman"/>
          <w:i/>
        </w:rPr>
        <w:t>25/06/12</w:t>
      </w:r>
      <w:r w:rsidRPr="00C042D5">
        <w:rPr>
          <w:rFonts w:ascii="Times New Roman" w:hAnsi="Times New Roman" w:cs="Times New Roman"/>
          <w:i/>
        </w:rPr>
        <w:br/>
      </w:r>
      <w:r>
        <w:rPr>
          <w:rFonts w:ascii="Times New Roman" w:hAnsi="Times New Roman" w:cs="Times New Roman"/>
          <w:i/>
        </w:rPr>
        <w:t xml:space="preserve">             </w:t>
      </w:r>
      <w:r w:rsidRPr="00C042D5">
        <w:rPr>
          <w:rFonts w:ascii="Times New Roman" w:hAnsi="Times New Roman" w:cs="Times New Roman"/>
          <w:i/>
        </w:rPr>
        <w:t>09/07/12</w:t>
      </w:r>
    </w:p>
    <w:p w:rsidR="004432AA" w:rsidRDefault="004432AA" w:rsidP="004432AA">
      <w:pPr>
        <w:rPr>
          <w:rFonts w:ascii="Times New Roman" w:hAnsi="Times New Roman" w:cs="Times New Roman"/>
        </w:rPr>
      </w:pPr>
      <w:r w:rsidRPr="004A064C">
        <w:rPr>
          <w:rFonts w:ascii="Times New Roman" w:hAnsi="Times New Roman" w:cs="Times New Roman"/>
        </w:rPr>
        <w:tab/>
        <w:t>Rachael</w:t>
      </w:r>
      <w:r w:rsidRPr="004A064C">
        <w:rPr>
          <w:rFonts w:ascii="Times New Roman" w:hAnsi="Times New Roman" w:cs="Times New Roman"/>
        </w:rPr>
        <w:tab/>
      </w:r>
      <w:r>
        <w:rPr>
          <w:rFonts w:ascii="Times New Roman" w:hAnsi="Times New Roman" w:cs="Times New Roman"/>
        </w:rPr>
        <w:tab/>
      </w:r>
      <w:r w:rsidRPr="004A064C">
        <w:rPr>
          <w:rFonts w:ascii="Times New Roman" w:hAnsi="Times New Roman" w:cs="Times New Roman"/>
        </w:rPr>
        <w:t>Moore</w:t>
      </w:r>
      <w:r w:rsidRPr="004A064C">
        <w:rPr>
          <w:rFonts w:ascii="Times New Roman" w:hAnsi="Times New Roman" w:cs="Times New Roman"/>
        </w:rPr>
        <w:tab/>
      </w:r>
      <w:r w:rsidRPr="004A064C">
        <w:rPr>
          <w:rFonts w:ascii="Times New Roman" w:hAnsi="Times New Roman" w:cs="Times New Roman"/>
        </w:rPr>
        <w:tab/>
      </w:r>
      <w:r>
        <w:rPr>
          <w:rFonts w:ascii="Times New Roman" w:hAnsi="Times New Roman" w:cs="Times New Roman"/>
        </w:rPr>
        <w:tab/>
      </w:r>
      <w:r w:rsidRPr="004A064C">
        <w:rPr>
          <w:rFonts w:ascii="Times New Roman" w:hAnsi="Times New Roman" w:cs="Times New Roman"/>
        </w:rPr>
        <w:t>Counsellor</w:t>
      </w:r>
      <w:r w:rsidRPr="004A064C">
        <w:rPr>
          <w:rFonts w:ascii="Times New Roman" w:hAnsi="Times New Roman" w:cs="Times New Roman"/>
        </w:rPr>
        <w:tab/>
      </w:r>
      <w:r w:rsidRPr="004A064C">
        <w:rPr>
          <w:rFonts w:ascii="Times New Roman" w:hAnsi="Times New Roman" w:cs="Times New Roman"/>
        </w:rPr>
        <w:tab/>
      </w:r>
      <w:r w:rsidRPr="004A064C">
        <w:rPr>
          <w:rFonts w:ascii="Times New Roman" w:hAnsi="Times New Roman" w:cs="Times New Roman"/>
        </w:rPr>
        <w:tab/>
      </w:r>
      <w:r w:rsidRPr="004A064C">
        <w:rPr>
          <w:rFonts w:ascii="Times New Roman" w:hAnsi="Times New Roman" w:cs="Times New Roman"/>
        </w:rPr>
        <w:tab/>
      </w:r>
      <w:r w:rsidRPr="004A064C">
        <w:rPr>
          <w:rFonts w:ascii="Times New Roman" w:hAnsi="Times New Roman" w:cs="Times New Roman"/>
        </w:rPr>
        <w:br/>
      </w:r>
      <w:r w:rsidRPr="004A064C">
        <w:rPr>
          <w:rFonts w:ascii="Times New Roman" w:hAnsi="Times New Roman" w:cs="Times New Roman"/>
        </w:rPr>
        <w:tab/>
        <w:t xml:space="preserve">Hannah </w:t>
      </w:r>
      <w:r w:rsidRPr="004A064C">
        <w:rPr>
          <w:rFonts w:ascii="Times New Roman" w:hAnsi="Times New Roman" w:cs="Times New Roman"/>
        </w:rPr>
        <w:tab/>
        <w:t>Derwent</w:t>
      </w:r>
      <w:r w:rsidRPr="004A064C">
        <w:rPr>
          <w:rFonts w:ascii="Times New Roman" w:hAnsi="Times New Roman" w:cs="Times New Roman"/>
        </w:rPr>
        <w:tab/>
      </w:r>
      <w:r>
        <w:rPr>
          <w:rFonts w:ascii="Times New Roman" w:hAnsi="Times New Roman" w:cs="Times New Roman"/>
        </w:rPr>
        <w:tab/>
      </w:r>
      <w:r w:rsidRPr="004A064C">
        <w:rPr>
          <w:rFonts w:ascii="Times New Roman" w:hAnsi="Times New Roman" w:cs="Times New Roman"/>
        </w:rPr>
        <w:t xml:space="preserve">Second Secretary, </w:t>
      </w:r>
      <w:r>
        <w:rPr>
          <w:rFonts w:ascii="Times New Roman" w:hAnsi="Times New Roman" w:cs="Times New Roman"/>
        </w:rPr>
        <w:t xml:space="preserve">Democratic </w:t>
      </w:r>
      <w:r w:rsidRPr="004A064C">
        <w:rPr>
          <w:rFonts w:ascii="Times New Roman" w:hAnsi="Times New Roman" w:cs="Times New Roman"/>
        </w:rPr>
        <w:t>Governance</w:t>
      </w:r>
      <w:r w:rsidRPr="004A064C">
        <w:rPr>
          <w:rFonts w:ascii="Times New Roman" w:hAnsi="Times New Roman" w:cs="Times New Roman"/>
        </w:rPr>
        <w:br/>
      </w:r>
      <w:r w:rsidRPr="004A064C">
        <w:rPr>
          <w:rFonts w:ascii="Times New Roman" w:hAnsi="Times New Roman" w:cs="Times New Roman"/>
        </w:rPr>
        <w:tab/>
        <w:t>Doddy</w:t>
      </w:r>
      <w:r w:rsidRPr="004A064C">
        <w:rPr>
          <w:rFonts w:ascii="Times New Roman" w:hAnsi="Times New Roman" w:cs="Times New Roman"/>
        </w:rPr>
        <w:tab/>
      </w:r>
      <w:r w:rsidRPr="004A064C">
        <w:rPr>
          <w:rFonts w:ascii="Times New Roman" w:hAnsi="Times New Roman" w:cs="Times New Roman"/>
        </w:rPr>
        <w:tab/>
        <w:t>Kusadrianto</w:t>
      </w:r>
      <w:r w:rsidRPr="004A064C">
        <w:rPr>
          <w:rFonts w:ascii="Times New Roman" w:hAnsi="Times New Roman" w:cs="Times New Roman"/>
        </w:rPr>
        <w:tab/>
      </w:r>
      <w:r>
        <w:rPr>
          <w:rFonts w:ascii="Times New Roman" w:hAnsi="Times New Roman" w:cs="Times New Roman"/>
        </w:rPr>
        <w:tab/>
      </w:r>
      <w:r w:rsidRPr="004A064C">
        <w:rPr>
          <w:rFonts w:ascii="Times New Roman" w:hAnsi="Times New Roman" w:cs="Times New Roman"/>
        </w:rPr>
        <w:t>Senior Program Manager</w:t>
      </w:r>
      <w:r w:rsidRPr="004A064C">
        <w:rPr>
          <w:rFonts w:ascii="Times New Roman" w:hAnsi="Times New Roman" w:cs="Times New Roman"/>
        </w:rPr>
        <w:br/>
      </w:r>
      <w:r w:rsidRPr="004A064C">
        <w:rPr>
          <w:rFonts w:ascii="Times New Roman" w:hAnsi="Times New Roman" w:cs="Times New Roman"/>
        </w:rPr>
        <w:tab/>
        <w:t>Rosyidah</w:t>
      </w:r>
      <w:r w:rsidRPr="004A064C">
        <w:rPr>
          <w:rFonts w:ascii="Times New Roman" w:hAnsi="Times New Roman" w:cs="Times New Roman"/>
        </w:rPr>
        <w:tab/>
        <w:t>Handayani</w:t>
      </w:r>
      <w:r w:rsidRPr="004A064C">
        <w:rPr>
          <w:rFonts w:ascii="Times New Roman" w:hAnsi="Times New Roman" w:cs="Times New Roman"/>
        </w:rPr>
        <w:tab/>
      </w:r>
      <w:r>
        <w:rPr>
          <w:rFonts w:ascii="Times New Roman" w:hAnsi="Times New Roman" w:cs="Times New Roman"/>
        </w:rPr>
        <w:tab/>
      </w:r>
      <w:r w:rsidRPr="004A064C">
        <w:rPr>
          <w:rFonts w:ascii="Times New Roman" w:hAnsi="Times New Roman" w:cs="Times New Roman"/>
        </w:rPr>
        <w:t>Program Manager</w:t>
      </w:r>
    </w:p>
    <w:p w:rsidR="004432AA" w:rsidRDefault="004432AA" w:rsidP="004432AA">
      <w:pPr>
        <w:ind w:right="-472"/>
        <w:rPr>
          <w:rFonts w:ascii="Times New Roman" w:hAnsi="Times New Roman" w:cs="Times New Roman"/>
          <w:i/>
        </w:rPr>
      </w:pPr>
      <w:r w:rsidRPr="001725E6">
        <w:rPr>
          <w:rFonts w:ascii="Times New Roman" w:hAnsi="Times New Roman" w:cs="Times New Roman"/>
          <w:i/>
        </w:rPr>
        <w:t>AusAID, Sector Program</w:t>
      </w:r>
      <w:r>
        <w:rPr>
          <w:rFonts w:ascii="Times New Roman" w:hAnsi="Times New Roman" w:cs="Times New Roman"/>
          <w:i/>
        </w:rPr>
        <w:t>s</w:t>
      </w:r>
      <w:r w:rsidRPr="001725E6">
        <w:rPr>
          <w:rFonts w:ascii="Times New Roman" w:hAnsi="Times New Roman" w:cs="Times New Roman"/>
          <w:i/>
        </w:rPr>
        <w:tab/>
      </w:r>
      <w:r w:rsidRPr="001725E6">
        <w:rPr>
          <w:rFonts w:ascii="Times New Roman" w:hAnsi="Times New Roman" w:cs="Times New Roman"/>
          <w:i/>
        </w:rPr>
        <w:tab/>
      </w:r>
      <w:r w:rsidRPr="001725E6">
        <w:rPr>
          <w:rFonts w:ascii="Times New Roman" w:hAnsi="Times New Roman" w:cs="Times New Roman"/>
          <w:i/>
        </w:rPr>
        <w:tab/>
      </w:r>
      <w:r w:rsidRPr="001725E6">
        <w:rPr>
          <w:rFonts w:ascii="Times New Roman" w:hAnsi="Times New Roman" w:cs="Times New Roman"/>
          <w:i/>
        </w:rPr>
        <w:tab/>
      </w:r>
      <w:r w:rsidRPr="001725E6">
        <w:rPr>
          <w:rFonts w:ascii="Times New Roman" w:hAnsi="Times New Roman" w:cs="Times New Roman"/>
          <w:i/>
        </w:rPr>
        <w:tab/>
      </w:r>
      <w:r w:rsidRPr="001725E6">
        <w:rPr>
          <w:rFonts w:ascii="Times New Roman" w:hAnsi="Times New Roman" w:cs="Times New Roman"/>
          <w:i/>
        </w:rPr>
        <w:tab/>
      </w:r>
      <w:r w:rsidRPr="001725E6">
        <w:rPr>
          <w:rFonts w:ascii="Times New Roman" w:hAnsi="Times New Roman" w:cs="Times New Roman"/>
          <w:i/>
        </w:rPr>
        <w:tab/>
      </w:r>
      <w:r>
        <w:rPr>
          <w:rFonts w:ascii="Times New Roman" w:hAnsi="Times New Roman" w:cs="Times New Roman"/>
          <w:i/>
        </w:rPr>
        <w:tab/>
        <w:t>28/06/</w:t>
      </w:r>
      <w:r w:rsidRPr="001725E6">
        <w:rPr>
          <w:rFonts w:ascii="Times New Roman" w:hAnsi="Times New Roman" w:cs="Times New Roman"/>
          <w:i/>
        </w:rPr>
        <w:t>12</w:t>
      </w:r>
    </w:p>
    <w:p w:rsidR="004432AA" w:rsidRDefault="004432AA" w:rsidP="004432AA">
      <w:pPr>
        <w:ind w:right="-472"/>
        <w:rPr>
          <w:rFonts w:ascii="Times New Roman" w:hAnsi="Times New Roman" w:cs="Times New Roman"/>
        </w:rPr>
      </w:pPr>
      <w:r>
        <w:rPr>
          <w:rFonts w:ascii="Times New Roman" w:hAnsi="Times New Roman" w:cs="Times New Roman"/>
        </w:rPr>
        <w:tab/>
        <w:t>Leonard</w:t>
      </w:r>
      <w:r>
        <w:rPr>
          <w:rFonts w:ascii="Times New Roman" w:hAnsi="Times New Roman" w:cs="Times New Roman"/>
        </w:rPr>
        <w:tab/>
      </w:r>
      <w:proofErr w:type="spellStart"/>
      <w:r>
        <w:rPr>
          <w:rFonts w:ascii="Times New Roman" w:hAnsi="Times New Roman" w:cs="Times New Roman"/>
        </w:rPr>
        <w:t>Simandjuntak</w:t>
      </w:r>
      <w:proofErr w:type="spellEnd"/>
      <w:r w:rsidRPr="00B1021C">
        <w:rPr>
          <w:rFonts w:ascii="Times New Roman" w:hAnsi="Times New Roman" w:cs="Times New Roman"/>
        </w:rPr>
        <w:tab/>
      </w:r>
      <w:r w:rsidRPr="00B1021C">
        <w:rPr>
          <w:rFonts w:ascii="Times New Roman" w:hAnsi="Times New Roman" w:cs="Times New Roman"/>
        </w:rPr>
        <w:tab/>
        <w:t>Unit Manager (Decentralization)</w:t>
      </w:r>
      <w:r>
        <w:rPr>
          <w:rFonts w:ascii="Times New Roman" w:hAnsi="Times New Roman" w:cs="Times New Roman"/>
        </w:rPr>
        <w:br/>
      </w:r>
      <w:r>
        <w:rPr>
          <w:rFonts w:ascii="Times New Roman" w:hAnsi="Times New Roman" w:cs="Times New Roman"/>
        </w:rPr>
        <w:tab/>
        <w:t>Kate</w:t>
      </w:r>
      <w:r>
        <w:rPr>
          <w:rFonts w:ascii="Times New Roman" w:hAnsi="Times New Roman" w:cs="Times New Roman"/>
        </w:rPr>
        <w:tab/>
      </w:r>
      <w:r>
        <w:rPr>
          <w:rFonts w:ascii="Times New Roman" w:hAnsi="Times New Roman" w:cs="Times New Roman"/>
        </w:rPr>
        <w:tab/>
        <w:t>Shanahan</w:t>
      </w:r>
      <w:r>
        <w:rPr>
          <w:rFonts w:ascii="Times New Roman" w:hAnsi="Times New Roman" w:cs="Times New Roman"/>
        </w:rPr>
        <w:tab/>
      </w:r>
      <w:r>
        <w:rPr>
          <w:rFonts w:ascii="Times New Roman" w:hAnsi="Times New Roman" w:cs="Times New Roman"/>
        </w:rPr>
        <w:tab/>
      </w:r>
      <w:r w:rsidRPr="00893312">
        <w:rPr>
          <w:rFonts w:ascii="Times New Roman" w:hAnsi="Times New Roman" w:cs="Times New Roman"/>
        </w:rPr>
        <w:t>Unit Manager (Poverty Reduction - PNPM)</w:t>
      </w:r>
      <w:r w:rsidRPr="00893312">
        <w:rPr>
          <w:rFonts w:ascii="Times New Roman" w:hAnsi="Times New Roman" w:cs="Times New Roman"/>
        </w:rPr>
        <w:br/>
      </w:r>
      <w:r w:rsidRPr="00893312">
        <w:rPr>
          <w:rFonts w:ascii="Times New Roman" w:hAnsi="Times New Roman" w:cs="Times New Roman"/>
        </w:rPr>
        <w:tab/>
        <w:t>Lisa</w:t>
      </w:r>
      <w:r w:rsidRPr="00893312">
        <w:rPr>
          <w:rFonts w:ascii="Times New Roman" w:hAnsi="Times New Roman" w:cs="Times New Roman"/>
        </w:rPr>
        <w:tab/>
      </w:r>
      <w:r w:rsidRPr="00893312">
        <w:rPr>
          <w:rFonts w:ascii="Times New Roman" w:hAnsi="Times New Roman" w:cs="Times New Roman"/>
        </w:rPr>
        <w:tab/>
      </w:r>
      <w:proofErr w:type="spellStart"/>
      <w:r w:rsidRPr="00893312">
        <w:rPr>
          <w:rFonts w:ascii="Times New Roman" w:hAnsi="Times New Roman" w:cs="Times New Roman"/>
        </w:rPr>
        <w:t>Hannigan</w:t>
      </w:r>
      <w:proofErr w:type="spellEnd"/>
      <w:r w:rsidRPr="00893312">
        <w:rPr>
          <w:rFonts w:ascii="Times New Roman" w:hAnsi="Times New Roman" w:cs="Times New Roman"/>
        </w:rPr>
        <w:tab/>
      </w:r>
      <w:r w:rsidRPr="00893312">
        <w:rPr>
          <w:rFonts w:ascii="Times New Roman" w:hAnsi="Times New Roman" w:cs="Times New Roman"/>
        </w:rPr>
        <w:tab/>
        <w:t>Unit Manager (Poverty Reduction - Social Protection)</w:t>
      </w:r>
      <w:r>
        <w:rPr>
          <w:rFonts w:ascii="Times New Roman" w:hAnsi="Times New Roman" w:cs="Times New Roman"/>
        </w:rPr>
        <w:br/>
      </w:r>
      <w:r>
        <w:rPr>
          <w:rFonts w:ascii="Times New Roman" w:hAnsi="Times New Roman" w:cs="Times New Roman"/>
        </w:rPr>
        <w:tab/>
        <w:t>Naomi</w:t>
      </w:r>
      <w:r>
        <w:rPr>
          <w:rFonts w:ascii="Times New Roman" w:hAnsi="Times New Roman" w:cs="Times New Roman"/>
        </w:rPr>
        <w:tab/>
      </w:r>
      <w:r>
        <w:rPr>
          <w:rFonts w:ascii="Times New Roman" w:hAnsi="Times New Roman" w:cs="Times New Roman"/>
        </w:rPr>
        <w:tab/>
        <w:t>Cook</w:t>
      </w:r>
      <w:r>
        <w:rPr>
          <w:rFonts w:ascii="Verdana" w:hAnsi="Verdana" w:cs="Arial"/>
          <w:color w:val="2D5A83"/>
          <w:sz w:val="17"/>
          <w:szCs w:val="17"/>
        </w:rPr>
        <w:tab/>
      </w:r>
      <w:r>
        <w:rPr>
          <w:rFonts w:ascii="Verdana" w:hAnsi="Verdana" w:cs="Arial"/>
          <w:color w:val="2D5A83"/>
          <w:sz w:val="17"/>
          <w:szCs w:val="17"/>
        </w:rPr>
        <w:tab/>
      </w:r>
      <w:r>
        <w:rPr>
          <w:rFonts w:ascii="Verdana" w:hAnsi="Verdana" w:cs="Arial"/>
          <w:color w:val="2D5A83"/>
          <w:sz w:val="17"/>
          <w:szCs w:val="17"/>
        </w:rPr>
        <w:tab/>
      </w:r>
      <w:r w:rsidRPr="00D053CF">
        <w:rPr>
          <w:rFonts w:ascii="Times New Roman" w:hAnsi="Times New Roman" w:cs="Times New Roman"/>
        </w:rPr>
        <w:t>Policy/Program Officer</w:t>
      </w:r>
      <w:r>
        <w:rPr>
          <w:rFonts w:ascii="Times New Roman" w:hAnsi="Times New Roman" w:cs="Times New Roman"/>
        </w:rPr>
        <w:t xml:space="preserve"> (MAMPU)</w:t>
      </w:r>
      <w:r>
        <w:rPr>
          <w:rFonts w:ascii="Times New Roman" w:hAnsi="Times New Roman" w:cs="Times New Roman"/>
        </w:rPr>
        <w:br/>
      </w:r>
      <w:r>
        <w:rPr>
          <w:rFonts w:ascii="Times New Roman" w:hAnsi="Times New Roman" w:cs="Times New Roman"/>
        </w:rPr>
        <w:tab/>
        <w:t>Maesy</w:t>
      </w:r>
      <w:r>
        <w:rPr>
          <w:rFonts w:ascii="Times New Roman" w:hAnsi="Times New Roman" w:cs="Times New Roman"/>
        </w:rPr>
        <w:tab/>
      </w:r>
      <w:r>
        <w:rPr>
          <w:rFonts w:ascii="Times New Roman" w:hAnsi="Times New Roman" w:cs="Times New Roman"/>
        </w:rPr>
        <w:tab/>
        <w:t>Angelina</w:t>
      </w:r>
      <w:r>
        <w:rPr>
          <w:rFonts w:ascii="Times New Roman" w:hAnsi="Times New Roman" w:cs="Times New Roman"/>
        </w:rPr>
        <w:tab/>
      </w:r>
      <w:r>
        <w:rPr>
          <w:rFonts w:ascii="Times New Roman" w:hAnsi="Times New Roman" w:cs="Times New Roman"/>
        </w:rPr>
        <w:tab/>
        <w:t>A/g Unit Manager (Knowledge Sector)</w:t>
      </w:r>
    </w:p>
    <w:p w:rsidR="004432AA" w:rsidRPr="004A064C" w:rsidRDefault="004432AA" w:rsidP="004432AA">
      <w:pPr>
        <w:rPr>
          <w:rFonts w:ascii="Times New Roman" w:hAnsi="Times New Roman" w:cs="Times New Roman"/>
        </w:rPr>
      </w:pPr>
      <w:r w:rsidRPr="004A064C">
        <w:rPr>
          <w:rFonts w:ascii="Times New Roman" w:hAnsi="Times New Roman" w:cs="Times New Roman"/>
          <w:i/>
        </w:rPr>
        <w:t>Australia-Indonesia Partnership for Justice (AIPJ)</w:t>
      </w:r>
      <w:r w:rsidRPr="004A064C">
        <w:rPr>
          <w:rFonts w:ascii="Times New Roman" w:hAnsi="Times New Roman" w:cs="Times New Roman"/>
          <w:i/>
        </w:rPr>
        <w:tab/>
      </w:r>
      <w:r w:rsidRPr="004A064C">
        <w:rPr>
          <w:rFonts w:ascii="Times New Roman" w:hAnsi="Times New Roman" w:cs="Times New Roman"/>
        </w:rPr>
        <w:tab/>
      </w:r>
      <w:r w:rsidRPr="004A064C">
        <w:rPr>
          <w:rFonts w:ascii="Times New Roman" w:hAnsi="Times New Roman" w:cs="Times New Roman"/>
        </w:rPr>
        <w:tab/>
      </w:r>
      <w:r w:rsidRPr="004A064C">
        <w:rPr>
          <w:rFonts w:ascii="Times New Roman" w:hAnsi="Times New Roman" w:cs="Times New Roman"/>
        </w:rPr>
        <w:tab/>
      </w:r>
    </w:p>
    <w:p w:rsidR="004432AA" w:rsidRPr="0092017D" w:rsidRDefault="004432AA" w:rsidP="004432AA">
      <w:pPr>
        <w:ind w:right="-472" w:firstLine="720"/>
        <w:rPr>
          <w:rFonts w:ascii="Times New Roman" w:hAnsi="Times New Roman" w:cs="Times New Roman"/>
          <w:i/>
        </w:rPr>
      </w:pPr>
      <w:r w:rsidRPr="004A064C">
        <w:rPr>
          <w:rFonts w:ascii="Times New Roman" w:hAnsi="Times New Roman" w:cs="Times New Roman"/>
        </w:rPr>
        <w:t>N</w:t>
      </w:r>
      <w:r>
        <w:rPr>
          <w:rFonts w:ascii="Times New Roman" w:hAnsi="Times New Roman" w:cs="Times New Roman"/>
        </w:rPr>
        <w:t>icola</w:t>
      </w:r>
      <w:r>
        <w:rPr>
          <w:rFonts w:ascii="Times New Roman" w:hAnsi="Times New Roman" w:cs="Times New Roman"/>
        </w:rPr>
        <w:tab/>
      </w:r>
      <w:r>
        <w:rPr>
          <w:rFonts w:ascii="Times New Roman" w:hAnsi="Times New Roman" w:cs="Times New Roman"/>
        </w:rPr>
        <w:tab/>
      </w:r>
      <w:r w:rsidRPr="004A064C">
        <w:rPr>
          <w:rFonts w:ascii="Times New Roman" w:hAnsi="Times New Roman" w:cs="Times New Roman"/>
        </w:rPr>
        <w:t>Colbran</w:t>
      </w:r>
      <w:r w:rsidRPr="004A064C">
        <w:rPr>
          <w:rFonts w:ascii="Times New Roman" w:hAnsi="Times New Roman" w:cs="Times New Roman"/>
        </w:rPr>
        <w:tab/>
      </w:r>
      <w:r w:rsidRPr="004A064C">
        <w:rPr>
          <w:rFonts w:ascii="Times New Roman" w:hAnsi="Times New Roman" w:cs="Times New Roman"/>
        </w:rPr>
        <w:tab/>
      </w:r>
      <w:r>
        <w:rPr>
          <w:rFonts w:ascii="Times New Roman" w:hAnsi="Times New Roman" w:cs="Times New Roman"/>
        </w:rPr>
        <w:tab/>
      </w:r>
      <w:r w:rsidRPr="004A064C">
        <w:rPr>
          <w:rFonts w:ascii="Times New Roman" w:hAnsi="Times New Roman" w:cs="Times New Roman"/>
        </w:rPr>
        <w:t>AIPJ Program Director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042D5">
        <w:rPr>
          <w:rFonts w:ascii="Times New Roman" w:hAnsi="Times New Roman" w:cs="Times New Roman"/>
          <w:i/>
        </w:rPr>
        <w:t>25/06/12</w:t>
      </w:r>
      <w:r>
        <w:rPr>
          <w:rFonts w:ascii="Times New Roman" w:hAnsi="Times New Roman" w:cs="Times New Roman"/>
          <w:i/>
        </w:rPr>
        <w:br/>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C042D5">
        <w:rPr>
          <w:rFonts w:ascii="Times New Roman" w:hAnsi="Times New Roman" w:cs="Times New Roman"/>
          <w:i/>
        </w:rPr>
        <w:tab/>
      </w:r>
      <w:r w:rsidRPr="00C042D5">
        <w:rPr>
          <w:rFonts w:ascii="Times New Roman" w:hAnsi="Times New Roman" w:cs="Times New Roman"/>
          <w:i/>
        </w:rPr>
        <w:tab/>
      </w:r>
      <w:r w:rsidRPr="00C042D5">
        <w:rPr>
          <w:rFonts w:ascii="Times New Roman" w:hAnsi="Times New Roman" w:cs="Times New Roman"/>
          <w:i/>
        </w:rPr>
        <w:tab/>
      </w:r>
      <w:r w:rsidRPr="00C042D5">
        <w:rPr>
          <w:rFonts w:ascii="Times New Roman" w:hAnsi="Times New Roman" w:cs="Times New Roman"/>
          <w:i/>
        </w:rPr>
        <w:tab/>
      </w:r>
      <w:r>
        <w:rPr>
          <w:rFonts w:ascii="Times New Roman" w:hAnsi="Times New Roman" w:cs="Times New Roman"/>
          <w:i/>
        </w:rPr>
        <w:t xml:space="preserve">                                       06/07/12</w:t>
      </w:r>
      <w:r>
        <w:rPr>
          <w:rFonts w:ascii="Times New Roman" w:hAnsi="Times New Roman" w:cs="Times New Roman"/>
          <w:i/>
        </w:rPr>
        <w:br/>
        <w:t xml:space="preserve">                                                                                                                                                </w:t>
      </w:r>
      <w:r w:rsidRPr="00C042D5">
        <w:rPr>
          <w:rFonts w:ascii="Times New Roman" w:hAnsi="Times New Roman" w:cs="Times New Roman"/>
          <w:i/>
        </w:rPr>
        <w:t>09/07/12</w:t>
      </w:r>
    </w:p>
    <w:p w:rsidR="004432AA" w:rsidRDefault="004432AA" w:rsidP="004432AA">
      <w:pPr>
        <w:ind w:right="-472"/>
        <w:rPr>
          <w:rFonts w:ascii="Times New Roman" w:hAnsi="Times New Roman" w:cs="Times New Roman"/>
        </w:rPr>
      </w:pPr>
      <w:r w:rsidRPr="004A064C">
        <w:rPr>
          <w:rFonts w:ascii="Times New Roman" w:hAnsi="Times New Roman" w:cs="Times New Roman"/>
        </w:rPr>
        <w:tab/>
        <w:t>Miles</w:t>
      </w:r>
      <w:r w:rsidRPr="004A064C">
        <w:rPr>
          <w:rFonts w:ascii="Times New Roman" w:hAnsi="Times New Roman" w:cs="Times New Roman"/>
        </w:rPr>
        <w:tab/>
      </w:r>
      <w:r w:rsidRPr="004A064C">
        <w:rPr>
          <w:rFonts w:ascii="Times New Roman" w:hAnsi="Times New Roman" w:cs="Times New Roman"/>
        </w:rPr>
        <w:tab/>
        <w:t>Young</w:t>
      </w:r>
      <w:r w:rsidRPr="004A064C">
        <w:rPr>
          <w:rFonts w:ascii="Times New Roman" w:hAnsi="Times New Roman" w:cs="Times New Roman"/>
        </w:rPr>
        <w:tab/>
      </w:r>
      <w:r w:rsidRPr="004A064C">
        <w:rPr>
          <w:rFonts w:ascii="Times New Roman" w:hAnsi="Times New Roman" w:cs="Times New Roman"/>
        </w:rPr>
        <w:tab/>
      </w:r>
      <w:r w:rsidRPr="004A064C">
        <w:rPr>
          <w:rFonts w:ascii="Times New Roman" w:hAnsi="Times New Roman" w:cs="Times New Roman"/>
        </w:rPr>
        <w:tab/>
        <w:t>AIPJ Deputy Program Director</w:t>
      </w:r>
      <w:r>
        <w:rPr>
          <w:rFonts w:ascii="Times New Roman" w:hAnsi="Times New Roman" w:cs="Times New Roman"/>
        </w:rPr>
        <w:tab/>
      </w:r>
      <w:r>
        <w:rPr>
          <w:rFonts w:ascii="Times New Roman" w:hAnsi="Times New Roman" w:cs="Times New Roman"/>
        </w:rPr>
        <w:tab/>
      </w:r>
      <w:r w:rsidRPr="00596DE6">
        <w:rPr>
          <w:rFonts w:ascii="Times New Roman" w:hAnsi="Times New Roman" w:cs="Times New Roman"/>
          <w:i/>
        </w:rPr>
        <w:t>25/06/12</w:t>
      </w:r>
    </w:p>
    <w:p w:rsidR="004432AA" w:rsidRDefault="004432AA" w:rsidP="004432AA">
      <w:pPr>
        <w:ind w:right="-472"/>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432AA" w:rsidRDefault="004432AA" w:rsidP="004432AA">
      <w:pPr>
        <w:ind w:right="-472"/>
        <w:rPr>
          <w:rFonts w:ascii="Times New Roman" w:hAnsi="Times New Roman" w:cs="Times New Roman"/>
          <w:i/>
        </w:rPr>
      </w:pPr>
      <w:r w:rsidRPr="004A064C">
        <w:rPr>
          <w:rFonts w:ascii="Times New Roman" w:hAnsi="Times New Roman" w:cs="Times New Roman"/>
        </w:rPr>
        <w:tab/>
      </w:r>
      <w:proofErr w:type="spellStart"/>
      <w:r w:rsidRPr="004A064C">
        <w:rPr>
          <w:rFonts w:ascii="Times New Roman" w:hAnsi="Times New Roman" w:cs="Times New Roman"/>
        </w:rPr>
        <w:t>Judhi</w:t>
      </w:r>
      <w:proofErr w:type="spellEnd"/>
      <w:r w:rsidRPr="004A064C">
        <w:rPr>
          <w:rFonts w:ascii="Times New Roman" w:hAnsi="Times New Roman" w:cs="Times New Roman"/>
        </w:rPr>
        <w:tab/>
      </w:r>
      <w:r w:rsidRPr="004A064C">
        <w:rPr>
          <w:rFonts w:ascii="Times New Roman" w:hAnsi="Times New Roman" w:cs="Times New Roman"/>
        </w:rPr>
        <w:tab/>
      </w:r>
      <w:proofErr w:type="spellStart"/>
      <w:r w:rsidRPr="004A064C">
        <w:rPr>
          <w:rFonts w:ascii="Times New Roman" w:hAnsi="Times New Roman" w:cs="Times New Roman"/>
        </w:rPr>
        <w:t>Kristantini</w:t>
      </w:r>
      <w:proofErr w:type="spellEnd"/>
      <w:r w:rsidRPr="004A064C">
        <w:rPr>
          <w:rFonts w:ascii="Times New Roman" w:hAnsi="Times New Roman" w:cs="Times New Roman"/>
        </w:rPr>
        <w:tab/>
      </w:r>
      <w:r w:rsidRPr="004A064C">
        <w:rPr>
          <w:rFonts w:ascii="Times New Roman" w:hAnsi="Times New Roman" w:cs="Times New Roman"/>
        </w:rPr>
        <w:tab/>
        <w:t>AIPJ Senior Manager: Anti-Corruption</w:t>
      </w:r>
      <w:r>
        <w:rPr>
          <w:rFonts w:ascii="Times New Roman" w:hAnsi="Times New Roman" w:cs="Times New Roman"/>
        </w:rPr>
        <w:tab/>
      </w:r>
      <w:r w:rsidRPr="00596DE6">
        <w:rPr>
          <w:rFonts w:ascii="Times New Roman" w:hAnsi="Times New Roman" w:cs="Times New Roman"/>
          <w:i/>
        </w:rPr>
        <w:t>25/06/12</w:t>
      </w:r>
      <w:r w:rsidRPr="004A064C">
        <w:rPr>
          <w:rFonts w:ascii="Times New Roman" w:hAnsi="Times New Roman" w:cs="Times New Roman"/>
        </w:rPr>
        <w:br/>
      </w:r>
      <w:r w:rsidRPr="004A064C">
        <w:rPr>
          <w:rFonts w:ascii="Times New Roman" w:hAnsi="Times New Roman" w:cs="Times New Roman"/>
        </w:rPr>
        <w:tab/>
      </w:r>
      <w:proofErr w:type="spellStart"/>
      <w:r w:rsidRPr="004A064C">
        <w:rPr>
          <w:rFonts w:ascii="Times New Roman" w:hAnsi="Times New Roman" w:cs="Times New Roman"/>
        </w:rPr>
        <w:t>Windu</w:t>
      </w:r>
      <w:proofErr w:type="spellEnd"/>
      <w:r w:rsidRPr="004A064C">
        <w:rPr>
          <w:rFonts w:ascii="Times New Roman" w:hAnsi="Times New Roman" w:cs="Times New Roman"/>
        </w:rPr>
        <w:tab/>
      </w:r>
      <w:r w:rsidRPr="004A064C">
        <w:rPr>
          <w:rFonts w:ascii="Times New Roman" w:hAnsi="Times New Roman" w:cs="Times New Roman"/>
        </w:rPr>
        <w:tab/>
      </w:r>
      <w:proofErr w:type="spellStart"/>
      <w:r w:rsidRPr="004A064C">
        <w:rPr>
          <w:rFonts w:ascii="Times New Roman" w:hAnsi="Times New Roman" w:cs="Times New Roman"/>
        </w:rPr>
        <w:t>Kisworo</w:t>
      </w:r>
      <w:proofErr w:type="spellEnd"/>
      <w:r w:rsidRPr="004A064C">
        <w:rPr>
          <w:rFonts w:ascii="Times New Roman" w:hAnsi="Times New Roman" w:cs="Times New Roman"/>
        </w:rPr>
        <w:tab/>
      </w:r>
      <w:r w:rsidRPr="004A064C">
        <w:rPr>
          <w:rFonts w:ascii="Times New Roman" w:hAnsi="Times New Roman" w:cs="Times New Roman"/>
        </w:rPr>
        <w:tab/>
        <w:t>AIPJ Coordinator: Anti-Corruption</w:t>
      </w:r>
      <w:r w:rsidRPr="004A064C">
        <w:rPr>
          <w:rFonts w:ascii="Times New Roman" w:hAnsi="Times New Roman" w:cs="Times New Roman"/>
        </w:rPr>
        <w:br/>
      </w:r>
      <w:r w:rsidRPr="004A064C">
        <w:rPr>
          <w:rFonts w:ascii="Times New Roman" w:hAnsi="Times New Roman" w:cs="Times New Roman"/>
        </w:rPr>
        <w:tab/>
      </w:r>
      <w:proofErr w:type="spellStart"/>
      <w:r w:rsidRPr="004A064C">
        <w:rPr>
          <w:rFonts w:ascii="Times New Roman" w:hAnsi="Times New Roman" w:cs="Times New Roman"/>
        </w:rPr>
        <w:t>Cucu</w:t>
      </w:r>
      <w:proofErr w:type="spellEnd"/>
      <w:r w:rsidRPr="004A064C">
        <w:rPr>
          <w:rFonts w:ascii="Times New Roman" w:hAnsi="Times New Roman" w:cs="Times New Roman"/>
        </w:rPr>
        <w:tab/>
      </w:r>
      <w:r w:rsidRPr="004A064C">
        <w:rPr>
          <w:rFonts w:ascii="Times New Roman" w:hAnsi="Times New Roman" w:cs="Times New Roman"/>
        </w:rPr>
        <w:tab/>
      </w:r>
      <w:proofErr w:type="spellStart"/>
      <w:r w:rsidRPr="004A064C">
        <w:rPr>
          <w:rFonts w:ascii="Times New Roman" w:hAnsi="Times New Roman" w:cs="Times New Roman"/>
        </w:rPr>
        <w:t>Saidah</w:t>
      </w:r>
      <w:proofErr w:type="spellEnd"/>
      <w:r w:rsidRPr="004A064C">
        <w:rPr>
          <w:rFonts w:ascii="Times New Roman" w:hAnsi="Times New Roman" w:cs="Times New Roman"/>
        </w:rPr>
        <w:tab/>
      </w:r>
      <w:r w:rsidRPr="004A064C">
        <w:rPr>
          <w:rFonts w:ascii="Times New Roman" w:hAnsi="Times New Roman" w:cs="Times New Roman"/>
        </w:rPr>
        <w:tab/>
      </w:r>
      <w:r w:rsidRPr="004A064C">
        <w:rPr>
          <w:rFonts w:ascii="Times New Roman" w:hAnsi="Times New Roman" w:cs="Times New Roman"/>
        </w:rPr>
        <w:tab/>
        <w:t xml:space="preserve">AIPJ Coordinator: Human Rights and </w:t>
      </w:r>
      <w:r>
        <w:rPr>
          <w:rFonts w:ascii="Times New Roman" w:hAnsi="Times New Roman" w:cs="Times New Roman"/>
        </w:rPr>
        <w:t>Disabilities</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Binziad</w:t>
      </w:r>
      <w:proofErr w:type="spellEnd"/>
      <w:r>
        <w:rPr>
          <w:rFonts w:ascii="Times New Roman" w:hAnsi="Times New Roman" w:cs="Times New Roman"/>
        </w:rPr>
        <w:tab/>
      </w:r>
      <w:r>
        <w:rPr>
          <w:rFonts w:ascii="Times New Roman" w:hAnsi="Times New Roman" w:cs="Times New Roman"/>
        </w:rPr>
        <w:tab/>
      </w:r>
      <w:proofErr w:type="spellStart"/>
      <w:r w:rsidRPr="004A064C">
        <w:rPr>
          <w:rFonts w:ascii="Times New Roman" w:hAnsi="Times New Roman" w:cs="Times New Roman"/>
        </w:rPr>
        <w:t>Kadafi</w:t>
      </w:r>
      <w:proofErr w:type="spellEnd"/>
      <w:r w:rsidRPr="004A064C">
        <w:rPr>
          <w:rFonts w:ascii="Times New Roman" w:hAnsi="Times New Roman" w:cs="Times New Roman"/>
        </w:rPr>
        <w:tab/>
      </w:r>
      <w:r w:rsidRPr="004A064C">
        <w:rPr>
          <w:rFonts w:ascii="Times New Roman" w:hAnsi="Times New Roman" w:cs="Times New Roman"/>
        </w:rPr>
        <w:tab/>
      </w:r>
      <w:r w:rsidRPr="004A064C">
        <w:rPr>
          <w:rFonts w:ascii="Times New Roman" w:hAnsi="Times New Roman" w:cs="Times New Roman"/>
        </w:rPr>
        <w:tab/>
        <w:t>AIPJ Senior Manager: Court Reform &amp; Access to Justice</w:t>
      </w:r>
      <w:r>
        <w:rPr>
          <w:rFonts w:ascii="Times New Roman" w:hAnsi="Times New Roman" w:cs="Times New Roman"/>
        </w:rPr>
        <w:br/>
      </w:r>
      <w:r>
        <w:rPr>
          <w:rFonts w:ascii="Times New Roman" w:hAnsi="Times New Roman" w:cs="Times New Roman"/>
        </w:rPr>
        <w:lastRenderedPageBreak/>
        <w:tab/>
        <w:t>Peter</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deMeij</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AIPJ Coordinator: Court Reform &amp; Access to Justice</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Aang</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Sutisna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Manager: Monitoring and Learning</w:t>
      </w:r>
      <w:r>
        <w:rPr>
          <w:rFonts w:ascii="Times New Roman" w:hAnsi="Times New Roman" w:cs="Times New Roman"/>
        </w:rPr>
        <w:tab/>
      </w:r>
    </w:p>
    <w:p w:rsidR="004432AA" w:rsidRDefault="004432AA" w:rsidP="004432AA">
      <w:pPr>
        <w:ind w:right="-472"/>
        <w:rPr>
          <w:rFonts w:ascii="Times New Roman" w:hAnsi="Times New Roman" w:cs="Times New Roman"/>
        </w:rPr>
      </w:pPr>
      <w:r>
        <w:rPr>
          <w:rFonts w:ascii="Times New Roman" w:hAnsi="Times New Roman" w:cs="Times New Roman"/>
        </w:rPr>
        <w:tab/>
        <w:t>Gary</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Ellem</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AIPJ Deputy Program Director (teleconference) </w:t>
      </w:r>
      <w:r>
        <w:rPr>
          <w:rFonts w:ascii="Times New Roman" w:hAnsi="Times New Roman" w:cs="Times New Roman"/>
          <w:i/>
        </w:rPr>
        <w:t>26/06/12</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Endang</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Suyatin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AIPJ Manager: Grant and Contract </w:t>
      </w:r>
      <w:r>
        <w:rPr>
          <w:rFonts w:ascii="Times New Roman" w:hAnsi="Times New Roman" w:cs="Times New Roman"/>
          <w:i/>
        </w:rPr>
        <w:t>26/06/12</w:t>
      </w:r>
      <w:r>
        <w:rPr>
          <w:rFonts w:ascii="Times New Roman" w:hAnsi="Times New Roman" w:cs="Times New Roman"/>
        </w:rPr>
        <w:br/>
      </w:r>
      <w:r>
        <w:rPr>
          <w:rFonts w:ascii="Times New Roman" w:hAnsi="Times New Roman" w:cs="Times New Roman"/>
        </w:rPr>
        <w:tab/>
        <w:t>Hilda</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Suherman</w:t>
      </w:r>
      <w:proofErr w:type="spellEnd"/>
      <w:r>
        <w:rPr>
          <w:rFonts w:ascii="Times New Roman" w:hAnsi="Times New Roman" w:cs="Times New Roman"/>
        </w:rPr>
        <w:tab/>
      </w:r>
      <w:r>
        <w:rPr>
          <w:rFonts w:ascii="Times New Roman" w:hAnsi="Times New Roman" w:cs="Times New Roman"/>
        </w:rPr>
        <w:tab/>
        <w:t>AIPJ Coordinator: Partnerships</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Junardi</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Nurlete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AIPJ Manager: Finance</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Afnia</w:t>
      </w:r>
      <w:proofErr w:type="spellEnd"/>
      <w:r>
        <w:rPr>
          <w:rFonts w:ascii="Times New Roman" w:hAnsi="Times New Roman" w:cs="Times New Roman"/>
        </w:rPr>
        <w:tab/>
      </w:r>
      <w:r>
        <w:rPr>
          <w:rFonts w:ascii="Times New Roman" w:hAnsi="Times New Roman" w:cs="Times New Roman"/>
        </w:rPr>
        <w:tab/>
        <w:t>Sari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AIPJ Manager: Admin</w:t>
      </w:r>
    </w:p>
    <w:p w:rsidR="004432AA" w:rsidRDefault="004432AA" w:rsidP="004432AA">
      <w:pPr>
        <w:ind w:right="-472"/>
        <w:rPr>
          <w:rFonts w:ascii="Times New Roman" w:hAnsi="Times New Roman" w:cs="Times New Roman"/>
        </w:rPr>
      </w:pPr>
      <w:r>
        <w:rPr>
          <w:rFonts w:ascii="Times New Roman" w:hAnsi="Times New Roman" w:cs="Times New Roman"/>
        </w:rPr>
        <w:tab/>
        <w:t>Mark</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Pruden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Cardno</w:t>
      </w:r>
      <w:proofErr w:type="spellEnd"/>
      <w:r>
        <w:rPr>
          <w:rFonts w:ascii="Times New Roman" w:hAnsi="Times New Roman" w:cs="Times New Roman"/>
        </w:rPr>
        <w:t xml:space="preserve"> Representative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26/06/12</w:t>
      </w:r>
      <w:r>
        <w:rPr>
          <w:rFonts w:ascii="Times New Roman" w:hAnsi="Times New Roman" w:cs="Times New Roman"/>
        </w:rPr>
        <w:br/>
      </w:r>
    </w:p>
    <w:p w:rsidR="004432AA" w:rsidRPr="005C6C63" w:rsidRDefault="004432AA" w:rsidP="004432AA">
      <w:pPr>
        <w:ind w:right="-472"/>
        <w:rPr>
          <w:rFonts w:ascii="Times New Roman" w:hAnsi="Times New Roman" w:cs="Times New Roman"/>
          <w:i/>
        </w:rPr>
      </w:pPr>
      <w:proofErr w:type="spellStart"/>
      <w:r w:rsidRPr="005C6C63">
        <w:rPr>
          <w:rFonts w:ascii="Times New Roman" w:hAnsi="Times New Roman" w:cs="Times New Roman"/>
          <w:i/>
        </w:rPr>
        <w:t>Bappenas</w:t>
      </w:r>
      <w:proofErr w:type="spellEnd"/>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4432AA" w:rsidRPr="005C6C63" w:rsidRDefault="004432AA" w:rsidP="004432AA">
      <w:pPr>
        <w:ind w:right="-472"/>
        <w:rPr>
          <w:rFonts w:ascii="Times New Roman" w:hAnsi="Times New Roman" w:cs="Times New Roman"/>
          <w:i/>
        </w:rPr>
      </w:pPr>
      <w:r>
        <w:rPr>
          <w:rFonts w:ascii="Times New Roman" w:hAnsi="Times New Roman" w:cs="Times New Roman"/>
        </w:rPr>
        <w:tab/>
      </w:r>
      <w:proofErr w:type="spellStart"/>
      <w:r>
        <w:rPr>
          <w:rFonts w:ascii="Times New Roman" w:hAnsi="Times New Roman" w:cs="Times New Roman"/>
        </w:rPr>
        <w:t>Diani</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Sadiawati</w:t>
      </w:r>
      <w:proofErr w:type="spellEnd"/>
      <w:r>
        <w:rPr>
          <w:rFonts w:ascii="Times New Roman" w:hAnsi="Times New Roman" w:cs="Times New Roman"/>
        </w:rPr>
        <w:tab/>
      </w:r>
      <w:r>
        <w:rPr>
          <w:rFonts w:ascii="Times New Roman" w:hAnsi="Times New Roman" w:cs="Times New Roman"/>
        </w:rPr>
        <w:tab/>
        <w:t>Director for Law and Human Rights</w:t>
      </w:r>
      <w:r>
        <w:rPr>
          <w:rFonts w:ascii="Times New Roman" w:hAnsi="Times New Roman" w:cs="Times New Roman"/>
        </w:rPr>
        <w:tab/>
      </w:r>
      <w:r>
        <w:rPr>
          <w:rFonts w:ascii="Times New Roman" w:hAnsi="Times New Roman" w:cs="Times New Roman"/>
          <w:i/>
        </w:rPr>
        <w:t>26/06/12</w:t>
      </w:r>
    </w:p>
    <w:p w:rsidR="004432AA" w:rsidRDefault="004432AA" w:rsidP="004432AA">
      <w:pPr>
        <w:ind w:right="-472"/>
        <w:rPr>
          <w:rFonts w:ascii="Times New Roman" w:hAnsi="Times New Roman" w:cs="Times New Roman"/>
        </w:rPr>
      </w:pPr>
    </w:p>
    <w:p w:rsidR="004432AA" w:rsidRDefault="004432AA" w:rsidP="004432AA">
      <w:pPr>
        <w:ind w:right="-472"/>
        <w:rPr>
          <w:rFonts w:ascii="Times New Roman" w:hAnsi="Times New Roman" w:cs="Times New Roman"/>
          <w:i/>
        </w:rPr>
      </w:pPr>
      <w:r>
        <w:rPr>
          <w:rFonts w:ascii="Times New Roman" w:hAnsi="Times New Roman" w:cs="Times New Roman"/>
          <w:i/>
        </w:rPr>
        <w:t>Civil Society Organisations – AIPJ Implementing Partners</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29/06/12</w:t>
      </w:r>
    </w:p>
    <w:p w:rsidR="004432AA" w:rsidRPr="00D053CF" w:rsidRDefault="004432AA" w:rsidP="004432AA">
      <w:pPr>
        <w:ind w:right="-472"/>
        <w:rPr>
          <w:rFonts w:ascii="Times New Roman" w:hAnsi="Times New Roman" w:cs="Times New Roman"/>
        </w:rPr>
      </w:pPr>
      <w:r>
        <w:rPr>
          <w:rFonts w:ascii="Times New Roman" w:hAnsi="Times New Roman" w:cs="Times New Roman"/>
        </w:rPr>
        <w:tab/>
        <w:t>Dian</w:t>
      </w:r>
      <w:r>
        <w:rPr>
          <w:rFonts w:ascii="Times New Roman" w:hAnsi="Times New Roman" w:cs="Times New Roman"/>
        </w:rPr>
        <w:tab/>
      </w:r>
      <w:r>
        <w:rPr>
          <w:rFonts w:ascii="Times New Roman" w:hAnsi="Times New Roman" w:cs="Times New Roman"/>
        </w:rPr>
        <w:tab/>
        <w:t>Rosita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LEIP</w:t>
      </w:r>
      <w:r>
        <w:rPr>
          <w:rFonts w:ascii="Times New Roman" w:hAnsi="Times New Roman" w:cs="Times New Roman"/>
        </w:rPr>
        <w:br/>
      </w:r>
      <w:r>
        <w:rPr>
          <w:rFonts w:ascii="Times New Roman" w:hAnsi="Times New Roman" w:cs="Times New Roman"/>
        </w:rPr>
        <w:tab/>
        <w:t>Choky</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Ramadhan</w:t>
      </w:r>
      <w:proofErr w:type="spellEnd"/>
      <w:r>
        <w:rPr>
          <w:rFonts w:ascii="Times New Roman" w:hAnsi="Times New Roman" w:cs="Times New Roman"/>
        </w:rPr>
        <w:tab/>
      </w:r>
      <w:r>
        <w:rPr>
          <w:rFonts w:ascii="Times New Roman" w:hAnsi="Times New Roman" w:cs="Times New Roman"/>
        </w:rPr>
        <w:tab/>
        <w:t>MAPPI</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Riyanti</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Ekowati</w:t>
      </w:r>
      <w:proofErr w:type="spellEnd"/>
      <w:r>
        <w:rPr>
          <w:rFonts w:ascii="Times New Roman" w:hAnsi="Times New Roman" w:cs="Times New Roman"/>
        </w:rPr>
        <w:tab/>
      </w:r>
      <w:r>
        <w:rPr>
          <w:rFonts w:ascii="Times New Roman" w:hAnsi="Times New Roman" w:cs="Times New Roman"/>
        </w:rPr>
        <w:tab/>
        <w:t xml:space="preserve">Mitra </w:t>
      </w:r>
      <w:proofErr w:type="spellStart"/>
      <w:r>
        <w:rPr>
          <w:rFonts w:ascii="Times New Roman" w:hAnsi="Times New Roman" w:cs="Times New Roman"/>
        </w:rPr>
        <w:t>Netra</w:t>
      </w:r>
      <w:proofErr w:type="spellEnd"/>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Eryanto</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Nugroho</w:t>
      </w:r>
      <w:proofErr w:type="spellEnd"/>
      <w:r>
        <w:rPr>
          <w:rFonts w:ascii="Times New Roman" w:hAnsi="Times New Roman" w:cs="Times New Roman"/>
        </w:rPr>
        <w:tab/>
      </w:r>
      <w:r>
        <w:rPr>
          <w:rFonts w:ascii="Times New Roman" w:hAnsi="Times New Roman" w:cs="Times New Roman"/>
        </w:rPr>
        <w:tab/>
        <w:t>PSHK</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Alvon</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Kurnia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YLBHI</w:t>
      </w:r>
    </w:p>
    <w:p w:rsidR="004432AA" w:rsidRDefault="004432AA" w:rsidP="004432AA">
      <w:pPr>
        <w:ind w:right="-472"/>
        <w:rPr>
          <w:rFonts w:ascii="Times New Roman" w:hAnsi="Times New Roman" w:cs="Times New Roman"/>
          <w:i/>
        </w:rPr>
      </w:pPr>
      <w:r>
        <w:rPr>
          <w:rFonts w:ascii="Times New Roman" w:hAnsi="Times New Roman" w:cs="Times New Roman"/>
          <w:i/>
        </w:rPr>
        <w:t>Civil Society Organisations – non-AIPJ Implementing Partners</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29/06/12</w:t>
      </w:r>
    </w:p>
    <w:p w:rsidR="004432AA" w:rsidRPr="00D24C12" w:rsidRDefault="004432AA" w:rsidP="004432AA">
      <w:pPr>
        <w:ind w:right="-472"/>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Agung</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Putri</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ELSAM</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Maharetta</w:t>
      </w:r>
      <w:proofErr w:type="spellEnd"/>
      <w:r>
        <w:rPr>
          <w:rFonts w:ascii="Times New Roman" w:hAnsi="Times New Roman" w:cs="Times New Roman"/>
        </w:rPr>
        <w:tab/>
      </w:r>
      <w:proofErr w:type="spellStart"/>
      <w:r>
        <w:rPr>
          <w:rFonts w:ascii="Times New Roman" w:hAnsi="Times New Roman" w:cs="Times New Roman"/>
        </w:rPr>
        <w:t>Maha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HWPCI</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Revita</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Alvi</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HWPCI</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Uli</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Parulian</w:t>
      </w:r>
      <w:proofErr w:type="spellEnd"/>
      <w:r>
        <w:rPr>
          <w:rFonts w:ascii="Times New Roman" w:hAnsi="Times New Roman" w:cs="Times New Roman"/>
        </w:rPr>
        <w:t xml:space="preserve"> </w:t>
      </w:r>
      <w:proofErr w:type="spellStart"/>
      <w:r>
        <w:rPr>
          <w:rFonts w:ascii="Times New Roman" w:hAnsi="Times New Roman" w:cs="Times New Roman"/>
        </w:rPr>
        <w:t>Sihombing</w:t>
      </w:r>
      <w:proofErr w:type="spellEnd"/>
      <w:r>
        <w:rPr>
          <w:rFonts w:ascii="Times New Roman" w:hAnsi="Times New Roman" w:cs="Times New Roman"/>
        </w:rPr>
        <w:tab/>
        <w:t>ILRC</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Firmansyah</w:t>
      </w:r>
      <w:proofErr w:type="spellEnd"/>
      <w:r>
        <w:rPr>
          <w:rFonts w:ascii="Times New Roman" w:hAnsi="Times New Roman" w:cs="Times New Roman"/>
        </w:rPr>
        <w:tab/>
      </w:r>
      <w:proofErr w:type="spellStart"/>
      <w:r>
        <w:rPr>
          <w:rFonts w:ascii="Times New Roman" w:hAnsi="Times New Roman" w:cs="Times New Roman"/>
        </w:rPr>
        <w:t>Arifin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KRHN</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Estu</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Rakhmani</w:t>
      </w:r>
      <w:proofErr w:type="spellEnd"/>
      <w:r>
        <w:rPr>
          <w:rFonts w:ascii="Times New Roman" w:hAnsi="Times New Roman" w:cs="Times New Roman"/>
        </w:rPr>
        <w:tab/>
      </w:r>
      <w:r>
        <w:rPr>
          <w:rFonts w:ascii="Times New Roman" w:hAnsi="Times New Roman" w:cs="Times New Roman"/>
        </w:rPr>
        <w:tab/>
        <w:t>LBH APIK</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Nurkholis</w:t>
      </w:r>
      <w:proofErr w:type="spellEnd"/>
      <w:r>
        <w:rPr>
          <w:rFonts w:ascii="Times New Roman" w:hAnsi="Times New Roman" w:cs="Times New Roman"/>
        </w:rPr>
        <w:tab/>
      </w:r>
      <w:proofErr w:type="spellStart"/>
      <w:r>
        <w:rPr>
          <w:rFonts w:ascii="Times New Roman" w:hAnsi="Times New Roman" w:cs="Times New Roman"/>
        </w:rPr>
        <w:t>Hidayat</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LBH Jakarta</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Rachmita</w:t>
      </w:r>
      <w:proofErr w:type="spellEnd"/>
      <w:r>
        <w:rPr>
          <w:rFonts w:ascii="Times New Roman" w:hAnsi="Times New Roman" w:cs="Times New Roman"/>
        </w:rPr>
        <w:tab/>
      </w:r>
      <w:proofErr w:type="spellStart"/>
      <w:r>
        <w:rPr>
          <w:rFonts w:ascii="Times New Roman" w:hAnsi="Times New Roman" w:cs="Times New Roman"/>
        </w:rPr>
        <w:t>Harahap</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Sehjira</w:t>
      </w:r>
      <w:proofErr w:type="spellEnd"/>
    </w:p>
    <w:p w:rsidR="004432AA" w:rsidRDefault="004432AA" w:rsidP="004432AA">
      <w:pPr>
        <w:ind w:right="-472"/>
        <w:rPr>
          <w:rFonts w:ascii="Times New Roman" w:hAnsi="Times New Roman" w:cs="Times New Roman"/>
          <w:i/>
        </w:rPr>
      </w:pPr>
      <w:r>
        <w:rPr>
          <w:rFonts w:ascii="Times New Roman" w:hAnsi="Times New Roman" w:cs="Times New Roman"/>
          <w:i/>
        </w:rPr>
        <w:t>Department of Foreign Affairs and Trade</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4432AA" w:rsidRPr="00D053CF" w:rsidRDefault="004432AA" w:rsidP="004432AA">
      <w:pPr>
        <w:ind w:right="-472"/>
        <w:rPr>
          <w:rFonts w:ascii="Times New Roman" w:hAnsi="Times New Roman" w:cs="Times New Roman"/>
        </w:rPr>
      </w:pPr>
      <w:r>
        <w:rPr>
          <w:rFonts w:ascii="Times New Roman" w:hAnsi="Times New Roman" w:cs="Times New Roman"/>
        </w:rPr>
        <w:tab/>
        <w:t>Annie</w:t>
      </w:r>
      <w:r>
        <w:rPr>
          <w:rFonts w:ascii="Times New Roman" w:hAnsi="Times New Roman" w:cs="Times New Roman"/>
        </w:rPr>
        <w:tab/>
      </w:r>
      <w:r>
        <w:rPr>
          <w:rFonts w:ascii="Times New Roman" w:hAnsi="Times New Roman" w:cs="Times New Roman"/>
        </w:rPr>
        <w:tab/>
        <w:t>Hildebrand</w:t>
      </w:r>
      <w:r>
        <w:rPr>
          <w:rFonts w:ascii="Times New Roman" w:hAnsi="Times New Roman" w:cs="Times New Roman"/>
        </w:rPr>
        <w:tab/>
      </w:r>
      <w:r>
        <w:rPr>
          <w:rFonts w:ascii="Times New Roman" w:hAnsi="Times New Roman" w:cs="Times New Roman"/>
        </w:rPr>
        <w:tab/>
      </w:r>
      <w:r w:rsidR="005C2E4A" w:rsidRPr="005C2E4A">
        <w:rPr>
          <w:rFonts w:ascii="Times New Roman" w:hAnsi="Times New Roman" w:cs="Times New Roman"/>
        </w:rPr>
        <w:t>Second Secretary Political</w:t>
      </w:r>
      <w:r w:rsidR="005C2E4A">
        <w:rPr>
          <w:rFonts w:ascii="Times New Roman" w:hAnsi="Times New Roman" w:cs="Times New Roman"/>
        </w:rPr>
        <w:tab/>
      </w:r>
      <w:r w:rsidR="005C2E4A">
        <w:rPr>
          <w:rFonts w:ascii="Times New Roman" w:hAnsi="Times New Roman" w:cs="Times New Roman"/>
        </w:rPr>
        <w:tab/>
      </w:r>
      <w:r>
        <w:rPr>
          <w:rFonts w:ascii="Times New Roman" w:hAnsi="Times New Roman" w:cs="Times New Roman"/>
          <w:i/>
        </w:rPr>
        <w:t>28/06/12</w:t>
      </w:r>
      <w:r>
        <w:rPr>
          <w:rFonts w:ascii="Times New Roman" w:hAnsi="Times New Roman" w:cs="Times New Roman"/>
          <w:i/>
        </w:rPr>
        <w:br/>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09/07/12</w:t>
      </w:r>
    </w:p>
    <w:p w:rsidR="004432AA" w:rsidRPr="005C6C63" w:rsidRDefault="004432AA" w:rsidP="004432AA">
      <w:pPr>
        <w:ind w:right="-472"/>
        <w:rPr>
          <w:rFonts w:ascii="Times New Roman" w:hAnsi="Times New Roman" w:cs="Times New Roman"/>
          <w:i/>
        </w:rPr>
      </w:pPr>
      <w:r w:rsidRPr="005C6C63">
        <w:rPr>
          <w:rFonts w:ascii="Times New Roman" w:hAnsi="Times New Roman" w:cs="Times New Roman"/>
          <w:i/>
        </w:rPr>
        <w:t>Donors working in the Law and Justice Sector in Indonesia</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4432AA" w:rsidRDefault="004432AA" w:rsidP="004432AA">
      <w:pPr>
        <w:ind w:right="-472"/>
        <w:rPr>
          <w:rFonts w:ascii="Times New Roman" w:hAnsi="Times New Roman" w:cs="Times New Roman"/>
        </w:rPr>
      </w:pPr>
      <w:r>
        <w:rPr>
          <w:rFonts w:ascii="Times New Roman" w:hAnsi="Times New Roman" w:cs="Times New Roman"/>
        </w:rPr>
        <w:tab/>
        <w:t>Theodora</w:t>
      </w:r>
      <w:r>
        <w:rPr>
          <w:rFonts w:ascii="Times New Roman" w:hAnsi="Times New Roman" w:cs="Times New Roman"/>
        </w:rPr>
        <w:tab/>
      </w:r>
      <w:proofErr w:type="spellStart"/>
      <w:r>
        <w:rPr>
          <w:rFonts w:ascii="Times New Roman" w:hAnsi="Times New Roman" w:cs="Times New Roman"/>
        </w:rPr>
        <w:t>Putri</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C4J</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27/06/12</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Yudit</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Yuhana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C4J</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Dewi</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Novirianti</w:t>
      </w:r>
      <w:proofErr w:type="spellEnd"/>
      <w:r>
        <w:rPr>
          <w:rFonts w:ascii="Times New Roman" w:hAnsi="Times New Roman" w:cs="Times New Roman"/>
        </w:rPr>
        <w:tab/>
      </w:r>
      <w:r>
        <w:rPr>
          <w:rFonts w:ascii="Times New Roman" w:hAnsi="Times New Roman" w:cs="Times New Roman"/>
        </w:rPr>
        <w:tab/>
        <w:t>C4J</w:t>
      </w:r>
      <w:r>
        <w:rPr>
          <w:rFonts w:ascii="Times New Roman" w:hAnsi="Times New Roman" w:cs="Times New Roman"/>
        </w:rPr>
        <w:br/>
      </w:r>
      <w:r>
        <w:rPr>
          <w:rFonts w:ascii="Times New Roman" w:hAnsi="Times New Roman" w:cs="Times New Roman"/>
        </w:rPr>
        <w:tab/>
        <w:t>Ruth</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Panjaitan</w:t>
      </w:r>
      <w:proofErr w:type="spellEnd"/>
      <w:r>
        <w:rPr>
          <w:rFonts w:ascii="Times New Roman" w:hAnsi="Times New Roman" w:cs="Times New Roman"/>
        </w:rPr>
        <w:tab/>
      </w:r>
      <w:r>
        <w:rPr>
          <w:rFonts w:ascii="Times New Roman" w:hAnsi="Times New Roman" w:cs="Times New Roman"/>
        </w:rPr>
        <w:tab/>
        <w:t>C4J</w:t>
      </w:r>
      <w:r>
        <w:rPr>
          <w:rFonts w:ascii="Times New Roman" w:hAnsi="Times New Roman" w:cs="Times New Roman"/>
        </w:rPr>
        <w:br/>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Anja</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Roelofs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Netherlands Embassy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27/06/12</w:t>
      </w:r>
    </w:p>
    <w:p w:rsidR="004432AA" w:rsidRPr="007C32B8" w:rsidRDefault="004432AA" w:rsidP="004432AA">
      <w:pPr>
        <w:ind w:right="-472" w:firstLine="720"/>
        <w:rPr>
          <w:rFonts w:ascii="Times New Roman" w:hAnsi="Times New Roman" w:cs="Times New Roman"/>
          <w:b/>
        </w:rPr>
      </w:pPr>
      <w:r>
        <w:rPr>
          <w:rFonts w:ascii="Times New Roman" w:hAnsi="Times New Roman" w:cs="Times New Roman"/>
        </w:rPr>
        <w:lastRenderedPageBreak/>
        <w:t>Muhammad</w:t>
      </w:r>
      <w:r>
        <w:rPr>
          <w:rFonts w:ascii="Times New Roman" w:hAnsi="Times New Roman" w:cs="Times New Roman"/>
        </w:rPr>
        <w:tab/>
        <w:t>Husain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UNDP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27/06/12</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p>
    <w:p w:rsidR="004432AA" w:rsidRDefault="004432AA" w:rsidP="004432AA">
      <w:pPr>
        <w:ind w:right="-472"/>
        <w:rPr>
          <w:rFonts w:ascii="Times New Roman" w:hAnsi="Times New Roman" w:cs="Times New Roman"/>
        </w:rPr>
      </w:pPr>
      <w:r>
        <w:rPr>
          <w:rFonts w:ascii="Times New Roman" w:hAnsi="Times New Roman" w:cs="Times New Roman"/>
        </w:rPr>
        <w:tab/>
        <w:t>Sonja</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Litz</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World Bank, Justice for the Poor (J4P) program</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Bambang</w:t>
      </w:r>
      <w:proofErr w:type="spellEnd"/>
      <w:r>
        <w:rPr>
          <w:rFonts w:ascii="Times New Roman" w:hAnsi="Times New Roman" w:cs="Times New Roman"/>
        </w:rPr>
        <w:tab/>
      </w:r>
      <w:proofErr w:type="spellStart"/>
      <w:r>
        <w:rPr>
          <w:rFonts w:ascii="Times New Roman" w:hAnsi="Times New Roman" w:cs="Times New Roman"/>
        </w:rPr>
        <w:t>Soetano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World Bank, Justice for the Poor (J4P) program</w:t>
      </w:r>
      <w:r>
        <w:rPr>
          <w:rFonts w:ascii="Times New Roman" w:hAnsi="Times New Roman" w:cs="Times New Roman"/>
        </w:rPr>
        <w:br/>
      </w:r>
      <w:r>
        <w:rPr>
          <w:rFonts w:ascii="Times New Roman" w:hAnsi="Times New Roman" w:cs="Times New Roman"/>
        </w:rPr>
        <w:tab/>
        <w:t>Karrie</w:t>
      </w:r>
      <w:r>
        <w:rPr>
          <w:rFonts w:ascii="Times New Roman" w:hAnsi="Times New Roman" w:cs="Times New Roman"/>
        </w:rPr>
        <w:tab/>
      </w:r>
      <w:r>
        <w:rPr>
          <w:rFonts w:ascii="Times New Roman" w:hAnsi="Times New Roman" w:cs="Times New Roman"/>
        </w:rPr>
        <w:tab/>
        <w:t>McLaughlin</w:t>
      </w:r>
      <w:r>
        <w:rPr>
          <w:rFonts w:ascii="Times New Roman" w:hAnsi="Times New Roman" w:cs="Times New Roman"/>
        </w:rPr>
        <w:tab/>
      </w:r>
      <w:r>
        <w:rPr>
          <w:rFonts w:ascii="Times New Roman" w:hAnsi="Times New Roman" w:cs="Times New Roman"/>
        </w:rPr>
        <w:tab/>
        <w:t>World Bank, Justice for the Poor (J4P) program</w:t>
      </w:r>
    </w:p>
    <w:p w:rsidR="004432AA" w:rsidRPr="00A95D6A" w:rsidRDefault="004432AA" w:rsidP="004432AA">
      <w:pPr>
        <w:ind w:right="-472"/>
        <w:rPr>
          <w:rFonts w:ascii="Times New Roman" w:hAnsi="Times New Roman" w:cs="Times New Roman"/>
          <w:i/>
        </w:rPr>
      </w:pPr>
      <w:r w:rsidRPr="00A95D6A">
        <w:rPr>
          <w:rFonts w:ascii="Times New Roman" w:hAnsi="Times New Roman" w:cs="Times New Roman"/>
          <w:i/>
        </w:rPr>
        <w:t>Judicial Commission</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04/07/12</w:t>
      </w:r>
    </w:p>
    <w:p w:rsidR="004432AA" w:rsidRDefault="004432AA" w:rsidP="004432AA">
      <w:pPr>
        <w:ind w:right="-472"/>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Danang</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Wijayanto</w:t>
      </w:r>
      <w:proofErr w:type="spellEnd"/>
      <w:r>
        <w:rPr>
          <w:rFonts w:ascii="Times New Roman" w:hAnsi="Times New Roman" w:cs="Times New Roman"/>
        </w:rPr>
        <w:tab/>
      </w:r>
      <w:r>
        <w:rPr>
          <w:rFonts w:ascii="Times New Roman" w:hAnsi="Times New Roman" w:cs="Times New Roman"/>
        </w:rPr>
        <w:tab/>
        <w:t>Head of Investigation and Internal Control</w:t>
      </w:r>
    </w:p>
    <w:p w:rsidR="004432AA" w:rsidRDefault="004432AA" w:rsidP="004432AA">
      <w:pPr>
        <w:ind w:right="-472"/>
        <w:rPr>
          <w:rFonts w:ascii="Times New Roman" w:hAnsi="Times New Roman" w:cs="Times New Roman"/>
          <w:i/>
        </w:rPr>
      </w:pPr>
      <w:r>
        <w:rPr>
          <w:rFonts w:ascii="Times New Roman" w:hAnsi="Times New Roman" w:cs="Times New Roman"/>
          <w:i/>
        </w:rPr>
        <w:t>Judicial Reform Team Office</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05/07/12</w:t>
      </w:r>
    </w:p>
    <w:p w:rsidR="004432AA" w:rsidRDefault="004432AA" w:rsidP="004432AA">
      <w:pPr>
        <w:ind w:right="-472"/>
        <w:rPr>
          <w:rFonts w:ascii="Times New Roman" w:hAnsi="Times New Roman" w:cs="Times New Roman"/>
        </w:rPr>
      </w:pPr>
      <w:r>
        <w:rPr>
          <w:rFonts w:ascii="Times New Roman" w:hAnsi="Times New Roman" w:cs="Times New Roman"/>
          <w:i/>
        </w:rPr>
        <w:tab/>
      </w:r>
      <w:r>
        <w:rPr>
          <w:rFonts w:ascii="Times New Roman" w:hAnsi="Times New Roman" w:cs="Times New Roman"/>
        </w:rPr>
        <w:t>Aria</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Suyudi</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Coordinator</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Wiwiek</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Awiati</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Senior Consultant</w:t>
      </w:r>
    </w:p>
    <w:p w:rsidR="004432AA" w:rsidRPr="005B05AE" w:rsidRDefault="004432AA" w:rsidP="004432AA">
      <w:pPr>
        <w:ind w:right="-472"/>
        <w:rPr>
          <w:rFonts w:ascii="Times New Roman" w:hAnsi="Times New Roman" w:cs="Times New Roman"/>
        </w:rPr>
      </w:pPr>
    </w:p>
    <w:p w:rsidR="004432AA" w:rsidRDefault="004432AA" w:rsidP="004432AA">
      <w:pPr>
        <w:ind w:right="-472"/>
        <w:rPr>
          <w:rFonts w:ascii="Times New Roman" w:hAnsi="Times New Roman" w:cs="Times New Roman"/>
          <w:i/>
        </w:rPr>
      </w:pPr>
      <w:proofErr w:type="spellStart"/>
      <w:r>
        <w:rPr>
          <w:rFonts w:ascii="Times New Roman" w:hAnsi="Times New Roman" w:cs="Times New Roman"/>
          <w:i/>
        </w:rPr>
        <w:t>Komnas</w:t>
      </w:r>
      <w:proofErr w:type="spellEnd"/>
      <w:r>
        <w:rPr>
          <w:rFonts w:ascii="Times New Roman" w:hAnsi="Times New Roman" w:cs="Times New Roman"/>
          <w:i/>
        </w:rPr>
        <w:t xml:space="preserve"> Ham</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05/07/12</w:t>
      </w:r>
    </w:p>
    <w:p w:rsidR="004432AA" w:rsidRDefault="004432AA" w:rsidP="004432AA">
      <w:pPr>
        <w:ind w:right="-472"/>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Ifdhal</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Kasim</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w:t>
      </w:r>
      <w:r>
        <w:rPr>
          <w:rFonts w:ascii="Times New Roman" w:hAnsi="Times New Roman" w:cs="Times New Roman"/>
        </w:rPr>
        <w:br/>
      </w:r>
      <w:r>
        <w:rPr>
          <w:rFonts w:ascii="Times New Roman" w:hAnsi="Times New Roman" w:cs="Times New Roman"/>
        </w:rPr>
        <w:tab/>
      </w:r>
    </w:p>
    <w:p w:rsidR="004432AA" w:rsidRDefault="004432AA" w:rsidP="004432AA">
      <w:pPr>
        <w:ind w:right="-472"/>
        <w:rPr>
          <w:rFonts w:ascii="Times New Roman" w:hAnsi="Times New Roman" w:cs="Times New Roman"/>
          <w:i/>
        </w:rPr>
      </w:pPr>
      <w:proofErr w:type="spellStart"/>
      <w:r w:rsidRPr="00F2176D">
        <w:rPr>
          <w:rFonts w:ascii="Times New Roman" w:hAnsi="Times New Roman" w:cs="Times New Roman"/>
          <w:i/>
        </w:rPr>
        <w:t>Komnas</w:t>
      </w:r>
      <w:proofErr w:type="spellEnd"/>
      <w:r w:rsidRPr="00F2176D">
        <w:rPr>
          <w:rFonts w:ascii="Times New Roman" w:hAnsi="Times New Roman" w:cs="Times New Roman"/>
          <w:i/>
        </w:rPr>
        <w:t xml:space="preserve"> </w:t>
      </w:r>
      <w:proofErr w:type="spellStart"/>
      <w:r w:rsidRPr="00F2176D">
        <w:rPr>
          <w:rFonts w:ascii="Times New Roman" w:hAnsi="Times New Roman" w:cs="Times New Roman"/>
          <w:i/>
        </w:rPr>
        <w:t>Perempuan</w:t>
      </w:r>
      <w:proofErr w:type="spellEnd"/>
      <w:r w:rsidRPr="00F2176D">
        <w:rPr>
          <w:rFonts w:ascii="Times New Roman" w:hAnsi="Times New Roman" w:cs="Times New Roman"/>
          <w:i/>
        </w:rPr>
        <w:tab/>
      </w:r>
      <w:r w:rsidRPr="00F2176D">
        <w:rPr>
          <w:rFonts w:ascii="Times New Roman" w:hAnsi="Times New Roman" w:cs="Times New Roman"/>
          <w:i/>
        </w:rPr>
        <w:tab/>
      </w:r>
      <w:r w:rsidRPr="00F2176D">
        <w:rPr>
          <w:rFonts w:ascii="Times New Roman" w:hAnsi="Times New Roman" w:cs="Times New Roman"/>
          <w:i/>
        </w:rPr>
        <w:tab/>
      </w:r>
      <w:r w:rsidRPr="00F2176D">
        <w:rPr>
          <w:rFonts w:ascii="Times New Roman" w:hAnsi="Times New Roman" w:cs="Times New Roman"/>
          <w:i/>
        </w:rPr>
        <w:tab/>
      </w:r>
      <w:r w:rsidRPr="00F2176D">
        <w:rPr>
          <w:rFonts w:ascii="Times New Roman" w:hAnsi="Times New Roman" w:cs="Times New Roman"/>
          <w:i/>
        </w:rPr>
        <w:tab/>
      </w:r>
      <w:r w:rsidRPr="00F2176D">
        <w:rPr>
          <w:rFonts w:ascii="Times New Roman" w:hAnsi="Times New Roman" w:cs="Times New Roman"/>
          <w:i/>
        </w:rPr>
        <w:tab/>
      </w:r>
      <w:r w:rsidRPr="00F2176D">
        <w:rPr>
          <w:rFonts w:ascii="Times New Roman" w:hAnsi="Times New Roman" w:cs="Times New Roman"/>
          <w:i/>
        </w:rPr>
        <w:tab/>
      </w:r>
      <w:r w:rsidRPr="00F2176D">
        <w:rPr>
          <w:rFonts w:ascii="Times New Roman" w:hAnsi="Times New Roman" w:cs="Times New Roman"/>
          <w:i/>
        </w:rPr>
        <w:tab/>
      </w:r>
      <w:r>
        <w:rPr>
          <w:rFonts w:ascii="Times New Roman" w:hAnsi="Times New Roman" w:cs="Times New Roman"/>
          <w:i/>
        </w:rPr>
        <w:tab/>
        <w:t>27/06/</w:t>
      </w:r>
      <w:r w:rsidRPr="00F2176D">
        <w:rPr>
          <w:rFonts w:ascii="Times New Roman" w:hAnsi="Times New Roman" w:cs="Times New Roman"/>
          <w:i/>
        </w:rPr>
        <w:t>12</w:t>
      </w:r>
    </w:p>
    <w:p w:rsidR="004432AA" w:rsidRDefault="004432AA" w:rsidP="004432AA">
      <w:pPr>
        <w:ind w:right="-472"/>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Yuniyanti</w:t>
      </w:r>
      <w:proofErr w:type="spellEnd"/>
      <w:r>
        <w:rPr>
          <w:rFonts w:ascii="Times New Roman" w:hAnsi="Times New Roman" w:cs="Times New Roman"/>
        </w:rPr>
        <w:tab/>
      </w:r>
      <w:proofErr w:type="spellStart"/>
      <w:r>
        <w:rPr>
          <w:rFonts w:ascii="Times New Roman" w:hAnsi="Times New Roman" w:cs="Times New Roman"/>
        </w:rPr>
        <w:t>Chuzaifah</w:t>
      </w:r>
      <w:proofErr w:type="spellEnd"/>
      <w:r>
        <w:rPr>
          <w:rFonts w:ascii="Times New Roman" w:hAnsi="Times New Roman" w:cs="Times New Roman"/>
        </w:rPr>
        <w:tab/>
      </w:r>
      <w:r>
        <w:rPr>
          <w:rFonts w:ascii="Times New Roman" w:hAnsi="Times New Roman" w:cs="Times New Roman"/>
        </w:rPr>
        <w:tab/>
        <w:t>Chairwomen</w:t>
      </w:r>
      <w:r>
        <w:rPr>
          <w:rFonts w:ascii="Times New Roman" w:hAnsi="Times New Roman" w:cs="Times New Roman"/>
        </w:rPr>
        <w:br/>
      </w:r>
      <w:r>
        <w:rPr>
          <w:rFonts w:ascii="Times New Roman" w:hAnsi="Times New Roman" w:cs="Times New Roman"/>
        </w:rPr>
        <w:tab/>
      </w:r>
      <w:proofErr w:type="spellStart"/>
      <w:r>
        <w:rPr>
          <w:rFonts w:ascii="Times New Roman" w:hAnsi="Times New Roman" w:cs="Times New Roman"/>
        </w:rPr>
        <w:t>Yanti</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Project Management Unit </w:t>
      </w:r>
    </w:p>
    <w:p w:rsidR="004432AA" w:rsidRPr="00893312" w:rsidRDefault="004432AA" w:rsidP="004432AA">
      <w:pPr>
        <w:ind w:right="-472"/>
        <w:rPr>
          <w:rFonts w:ascii="Times New Roman" w:hAnsi="Times New Roman" w:cs="Times New Roman"/>
          <w:i/>
        </w:rPr>
      </w:pPr>
      <w:r>
        <w:rPr>
          <w:rFonts w:ascii="Times New Roman" w:hAnsi="Times New Roman" w:cs="Times New Roman"/>
          <w:i/>
        </w:rPr>
        <w:t>KPK</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06/07/12</w:t>
      </w:r>
    </w:p>
    <w:p w:rsidR="004432AA" w:rsidRPr="0092017D" w:rsidRDefault="004432AA" w:rsidP="004432AA">
      <w:pPr>
        <w:ind w:right="-472"/>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Sisca</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Susanti</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Investigator</w:t>
      </w:r>
    </w:p>
    <w:p w:rsidR="004432AA" w:rsidRPr="00D053CF" w:rsidRDefault="004432AA" w:rsidP="004432AA">
      <w:pPr>
        <w:ind w:right="-472"/>
        <w:rPr>
          <w:rFonts w:ascii="Times New Roman" w:hAnsi="Times New Roman" w:cs="Times New Roman"/>
          <w:i/>
        </w:rPr>
      </w:pPr>
      <w:r w:rsidRPr="00D053CF">
        <w:rPr>
          <w:rFonts w:ascii="Times New Roman" w:hAnsi="Times New Roman" w:cs="Times New Roman"/>
          <w:i/>
        </w:rPr>
        <w:t xml:space="preserve">Prosecutorial Oversight Commission </w:t>
      </w:r>
      <w:r>
        <w:rPr>
          <w:rFonts w:ascii="Times New Roman" w:hAnsi="Times New Roman" w:cs="Times New Roman"/>
          <w:i/>
        </w:rPr>
        <w:t>and</w:t>
      </w:r>
      <w:r>
        <w:rPr>
          <w:rFonts w:ascii="Times New Roman" w:hAnsi="Times New Roman" w:cs="Times New Roman"/>
          <w:i/>
        </w:rPr>
        <w:br/>
        <w:t>the Reform Team</w:t>
      </w:r>
      <w:r w:rsidRPr="00D053CF">
        <w:rPr>
          <w:rFonts w:ascii="Times New Roman" w:hAnsi="Times New Roman" w:cs="Times New Roman"/>
          <w:i/>
        </w:rPr>
        <w:tab/>
      </w:r>
      <w:r w:rsidRPr="00D053CF">
        <w:rPr>
          <w:rFonts w:ascii="Times New Roman" w:hAnsi="Times New Roman" w:cs="Times New Roman"/>
          <w:i/>
        </w:rPr>
        <w:tab/>
      </w:r>
      <w:r w:rsidRPr="00D053CF">
        <w:rPr>
          <w:rFonts w:ascii="Times New Roman" w:hAnsi="Times New Roman" w:cs="Times New Roman"/>
          <w:i/>
        </w:rPr>
        <w:tab/>
      </w:r>
      <w:r w:rsidRPr="00D053CF">
        <w:rPr>
          <w:rFonts w:ascii="Times New Roman" w:hAnsi="Times New Roman" w:cs="Times New Roman"/>
          <w:i/>
        </w:rPr>
        <w:tab/>
      </w:r>
      <w:r w:rsidRPr="00D053CF">
        <w:rPr>
          <w:rFonts w:ascii="Times New Roman" w:hAnsi="Times New Roman" w:cs="Times New Roman"/>
          <w:i/>
        </w:rPr>
        <w:tab/>
      </w:r>
      <w:r w:rsidRPr="00D053CF">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28/06/</w:t>
      </w:r>
      <w:r w:rsidRPr="00D053CF">
        <w:rPr>
          <w:rFonts w:ascii="Times New Roman" w:hAnsi="Times New Roman" w:cs="Times New Roman"/>
          <w:i/>
        </w:rPr>
        <w:t>12</w:t>
      </w:r>
    </w:p>
    <w:p w:rsidR="004432AA" w:rsidRDefault="004432AA" w:rsidP="004432AA">
      <w:pPr>
        <w:ind w:right="-472"/>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Halius</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Husen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Commissioner</w:t>
      </w:r>
      <w:r>
        <w:rPr>
          <w:rFonts w:ascii="Times New Roman" w:hAnsi="Times New Roman" w:cs="Times New Roman"/>
        </w:rPr>
        <w:tab/>
      </w:r>
    </w:p>
    <w:p w:rsidR="004432AA" w:rsidRPr="00F07D39" w:rsidRDefault="004432AA" w:rsidP="004432AA">
      <w:pPr>
        <w:ind w:right="-472"/>
        <w:rPr>
          <w:rFonts w:ascii="Times New Roman" w:hAnsi="Times New Roman" w:cs="Times New Roman"/>
          <w:i/>
        </w:rPr>
      </w:pPr>
      <w:r w:rsidRPr="00F07D39">
        <w:rPr>
          <w:rFonts w:ascii="Times New Roman" w:hAnsi="Times New Roman" w:cs="Times New Roman"/>
          <w:i/>
        </w:rPr>
        <w:t>Ombudsman</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04/07/12</w:t>
      </w:r>
    </w:p>
    <w:p w:rsidR="004432AA" w:rsidRDefault="004432AA" w:rsidP="004432AA">
      <w:pPr>
        <w:ind w:right="-472"/>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Danang</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Girindrawardana</w:t>
      </w:r>
      <w:proofErr w:type="spellEnd"/>
      <w:r>
        <w:rPr>
          <w:rFonts w:ascii="Times New Roman" w:hAnsi="Times New Roman" w:cs="Times New Roman"/>
        </w:rPr>
        <w:tab/>
        <w:t>Head of Ombudsman</w:t>
      </w:r>
    </w:p>
    <w:p w:rsidR="004432AA" w:rsidRDefault="004432AA" w:rsidP="004432AA">
      <w:pPr>
        <w:ind w:right="-472"/>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Patnuaji</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Agus</w:t>
      </w:r>
      <w:proofErr w:type="spellEnd"/>
      <w:r>
        <w:rPr>
          <w:rFonts w:ascii="Times New Roman" w:hAnsi="Times New Roman" w:cs="Times New Roman"/>
        </w:rPr>
        <w:t xml:space="preserve"> </w:t>
      </w:r>
      <w:proofErr w:type="spellStart"/>
      <w:r>
        <w:rPr>
          <w:rFonts w:ascii="Times New Roman" w:hAnsi="Times New Roman" w:cs="Times New Roman"/>
        </w:rPr>
        <w:t>Indriarto</w:t>
      </w:r>
      <w:proofErr w:type="spellEnd"/>
      <w:r>
        <w:rPr>
          <w:rFonts w:ascii="Times New Roman" w:hAnsi="Times New Roman" w:cs="Times New Roman"/>
        </w:rPr>
        <w:tab/>
      </w:r>
      <w:r>
        <w:rPr>
          <w:rFonts w:ascii="Times New Roman" w:hAnsi="Times New Roman" w:cs="Times New Roman"/>
        </w:rPr>
        <w:tab/>
        <w:t xml:space="preserve">Ombudsman Assistant </w:t>
      </w:r>
    </w:p>
    <w:p w:rsidR="004432AA" w:rsidRDefault="004432AA" w:rsidP="004432AA">
      <w:pPr>
        <w:ind w:right="-472"/>
        <w:rPr>
          <w:rFonts w:ascii="Times New Roman" w:hAnsi="Times New Roman" w:cs="Times New Roman"/>
          <w:i/>
        </w:rPr>
      </w:pPr>
      <w:r>
        <w:rPr>
          <w:rFonts w:ascii="Times New Roman" w:hAnsi="Times New Roman" w:cs="Times New Roman"/>
          <w:i/>
        </w:rPr>
        <w:t>PEKKA</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06/07/12</w:t>
      </w:r>
    </w:p>
    <w:p w:rsidR="004432AA" w:rsidRPr="00B47D37" w:rsidRDefault="004432AA" w:rsidP="004432AA">
      <w:pPr>
        <w:ind w:right="-472"/>
        <w:rPr>
          <w:rFonts w:ascii="Times New Roman" w:hAnsi="Times New Roman" w:cs="Times New Roman"/>
          <w:i/>
        </w:rPr>
      </w:pPr>
      <w:r w:rsidRPr="00B47D37">
        <w:rPr>
          <w:rFonts w:ascii="Times New Roman" w:hAnsi="Times New Roman" w:cs="Times New Roman"/>
          <w:i/>
        </w:rPr>
        <w:t>Prosecutors Reform Team Office</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04/07/12</w:t>
      </w:r>
    </w:p>
    <w:p w:rsidR="004432AA" w:rsidRDefault="004432AA" w:rsidP="004432AA">
      <w:pPr>
        <w:ind w:right="-472"/>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Sukma</w:t>
      </w:r>
      <w:proofErr w:type="spellEnd"/>
      <w:r>
        <w:rPr>
          <w:rFonts w:ascii="Times New Roman" w:hAnsi="Times New Roman" w:cs="Times New Roman"/>
        </w:rPr>
        <w:tab/>
      </w:r>
      <w:r>
        <w:rPr>
          <w:rFonts w:ascii="Times New Roman" w:hAnsi="Times New Roman" w:cs="Times New Roman"/>
        </w:rPr>
        <w:tab/>
        <w:t>Violetta</w:t>
      </w:r>
    </w:p>
    <w:p w:rsidR="004432AA" w:rsidRPr="00F07D39" w:rsidRDefault="004432AA" w:rsidP="004432AA">
      <w:pPr>
        <w:ind w:right="-472"/>
        <w:rPr>
          <w:rFonts w:ascii="Times New Roman" w:hAnsi="Times New Roman" w:cs="Times New Roman"/>
          <w:i/>
        </w:rPr>
      </w:pPr>
      <w:r w:rsidRPr="00F07D39">
        <w:rPr>
          <w:rFonts w:ascii="Times New Roman" w:hAnsi="Times New Roman" w:cs="Times New Roman"/>
          <w:i/>
        </w:rPr>
        <w:t>Supreme Court</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05/07/12</w:t>
      </w:r>
    </w:p>
    <w:p w:rsidR="004432AA" w:rsidRDefault="004432AA" w:rsidP="004432AA">
      <w:pPr>
        <w:ind w:right="-472"/>
        <w:rPr>
          <w:rFonts w:ascii="Times New Roman" w:hAnsi="Times New Roman" w:cs="Times New Roman"/>
        </w:rPr>
      </w:pPr>
      <w:r>
        <w:rPr>
          <w:rFonts w:ascii="Times New Roman" w:hAnsi="Times New Roman" w:cs="Times New Roman"/>
        </w:rPr>
        <w:tab/>
        <w:t>Secretary-General, Directorate General for Religious Court, Directorate General for General Court,</w:t>
      </w:r>
      <w:r>
        <w:rPr>
          <w:rFonts w:ascii="Times New Roman" w:hAnsi="Times New Roman" w:cs="Times New Roman"/>
        </w:rPr>
        <w:br/>
      </w:r>
      <w:r>
        <w:rPr>
          <w:rFonts w:ascii="Times New Roman" w:hAnsi="Times New Roman" w:cs="Times New Roman"/>
        </w:rPr>
        <w:tab/>
        <w:t>Directorate General For General for General Administration Court, Judge on the Reform Team</w:t>
      </w:r>
    </w:p>
    <w:p w:rsidR="004432AA" w:rsidRPr="0092017D" w:rsidRDefault="004432AA" w:rsidP="004432AA">
      <w:pPr>
        <w:ind w:right="-472"/>
        <w:rPr>
          <w:rFonts w:ascii="Times New Roman" w:hAnsi="Times New Roman" w:cs="Times New Roman"/>
        </w:rPr>
      </w:pPr>
      <w:r w:rsidRPr="0092017D">
        <w:rPr>
          <w:rFonts w:ascii="Times New Roman" w:hAnsi="Times New Roman" w:cs="Times New Roman"/>
          <w:i/>
        </w:rPr>
        <w:lastRenderedPageBreak/>
        <w:t>The Asia Foundation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2017D">
        <w:rPr>
          <w:rFonts w:ascii="Times New Roman" w:hAnsi="Times New Roman" w:cs="Times New Roman"/>
          <w:i/>
        </w:rPr>
        <w:t>06/07/12</w:t>
      </w:r>
      <w:r>
        <w:rPr>
          <w:rFonts w:ascii="Times New Roman" w:hAnsi="Times New Roman" w:cs="Times New Roman"/>
        </w:rPr>
        <w:br/>
      </w:r>
      <w:r>
        <w:rPr>
          <w:rFonts w:ascii="Times New Roman" w:hAnsi="Times New Roman" w:cs="Times New Roman"/>
        </w:rPr>
        <w:tab/>
        <w:t>Sandra</w:t>
      </w:r>
      <w:r>
        <w:rPr>
          <w:rFonts w:ascii="Times New Roman" w:hAnsi="Times New Roman" w:cs="Times New Roman"/>
        </w:rPr>
        <w:tab/>
      </w:r>
      <w:r>
        <w:rPr>
          <w:rFonts w:ascii="Times New Roman" w:hAnsi="Times New Roman" w:cs="Times New Roman"/>
        </w:rPr>
        <w:tab/>
        <w:t>Hamid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Country Representative</w:t>
      </w:r>
      <w:r>
        <w:rPr>
          <w:rFonts w:ascii="Times New Roman" w:hAnsi="Times New Roman" w:cs="Times New Roman"/>
        </w:rPr>
        <w:br/>
      </w:r>
      <w:r>
        <w:rPr>
          <w:rFonts w:ascii="Times New Roman" w:hAnsi="Times New Roman" w:cs="Times New Roman"/>
        </w:rPr>
        <w:tab/>
        <w:t>Laurel</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McClaren</w:t>
      </w:r>
      <w:proofErr w:type="spellEnd"/>
      <w:r>
        <w:rPr>
          <w:rFonts w:ascii="Times New Roman" w:hAnsi="Times New Roman" w:cs="Times New Roman"/>
        </w:rPr>
        <w:tab/>
      </w:r>
      <w:r>
        <w:rPr>
          <w:rFonts w:ascii="Times New Roman" w:hAnsi="Times New Roman" w:cs="Times New Roman"/>
        </w:rPr>
        <w:tab/>
        <w:t>Deputy Country-Representative</w:t>
      </w:r>
    </w:p>
    <w:p w:rsidR="004432AA" w:rsidRPr="00D8797B" w:rsidRDefault="004432AA" w:rsidP="004432AA">
      <w:pPr>
        <w:ind w:right="-472"/>
        <w:rPr>
          <w:rFonts w:ascii="Times New Roman" w:hAnsi="Times New Roman" w:cs="Times New Roman"/>
          <w:b/>
          <w:i/>
        </w:rPr>
      </w:pPr>
      <w:r w:rsidRPr="00D8797B">
        <w:rPr>
          <w:rFonts w:ascii="Times New Roman" w:hAnsi="Times New Roman" w:cs="Times New Roman"/>
          <w:b/>
          <w:i/>
        </w:rPr>
        <w:t>Lombok</w:t>
      </w:r>
    </w:p>
    <w:p w:rsidR="004432AA" w:rsidRDefault="004432AA" w:rsidP="004432AA">
      <w:pPr>
        <w:ind w:right="-472"/>
        <w:rPr>
          <w:rFonts w:ascii="Times New Roman" w:hAnsi="Times New Roman" w:cs="Times New Roman"/>
          <w:i/>
        </w:rPr>
      </w:pPr>
      <w:r>
        <w:rPr>
          <w:rFonts w:ascii="Times New Roman" w:hAnsi="Times New Roman" w:cs="Times New Roman"/>
          <w:i/>
        </w:rPr>
        <w:t>ACCESS</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03/07/12</w:t>
      </w:r>
    </w:p>
    <w:p w:rsidR="004432AA" w:rsidRDefault="004432AA" w:rsidP="004432AA">
      <w:pPr>
        <w:ind w:right="-472"/>
        <w:rPr>
          <w:rFonts w:ascii="Times New Roman" w:hAnsi="Times New Roman" w:cs="Times New Roman"/>
        </w:rPr>
      </w:pPr>
      <w:r>
        <w:rPr>
          <w:rFonts w:ascii="Times New Roman" w:hAnsi="Times New Roman" w:cs="Times New Roman"/>
          <w:i/>
        </w:rPr>
        <w:tab/>
      </w:r>
      <w:r>
        <w:rPr>
          <w:rFonts w:ascii="Times New Roman" w:hAnsi="Times New Roman" w:cs="Times New Roman"/>
        </w:rPr>
        <w:t>Paul</w:t>
      </w:r>
      <w:r>
        <w:rPr>
          <w:rFonts w:ascii="Times New Roman" w:hAnsi="Times New Roman" w:cs="Times New Roman"/>
        </w:rPr>
        <w:tab/>
      </w:r>
      <w:r>
        <w:rPr>
          <w:rFonts w:ascii="Times New Roman" w:hAnsi="Times New Roman" w:cs="Times New Roman"/>
        </w:rPr>
        <w:tab/>
        <w:t>Boon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Program Director</w:t>
      </w:r>
    </w:p>
    <w:p w:rsidR="004432AA" w:rsidRPr="00D8797B" w:rsidRDefault="004432AA" w:rsidP="004432AA">
      <w:pPr>
        <w:ind w:right="-472"/>
        <w:rPr>
          <w:rFonts w:ascii="Times New Roman" w:hAnsi="Times New Roman" w:cs="Times New Roman"/>
          <w:i/>
        </w:rPr>
      </w:pPr>
      <w:r w:rsidRPr="00D8797B">
        <w:rPr>
          <w:rFonts w:ascii="Times New Roman" w:hAnsi="Times New Roman" w:cs="Times New Roman"/>
          <w:i/>
        </w:rPr>
        <w:t>AIPD</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03/07/12</w:t>
      </w:r>
    </w:p>
    <w:p w:rsidR="004432AA" w:rsidRPr="00D8797B" w:rsidRDefault="004432AA" w:rsidP="004432AA">
      <w:pPr>
        <w:ind w:right="-472"/>
        <w:rPr>
          <w:rFonts w:ascii="Times New Roman" w:hAnsi="Times New Roman" w:cs="Times New Roman"/>
        </w:rPr>
      </w:pPr>
      <w:r>
        <w:rPr>
          <w:rFonts w:ascii="Times New Roman" w:hAnsi="Times New Roman" w:cs="Times New Roman"/>
        </w:rPr>
        <w:tab/>
        <w:t>Dan</w:t>
      </w:r>
      <w:r>
        <w:rPr>
          <w:rFonts w:ascii="Times New Roman" w:hAnsi="Times New Roman" w:cs="Times New Roman"/>
        </w:rPr>
        <w:tab/>
      </w:r>
      <w:r>
        <w:rPr>
          <w:rFonts w:ascii="Times New Roman" w:hAnsi="Times New Roman" w:cs="Times New Roman"/>
        </w:rPr>
        <w:tab/>
        <w:t>Hunt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Deputy Program Director</w:t>
      </w:r>
    </w:p>
    <w:p w:rsidR="004432AA" w:rsidRDefault="004432AA" w:rsidP="004432AA">
      <w:pPr>
        <w:ind w:right="-472"/>
        <w:rPr>
          <w:rFonts w:ascii="Times New Roman" w:hAnsi="Times New Roman" w:cs="Times New Roman"/>
        </w:rPr>
      </w:pPr>
      <w:r w:rsidRPr="00D8797B">
        <w:rPr>
          <w:rFonts w:ascii="Times New Roman" w:hAnsi="Times New Roman" w:cs="Times New Roman"/>
          <w:i/>
        </w:rPr>
        <w:t>PEKKA</w:t>
      </w:r>
      <w:r w:rsidRPr="00D8797B">
        <w:rPr>
          <w:rFonts w:ascii="Times New Roman" w:hAnsi="Times New Roman" w:cs="Times New Roman"/>
          <w:i/>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797B">
        <w:rPr>
          <w:rFonts w:ascii="Times New Roman" w:hAnsi="Times New Roman" w:cs="Times New Roman"/>
          <w:i/>
        </w:rPr>
        <w:t>02/07/12</w:t>
      </w:r>
    </w:p>
    <w:p w:rsidR="004432AA" w:rsidRDefault="004432AA" w:rsidP="004432AA">
      <w:pPr>
        <w:ind w:right="-472"/>
        <w:rPr>
          <w:rFonts w:ascii="Times New Roman" w:hAnsi="Times New Roman" w:cs="Times New Roman"/>
        </w:rPr>
      </w:pPr>
      <w:r>
        <w:rPr>
          <w:rFonts w:ascii="Times New Roman" w:hAnsi="Times New Roman" w:cs="Times New Roman"/>
        </w:rPr>
        <w:tab/>
        <w:t xml:space="preserve">18 PEKKA members at </w:t>
      </w:r>
    </w:p>
    <w:p w:rsidR="004432AA" w:rsidRPr="00D8797B" w:rsidRDefault="004432AA" w:rsidP="004432AA">
      <w:pPr>
        <w:ind w:right="-472"/>
        <w:rPr>
          <w:rFonts w:ascii="Times New Roman" w:hAnsi="Times New Roman" w:cs="Times New Roman"/>
          <w:i/>
        </w:rPr>
      </w:pPr>
      <w:r w:rsidRPr="00D8797B">
        <w:rPr>
          <w:rFonts w:ascii="Times New Roman" w:hAnsi="Times New Roman" w:cs="Times New Roman"/>
          <w:i/>
        </w:rPr>
        <w:t xml:space="preserve">Religious Court, </w:t>
      </w:r>
      <w:proofErr w:type="spellStart"/>
      <w:r w:rsidRPr="00D8797B">
        <w:rPr>
          <w:rFonts w:ascii="Times New Roman" w:hAnsi="Times New Roman" w:cs="Times New Roman"/>
          <w:i/>
        </w:rPr>
        <w:t>Giri</w:t>
      </w:r>
      <w:proofErr w:type="spellEnd"/>
      <w:r w:rsidRPr="00D8797B">
        <w:rPr>
          <w:rFonts w:ascii="Times New Roman" w:hAnsi="Times New Roman" w:cs="Times New Roman"/>
          <w:i/>
        </w:rPr>
        <w:t xml:space="preserve"> </w:t>
      </w:r>
      <w:proofErr w:type="spellStart"/>
      <w:r w:rsidRPr="00D8797B">
        <w:rPr>
          <w:rFonts w:ascii="Times New Roman" w:hAnsi="Times New Roman" w:cs="Times New Roman"/>
          <w:i/>
        </w:rPr>
        <w:t>Menang</w:t>
      </w:r>
      <w:proofErr w:type="spellEnd"/>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02/07/12</w:t>
      </w:r>
    </w:p>
    <w:p w:rsidR="004432AA" w:rsidRDefault="004432AA" w:rsidP="004432AA">
      <w:pPr>
        <w:ind w:right="-472"/>
        <w:rPr>
          <w:rFonts w:ascii="Times New Roman" w:hAnsi="Times New Roman" w:cs="Times New Roman"/>
        </w:rPr>
      </w:pPr>
      <w:r>
        <w:rPr>
          <w:rFonts w:ascii="Times New Roman" w:hAnsi="Times New Roman" w:cs="Times New Roman"/>
        </w:rPr>
        <w:tab/>
        <w:t xml:space="preserve"> 10-15 judges and court officials, including the Head of Court</w:t>
      </w:r>
    </w:p>
    <w:p w:rsidR="004432AA" w:rsidRDefault="004432AA" w:rsidP="004432AA">
      <w:pPr>
        <w:ind w:right="-472"/>
        <w:rPr>
          <w:rFonts w:ascii="Times New Roman" w:hAnsi="Times New Roman" w:cs="Times New Roman"/>
          <w:b/>
        </w:rPr>
      </w:pPr>
      <w:r w:rsidRPr="00E60FB6">
        <w:rPr>
          <w:rFonts w:ascii="Times New Roman" w:hAnsi="Times New Roman" w:cs="Times New Roman"/>
          <w:b/>
        </w:rPr>
        <w:t>Consultations in Australia</w:t>
      </w:r>
    </w:p>
    <w:p w:rsidR="004432AA" w:rsidRPr="0059411D" w:rsidRDefault="004432AA" w:rsidP="004432AA">
      <w:pPr>
        <w:ind w:right="-472"/>
        <w:rPr>
          <w:rFonts w:ascii="Times New Roman" w:hAnsi="Times New Roman" w:cs="Times New Roman"/>
          <w:b/>
          <w:i/>
        </w:rPr>
      </w:pPr>
      <w:r w:rsidRPr="0059411D">
        <w:rPr>
          <w:rFonts w:ascii="Times New Roman" w:hAnsi="Times New Roman" w:cs="Times New Roman"/>
          <w:b/>
          <w:i/>
        </w:rPr>
        <w:t>Canberra</w:t>
      </w:r>
    </w:p>
    <w:p w:rsidR="004432AA" w:rsidRPr="00E60FB6" w:rsidRDefault="004432AA" w:rsidP="004432AA">
      <w:pPr>
        <w:ind w:right="-472"/>
        <w:rPr>
          <w:rFonts w:ascii="Times New Roman" w:hAnsi="Times New Roman" w:cs="Times New Roman"/>
          <w:i/>
        </w:rPr>
      </w:pPr>
      <w:r w:rsidRPr="00E60FB6">
        <w:rPr>
          <w:rFonts w:ascii="Times New Roman" w:hAnsi="Times New Roman" w:cs="Times New Roman"/>
          <w:i/>
        </w:rPr>
        <w:t>Attorney-General’s Department</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16/07/12</w:t>
      </w:r>
    </w:p>
    <w:p w:rsidR="004432AA" w:rsidRDefault="004432AA" w:rsidP="004432AA">
      <w:pPr>
        <w:ind w:right="-472"/>
        <w:rPr>
          <w:rFonts w:ascii="Times New Roman" w:hAnsi="Times New Roman" w:cs="Times New Roman"/>
        </w:rPr>
      </w:pPr>
      <w:r>
        <w:rPr>
          <w:rFonts w:ascii="Times New Roman" w:hAnsi="Times New Roman" w:cs="Times New Roman"/>
        </w:rPr>
        <w:tab/>
        <w:t>Margaret</w:t>
      </w:r>
      <w:r>
        <w:rPr>
          <w:rFonts w:ascii="Times New Roman" w:hAnsi="Times New Roman" w:cs="Times New Roman"/>
        </w:rPr>
        <w:tab/>
        <w:t>Close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w:t>
      </w:r>
      <w:r>
        <w:rPr>
          <w:rFonts w:ascii="Times New Roman" w:hAnsi="Times New Roman" w:cs="Times New Roman"/>
        </w:rPr>
        <w:br/>
      </w:r>
      <w:r>
        <w:rPr>
          <w:rFonts w:ascii="Times New Roman" w:hAnsi="Times New Roman" w:cs="Times New Roman"/>
        </w:rPr>
        <w:tab/>
        <w:t>Emily</w:t>
      </w:r>
      <w:r>
        <w:rPr>
          <w:rFonts w:ascii="Times New Roman" w:hAnsi="Times New Roman" w:cs="Times New Roman"/>
        </w:rPr>
        <w:tab/>
      </w:r>
      <w:r>
        <w:rPr>
          <w:rFonts w:ascii="Times New Roman" w:hAnsi="Times New Roman" w:cs="Times New Roman"/>
        </w:rPr>
        <w:tab/>
        <w:t>McKay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South East Asia Section</w:t>
      </w:r>
    </w:p>
    <w:p w:rsidR="004432AA" w:rsidRPr="006F31A5" w:rsidRDefault="004432AA" w:rsidP="004432AA">
      <w:pPr>
        <w:ind w:right="-472"/>
        <w:rPr>
          <w:rFonts w:ascii="Times New Roman" w:hAnsi="Times New Roman" w:cs="Times New Roman"/>
          <w:i/>
        </w:rPr>
      </w:pPr>
      <w:r w:rsidRPr="006F31A5">
        <w:rPr>
          <w:rFonts w:ascii="Times New Roman" w:hAnsi="Times New Roman" w:cs="Times New Roman"/>
          <w:i/>
        </w:rPr>
        <w:t>AusAID, Indonesia Section</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4432AA" w:rsidRDefault="004432AA" w:rsidP="004432AA">
      <w:pPr>
        <w:ind w:right="-472"/>
        <w:rPr>
          <w:rFonts w:ascii="Times New Roman" w:hAnsi="Times New Roman" w:cs="Times New Roman"/>
        </w:rPr>
      </w:pPr>
      <w:r>
        <w:rPr>
          <w:rFonts w:ascii="Times New Roman" w:hAnsi="Times New Roman" w:cs="Times New Roman"/>
        </w:rPr>
        <w:tab/>
        <w:t>Luke</w:t>
      </w:r>
      <w:r>
        <w:rPr>
          <w:rFonts w:ascii="Times New Roman" w:hAnsi="Times New Roman" w:cs="Times New Roman"/>
        </w:rPr>
        <w:tab/>
      </w:r>
      <w:r>
        <w:rPr>
          <w:rFonts w:ascii="Times New Roman" w:hAnsi="Times New Roman" w:cs="Times New Roman"/>
        </w:rPr>
        <w:tab/>
        <w:t>Arnold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Program Manager</w:t>
      </w:r>
      <w:r>
        <w:rPr>
          <w:rFonts w:ascii="Times New Roman" w:hAnsi="Times New Roman" w:cs="Times New Roman"/>
        </w:rPr>
        <w:tab/>
      </w:r>
      <w:r>
        <w:rPr>
          <w:rFonts w:ascii="Times New Roman" w:hAnsi="Times New Roman" w:cs="Times New Roman"/>
        </w:rPr>
        <w:tab/>
      </w:r>
      <w:r>
        <w:rPr>
          <w:rFonts w:ascii="Times New Roman" w:hAnsi="Times New Roman" w:cs="Times New Roman"/>
          <w:i/>
        </w:rPr>
        <w:t>16/07/12</w:t>
      </w:r>
      <w:r>
        <w:rPr>
          <w:rFonts w:ascii="Times New Roman" w:hAnsi="Times New Roman" w:cs="Times New Roman"/>
          <w:i/>
        </w:rPr>
        <w:br/>
        <w:t xml:space="preserve">                                                                                                                                                17/07/12</w:t>
      </w:r>
      <w:r>
        <w:rPr>
          <w:rFonts w:ascii="Times New Roman" w:hAnsi="Times New Roman" w:cs="Times New Roman"/>
          <w:i/>
        </w:rPr>
        <w:br/>
      </w:r>
      <w:r>
        <w:rPr>
          <w:rFonts w:ascii="Times New Roman" w:hAnsi="Times New Roman" w:cs="Times New Roman"/>
          <w:i/>
        </w:rPr>
        <w:br/>
      </w:r>
      <w:r>
        <w:rPr>
          <w:rFonts w:ascii="Times New Roman" w:hAnsi="Times New Roman" w:cs="Times New Roman"/>
        </w:rPr>
        <w:tab/>
        <w:t>Jessica</w:t>
      </w:r>
      <w:r>
        <w:rPr>
          <w:rFonts w:ascii="Times New Roman" w:hAnsi="Times New Roman" w:cs="Times New Roman"/>
        </w:rPr>
        <w:tab/>
      </w:r>
      <w:r>
        <w:rPr>
          <w:rFonts w:ascii="Times New Roman" w:hAnsi="Times New Roman" w:cs="Times New Roman"/>
        </w:rPr>
        <w:tab/>
        <w:t>Mackenzie</w:t>
      </w:r>
      <w:r>
        <w:rPr>
          <w:rFonts w:ascii="Times New Roman" w:hAnsi="Times New Roman" w:cs="Times New Roman"/>
        </w:rPr>
        <w:tab/>
      </w:r>
      <w:r>
        <w:rPr>
          <w:rFonts w:ascii="Times New Roman" w:hAnsi="Times New Roman" w:cs="Times New Roman"/>
        </w:rPr>
        <w:tab/>
        <w:t>Policy/ Program Manager</w:t>
      </w:r>
      <w:r>
        <w:rPr>
          <w:rFonts w:ascii="Times New Roman" w:hAnsi="Times New Roman" w:cs="Times New Roman"/>
        </w:rPr>
        <w:tab/>
      </w:r>
      <w:r>
        <w:rPr>
          <w:rFonts w:ascii="Times New Roman" w:hAnsi="Times New Roman" w:cs="Times New Roman"/>
        </w:rPr>
        <w:tab/>
      </w:r>
      <w:r>
        <w:rPr>
          <w:rFonts w:ascii="Times New Roman" w:hAnsi="Times New Roman" w:cs="Times New Roman"/>
          <w:i/>
        </w:rPr>
        <w:t>16/07/12</w:t>
      </w:r>
      <w:r>
        <w:rPr>
          <w:rFonts w:ascii="Times New Roman" w:hAnsi="Times New Roman" w:cs="Times New Roman"/>
        </w:rPr>
        <w:br/>
      </w:r>
      <w:r>
        <w:rPr>
          <w:rFonts w:ascii="Times New Roman" w:hAnsi="Times New Roman" w:cs="Times New Roman"/>
        </w:rPr>
        <w:tab/>
        <w:t>Emma</w:t>
      </w:r>
      <w:r>
        <w:rPr>
          <w:rFonts w:ascii="Times New Roman" w:hAnsi="Times New Roman" w:cs="Times New Roman"/>
        </w:rPr>
        <w:tab/>
      </w:r>
      <w:r>
        <w:rPr>
          <w:rFonts w:ascii="Times New Roman" w:hAnsi="Times New Roman" w:cs="Times New Roman"/>
        </w:rPr>
        <w:tab/>
        <w:t>Hunt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Senior Policy/ Program Officer</w:t>
      </w:r>
    </w:p>
    <w:p w:rsidR="00B342CD" w:rsidRDefault="00B342CD" w:rsidP="004432AA">
      <w:pPr>
        <w:ind w:right="-472"/>
        <w:rPr>
          <w:rFonts w:ascii="Times New Roman" w:hAnsi="Times New Roman" w:cs="Times New Roman"/>
        </w:rPr>
      </w:pPr>
      <w:r>
        <w:rPr>
          <w:rFonts w:ascii="Times New Roman" w:hAnsi="Times New Roman" w:cs="Times New Roman"/>
        </w:rPr>
        <w:tab/>
        <w:t xml:space="preserve">Luke </w:t>
      </w:r>
      <w:r>
        <w:rPr>
          <w:rFonts w:ascii="Times New Roman" w:hAnsi="Times New Roman" w:cs="Times New Roman"/>
        </w:rPr>
        <w:tab/>
      </w:r>
      <w:r>
        <w:rPr>
          <w:rFonts w:ascii="Times New Roman" w:hAnsi="Times New Roman" w:cs="Times New Roman"/>
        </w:rPr>
        <w:tab/>
        <w:t>Wild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w:t>
      </w:r>
    </w:p>
    <w:p w:rsidR="004432AA" w:rsidRPr="006F31A5" w:rsidRDefault="004432AA" w:rsidP="004432AA">
      <w:pPr>
        <w:ind w:right="-472"/>
        <w:rPr>
          <w:rFonts w:ascii="Times New Roman" w:hAnsi="Times New Roman" w:cs="Times New Roman"/>
          <w:i/>
        </w:rPr>
      </w:pPr>
      <w:r w:rsidRPr="006F31A5">
        <w:rPr>
          <w:rFonts w:ascii="Times New Roman" w:hAnsi="Times New Roman" w:cs="Times New Roman"/>
          <w:i/>
        </w:rPr>
        <w:t>AusAID, Law and Justice Policy Section</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16/07/12</w:t>
      </w:r>
    </w:p>
    <w:p w:rsidR="004432AA" w:rsidRDefault="004432AA" w:rsidP="004432AA">
      <w:pPr>
        <w:ind w:right="-472"/>
        <w:rPr>
          <w:rFonts w:ascii="Times New Roman" w:hAnsi="Times New Roman" w:cs="Times New Roman"/>
        </w:rPr>
      </w:pPr>
      <w:r>
        <w:rPr>
          <w:rFonts w:ascii="Times New Roman" w:hAnsi="Times New Roman" w:cs="Times New Roman"/>
        </w:rPr>
        <w:tab/>
        <w:t xml:space="preserve">Daniel </w:t>
      </w:r>
      <w:r>
        <w:rPr>
          <w:rFonts w:ascii="Times New Roman" w:hAnsi="Times New Roman" w:cs="Times New Roman"/>
        </w:rPr>
        <w:tab/>
      </w:r>
      <w:r>
        <w:rPr>
          <w:rFonts w:ascii="Times New Roman" w:hAnsi="Times New Roman" w:cs="Times New Roman"/>
        </w:rPr>
        <w:tab/>
        <w:t>Woods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w:t>
      </w:r>
      <w:r>
        <w:rPr>
          <w:rFonts w:ascii="Times New Roman" w:hAnsi="Times New Roman" w:cs="Times New Roman"/>
        </w:rPr>
        <w:br/>
      </w:r>
      <w:r>
        <w:rPr>
          <w:rFonts w:ascii="Times New Roman" w:hAnsi="Times New Roman" w:cs="Times New Roman"/>
        </w:rPr>
        <w:tab/>
        <w:t>Robin</w:t>
      </w:r>
      <w:r>
        <w:rPr>
          <w:rFonts w:ascii="Times New Roman" w:hAnsi="Times New Roman" w:cs="Times New Roman"/>
        </w:rPr>
        <w:tab/>
      </w:r>
      <w:r>
        <w:rPr>
          <w:rFonts w:ascii="Times New Roman" w:hAnsi="Times New Roman" w:cs="Times New Roman"/>
        </w:rPr>
        <w:tab/>
        <w:t>Perry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Senior Policy Officer</w:t>
      </w:r>
    </w:p>
    <w:p w:rsidR="004432AA" w:rsidRDefault="004432AA" w:rsidP="004432AA">
      <w:pPr>
        <w:ind w:right="-472"/>
        <w:rPr>
          <w:rFonts w:ascii="Times New Roman" w:hAnsi="Times New Roman" w:cs="Times New Roman"/>
          <w:i/>
        </w:rPr>
      </w:pPr>
      <w:r>
        <w:rPr>
          <w:rFonts w:ascii="Times New Roman" w:hAnsi="Times New Roman" w:cs="Times New Roman"/>
          <w:i/>
        </w:rPr>
        <w:t>Australian Commission for Law Enforcement Integrity</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16/07/12</w:t>
      </w:r>
    </w:p>
    <w:p w:rsidR="004432AA" w:rsidRDefault="004432AA" w:rsidP="004432AA">
      <w:pPr>
        <w:ind w:right="-472"/>
        <w:rPr>
          <w:rFonts w:ascii="Times New Roman" w:hAnsi="Times New Roman" w:cs="Times New Roman"/>
        </w:rPr>
      </w:pPr>
      <w:r>
        <w:rPr>
          <w:rFonts w:ascii="Times New Roman" w:hAnsi="Times New Roman" w:cs="Times New Roman"/>
          <w:i/>
        </w:rPr>
        <w:tab/>
      </w:r>
      <w:r>
        <w:rPr>
          <w:rFonts w:ascii="Times New Roman" w:hAnsi="Times New Roman" w:cs="Times New Roman"/>
        </w:rPr>
        <w:t>Nick</w:t>
      </w:r>
      <w:r>
        <w:rPr>
          <w:rFonts w:ascii="Times New Roman" w:hAnsi="Times New Roman" w:cs="Times New Roman"/>
        </w:rPr>
        <w:tab/>
      </w:r>
      <w:r>
        <w:rPr>
          <w:rFonts w:ascii="Times New Roman" w:hAnsi="Times New Roman" w:cs="Times New Roman"/>
        </w:rPr>
        <w:tab/>
        <w:t>Sellars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w:t>
      </w:r>
    </w:p>
    <w:p w:rsidR="004432AA" w:rsidRDefault="004432AA" w:rsidP="004432AA">
      <w:pPr>
        <w:ind w:right="-472"/>
        <w:rPr>
          <w:rFonts w:ascii="Times New Roman" w:hAnsi="Times New Roman" w:cs="Times New Roman"/>
          <w:i/>
        </w:rPr>
      </w:pPr>
      <w:r w:rsidRPr="001877D8">
        <w:rPr>
          <w:rFonts w:ascii="Times New Roman" w:hAnsi="Times New Roman" w:cs="Times New Roman"/>
          <w:i/>
        </w:rPr>
        <w:t>Department of Foreign Affairs and Trade</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16/07/12</w:t>
      </w:r>
    </w:p>
    <w:p w:rsidR="004432AA" w:rsidRPr="001877D8" w:rsidRDefault="004432AA" w:rsidP="004432AA">
      <w:pPr>
        <w:ind w:right="-472"/>
        <w:rPr>
          <w:rFonts w:ascii="Times New Roman" w:hAnsi="Times New Roman" w:cs="Times New Roman"/>
        </w:rPr>
      </w:pPr>
      <w:r>
        <w:rPr>
          <w:rFonts w:ascii="Times New Roman" w:hAnsi="Times New Roman" w:cs="Times New Roman"/>
          <w:i/>
        </w:rPr>
        <w:tab/>
      </w:r>
      <w:r>
        <w:rPr>
          <w:rFonts w:ascii="Times New Roman" w:hAnsi="Times New Roman" w:cs="Times New Roman"/>
        </w:rPr>
        <w:t>Stephen</w:t>
      </w:r>
      <w:r>
        <w:rPr>
          <w:rFonts w:ascii="Times New Roman" w:hAnsi="Times New Roman" w:cs="Times New Roman"/>
        </w:rPr>
        <w:tab/>
      </w:r>
      <w:r>
        <w:rPr>
          <w:rFonts w:ascii="Times New Roman" w:hAnsi="Times New Roman" w:cs="Times New Roman"/>
        </w:rPr>
        <w:tab/>
        <w:t>Burridge</w:t>
      </w:r>
      <w:r>
        <w:rPr>
          <w:rFonts w:ascii="Times New Roman" w:hAnsi="Times New Roman" w:cs="Times New Roman"/>
        </w:rPr>
        <w:tab/>
      </w:r>
      <w:r>
        <w:rPr>
          <w:rFonts w:ascii="Times New Roman" w:hAnsi="Times New Roman" w:cs="Times New Roman"/>
        </w:rPr>
        <w:tab/>
        <w:t>Executive Officer</w:t>
      </w:r>
    </w:p>
    <w:p w:rsidR="004432AA" w:rsidRPr="0059411D" w:rsidRDefault="004432AA" w:rsidP="004432AA">
      <w:pPr>
        <w:ind w:right="-472"/>
        <w:rPr>
          <w:rFonts w:ascii="Times New Roman" w:hAnsi="Times New Roman" w:cs="Times New Roman"/>
          <w:i/>
        </w:rPr>
      </w:pPr>
      <w:r w:rsidRPr="0059411D">
        <w:rPr>
          <w:rFonts w:ascii="Times New Roman" w:hAnsi="Times New Roman" w:cs="Times New Roman"/>
          <w:i/>
        </w:rPr>
        <w:lastRenderedPageBreak/>
        <w:t>Family Court of Australia (via teleconference)</w:t>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t>25/07/12</w:t>
      </w:r>
    </w:p>
    <w:p w:rsidR="004432AA" w:rsidRPr="00E60FB6" w:rsidRDefault="004432AA" w:rsidP="004432AA">
      <w:pPr>
        <w:ind w:right="-472"/>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Leisha</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Lister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Executive Adviser</w:t>
      </w:r>
      <w:r>
        <w:rPr>
          <w:rFonts w:ascii="Times New Roman" w:hAnsi="Times New Roman" w:cs="Times New Roman"/>
        </w:rPr>
        <w:tab/>
      </w:r>
    </w:p>
    <w:p w:rsidR="004432AA" w:rsidRPr="0059411D" w:rsidRDefault="004432AA" w:rsidP="004432AA">
      <w:pPr>
        <w:ind w:right="-472"/>
        <w:rPr>
          <w:rFonts w:ascii="Times New Roman" w:hAnsi="Times New Roman" w:cs="Times New Roman"/>
          <w:i/>
        </w:rPr>
      </w:pPr>
      <w:r w:rsidRPr="0059411D">
        <w:rPr>
          <w:rFonts w:ascii="Times New Roman" w:hAnsi="Times New Roman" w:cs="Times New Roman"/>
          <w:i/>
        </w:rPr>
        <w:t>Law Council of Australia</w:t>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t>16/07/12</w:t>
      </w:r>
    </w:p>
    <w:p w:rsidR="004432AA" w:rsidRDefault="004432AA" w:rsidP="004432AA">
      <w:pPr>
        <w:ind w:right="-472"/>
        <w:rPr>
          <w:rFonts w:ascii="Times New Roman" w:hAnsi="Times New Roman" w:cs="Times New Roman"/>
        </w:rPr>
      </w:pPr>
      <w:r>
        <w:rPr>
          <w:rFonts w:ascii="Times New Roman" w:hAnsi="Times New Roman" w:cs="Times New Roman"/>
        </w:rPr>
        <w:tab/>
        <w:t>Margery</w:t>
      </w:r>
      <w:r>
        <w:rPr>
          <w:rFonts w:ascii="Times New Roman" w:hAnsi="Times New Roman" w:cs="Times New Roman"/>
        </w:rPr>
        <w:tab/>
        <w:t>Nicoll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Deputy Secretary-General</w:t>
      </w:r>
      <w:r>
        <w:rPr>
          <w:rFonts w:ascii="Times New Roman" w:hAnsi="Times New Roman" w:cs="Times New Roman"/>
        </w:rPr>
        <w:br/>
      </w:r>
      <w:r>
        <w:rPr>
          <w:rFonts w:ascii="Times New Roman" w:hAnsi="Times New Roman" w:cs="Times New Roman"/>
        </w:rPr>
        <w:tab/>
        <w:t>Hanna</w:t>
      </w:r>
      <w:r>
        <w:rPr>
          <w:rFonts w:ascii="Times New Roman" w:hAnsi="Times New Roman" w:cs="Times New Roman"/>
        </w:rPr>
        <w:tab/>
      </w:r>
      <w:r>
        <w:rPr>
          <w:rFonts w:ascii="Times New Roman" w:hAnsi="Times New Roman" w:cs="Times New Roman"/>
        </w:rPr>
        <w:tab/>
        <w:t>Jaireth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International Law Section</w:t>
      </w:r>
    </w:p>
    <w:p w:rsidR="004432AA" w:rsidRPr="0059411D" w:rsidRDefault="004432AA" w:rsidP="004432AA">
      <w:pPr>
        <w:ind w:right="-472"/>
        <w:rPr>
          <w:rFonts w:ascii="Times New Roman" w:hAnsi="Times New Roman" w:cs="Times New Roman"/>
        </w:rPr>
      </w:pPr>
      <w:r w:rsidRPr="0059411D">
        <w:rPr>
          <w:rFonts w:ascii="Times New Roman" w:hAnsi="Times New Roman" w:cs="Times New Roman"/>
          <w:b/>
        </w:rPr>
        <w:t>Sydney</w:t>
      </w:r>
      <w:r>
        <w:rPr>
          <w:rFonts w:ascii="Times New Roman" w:hAnsi="Times New Roman" w:cs="Times New Roman"/>
          <w:b/>
        </w:rPr>
        <w:t xml:space="preserve"> </w:t>
      </w:r>
      <w:r>
        <w:rPr>
          <w:rFonts w:ascii="Times New Roman" w:hAnsi="Times New Roman" w:cs="Times New Roman"/>
        </w:rPr>
        <w:t>(via teleconference)</w:t>
      </w:r>
    </w:p>
    <w:p w:rsidR="004432AA" w:rsidRDefault="004432AA" w:rsidP="004432AA">
      <w:pPr>
        <w:ind w:right="-472"/>
        <w:rPr>
          <w:rFonts w:ascii="Times New Roman" w:hAnsi="Times New Roman" w:cs="Times New Roman"/>
        </w:rPr>
      </w:pPr>
      <w:r>
        <w:rPr>
          <w:rFonts w:ascii="Times New Roman" w:hAnsi="Times New Roman" w:cs="Times New Roman"/>
          <w:i/>
        </w:rPr>
        <w:t>Australian Human Rights Commission</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17/07/12</w:t>
      </w:r>
      <w:r>
        <w:rPr>
          <w:rFonts w:ascii="Times New Roman" w:hAnsi="Times New Roman" w:cs="Times New Roman"/>
          <w:i/>
        </w:rPr>
        <w:br/>
      </w:r>
      <w:r>
        <w:rPr>
          <w:rFonts w:ascii="Times New Roman" w:hAnsi="Times New Roman" w:cs="Times New Roman"/>
          <w:i/>
        </w:rPr>
        <w:br/>
      </w:r>
      <w:r>
        <w:rPr>
          <w:rFonts w:ascii="Times New Roman" w:hAnsi="Times New Roman" w:cs="Times New Roman"/>
        </w:rPr>
        <w:tab/>
        <w:t>David</w:t>
      </w:r>
      <w:r>
        <w:rPr>
          <w:rFonts w:ascii="Times New Roman" w:hAnsi="Times New Roman" w:cs="Times New Roman"/>
        </w:rPr>
        <w:tab/>
      </w:r>
      <w:r>
        <w:rPr>
          <w:rFonts w:ascii="Times New Roman" w:hAnsi="Times New Roman" w:cs="Times New Roman"/>
        </w:rPr>
        <w:tab/>
        <w:t>Robinson</w:t>
      </w:r>
      <w:r>
        <w:rPr>
          <w:rFonts w:ascii="Times New Roman" w:hAnsi="Times New Roman" w:cs="Times New Roman"/>
        </w:rPr>
        <w:tab/>
      </w:r>
      <w:r>
        <w:rPr>
          <w:rFonts w:ascii="Times New Roman" w:hAnsi="Times New Roman" w:cs="Times New Roman"/>
        </w:rPr>
        <w:tab/>
        <w:t>Director</w:t>
      </w:r>
      <w:r>
        <w:rPr>
          <w:rFonts w:ascii="Times New Roman" w:hAnsi="Times New Roman" w:cs="Times New Roman"/>
        </w:rPr>
        <w:br/>
      </w:r>
      <w:r>
        <w:rPr>
          <w:rFonts w:ascii="Times New Roman" w:hAnsi="Times New Roman" w:cs="Times New Roman"/>
        </w:rPr>
        <w:tab/>
        <w:t>Sandya</w:t>
      </w:r>
      <w:r>
        <w:rPr>
          <w:rFonts w:ascii="Times New Roman" w:hAnsi="Times New Roman" w:cs="Times New Roman"/>
        </w:rPr>
        <w:tab/>
      </w:r>
      <w:r>
        <w:rPr>
          <w:rFonts w:ascii="Times New Roman" w:hAnsi="Times New Roman" w:cs="Times New Roman"/>
        </w:rPr>
        <w:tab/>
        <w:t>Manickam</w:t>
      </w:r>
      <w:r>
        <w:rPr>
          <w:rFonts w:ascii="Times New Roman" w:hAnsi="Times New Roman" w:cs="Times New Roman"/>
        </w:rPr>
        <w:tab/>
      </w:r>
      <w:r>
        <w:rPr>
          <w:rFonts w:ascii="Times New Roman" w:hAnsi="Times New Roman" w:cs="Times New Roman"/>
        </w:rPr>
        <w:tab/>
        <w:t>Program Manager</w:t>
      </w:r>
      <w:r>
        <w:rPr>
          <w:rFonts w:ascii="Times New Roman" w:hAnsi="Times New Roman" w:cs="Times New Roman"/>
        </w:rPr>
        <w:tab/>
      </w:r>
      <w:r>
        <w:rPr>
          <w:rFonts w:ascii="Times New Roman" w:hAnsi="Times New Roman" w:cs="Times New Roman"/>
        </w:rPr>
        <w:br/>
      </w:r>
      <w:r>
        <w:rPr>
          <w:rFonts w:ascii="Times New Roman" w:hAnsi="Times New Roman" w:cs="Times New Roman"/>
        </w:rPr>
        <w:tab/>
        <w:t>Natasha</w:t>
      </w:r>
      <w:r>
        <w:rPr>
          <w:rFonts w:ascii="Times New Roman" w:hAnsi="Times New Roman" w:cs="Times New Roman"/>
        </w:rPr>
        <w:tab/>
      </w:r>
      <w:r>
        <w:rPr>
          <w:rFonts w:ascii="Times New Roman" w:hAnsi="Times New Roman" w:cs="Times New Roman"/>
        </w:rPr>
        <w:tab/>
        <w:t>de Silva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Executive Officer</w:t>
      </w:r>
    </w:p>
    <w:p w:rsidR="004432AA" w:rsidRPr="0059411D" w:rsidRDefault="004432AA" w:rsidP="004432AA">
      <w:pPr>
        <w:ind w:right="-472"/>
        <w:rPr>
          <w:rFonts w:ascii="Times New Roman" w:hAnsi="Times New Roman" w:cs="Times New Roman"/>
          <w:i/>
        </w:rPr>
      </w:pPr>
      <w:r w:rsidRPr="0059411D">
        <w:rPr>
          <w:rFonts w:ascii="Times New Roman" w:hAnsi="Times New Roman" w:cs="Times New Roman"/>
          <w:i/>
        </w:rPr>
        <w:t>Judicial Commission</w:t>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r>
      <w:r w:rsidRPr="0059411D">
        <w:rPr>
          <w:rFonts w:ascii="Times New Roman" w:hAnsi="Times New Roman" w:cs="Times New Roman"/>
          <w:i/>
        </w:rPr>
        <w:tab/>
        <w:t>17/07/12</w:t>
      </w:r>
    </w:p>
    <w:p w:rsidR="004432AA" w:rsidRDefault="004432AA" w:rsidP="004432AA">
      <w:pPr>
        <w:ind w:right="-472"/>
        <w:rPr>
          <w:rFonts w:ascii="Times New Roman" w:hAnsi="Times New Roman" w:cs="Times New Roman"/>
        </w:rPr>
      </w:pPr>
      <w:r>
        <w:rPr>
          <w:rFonts w:ascii="Times New Roman" w:hAnsi="Times New Roman" w:cs="Times New Roman"/>
        </w:rPr>
        <w:tab/>
        <w:t>Murali</w:t>
      </w:r>
      <w:r>
        <w:rPr>
          <w:rFonts w:ascii="Times New Roman" w:hAnsi="Times New Roman" w:cs="Times New Roman"/>
        </w:rPr>
        <w:tab/>
      </w:r>
      <w:r>
        <w:rPr>
          <w:rFonts w:ascii="Times New Roman" w:hAnsi="Times New Roman" w:cs="Times New Roman"/>
        </w:rPr>
        <w:tab/>
        <w:t>Sagi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w:t>
      </w:r>
    </w:p>
    <w:p w:rsidR="004432AA" w:rsidRPr="0059411D" w:rsidRDefault="004432AA" w:rsidP="004432AA">
      <w:pPr>
        <w:ind w:right="-472"/>
        <w:rPr>
          <w:rFonts w:ascii="Times New Roman" w:hAnsi="Times New Roman" w:cs="Times New Roman"/>
          <w:b/>
        </w:rPr>
      </w:pPr>
      <w:r w:rsidRPr="0059411D">
        <w:rPr>
          <w:rFonts w:ascii="Times New Roman" w:hAnsi="Times New Roman" w:cs="Times New Roman"/>
          <w:b/>
        </w:rPr>
        <w:t>Melbourne</w:t>
      </w:r>
      <w:r>
        <w:rPr>
          <w:rFonts w:ascii="Times New Roman" w:hAnsi="Times New Roman" w:cs="Times New Roman"/>
          <w:b/>
        </w:rPr>
        <w:t xml:space="preserve"> </w:t>
      </w:r>
      <w:r w:rsidRPr="00F73EB5">
        <w:rPr>
          <w:rFonts w:ascii="Times New Roman" w:hAnsi="Times New Roman" w:cs="Times New Roman"/>
        </w:rPr>
        <w:t>(via teleconference)</w:t>
      </w:r>
    </w:p>
    <w:p w:rsidR="004432AA" w:rsidRPr="00F73EB5" w:rsidRDefault="004432AA" w:rsidP="004432AA">
      <w:pPr>
        <w:ind w:right="-472"/>
        <w:rPr>
          <w:rFonts w:ascii="Times New Roman" w:hAnsi="Times New Roman" w:cs="Times New Roman"/>
          <w:i/>
        </w:rPr>
      </w:pPr>
      <w:r w:rsidRPr="00F73EB5">
        <w:rPr>
          <w:rFonts w:ascii="Times New Roman" w:hAnsi="Times New Roman" w:cs="Times New Roman"/>
          <w:i/>
        </w:rPr>
        <w:t>Asian Law Centre</w:t>
      </w:r>
      <w:r w:rsidRPr="00F73EB5">
        <w:rPr>
          <w:rFonts w:ascii="Times New Roman" w:hAnsi="Times New Roman" w:cs="Times New Roman"/>
          <w:i/>
        </w:rPr>
        <w:tab/>
      </w:r>
      <w:r w:rsidRPr="00F73EB5">
        <w:rPr>
          <w:rFonts w:ascii="Times New Roman" w:hAnsi="Times New Roman" w:cs="Times New Roman"/>
          <w:i/>
        </w:rPr>
        <w:tab/>
      </w:r>
      <w:r w:rsidRPr="00F73EB5">
        <w:rPr>
          <w:rFonts w:ascii="Times New Roman" w:hAnsi="Times New Roman" w:cs="Times New Roman"/>
          <w:i/>
        </w:rPr>
        <w:tab/>
      </w:r>
      <w:r w:rsidRPr="00F73EB5">
        <w:rPr>
          <w:rFonts w:ascii="Times New Roman" w:hAnsi="Times New Roman" w:cs="Times New Roman"/>
          <w:i/>
        </w:rPr>
        <w:tab/>
      </w:r>
      <w:r w:rsidRPr="00F73EB5">
        <w:rPr>
          <w:rFonts w:ascii="Times New Roman" w:hAnsi="Times New Roman" w:cs="Times New Roman"/>
          <w:i/>
        </w:rPr>
        <w:tab/>
      </w:r>
      <w:r w:rsidRPr="00F73EB5">
        <w:rPr>
          <w:rFonts w:ascii="Times New Roman" w:hAnsi="Times New Roman" w:cs="Times New Roman"/>
          <w:i/>
        </w:rPr>
        <w:tab/>
      </w:r>
      <w:r w:rsidRPr="00F73EB5">
        <w:rPr>
          <w:rFonts w:ascii="Times New Roman" w:hAnsi="Times New Roman" w:cs="Times New Roman"/>
          <w:i/>
        </w:rPr>
        <w:tab/>
      </w:r>
      <w:r w:rsidRPr="00F73EB5">
        <w:rPr>
          <w:rFonts w:ascii="Times New Roman" w:hAnsi="Times New Roman" w:cs="Times New Roman"/>
          <w:i/>
        </w:rPr>
        <w:tab/>
      </w:r>
      <w:r w:rsidRPr="00F73EB5">
        <w:rPr>
          <w:rFonts w:ascii="Times New Roman" w:hAnsi="Times New Roman" w:cs="Times New Roman"/>
          <w:i/>
        </w:rPr>
        <w:tab/>
        <w:t>25/07/12</w:t>
      </w:r>
    </w:p>
    <w:p w:rsidR="004432AA" w:rsidRDefault="004432AA" w:rsidP="004432AA">
      <w:pPr>
        <w:ind w:right="-472"/>
        <w:rPr>
          <w:rFonts w:ascii="Times New Roman" w:hAnsi="Times New Roman" w:cs="Times New Roman"/>
        </w:rPr>
      </w:pPr>
      <w:r>
        <w:rPr>
          <w:rFonts w:ascii="Times New Roman" w:hAnsi="Times New Roman" w:cs="Times New Roman"/>
        </w:rPr>
        <w:tab/>
        <w:t>Tim</w:t>
      </w:r>
      <w:r>
        <w:rPr>
          <w:rFonts w:ascii="Times New Roman" w:hAnsi="Times New Roman" w:cs="Times New Roman"/>
        </w:rPr>
        <w:tab/>
      </w:r>
      <w:r>
        <w:rPr>
          <w:rFonts w:ascii="Times New Roman" w:hAnsi="Times New Roman" w:cs="Times New Roman"/>
        </w:rPr>
        <w:tab/>
        <w:t>Lindsey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w:t>
      </w:r>
    </w:p>
    <w:p w:rsidR="004432AA" w:rsidRDefault="004432AA" w:rsidP="004432AA">
      <w:pPr>
        <w:ind w:right="-472"/>
        <w:rPr>
          <w:rFonts w:ascii="Times New Roman" w:hAnsi="Times New Roman" w:cs="Times New Roman"/>
          <w:i/>
        </w:rPr>
      </w:pPr>
      <w:r w:rsidRPr="00F73EB5">
        <w:rPr>
          <w:rFonts w:ascii="Times New Roman" w:hAnsi="Times New Roman" w:cs="Times New Roman"/>
          <w:i/>
        </w:rPr>
        <w:t xml:space="preserve">Federal Court of Australia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24/07/12</w:t>
      </w:r>
    </w:p>
    <w:p w:rsidR="004432AA" w:rsidRPr="00F73EB5" w:rsidRDefault="004432AA" w:rsidP="004432AA">
      <w:pPr>
        <w:ind w:right="-472"/>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Sia</w:t>
      </w:r>
      <w:proofErr w:type="spellEnd"/>
      <w:r>
        <w:rPr>
          <w:rFonts w:ascii="Times New Roman" w:hAnsi="Times New Roman" w:cs="Times New Roman"/>
        </w:rPr>
        <w:tab/>
      </w:r>
      <w:r>
        <w:rPr>
          <w:rFonts w:ascii="Times New Roman" w:hAnsi="Times New Roman" w:cs="Times New Roman"/>
        </w:rPr>
        <w:tab/>
        <w:t>Lagos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District Registrar</w:t>
      </w:r>
      <w:r>
        <w:rPr>
          <w:rFonts w:ascii="Times New Roman" w:hAnsi="Times New Roman" w:cs="Times New Roman"/>
        </w:rPr>
        <w:tab/>
      </w:r>
    </w:p>
    <w:p w:rsidR="004432AA" w:rsidRDefault="004432AA">
      <w:pPr>
        <w:rPr>
          <w:b/>
        </w:rPr>
      </w:pPr>
      <w:r>
        <w:rPr>
          <w:b/>
        </w:rPr>
        <w:br w:type="page"/>
      </w:r>
    </w:p>
    <w:p w:rsidR="004432AA" w:rsidRDefault="004432AA" w:rsidP="00766188">
      <w:pPr>
        <w:pStyle w:val="Heading3"/>
        <w:numPr>
          <w:ilvl w:val="0"/>
          <w:numId w:val="0"/>
        </w:numPr>
        <w:jc w:val="center"/>
        <w:rPr>
          <w:rFonts w:asciiTheme="minorHAnsi" w:hAnsiTheme="minorHAnsi" w:cstheme="minorHAnsi"/>
          <w:color w:val="auto"/>
          <w:sz w:val="24"/>
          <w:szCs w:val="24"/>
        </w:rPr>
      </w:pPr>
      <w:bookmarkStart w:id="21" w:name="_Toc345320833"/>
      <w:r w:rsidRPr="00766188">
        <w:rPr>
          <w:rFonts w:asciiTheme="minorHAnsi" w:eastAsiaTheme="minorEastAsia" w:hAnsiTheme="minorHAnsi" w:cstheme="minorBidi"/>
          <w:bCs w:val="0"/>
          <w:color w:val="auto"/>
          <w:sz w:val="24"/>
          <w:szCs w:val="24"/>
        </w:rPr>
        <w:lastRenderedPageBreak/>
        <w:t>Annex 2</w:t>
      </w:r>
      <w:r w:rsidR="00766188" w:rsidRPr="00766188">
        <w:rPr>
          <w:rFonts w:asciiTheme="minorHAnsi" w:eastAsiaTheme="minorEastAsia" w:hAnsiTheme="minorHAnsi" w:cstheme="minorBidi"/>
          <w:bCs w:val="0"/>
          <w:color w:val="auto"/>
          <w:sz w:val="24"/>
          <w:szCs w:val="24"/>
        </w:rPr>
        <w:t xml:space="preserve"> - </w:t>
      </w:r>
      <w:r w:rsidRPr="00766188">
        <w:rPr>
          <w:rFonts w:asciiTheme="minorHAnsi" w:hAnsiTheme="minorHAnsi" w:cstheme="minorHAnsi"/>
          <w:color w:val="auto"/>
          <w:sz w:val="24"/>
          <w:szCs w:val="24"/>
        </w:rPr>
        <w:t>An example for potential program synergy</w:t>
      </w:r>
      <w:bookmarkEnd w:id="21"/>
      <w:r w:rsidRPr="00766188">
        <w:rPr>
          <w:rFonts w:asciiTheme="minorHAnsi" w:hAnsiTheme="minorHAnsi" w:cstheme="minorHAnsi"/>
          <w:color w:val="auto"/>
          <w:sz w:val="24"/>
          <w:szCs w:val="24"/>
        </w:rPr>
        <w:t xml:space="preserve"> </w:t>
      </w:r>
    </w:p>
    <w:p w:rsidR="00766188" w:rsidRPr="00766188" w:rsidRDefault="00766188" w:rsidP="00766188"/>
    <w:p w:rsidR="004432AA" w:rsidRDefault="004432AA" w:rsidP="004432AA">
      <w:r>
        <w:t>This example illustrates how joint programming on the issue of establishing legal identity might increase the impact and benefit of a current AIPJ priority and indeed, a broader Indonesian development priority.  What the Review Team aims to show with this example is how working together between programs should be more than just about sharing ideas, or getting ‘more bang for your buck’, but that is critical to program effectiveness.</w:t>
      </w:r>
    </w:p>
    <w:p w:rsidR="004432AA" w:rsidRDefault="004432AA" w:rsidP="004432AA">
      <w:r>
        <w:t>The example below sets out a strategic approach which would have broader program impact.  By outlining points of entry for program synergies at the sub-national level for a particular issue (in this case - establishing legal identity), this example also serves to demonstrate how potential synergies could be identified for other issues that would benefit from support at the sub-national level and/ or from working with local CSO networks (such as legal aid, domestic violence or trafficking).  The AIPJ programs in these sectors from their current, somewhat diffuse character can thus, be geared to drive at a common goal, creating greater program coherence and focus.</w:t>
      </w:r>
      <w:r>
        <w:rPr>
          <w:rStyle w:val="FootnoteReference"/>
        </w:rPr>
        <w:footnoteReference w:id="22"/>
      </w:r>
    </w:p>
    <w:p w:rsidR="004432AA" w:rsidRDefault="004432AA" w:rsidP="004432AA">
      <w:r>
        <w:t>Working on issues at the sub-national level however, has consequences for AIPJ’s program set-up. The program would need more staff, it would require a (modest) local representation in target areas (such as ACCESS, AIPD, PNPM), as well as various internal administrative changes. These consequences are logical and legitimate as an integral part of the strategic ramp-up of the program to maximise its benefits to poor people.</w:t>
      </w:r>
    </w:p>
    <w:p w:rsidR="004432AA" w:rsidRDefault="004432AA" w:rsidP="004432AA">
      <w:r w:rsidRPr="005457AE">
        <w:t>The example chosen here is one of the current cornerstones of the AIPJ program, which is the religious courts service delivery to marginalized communities (notably single women and children).</w:t>
      </w:r>
      <w:r w:rsidRPr="005457AE">
        <w:rPr>
          <w:rStyle w:val="FootnoteReference"/>
        </w:rPr>
        <w:footnoteReference w:id="23"/>
      </w:r>
      <w:r w:rsidRPr="005457AE">
        <w:t xml:space="preserve"> The courts authorize the issuance of marriage</w:t>
      </w:r>
      <w:r w:rsidRPr="00DD4A62">
        <w:t xml:space="preserve"> and </w:t>
      </w:r>
      <w:r w:rsidRPr="005457AE">
        <w:t>divorce certificates long after the actual marriage</w:t>
      </w:r>
      <w:r w:rsidRPr="00DD4A62">
        <w:t xml:space="preserve"> or</w:t>
      </w:r>
      <w:r w:rsidRPr="005457AE">
        <w:t xml:space="preserve"> divorce has occurred</w:t>
      </w:r>
      <w:r w:rsidRPr="00DD4A62">
        <w:t xml:space="preserve"> – and this work complements the work of the General Courts in authorizing the issuance of birth certificates</w:t>
      </w:r>
      <w:r w:rsidRPr="005457AE">
        <w:t xml:space="preserve">. </w:t>
      </w:r>
      <w:r w:rsidRPr="00DD4A62">
        <w:t>All s</w:t>
      </w:r>
      <w:r w:rsidRPr="005457AE">
        <w:t>uch certificates are required under modern Indonesian law to access certain facilities (such as state pensions), establish rights or (for children) to access schools.</w:t>
      </w:r>
      <w:r w:rsidRPr="005457AE">
        <w:rPr>
          <w:rStyle w:val="FootnoteReference"/>
        </w:rPr>
        <w:footnoteReference w:id="24"/>
      </w:r>
      <w:r w:rsidRPr="005457AE">
        <w:t xml:space="preserve"> </w:t>
      </w:r>
      <w:r w:rsidRPr="005457AE">
        <w:lastRenderedPageBreak/>
        <w:t>Briefly summarized, the previous IALDF and AIPJ programs facilitate this service delivery through a legal aid program (waiver of court fees), circuit courts to small villages (bringing justice to the community) and information services in court (</w:t>
      </w:r>
      <w:proofErr w:type="spellStart"/>
      <w:r w:rsidRPr="005457AE">
        <w:t>Posbakum</w:t>
      </w:r>
      <w:proofErr w:type="spellEnd"/>
      <w:r w:rsidRPr="005457AE">
        <w:t>), the core idea being that marginalized communities benefit. The project is highly regarded, and has been an area in which the Indonesian courts and Australian Family courts have a close cooperation.</w:t>
      </w:r>
      <w:r>
        <w:t xml:space="preserve"> </w:t>
      </w:r>
    </w:p>
    <w:p w:rsidR="004432AA" w:rsidRDefault="004432AA" w:rsidP="004432AA">
      <w:r>
        <w:t>Whilst recognizing the successes of the religious court program, the Review Team also found that the program was not without challenges, as might be expected. These can be roughly categorized into three groups, as follows: (</w:t>
      </w:r>
      <w:proofErr w:type="spellStart"/>
      <w:r>
        <w:t>i</w:t>
      </w:r>
      <w:proofErr w:type="spellEnd"/>
      <w:r>
        <w:t xml:space="preserve">) imperfect service delivery by the religious courts, the circuit courts and the legal aid facility, (ii) imperfect empowerment, access and organization by the target groups (notably women at village level), and (iii) imperfect horizontal coordination between government agencies. The system as a whole operates so that some members of marginalized communities get served by the courts, yet clearly the system could reach more people. The system does not yet cover the target groups of PEKKA organized women, fails to honour commitments given to that group, it does not address the inadequacies of the institutional infrastructure set up for issuance of legal </w:t>
      </w:r>
      <w:r w:rsidRPr="005457AE">
        <w:t>identity documents, nor the budget allocation issues (</w:t>
      </w:r>
      <w:r w:rsidRPr="00DD4A62">
        <w:t xml:space="preserve">though </w:t>
      </w:r>
      <w:r w:rsidRPr="005457AE">
        <w:t>the</w:t>
      </w:r>
      <w:r w:rsidRPr="00DD4A62">
        <w:t xml:space="preserve"> expenditure for circuit courts and duty station lawyers </w:t>
      </w:r>
      <w:r>
        <w:t xml:space="preserve">appears </w:t>
      </w:r>
      <w:r w:rsidRPr="00DD4A62">
        <w:t xml:space="preserve">on track </w:t>
      </w:r>
      <w:r>
        <w:t xml:space="preserve">for </w:t>
      </w:r>
      <w:r w:rsidRPr="00DD4A62">
        <w:t>2012</w:t>
      </w:r>
      <w:r>
        <w:t>,</w:t>
      </w:r>
      <w:r w:rsidRPr="00DD4A62">
        <w:t xml:space="preserve"> </w:t>
      </w:r>
      <w:r>
        <w:t xml:space="preserve">the Review Team heard that </w:t>
      </w:r>
      <w:r w:rsidRPr="00DD4A62">
        <w:t xml:space="preserve">the </w:t>
      </w:r>
      <w:r>
        <w:t xml:space="preserve">budget for court fee </w:t>
      </w:r>
      <w:r w:rsidRPr="00DD4A62">
        <w:t>waiver</w:t>
      </w:r>
      <w:r>
        <w:t>s</w:t>
      </w:r>
      <w:r w:rsidRPr="00DD4A62">
        <w:t xml:space="preserve"> </w:t>
      </w:r>
      <w:r>
        <w:t xml:space="preserve">may be </w:t>
      </w:r>
      <w:r w:rsidRPr="00DD4A62">
        <w:t xml:space="preserve">falling below projected expenditure) </w:t>
      </w:r>
      <w:r w:rsidRPr="005457AE">
        <w:t>and nor does it address the formal and informal costs</w:t>
      </w:r>
      <w:r w:rsidRPr="005457AE">
        <w:rPr>
          <w:rStyle w:val="FootnoteReference"/>
        </w:rPr>
        <w:footnoteReference w:id="25"/>
      </w:r>
      <w:r w:rsidRPr="005457AE">
        <w:t xml:space="preserve"> that must be borne by users (principally poor women).  </w:t>
      </w:r>
    </w:p>
    <w:p w:rsidR="004432AA" w:rsidRDefault="004432AA" w:rsidP="004432AA">
      <w:r>
        <w:t xml:space="preserve">These issues became apparent to the </w:t>
      </w:r>
      <w:r w:rsidR="008E61CA">
        <w:t>R</w:t>
      </w:r>
      <w:r>
        <w:t xml:space="preserve">eview </w:t>
      </w:r>
      <w:r w:rsidR="008E61CA">
        <w:t>T</w:t>
      </w:r>
      <w:r>
        <w:t xml:space="preserve">eam when talking to poor women in Lombok during the review mission. This program would benefit from an approach that is more forward leaning in all respects: more local in the focus of its activities, more aggressive in its support and rolling-out, more critical in its implementation and more enveloping in its approach. To achieve this, the Review Team recommends that AIPJ explore close cooperation with other AusAID supported projects, of which some examples may be mentioned here. </w:t>
      </w:r>
    </w:p>
    <w:p w:rsidR="004432AA" w:rsidRDefault="004432AA" w:rsidP="004432AA">
      <w:pPr>
        <w:pStyle w:val="ListParagraph"/>
        <w:numPr>
          <w:ilvl w:val="0"/>
          <w:numId w:val="27"/>
        </w:numPr>
        <w:spacing w:after="0" w:line="240" w:lineRule="auto"/>
      </w:pPr>
      <w:r w:rsidRPr="005018FF">
        <w:rPr>
          <w:b/>
        </w:rPr>
        <w:t>AIPD &amp; public expenditure analysis.</w:t>
      </w:r>
      <w:r>
        <w:t xml:space="preserve"> The official religious court data show</w:t>
      </w:r>
      <w:r w:rsidR="008E61CA">
        <w:t>s</w:t>
      </w:r>
      <w:r>
        <w:t xml:space="preserve"> that there has been underspending of the court fee waiver </w:t>
      </w:r>
      <w:proofErr w:type="gramStart"/>
      <w:r>
        <w:t>budget,</w:t>
      </w:r>
      <w:proofErr w:type="gramEnd"/>
      <w:r>
        <w:t xml:space="preserve"> with approximately 40% underspend against current allocations. Unfortunately, the religious court</w:t>
      </w:r>
      <w:r w:rsidR="008E61CA">
        <w:t>s</w:t>
      </w:r>
      <w:r>
        <w:t xml:space="preserve"> appear to have been unable to re-allocate the budget to other components of its access to justice program due to financial policy restrictions, despite allocations for those components being exhausted. Further, the Review Team heard from a number of representatives of poor women that accessing court-based programs to promote access to justice does not mean that poor women can receive benefits from these services free of charge, as informal costs are often attached. </w:t>
      </w:r>
    </w:p>
    <w:p w:rsidR="004432AA" w:rsidRDefault="004432AA" w:rsidP="004432AA">
      <w:pPr>
        <w:pStyle w:val="ListParagraph"/>
      </w:pPr>
    </w:p>
    <w:p w:rsidR="004432AA" w:rsidRDefault="004432AA" w:rsidP="004432AA">
      <w:pPr>
        <w:pStyle w:val="ListParagraph"/>
        <w:ind w:left="360"/>
      </w:pPr>
      <w:r>
        <w:t xml:space="preserve">The Review Team proposes that AIPJ explore closer cooperation with AIPD, drawing on its expertise and local networks to conduct a public expenditure analysis of the funds relating to legal aid and the circuit courts. </w:t>
      </w:r>
    </w:p>
    <w:p w:rsidR="004432AA" w:rsidRDefault="004432AA" w:rsidP="004432AA">
      <w:pPr>
        <w:pStyle w:val="ListParagraph"/>
        <w:ind w:left="360"/>
      </w:pPr>
    </w:p>
    <w:p w:rsidR="004432AA" w:rsidRDefault="004432AA" w:rsidP="004432AA">
      <w:pPr>
        <w:pStyle w:val="ListParagraph"/>
        <w:ind w:left="360"/>
      </w:pPr>
      <w:r w:rsidRPr="00C66E66">
        <w:lastRenderedPageBreak/>
        <w:t xml:space="preserve">The Review Team recognizes that public expenditure analysis is not in itself a </w:t>
      </w:r>
      <w:r w:rsidRPr="00DD4A62">
        <w:t>‘</w:t>
      </w:r>
      <w:r w:rsidRPr="00C66E66">
        <w:t>legal</w:t>
      </w:r>
      <w:r w:rsidRPr="00DD4A62">
        <w:t>’</w:t>
      </w:r>
      <w:r w:rsidRPr="00C66E66">
        <w:t xml:space="preserve"> </w:t>
      </w:r>
      <w:r w:rsidRPr="00DD4A62">
        <w:t xml:space="preserve">assistance </w:t>
      </w:r>
      <w:r w:rsidRPr="00C66E66">
        <w:t>activity</w:t>
      </w:r>
      <w:r w:rsidRPr="00DD4A62">
        <w:t>. However,</w:t>
      </w:r>
      <w:r w:rsidRPr="00C66E66">
        <w:t xml:space="preserve"> with the One Roof System</w:t>
      </w:r>
      <w:r w:rsidRPr="00C66E66">
        <w:rPr>
          <w:rStyle w:val="FootnoteReference"/>
        </w:rPr>
        <w:footnoteReference w:id="26"/>
      </w:r>
      <w:r w:rsidRPr="00DD4A62">
        <w:t>, budgeting</w:t>
      </w:r>
      <w:r w:rsidRPr="00C66E66">
        <w:t xml:space="preserve"> fully falls within </w:t>
      </w:r>
      <w:r w:rsidRPr="00DD4A62">
        <w:t xml:space="preserve">the mandate of the judiciary </w:t>
      </w:r>
      <w:r w:rsidRPr="00C66E66">
        <w:t>and is an integral part of the judicial portfolio. Also, it is</w:t>
      </w:r>
      <w:r w:rsidRPr="00DD4A62">
        <w:t xml:space="preserve"> clear that the budget issue sits at the heart of the religious court program, with the legal aid program in particular being an intrinsically financial instrument, developed with assistance from the previous IALDF program. Public expenditure within the judiciary therefore is an integral and very active part of the judicial reform portfolio.</w:t>
      </w:r>
      <w:r>
        <w:t xml:space="preserve"> </w:t>
      </w:r>
    </w:p>
    <w:p w:rsidR="004432AA" w:rsidRPr="008A7653" w:rsidRDefault="004432AA" w:rsidP="004432AA">
      <w:pPr>
        <w:pStyle w:val="ListParagraph"/>
        <w:ind w:left="360"/>
      </w:pPr>
    </w:p>
    <w:p w:rsidR="004432AA" w:rsidRDefault="004432AA" w:rsidP="004432AA">
      <w:pPr>
        <w:pStyle w:val="ListParagraph"/>
        <w:ind w:left="360"/>
      </w:pPr>
      <w:r>
        <w:t xml:space="preserve">The Review Team further deems it important that the public expenditure analysis does not only look at the budget implementation cycle (i.e. budget implementation from central to local levels) but also extends to the realization of the policy objective. If the policy objective is to ensure that poor and marginalized communities can get key certificates for free, it is important to look at all the bureaucratic steps required to obtain a legal certificate, whether they be at the court where there is a fee waiver or whether they be at a civil registry office, where fees are incurred.  </w:t>
      </w:r>
    </w:p>
    <w:p w:rsidR="004432AA" w:rsidRDefault="004432AA" w:rsidP="004432AA">
      <w:pPr>
        <w:pStyle w:val="ListParagraph"/>
        <w:ind w:left="360"/>
      </w:pPr>
    </w:p>
    <w:p w:rsidR="004432AA" w:rsidRDefault="004432AA" w:rsidP="004432AA">
      <w:pPr>
        <w:pStyle w:val="ListParagraph"/>
        <w:numPr>
          <w:ilvl w:val="0"/>
          <w:numId w:val="27"/>
        </w:numPr>
        <w:spacing w:after="0" w:line="240" w:lineRule="auto"/>
      </w:pPr>
      <w:r w:rsidRPr="00966614">
        <w:rPr>
          <w:b/>
        </w:rPr>
        <w:t>ACCESS, information and empowerment</w:t>
      </w:r>
      <w:r>
        <w:t>. The Review Team visited Lombok as part of the review mission and this generated three main pieces of information: first, religious court coverage is inadequate even with the various outreach instruments (notably circuit courts and legal aid)</w:t>
      </w:r>
      <w:r w:rsidR="007C0422">
        <w:t>;</w:t>
      </w:r>
      <w:r>
        <w:t xml:space="preserve"> second, the power relations between the court and marginalized communities remains asymmetrical</w:t>
      </w:r>
      <w:r w:rsidR="007C0422">
        <w:t>-</w:t>
      </w:r>
      <w:r>
        <w:t xml:space="preserve"> local organizations (such as PEKKA) do an excellent job in mobilizing marginalized communities, but they lack the traction at local levels to fully assert their rights under existing public/government facilities, even when such rights have been previously recognized by the court; and third, AIPJ has inadequate local presence and local knowledge. </w:t>
      </w:r>
    </w:p>
    <w:p w:rsidR="004432AA" w:rsidRDefault="004432AA" w:rsidP="004432AA">
      <w:pPr>
        <w:pStyle w:val="ListParagraph"/>
        <w:spacing w:after="0" w:line="240" w:lineRule="auto"/>
      </w:pPr>
    </w:p>
    <w:p w:rsidR="004432AA" w:rsidRDefault="004432AA" w:rsidP="004432AA">
      <w:pPr>
        <w:pStyle w:val="ListParagraph"/>
        <w:spacing w:after="0" w:line="240" w:lineRule="auto"/>
        <w:ind w:left="360"/>
      </w:pPr>
      <w:r>
        <w:t>From the Review Team</w:t>
      </w:r>
      <w:r w:rsidR="007C0422">
        <w:t>’s</w:t>
      </w:r>
      <w:r>
        <w:t xml:space="preserve"> perspective, AIPJ retains an institutional perspective even at </w:t>
      </w:r>
      <w:r w:rsidR="007C0422">
        <w:t xml:space="preserve">the </w:t>
      </w:r>
      <w:r>
        <w:t>local level. It tends to look at issues from the perspective of the religious court</w:t>
      </w:r>
      <w:r w:rsidR="007C0422">
        <w:t>s</w:t>
      </w:r>
      <w:r>
        <w:t>. Yet local communities must be able to have their voices truly heard and impose some level of power equilibrium with state institutions if these types of justice programs are to deliver real benefits to the poor. The legal aid and circuit court programs will not sustain themselves by bureaucratic willpower alone. They will sustain themselves and become truly successful through the mobilization and engagement of local communities.</w:t>
      </w:r>
    </w:p>
    <w:p w:rsidR="004432AA" w:rsidRDefault="004432AA" w:rsidP="004432AA">
      <w:pPr>
        <w:pStyle w:val="ListParagraph"/>
      </w:pPr>
    </w:p>
    <w:p w:rsidR="004432AA" w:rsidRDefault="004432AA" w:rsidP="004432AA">
      <w:pPr>
        <w:pStyle w:val="ListParagraph"/>
        <w:ind w:left="360"/>
      </w:pPr>
      <w:r>
        <w:t>The Review Team proposes that AIPJ explore closer cooperation with ACCESS, drawing on its local expertise, its network of 71 CSO partners and 5600 facilitators to boost a demand driven reform dynamic focused on the legal aid and circuit court components of the program. This includes participation of the Household Welfare Classification mapping exercise, by inclusion of target constituents therein (single women as head of households).</w:t>
      </w:r>
    </w:p>
    <w:p w:rsidR="004432AA" w:rsidRDefault="004432AA" w:rsidP="004432AA">
      <w:pPr>
        <w:pStyle w:val="ListParagraph"/>
      </w:pPr>
    </w:p>
    <w:p w:rsidR="004432AA" w:rsidRDefault="004432AA" w:rsidP="004432AA">
      <w:pPr>
        <w:pStyle w:val="ListParagraph"/>
        <w:ind w:left="360"/>
      </w:pPr>
      <w:r>
        <w:t xml:space="preserve">The Review Team notes that the issue of certificates </w:t>
      </w:r>
      <w:proofErr w:type="gramStart"/>
      <w:r>
        <w:t xml:space="preserve">is </w:t>
      </w:r>
      <w:r w:rsidR="007C0422">
        <w:t xml:space="preserve"> of</w:t>
      </w:r>
      <w:proofErr w:type="gramEnd"/>
      <w:r w:rsidR="007C0422">
        <w:t xml:space="preserve"> high importance</w:t>
      </w:r>
      <w:r>
        <w:t xml:space="preserve">, for both adults and children. Taking children as an example, the number of Indonesian minors lacking birth </w:t>
      </w:r>
      <w:r>
        <w:lastRenderedPageBreak/>
        <w:t>certificates is said to be more than twice the entire population of Australia</w:t>
      </w:r>
      <w:r>
        <w:rPr>
          <w:rStyle w:val="FootnoteReference"/>
        </w:rPr>
        <w:footnoteReference w:id="27"/>
      </w:r>
      <w:r>
        <w:t>, and is the majority of all children in some of the focus areas of Australian Aid such as N</w:t>
      </w:r>
      <w:r w:rsidR="00B342CD">
        <w:t xml:space="preserve">usa </w:t>
      </w:r>
      <w:r>
        <w:t>T</w:t>
      </w:r>
      <w:r w:rsidR="00B342CD">
        <w:t xml:space="preserve">enggara </w:t>
      </w:r>
      <w:r>
        <w:t>B</w:t>
      </w:r>
      <w:r w:rsidR="00B342CD">
        <w:t>arat</w:t>
      </w:r>
      <w:r w:rsidR="007C0422">
        <w:t xml:space="preserve"> province</w:t>
      </w:r>
      <w:r>
        <w:t>.</w:t>
      </w:r>
      <w:r>
        <w:rPr>
          <w:rStyle w:val="FootnoteReference"/>
        </w:rPr>
        <w:footnoteReference w:id="28"/>
      </w:r>
      <w:r>
        <w:t xml:space="preserve"> This calls for an approach that is more strategic, more holistic and cuts across AusAID programs.  </w:t>
      </w:r>
    </w:p>
    <w:p w:rsidR="004432AA" w:rsidRDefault="004432AA" w:rsidP="004432AA">
      <w:pPr>
        <w:pStyle w:val="ListParagraph"/>
      </w:pPr>
    </w:p>
    <w:p w:rsidR="004432AA" w:rsidRDefault="004432AA" w:rsidP="004432AA">
      <w:pPr>
        <w:pStyle w:val="ListParagraph"/>
        <w:ind w:left="360"/>
      </w:pPr>
      <w:r>
        <w:t xml:space="preserve">The Review Team proposes that AIPJ also engages state institutions at central levels to explore the development of a much broader certification project in which children and other target communities are covered in a single day process by state institutions, notably the religious circuit court and the civil registry (in line with Ministry of Home Affair targets), in a staggered process covering the 20 districts that sit with ACCESS. </w:t>
      </w:r>
    </w:p>
    <w:p w:rsidR="004432AA" w:rsidRDefault="004432AA" w:rsidP="004432AA">
      <w:pPr>
        <w:pStyle w:val="ListParagraph"/>
      </w:pPr>
    </w:p>
    <w:p w:rsidR="004432AA" w:rsidRDefault="004432AA" w:rsidP="004432AA">
      <w:pPr>
        <w:pStyle w:val="ListParagraph"/>
        <w:ind w:left="360"/>
      </w:pPr>
      <w:r>
        <w:t>In addition, the Review Team proposes a bottom up localised approach, in which local power dynamics are strengthened by broadening the constituency base. PEKKA should be embedded in broader local CSO networks, a process on which ACCESS assistance will be vital.</w:t>
      </w:r>
      <w:r>
        <w:rPr>
          <w:rStyle w:val="FootnoteReference"/>
        </w:rPr>
        <w:footnoteReference w:id="29"/>
      </w:r>
      <w:r>
        <w:t xml:space="preserve"> Such an approach would also facilitate a districting approach, driving at comprehensive coverage on a geographic basis as described above. </w:t>
      </w:r>
    </w:p>
    <w:p w:rsidR="004432AA" w:rsidRDefault="004432AA" w:rsidP="004432AA">
      <w:pPr>
        <w:pStyle w:val="ListParagraph"/>
      </w:pPr>
    </w:p>
    <w:p w:rsidR="004432AA" w:rsidRDefault="004432AA" w:rsidP="004432AA">
      <w:pPr>
        <w:pStyle w:val="ListParagraph"/>
        <w:ind w:left="360"/>
      </w:pPr>
      <w:r>
        <w:t xml:space="preserve">The approach outlined in the previous paragraph presumably would involve a joint AIPJ-ACCESS local mapping exercise (by adding a number of variables to the currently ongoing ACCESS SPOT PETA Component) for the purpose of identifying which children have birth certificates and which have not. This would lead to a more ambitious and packaged certification program than the current approach allows for.  However, such mapping exercise might serve other purposes which stand at the heart of AusAID and </w:t>
      </w:r>
      <w:proofErr w:type="spellStart"/>
      <w:r>
        <w:t>GoI</w:t>
      </w:r>
      <w:proofErr w:type="spellEnd"/>
      <w:r>
        <w:t xml:space="preserve"> policies. One example is combating child trafficking. A local mapping exercise for purposes of inventorying birth certificates can serve equally well to inventory reports of child disappearances and localizing those geographically. Indeed, it may well be that the certification issue and trafficking are to some extent connected, in that children lacking proper documentation may be more exposed to ‘disappearances’ and structural abuse, than might otherwise be the case. An added benefit of matching these activities is that it weds a domain which is neutral, administrative and ultimately positive and helpful (certificates), with a domain which is more sensitive (trafficking). This approach ideally will result in hard local datasets on trafficking, which will allow for the development of projects in a much more direct, targeted and measurable fashion. The hard datasets will further help to mobilize </w:t>
      </w:r>
      <w:proofErr w:type="spellStart"/>
      <w:r>
        <w:t>GoI</w:t>
      </w:r>
      <w:proofErr w:type="spellEnd"/>
      <w:r>
        <w:t xml:space="preserve"> support, including of local law enforcement agencies. This example therefore shows that cooperation between AIPJ and ACCESS on child certification can spin off in a number of other directions. </w:t>
      </w:r>
    </w:p>
    <w:p w:rsidR="004432AA" w:rsidRDefault="004432AA" w:rsidP="004432AA">
      <w:pPr>
        <w:pStyle w:val="ListParagraph"/>
        <w:ind w:left="360"/>
      </w:pPr>
    </w:p>
    <w:p w:rsidR="004432AA" w:rsidRPr="00374C0B" w:rsidRDefault="004432AA" w:rsidP="004432AA">
      <w:pPr>
        <w:pStyle w:val="ListParagraph"/>
        <w:numPr>
          <w:ilvl w:val="0"/>
          <w:numId w:val="27"/>
        </w:numPr>
        <w:spacing w:after="0" w:line="240" w:lineRule="auto"/>
        <w:rPr>
          <w:b/>
        </w:rPr>
      </w:pPr>
      <w:r w:rsidRPr="00AD40CB">
        <w:rPr>
          <w:b/>
        </w:rPr>
        <w:lastRenderedPageBreak/>
        <w:t>MAMPU.</w:t>
      </w:r>
      <w:r>
        <w:rPr>
          <w:b/>
        </w:rPr>
        <w:t xml:space="preserve"> </w:t>
      </w:r>
      <w:r w:rsidRPr="00AD40CB">
        <w:t xml:space="preserve">One of the focuses of the religious court program is single women, and securing access to </w:t>
      </w:r>
      <w:r>
        <w:t xml:space="preserve">marriage and divorce </w:t>
      </w:r>
      <w:r w:rsidRPr="00AD40CB">
        <w:t>certificates</w:t>
      </w:r>
      <w:r>
        <w:t xml:space="preserve"> (or ‘identification documents’)</w:t>
      </w:r>
      <w:r w:rsidRPr="00AD40CB">
        <w:t>. Th</w:t>
      </w:r>
      <w:r>
        <w:t xml:space="preserve">ere is a significant overlap with </w:t>
      </w:r>
      <w:r w:rsidRPr="00AD40CB">
        <w:t xml:space="preserve">Thematic Area 1 </w:t>
      </w:r>
      <w:r>
        <w:t xml:space="preserve">(Access to Social Protection and Poverty Reduction Programs) </w:t>
      </w:r>
      <w:r w:rsidRPr="00AD40CB">
        <w:t>of the MAMPU Program</w:t>
      </w:r>
      <w:r>
        <w:rPr>
          <w:rStyle w:val="FootnoteReference"/>
        </w:rPr>
        <w:footnoteReference w:id="30"/>
      </w:r>
      <w:r>
        <w:t xml:space="preserve"> and it makes sense for these programs to cooperate closely on this issue.</w:t>
      </w:r>
    </w:p>
    <w:p w:rsidR="004432AA" w:rsidRPr="00AD40CB" w:rsidRDefault="004432AA" w:rsidP="004432AA">
      <w:pPr>
        <w:pStyle w:val="ListParagraph"/>
        <w:spacing w:after="0" w:line="240" w:lineRule="auto"/>
        <w:ind w:left="360"/>
        <w:rPr>
          <w:b/>
        </w:rPr>
      </w:pPr>
    </w:p>
    <w:p w:rsidR="004432AA" w:rsidRDefault="004432AA" w:rsidP="004432AA">
      <w:pPr>
        <w:pStyle w:val="ListParagraph"/>
        <w:ind w:left="360"/>
      </w:pPr>
      <w:r>
        <w:t>The Review Team was informed that a key problem</w:t>
      </w:r>
      <w:r w:rsidRPr="00F14CE9">
        <w:t xml:space="preserve"> for justice seekers, particularly from marginalized communities, is that by law they are required to come to court at least three times, must bring witnesses, and </w:t>
      </w:r>
      <w:r>
        <w:t xml:space="preserve">after obtaining judgment </w:t>
      </w:r>
      <w:r w:rsidRPr="00F14CE9">
        <w:t xml:space="preserve">must secure their certificate from a different agency than the court. All </w:t>
      </w:r>
      <w:r>
        <w:t xml:space="preserve">these different </w:t>
      </w:r>
      <w:r w:rsidRPr="00F14CE9">
        <w:t>steps involve significant costs</w:t>
      </w:r>
      <w:r>
        <w:t xml:space="preserve"> </w:t>
      </w:r>
      <w:r w:rsidRPr="00F14CE9">
        <w:t xml:space="preserve">which are not covered by the legal aid facility. </w:t>
      </w:r>
      <w:r>
        <w:t>Also, there are unexplained delays and occasional bottlenecks at the actual delivery of certificates which end up being very burdensome to justice seekers, particularly from marginalized communities. Over the past year, a number of regions in Indonesia have experimented with packaged deals (described above), in which the court and the civil registry process applications promptly, in the same office. This process is not entirely without complications or risk, and has faced difficulties in being rolled out extensively.</w:t>
      </w:r>
      <w:r>
        <w:rPr>
          <w:rStyle w:val="FootnoteReference"/>
        </w:rPr>
        <w:footnoteReference w:id="31"/>
      </w:r>
    </w:p>
    <w:p w:rsidR="004432AA" w:rsidRDefault="004432AA" w:rsidP="004432AA">
      <w:pPr>
        <w:pStyle w:val="ListParagraph"/>
        <w:ind w:left="360"/>
      </w:pPr>
    </w:p>
    <w:p w:rsidR="004432AA" w:rsidRDefault="004432AA" w:rsidP="004432AA">
      <w:pPr>
        <w:pStyle w:val="ListParagraph"/>
        <w:ind w:left="360"/>
      </w:pPr>
      <w:r>
        <w:t xml:space="preserve">Even so, the current regime in its practical implementation is impractical and burdensome to justice seekers that it calls for reform. One of the reform possibilities that may be explored is for a packaged deal, including witness statements that are submitted </w:t>
      </w:r>
      <w:r w:rsidRPr="00F14CE9">
        <w:rPr>
          <w:i/>
        </w:rPr>
        <w:t>in situ</w:t>
      </w:r>
      <w:r>
        <w:t xml:space="preserve"> (i.e. in the village), which would allow for a single visit to court. </w:t>
      </w:r>
    </w:p>
    <w:p w:rsidR="004432AA" w:rsidRDefault="004432AA" w:rsidP="004432AA">
      <w:pPr>
        <w:pStyle w:val="ListParagraph"/>
      </w:pPr>
    </w:p>
    <w:p w:rsidR="004432AA" w:rsidRPr="00831C99" w:rsidRDefault="004432AA" w:rsidP="004432AA">
      <w:pPr>
        <w:pStyle w:val="ListParagraph"/>
        <w:ind w:left="360"/>
      </w:pPr>
      <w:r>
        <w:t>In this process, the Review Team recommends that AIPJ and MAMPU work as a single team, and package their proposals and organize their engagement together.</w:t>
      </w:r>
    </w:p>
    <w:p w:rsidR="004432AA" w:rsidRPr="00AD40CB" w:rsidRDefault="004432AA" w:rsidP="004432AA">
      <w:pPr>
        <w:pStyle w:val="ListParagraph"/>
        <w:rPr>
          <w:b/>
        </w:rPr>
      </w:pPr>
    </w:p>
    <w:p w:rsidR="004432AA" w:rsidRDefault="004432AA" w:rsidP="004432AA">
      <w:pPr>
        <w:pStyle w:val="ListParagraph"/>
        <w:numPr>
          <w:ilvl w:val="0"/>
          <w:numId w:val="27"/>
        </w:numPr>
        <w:spacing w:after="0" w:line="240" w:lineRule="auto"/>
      </w:pPr>
      <w:r w:rsidRPr="0050379F">
        <w:rPr>
          <w:b/>
        </w:rPr>
        <w:t xml:space="preserve">The </w:t>
      </w:r>
      <w:r w:rsidRPr="00352A15">
        <w:rPr>
          <w:rFonts w:cs="Arial"/>
          <w:b/>
          <w:lang w:val="en"/>
        </w:rPr>
        <w:t>Australian-Indonesian Partnership for Pro-Poor Policy: Knowledge Sector</w:t>
      </w:r>
      <w:r>
        <w:rPr>
          <w:rFonts w:cs="Arial"/>
          <w:b/>
          <w:lang w:val="en"/>
        </w:rPr>
        <w:t xml:space="preserve">: </w:t>
      </w:r>
      <w:r w:rsidRPr="0083678E">
        <w:t xml:space="preserve">One of the </w:t>
      </w:r>
      <w:r>
        <w:t xml:space="preserve">key challenges </w:t>
      </w:r>
      <w:r w:rsidRPr="0083678E">
        <w:t>of the religious courts program, and of the statutory frame</w:t>
      </w:r>
      <w:r>
        <w:t xml:space="preserve">work underpinning it </w:t>
      </w:r>
      <w:r w:rsidRPr="0083678E">
        <w:t>(a</w:t>
      </w:r>
      <w:r>
        <w:t xml:space="preserve">s well as </w:t>
      </w:r>
      <w:r w:rsidRPr="0083678E">
        <w:t>the overly ambitious government impl</w:t>
      </w:r>
      <w:r>
        <w:t>ementation goal</w:t>
      </w:r>
      <w:r>
        <w:rPr>
          <w:rStyle w:val="FootnoteReference"/>
        </w:rPr>
        <w:footnoteReference w:id="32"/>
      </w:r>
      <w:r w:rsidRPr="0083678E">
        <w:t>)</w:t>
      </w:r>
      <w:r>
        <w:t xml:space="preserve">, sits in the weakness of the data systems and intellectual discourse that underpins the entire framework, and tracks its implementation. Policies are developed in a relative void, implementation is rarely tracked, and accountability and effectiveness measurement is weak, or absent. It is encouraging that there have been some initiatives in this field, but without a more driven and comprehensive intellectual framework, challenges will remain endemic. </w:t>
      </w:r>
    </w:p>
    <w:p w:rsidR="004432AA" w:rsidRDefault="004432AA" w:rsidP="004432AA">
      <w:pPr>
        <w:pStyle w:val="ListParagraph"/>
        <w:spacing w:after="0" w:line="240" w:lineRule="auto"/>
        <w:ind w:left="360"/>
      </w:pPr>
    </w:p>
    <w:p w:rsidR="004432AA" w:rsidRDefault="004432AA" w:rsidP="004432AA">
      <w:pPr>
        <w:pStyle w:val="ListParagraph"/>
        <w:ind w:left="360"/>
      </w:pPr>
      <w:r w:rsidRPr="007A4159">
        <w:t xml:space="preserve">The Review Team proposes </w:t>
      </w:r>
      <w:r>
        <w:t>that AIPJ explores pilot projects in the target regions of the religious court program. Such pilot projects should be aligned with the Knowledge Sector Program currently under development by AusAID.</w:t>
      </w:r>
    </w:p>
    <w:p w:rsidR="004432AA" w:rsidRDefault="004432AA" w:rsidP="004432AA">
      <w:pPr>
        <w:pStyle w:val="ListParagraph"/>
      </w:pPr>
    </w:p>
    <w:p w:rsidR="004432AA" w:rsidRDefault="004432AA" w:rsidP="004432AA">
      <w:pPr>
        <w:pStyle w:val="ListParagraph"/>
        <w:ind w:left="360"/>
      </w:pPr>
      <w:r>
        <w:t>The pilot projects should contribute directly to improved data-systems and accountability of the religious court projects, through field studies and data development. The way this could be implemented, in close consultation with the Knowledge Sector design team, is by supporting the development of teaching and research centres in local universities in legal sociology, possible in close cooperation with Australian academic experts and universities, focusing on the implementation of the religious court program. Various support activities can be conceived, such as a national conference in cooperation with the religious courts and the Australian Family Court, in which the local universities present and discuss their field data, and make recommendations.</w:t>
      </w:r>
    </w:p>
    <w:p w:rsidR="004432AA" w:rsidRDefault="004432AA" w:rsidP="004432AA">
      <w:pPr>
        <w:pStyle w:val="ListParagraph"/>
      </w:pPr>
    </w:p>
    <w:p w:rsidR="004432AA" w:rsidRDefault="004432AA" w:rsidP="004432AA">
      <w:pPr>
        <w:pStyle w:val="ListParagraph"/>
        <w:ind w:left="360"/>
      </w:pPr>
      <w:r>
        <w:t>Bringing in universities, and making them partners in the broad range of religious court programs broadens stakeholders, gives local communities an institutionalized and articulate ally, deepens understanding and improves skills in local universities, and so creates the local accountability mechanisms that improve policy making, implementation and service delivery. Like politics, all accountability is local, and bringing in local universities will be a critical contribution towards improving service delivery.</w:t>
      </w:r>
    </w:p>
    <w:p w:rsidR="004432AA" w:rsidRPr="007A4159" w:rsidRDefault="004432AA" w:rsidP="004432AA">
      <w:r>
        <w:t>The AusAID-supported PNPM program has not been mentioned here; but at first sight there is a strong parallel between a local credit program and local service delivery, and this should be explored more deeply. The parallel is important not solely in substantive terms, but also in terms of the domestic political support for the PNPM program.</w:t>
      </w:r>
    </w:p>
    <w:p w:rsidR="004432AA" w:rsidRDefault="004432AA" w:rsidP="004432AA">
      <w:r>
        <w:t xml:space="preserve">The religious courts program is a critical part of the AIPJ program. It is firmly embedded in Indonesian state policies and has the strong support of state institutions, both on the executive (Ministry of Home Affairs) and the Judiciary. It is one of the vehicles which </w:t>
      </w:r>
      <w:proofErr w:type="gramStart"/>
      <w:r>
        <w:t>gives</w:t>
      </w:r>
      <w:proofErr w:type="gramEnd"/>
      <w:r>
        <w:t xml:space="preserve"> real substance and meaning to Indonesia-Australia institutional cooperation, notably through the family courts. Australia helped put this program together under the predecessor program IALDF. However, the religious court program faces challenges - coverage of marginalized communities is weak, access remains problematic and the program’s sustainability is in doubt. It is important that the religious court program develop a more comprehensive strategy. To achieve this, it is necessary that the program cooperate closely with other AusAID programs, under AusAID guidance. </w:t>
      </w:r>
    </w:p>
    <w:p w:rsidR="004432AA" w:rsidRDefault="004432AA" w:rsidP="004432AA">
      <w:r>
        <w:t>Bearing in mind previous recommendations on the need to reassess the intended outcomes of AIPJ, if the above example remains one of AIPJ’s cornerstones it could translate into the following tentative action matrix with engagement with all or some of the organisations listed.</w:t>
      </w:r>
    </w:p>
    <w:p w:rsidR="004432AA" w:rsidRDefault="004432AA" w:rsidP="004432AA">
      <w:pPr>
        <w:pStyle w:val="ListParagraph"/>
        <w:numPr>
          <w:ilvl w:val="0"/>
          <w:numId w:val="28"/>
        </w:numPr>
      </w:pPr>
      <w:r>
        <w:t>AIPJ would engage with the authorities on the following topics:</w:t>
      </w:r>
    </w:p>
    <w:p w:rsidR="004432AA" w:rsidRDefault="004432AA" w:rsidP="004432AA">
      <w:pPr>
        <w:pStyle w:val="ListParagraph"/>
        <w:numPr>
          <w:ilvl w:val="1"/>
          <w:numId w:val="28"/>
        </w:numPr>
      </w:pPr>
      <w:r>
        <w:t>Assist in the design of a national program for the efficient processing &amp; issuance of certificates to marginalized communities (which might be called ‘</w:t>
      </w:r>
      <w:r w:rsidRPr="003E1872">
        <w:rPr>
          <w:b/>
        </w:rPr>
        <w:t xml:space="preserve">Program </w:t>
      </w:r>
      <w:proofErr w:type="spellStart"/>
      <w:r w:rsidRPr="003E1872">
        <w:rPr>
          <w:b/>
        </w:rPr>
        <w:t>Sertifikasi</w:t>
      </w:r>
      <w:proofErr w:type="spellEnd"/>
      <w:r w:rsidRPr="003E1872">
        <w:rPr>
          <w:b/>
        </w:rPr>
        <w:t xml:space="preserve"> </w:t>
      </w:r>
      <w:proofErr w:type="spellStart"/>
      <w:r w:rsidRPr="003E1872">
        <w:rPr>
          <w:b/>
        </w:rPr>
        <w:t>Nasional</w:t>
      </w:r>
      <w:proofErr w:type="spellEnd"/>
      <w:r w:rsidRPr="003E1872">
        <w:rPr>
          <w:b/>
        </w:rPr>
        <w:t xml:space="preserve">’ </w:t>
      </w:r>
      <w:r>
        <w:rPr>
          <w:b/>
        </w:rPr>
        <w:t>–</w:t>
      </w:r>
      <w:r w:rsidRPr="003E1872">
        <w:rPr>
          <w:b/>
        </w:rPr>
        <w:t xml:space="preserve"> </w:t>
      </w:r>
      <w:proofErr w:type="spellStart"/>
      <w:r w:rsidRPr="003E1872">
        <w:rPr>
          <w:b/>
        </w:rPr>
        <w:t>ProSerNa</w:t>
      </w:r>
      <w:r>
        <w:rPr>
          <w:b/>
        </w:rPr>
        <w:t>s</w:t>
      </w:r>
      <w:proofErr w:type="spellEnd"/>
      <w:r>
        <w:t>) with MAMPU</w:t>
      </w:r>
    </w:p>
    <w:p w:rsidR="004432AA" w:rsidRDefault="004432AA" w:rsidP="004432AA">
      <w:pPr>
        <w:pStyle w:val="ListParagraph"/>
        <w:numPr>
          <w:ilvl w:val="1"/>
          <w:numId w:val="28"/>
        </w:numPr>
      </w:pPr>
      <w:r>
        <w:lastRenderedPageBreak/>
        <w:t xml:space="preserve">Include within such a program rolling out of a targeted service at local levels, with district wide coverage </w:t>
      </w:r>
      <w:r w:rsidRPr="003E1872">
        <w:rPr>
          <w:b/>
        </w:rPr>
        <w:t>(‘No-one gets left behind’</w:t>
      </w:r>
      <w:r>
        <w:t>) with MAMPU</w:t>
      </w:r>
    </w:p>
    <w:p w:rsidR="004432AA" w:rsidRDefault="004432AA" w:rsidP="004432AA">
      <w:pPr>
        <w:pStyle w:val="ListParagraph"/>
        <w:numPr>
          <w:ilvl w:val="1"/>
          <w:numId w:val="28"/>
        </w:numPr>
      </w:pPr>
      <w:r>
        <w:t>Include within such a program a pre-packaged deal (‘</w:t>
      </w:r>
      <w:proofErr w:type="spellStart"/>
      <w:r w:rsidRPr="003E1872">
        <w:rPr>
          <w:b/>
        </w:rPr>
        <w:t>Satu</w:t>
      </w:r>
      <w:proofErr w:type="spellEnd"/>
      <w:r w:rsidRPr="003E1872">
        <w:rPr>
          <w:b/>
        </w:rPr>
        <w:t xml:space="preserve"> </w:t>
      </w:r>
      <w:proofErr w:type="spellStart"/>
      <w:r w:rsidRPr="003E1872">
        <w:rPr>
          <w:b/>
        </w:rPr>
        <w:t>loket</w:t>
      </w:r>
      <w:proofErr w:type="spellEnd"/>
      <w:r w:rsidRPr="003E1872">
        <w:rPr>
          <w:b/>
        </w:rPr>
        <w:t>’</w:t>
      </w:r>
      <w:r>
        <w:t xml:space="preserve"> – all processes and documents are to be processed on a single day in a single spot) with MAMPU</w:t>
      </w:r>
    </w:p>
    <w:p w:rsidR="004432AA" w:rsidRDefault="004432AA" w:rsidP="004432AA">
      <w:pPr>
        <w:pStyle w:val="ListParagraph"/>
        <w:numPr>
          <w:ilvl w:val="0"/>
          <w:numId w:val="28"/>
        </w:numPr>
      </w:pPr>
      <w:r>
        <w:t>AIPJ would engage with the Judiciary on the following topics:</w:t>
      </w:r>
    </w:p>
    <w:p w:rsidR="004432AA" w:rsidRDefault="004432AA" w:rsidP="004432AA">
      <w:pPr>
        <w:pStyle w:val="ListParagraph"/>
        <w:numPr>
          <w:ilvl w:val="1"/>
          <w:numId w:val="28"/>
        </w:numPr>
      </w:pPr>
      <w:r>
        <w:t>Effect a public expenditure assessment of the religious courts fee waiver program; (with AIPD);</w:t>
      </w:r>
    </w:p>
    <w:p w:rsidR="004432AA" w:rsidRDefault="004432AA" w:rsidP="004432AA">
      <w:pPr>
        <w:pStyle w:val="ListParagraph"/>
        <w:numPr>
          <w:ilvl w:val="1"/>
          <w:numId w:val="28"/>
        </w:numPr>
      </w:pPr>
      <w:r>
        <w:t xml:space="preserve">Assist in designing the legal grounding for the pre-packaged deal. </w:t>
      </w:r>
    </w:p>
    <w:p w:rsidR="004432AA" w:rsidRDefault="004432AA" w:rsidP="004432AA">
      <w:pPr>
        <w:pStyle w:val="ListParagraph"/>
        <w:numPr>
          <w:ilvl w:val="0"/>
          <w:numId w:val="28"/>
        </w:numPr>
      </w:pPr>
      <w:r>
        <w:t>AIPJ would engage with the Ministry of Home Affairs on the following topics:</w:t>
      </w:r>
    </w:p>
    <w:p w:rsidR="004432AA" w:rsidRDefault="004432AA" w:rsidP="004432AA">
      <w:pPr>
        <w:pStyle w:val="ListParagraph"/>
        <w:numPr>
          <w:ilvl w:val="1"/>
          <w:numId w:val="28"/>
        </w:numPr>
      </w:pPr>
      <w:r>
        <w:t xml:space="preserve">Secure support for the </w:t>
      </w:r>
      <w:proofErr w:type="spellStart"/>
      <w:r>
        <w:t>ProSerNas</w:t>
      </w:r>
      <w:proofErr w:type="spellEnd"/>
      <w:r>
        <w:t xml:space="preserve"> (with MAMPU)</w:t>
      </w:r>
    </w:p>
    <w:p w:rsidR="004432AA" w:rsidRDefault="004432AA" w:rsidP="004432AA">
      <w:pPr>
        <w:pStyle w:val="ListParagraph"/>
        <w:numPr>
          <w:ilvl w:val="1"/>
          <w:numId w:val="28"/>
        </w:numPr>
      </w:pPr>
      <w:r>
        <w:t>Secure civil registry cooperation in the pre-packaged deal, including a fee waiver (with MAMPU and AIPD).</w:t>
      </w:r>
    </w:p>
    <w:p w:rsidR="004432AA" w:rsidRDefault="004432AA" w:rsidP="004432AA">
      <w:pPr>
        <w:pStyle w:val="ListParagraph"/>
        <w:numPr>
          <w:ilvl w:val="0"/>
          <w:numId w:val="28"/>
        </w:numPr>
      </w:pPr>
      <w:r>
        <w:t>AIPJ would engage with local civil society on the following topics:</w:t>
      </w:r>
    </w:p>
    <w:p w:rsidR="004432AA" w:rsidRDefault="004432AA" w:rsidP="004432AA">
      <w:pPr>
        <w:pStyle w:val="ListParagraph"/>
        <w:numPr>
          <w:ilvl w:val="1"/>
          <w:numId w:val="28"/>
        </w:numPr>
      </w:pPr>
      <w:r>
        <w:t>Establish a local presence (with ACCESS, AIPD, MAMPU);</w:t>
      </w:r>
    </w:p>
    <w:p w:rsidR="004432AA" w:rsidRDefault="004432AA" w:rsidP="004432AA">
      <w:pPr>
        <w:pStyle w:val="ListParagraph"/>
        <w:numPr>
          <w:ilvl w:val="1"/>
          <w:numId w:val="28"/>
        </w:numPr>
      </w:pPr>
      <w:r>
        <w:t>Develop a network of CSOs in the regions with a single platform (with ACCESS &amp; MAMPU);</w:t>
      </w:r>
    </w:p>
    <w:p w:rsidR="004432AA" w:rsidRDefault="004432AA" w:rsidP="004432AA">
      <w:pPr>
        <w:pStyle w:val="ListParagraph"/>
        <w:numPr>
          <w:ilvl w:val="1"/>
          <w:numId w:val="28"/>
        </w:numPr>
      </w:pPr>
      <w:r>
        <w:t>Facilitate structured inter-action between the CSO network and the courts and local authorities (with ACCESS &amp; MAMPU);</w:t>
      </w:r>
    </w:p>
    <w:p w:rsidR="004432AA" w:rsidRDefault="00D56499" w:rsidP="004432AA">
      <w:pPr>
        <w:pStyle w:val="ListParagraph"/>
        <w:numPr>
          <w:ilvl w:val="1"/>
          <w:numId w:val="28"/>
        </w:numPr>
      </w:pPr>
      <w:r>
        <w:t>Creating an inventory of</w:t>
      </w:r>
      <w:r w:rsidR="004432AA">
        <w:t xml:space="preserve"> effectiveness and coverage at the village level (supporting ACCESS in cross-funding)</w:t>
      </w:r>
    </w:p>
    <w:p w:rsidR="004432AA" w:rsidRDefault="004432AA" w:rsidP="004432AA">
      <w:pPr>
        <w:pStyle w:val="ListParagraph"/>
        <w:numPr>
          <w:ilvl w:val="0"/>
          <w:numId w:val="28"/>
        </w:numPr>
      </w:pPr>
      <w:r>
        <w:t>AIPJ would engage with local universities on the following topics:</w:t>
      </w:r>
    </w:p>
    <w:p w:rsidR="004432AA" w:rsidRDefault="004432AA" w:rsidP="004432AA">
      <w:pPr>
        <w:pStyle w:val="ListParagraph"/>
        <w:numPr>
          <w:ilvl w:val="1"/>
          <w:numId w:val="28"/>
        </w:numPr>
      </w:pPr>
      <w:r>
        <w:t>Design local research programs on local courts, particularly the local implementation of the religious courts program (with ACCESS, MAMPU, the Knowledge Sector)</w:t>
      </w:r>
    </w:p>
    <w:p w:rsidR="004432AA" w:rsidRDefault="004432AA" w:rsidP="004432AA">
      <w:pPr>
        <w:pStyle w:val="ListParagraph"/>
        <w:numPr>
          <w:ilvl w:val="1"/>
          <w:numId w:val="28"/>
        </w:numPr>
      </w:pPr>
      <w:r>
        <w:t>Conduct regular seminars at local &amp; national levels with data and results feed-back (with ACCESS, MAMPU, the Knowledge Sector)</w:t>
      </w:r>
    </w:p>
    <w:p w:rsidR="004432AA" w:rsidRDefault="004432AA" w:rsidP="004432AA">
      <w:pPr>
        <w:pStyle w:val="ListParagraph"/>
        <w:numPr>
          <w:ilvl w:val="1"/>
          <w:numId w:val="28"/>
        </w:numPr>
      </w:pPr>
      <w:r>
        <w:t>Establish a routine working rapport between the CSO network and universities (with ACCESS, MAMPU, and the Knowledge Sector).</w:t>
      </w:r>
    </w:p>
    <w:p w:rsidR="004432AA" w:rsidRDefault="004432AA" w:rsidP="004432AA"/>
    <w:p w:rsidR="004432AA" w:rsidRDefault="004432AA" w:rsidP="004432AA"/>
    <w:p w:rsidR="004432AA" w:rsidRPr="00374C0B" w:rsidRDefault="004432AA" w:rsidP="00D01A38">
      <w:pPr>
        <w:rPr>
          <w:b/>
        </w:rPr>
      </w:pPr>
    </w:p>
    <w:p w:rsidR="00C30FA9" w:rsidRDefault="00C30FA9"/>
    <w:sectPr w:rsidR="00C30FA9" w:rsidSect="00845AD0">
      <w:pgSz w:w="12240" w:h="15840"/>
      <w:pgMar w:top="1134" w:right="1440"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21" w:rsidRDefault="00E72021" w:rsidP="005B1CBB">
      <w:pPr>
        <w:spacing w:after="0" w:line="240" w:lineRule="auto"/>
      </w:pPr>
      <w:r>
        <w:separator/>
      </w:r>
    </w:p>
  </w:endnote>
  <w:endnote w:type="continuationSeparator" w:id="0">
    <w:p w:rsidR="00E72021" w:rsidRDefault="00E72021" w:rsidP="005B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00000003" w:usb1="00000000" w:usb2="00000000" w:usb3="00000000" w:csb0="00000001" w:csb1="00000000"/>
  </w:font>
  <w:font w:name="MetaSerifOT-Book">
    <w:altName w:val="MetaSerifOT-Book"/>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359"/>
      <w:docPartObj>
        <w:docPartGallery w:val="Page Numbers (Bottom of Page)"/>
        <w:docPartUnique/>
      </w:docPartObj>
    </w:sdtPr>
    <w:sdtEndPr/>
    <w:sdtContent>
      <w:p w:rsidR="00E72021" w:rsidRDefault="00E72021">
        <w:pPr>
          <w:pStyle w:val="Footer"/>
          <w:jc w:val="center"/>
        </w:pPr>
        <w:r>
          <w:fldChar w:fldCharType="begin"/>
        </w:r>
        <w:r>
          <w:instrText xml:space="preserve"> PAGE   \* MERGEFORMAT </w:instrText>
        </w:r>
        <w:r>
          <w:fldChar w:fldCharType="separate"/>
        </w:r>
        <w:r w:rsidR="007E3BFF">
          <w:rPr>
            <w:noProof/>
          </w:rPr>
          <w:t>27</w:t>
        </w:r>
        <w:r>
          <w:rPr>
            <w:noProof/>
          </w:rPr>
          <w:fldChar w:fldCharType="end"/>
        </w:r>
      </w:p>
    </w:sdtContent>
  </w:sdt>
  <w:p w:rsidR="00E72021" w:rsidRDefault="00E72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21" w:rsidRDefault="00E72021" w:rsidP="005B1CBB">
      <w:pPr>
        <w:spacing w:after="0" w:line="240" w:lineRule="auto"/>
      </w:pPr>
      <w:r>
        <w:separator/>
      </w:r>
    </w:p>
  </w:footnote>
  <w:footnote w:type="continuationSeparator" w:id="0">
    <w:p w:rsidR="00E72021" w:rsidRDefault="00E72021" w:rsidP="005B1CBB">
      <w:pPr>
        <w:spacing w:after="0" w:line="240" w:lineRule="auto"/>
      </w:pPr>
      <w:r>
        <w:continuationSeparator/>
      </w:r>
    </w:p>
  </w:footnote>
  <w:footnote w:id="1">
    <w:p w:rsidR="00E72021" w:rsidRPr="00920EE7" w:rsidRDefault="00E72021" w:rsidP="005B1CBB">
      <w:pPr>
        <w:rPr>
          <w:rFonts w:ascii="Calibri" w:eastAsia="Times New Roman" w:hAnsi="Calibri" w:cs="Times New Roman"/>
          <w:color w:val="000000"/>
          <w:sz w:val="20"/>
          <w:szCs w:val="20"/>
        </w:rPr>
      </w:pPr>
      <w:r w:rsidRPr="004B0F7D">
        <w:rPr>
          <w:rStyle w:val="FootnoteReference"/>
          <w:sz w:val="20"/>
          <w:szCs w:val="20"/>
        </w:rPr>
        <w:footnoteRef/>
      </w:r>
      <w:proofErr w:type="gramStart"/>
      <w:r w:rsidRPr="009F69A2">
        <w:rPr>
          <w:rFonts w:ascii="Calibri" w:eastAsia="Times New Roman" w:hAnsi="Calibri" w:cs="Times New Roman"/>
          <w:sz w:val="20"/>
          <w:szCs w:val="20"/>
        </w:rPr>
        <w:t>Consistent with t</w:t>
      </w:r>
      <w:r w:rsidRPr="009F69A2">
        <w:rPr>
          <w:rFonts w:ascii="Calibri" w:eastAsia="Times New Roman" w:hAnsi="Calibri" w:cs="Times New Roman"/>
          <w:color w:val="000000"/>
          <w:sz w:val="20"/>
          <w:szCs w:val="20"/>
        </w:rPr>
        <w:t xml:space="preserve">he fundamental purpose of Australian aid </w:t>
      </w:r>
      <w:r w:rsidRPr="009F69A2">
        <w:rPr>
          <w:color w:val="000000"/>
          <w:sz w:val="20"/>
          <w:szCs w:val="20"/>
        </w:rPr>
        <w:t xml:space="preserve">–to </w:t>
      </w:r>
      <w:r w:rsidRPr="009F69A2">
        <w:rPr>
          <w:rFonts w:ascii="Calibri" w:eastAsia="Times New Roman" w:hAnsi="Calibri" w:cs="Times New Roman"/>
          <w:color w:val="000000"/>
          <w:sz w:val="20"/>
          <w:szCs w:val="20"/>
        </w:rPr>
        <w:t>help people overcome poverty.</w:t>
      </w:r>
      <w:proofErr w:type="gramEnd"/>
      <w:r w:rsidRPr="009F69A2">
        <w:rPr>
          <w:rFonts w:ascii="Calibri" w:eastAsia="Times New Roman" w:hAnsi="Calibri" w:cs="Times New Roman"/>
          <w:color w:val="000000"/>
          <w:sz w:val="20"/>
          <w:szCs w:val="20"/>
        </w:rPr>
        <w:t xml:space="preserve"> </w:t>
      </w:r>
      <w:r w:rsidRPr="009F69A2">
        <w:rPr>
          <w:color w:val="000000"/>
          <w:sz w:val="20"/>
          <w:szCs w:val="20"/>
        </w:rPr>
        <w:t>See:</w:t>
      </w:r>
      <w:r w:rsidRPr="009F69A2">
        <w:rPr>
          <w:rStyle w:val="A01"/>
          <w:b w:val="0"/>
          <w:bCs w:val="0"/>
          <w:i/>
          <w:sz w:val="20"/>
          <w:szCs w:val="20"/>
        </w:rPr>
        <w:t xml:space="preserve"> An Effective Aid Program for Australia </w:t>
      </w:r>
      <w:proofErr w:type="gramStart"/>
      <w:r w:rsidRPr="009F69A2">
        <w:rPr>
          <w:rStyle w:val="A01"/>
          <w:b w:val="0"/>
          <w:bCs w:val="0"/>
          <w:i/>
          <w:sz w:val="20"/>
          <w:szCs w:val="20"/>
        </w:rPr>
        <w:t>Making</w:t>
      </w:r>
      <w:proofErr w:type="gramEnd"/>
      <w:r w:rsidRPr="009F69A2">
        <w:rPr>
          <w:rStyle w:val="A01"/>
          <w:b w:val="0"/>
          <w:i/>
          <w:sz w:val="20"/>
          <w:szCs w:val="20"/>
        </w:rPr>
        <w:t xml:space="preserve"> a real difference—delivering real results.</w:t>
      </w:r>
    </w:p>
  </w:footnote>
  <w:footnote w:id="2">
    <w:p w:rsidR="00E72021" w:rsidRDefault="00E72021" w:rsidP="001E2FE8">
      <w:pPr>
        <w:pStyle w:val="FootnoteText"/>
      </w:pPr>
      <w:r>
        <w:rPr>
          <w:rStyle w:val="FootnoteReference"/>
        </w:rPr>
        <w:footnoteRef/>
      </w:r>
      <w:r>
        <w:t xml:space="preserve"> AIPJ Design Document July 2010</w:t>
      </w:r>
    </w:p>
  </w:footnote>
  <w:footnote w:id="3">
    <w:p w:rsidR="00E72021" w:rsidRDefault="00E72021" w:rsidP="00456BDF">
      <w:pPr>
        <w:pStyle w:val="FootnoteText"/>
      </w:pPr>
      <w:r>
        <w:rPr>
          <w:rStyle w:val="FootnoteReference"/>
        </w:rPr>
        <w:footnoteRef/>
      </w:r>
      <w:r>
        <w:t xml:space="preserve"> The mission is a brief description of the program’s fundamental purpose. Every business should have a mission statement, both as a way of ensuring that everyone in the organization is "on the same page" and to serve as a baseline for effective business planning.</w:t>
      </w:r>
    </w:p>
    <w:p w:rsidR="00E72021" w:rsidRDefault="00E72021">
      <w:pPr>
        <w:pStyle w:val="FootnoteText"/>
      </w:pPr>
    </w:p>
  </w:footnote>
  <w:footnote w:id="4">
    <w:p w:rsidR="00E72021" w:rsidRDefault="00E72021" w:rsidP="005742E9">
      <w:pPr>
        <w:pStyle w:val="FootnoteText"/>
      </w:pPr>
      <w:r>
        <w:rPr>
          <w:rStyle w:val="FootnoteReference"/>
        </w:rPr>
        <w:footnoteRef/>
      </w:r>
      <w:r w:rsidRPr="004D72F8">
        <w:rPr>
          <w:sz w:val="18"/>
          <w:szCs w:val="18"/>
          <w:lang w:val="en-US"/>
        </w:rPr>
        <w:t xml:space="preserve">This includes </w:t>
      </w:r>
      <w:r w:rsidRPr="00374C0B">
        <w:rPr>
          <w:sz w:val="18"/>
          <w:szCs w:val="18"/>
          <w:lang w:val="en-US"/>
        </w:rPr>
        <w:t>the Australian Community Development and Civil Society Strengthening Program (ACCESS)</w:t>
      </w:r>
      <w:r w:rsidRPr="004D72F8">
        <w:rPr>
          <w:sz w:val="18"/>
          <w:szCs w:val="18"/>
          <w:lang w:val="en-US"/>
        </w:rPr>
        <w:t xml:space="preserve">, </w:t>
      </w:r>
      <w:r w:rsidRPr="00374C0B">
        <w:rPr>
          <w:sz w:val="18"/>
          <w:szCs w:val="18"/>
          <w:lang w:val="en-US"/>
        </w:rPr>
        <w:t xml:space="preserve">the Australia Indonesia Partnership for </w:t>
      </w:r>
      <w:proofErr w:type="spellStart"/>
      <w:r w:rsidRPr="00374C0B">
        <w:rPr>
          <w:sz w:val="18"/>
          <w:szCs w:val="18"/>
          <w:lang w:val="en-US"/>
        </w:rPr>
        <w:t>Decentralisation</w:t>
      </w:r>
      <w:proofErr w:type="spellEnd"/>
      <w:r w:rsidRPr="00374C0B">
        <w:rPr>
          <w:sz w:val="18"/>
          <w:szCs w:val="18"/>
          <w:lang w:val="en-US"/>
        </w:rPr>
        <w:t xml:space="preserve"> (AIPD)</w:t>
      </w:r>
      <w:r w:rsidRPr="004D72F8">
        <w:rPr>
          <w:sz w:val="18"/>
          <w:szCs w:val="18"/>
          <w:lang w:val="en-US"/>
        </w:rPr>
        <w:t xml:space="preserve">, </w:t>
      </w:r>
      <w:r>
        <w:rPr>
          <w:sz w:val="18"/>
          <w:szCs w:val="18"/>
          <w:lang w:val="en-US"/>
        </w:rPr>
        <w:t>the Empowering Women for Poverty Reduction program (</w:t>
      </w:r>
      <w:r w:rsidRPr="004D72F8">
        <w:rPr>
          <w:sz w:val="18"/>
          <w:szCs w:val="18"/>
          <w:lang w:val="en-US"/>
        </w:rPr>
        <w:t>MAMPU</w:t>
      </w:r>
      <w:r>
        <w:rPr>
          <w:sz w:val="18"/>
          <w:szCs w:val="18"/>
          <w:lang w:val="en-US"/>
        </w:rPr>
        <w:t>)</w:t>
      </w:r>
      <w:r w:rsidRPr="004D72F8">
        <w:rPr>
          <w:sz w:val="18"/>
          <w:szCs w:val="18"/>
          <w:lang w:val="en-US"/>
        </w:rPr>
        <w:t>, the Knowledge Sector</w:t>
      </w:r>
      <w:r>
        <w:rPr>
          <w:sz w:val="18"/>
          <w:szCs w:val="18"/>
          <w:lang w:val="en-US"/>
        </w:rPr>
        <w:t xml:space="preserve"> </w:t>
      </w:r>
      <w:r w:rsidRPr="004D72F8">
        <w:rPr>
          <w:sz w:val="18"/>
          <w:szCs w:val="18"/>
          <w:lang w:val="en-US"/>
        </w:rPr>
        <w:t>Social Protection, Decentralization,</w:t>
      </w:r>
      <w:r>
        <w:rPr>
          <w:sz w:val="18"/>
          <w:szCs w:val="18"/>
          <w:lang w:val="en-US"/>
        </w:rPr>
        <w:t xml:space="preserve"> and the Ombudsman Partnership.</w:t>
      </w:r>
    </w:p>
  </w:footnote>
  <w:footnote w:id="5">
    <w:p w:rsidR="00E72021" w:rsidRPr="007A7E07" w:rsidRDefault="00E72021" w:rsidP="005742E9">
      <w:pPr>
        <w:pStyle w:val="FootnoteText"/>
        <w:rPr>
          <w:lang w:val="en-US"/>
        </w:rPr>
      </w:pPr>
      <w:r>
        <w:rPr>
          <w:rStyle w:val="FootnoteReference"/>
        </w:rPr>
        <w:footnoteRef/>
      </w:r>
      <w:proofErr w:type="gramStart"/>
      <w:r>
        <w:rPr>
          <w:sz w:val="18"/>
          <w:szCs w:val="18"/>
          <w:lang w:val="en-US"/>
        </w:rPr>
        <w:t>N</w:t>
      </w:r>
      <w:r w:rsidRPr="004D72F8">
        <w:rPr>
          <w:sz w:val="18"/>
          <w:szCs w:val="18"/>
          <w:lang w:val="en-US"/>
        </w:rPr>
        <w:t xml:space="preserve">otably TAF and </w:t>
      </w:r>
      <w:r>
        <w:rPr>
          <w:sz w:val="18"/>
          <w:szCs w:val="18"/>
          <w:lang w:val="en-US"/>
        </w:rPr>
        <w:t xml:space="preserve">other donor-funded programs such as </w:t>
      </w:r>
      <w:r w:rsidRPr="004D72F8">
        <w:rPr>
          <w:sz w:val="18"/>
          <w:szCs w:val="18"/>
          <w:lang w:val="en-US"/>
        </w:rPr>
        <w:t xml:space="preserve">Justice for the Poor </w:t>
      </w:r>
      <w:r>
        <w:rPr>
          <w:sz w:val="18"/>
          <w:szCs w:val="18"/>
          <w:lang w:val="en-US"/>
        </w:rPr>
        <w:t xml:space="preserve">and PNPM </w:t>
      </w:r>
      <w:r w:rsidRPr="004D72F8">
        <w:rPr>
          <w:sz w:val="18"/>
          <w:szCs w:val="18"/>
          <w:lang w:val="en-US"/>
        </w:rPr>
        <w:t>(the World Bank).</w:t>
      </w:r>
      <w:proofErr w:type="gramEnd"/>
    </w:p>
  </w:footnote>
  <w:footnote w:id="6">
    <w:p w:rsidR="00E72021" w:rsidRDefault="00E72021" w:rsidP="005B1CBB">
      <w:pPr>
        <w:pStyle w:val="FootnoteText"/>
      </w:pPr>
      <w:r w:rsidRPr="007D5B85">
        <w:rPr>
          <w:rStyle w:val="FootnoteReference"/>
        </w:rPr>
        <w:footnoteRef/>
      </w:r>
      <w:r w:rsidRPr="007D5B85">
        <w:t xml:space="preserve"> For the purposes of this report the term ‘Partnership’ or ‘AIPJ’ is used to denote the formal Government to Government partnership between </w:t>
      </w:r>
      <w:proofErr w:type="spellStart"/>
      <w:r w:rsidRPr="007D5B85">
        <w:t>GoA</w:t>
      </w:r>
      <w:proofErr w:type="spellEnd"/>
      <w:r w:rsidRPr="007D5B85">
        <w:t xml:space="preserve"> and </w:t>
      </w:r>
      <w:proofErr w:type="spellStart"/>
      <w:r w:rsidRPr="007D5B85">
        <w:t>GoI</w:t>
      </w:r>
      <w:proofErr w:type="spellEnd"/>
      <w:r w:rsidRPr="007D5B85">
        <w:t xml:space="preserve"> represented by AusAID and </w:t>
      </w:r>
      <w:proofErr w:type="spellStart"/>
      <w:r w:rsidRPr="007D5B85">
        <w:t>Bappenas</w:t>
      </w:r>
      <w:proofErr w:type="spellEnd"/>
      <w:r w:rsidRPr="007D5B85">
        <w:t xml:space="preserve"> respectively. It is this high-level relationship that sustains and maintains the objectives and goals of the program.</w:t>
      </w:r>
    </w:p>
  </w:footnote>
  <w:footnote w:id="7">
    <w:p w:rsidR="00E72021" w:rsidRPr="00E93453" w:rsidRDefault="00E72021" w:rsidP="005B1CBB">
      <w:pPr>
        <w:rPr>
          <w:rFonts w:ascii="Calibri" w:eastAsia="Times New Roman" w:hAnsi="Calibri" w:cs="Times New Roman"/>
          <w:color w:val="000000"/>
          <w:sz w:val="20"/>
          <w:szCs w:val="20"/>
        </w:rPr>
      </w:pPr>
      <w:r w:rsidRPr="004B0F7D">
        <w:rPr>
          <w:rStyle w:val="FootnoteReference"/>
          <w:rFonts w:ascii="Calibri" w:eastAsia="Times New Roman" w:hAnsi="Calibri"/>
          <w:sz w:val="20"/>
          <w:szCs w:val="20"/>
        </w:rPr>
        <w:footnoteRef/>
      </w:r>
      <w:r w:rsidRPr="004B0F7D">
        <w:rPr>
          <w:rFonts w:ascii="Calibri" w:eastAsia="Times New Roman" w:hAnsi="Calibri" w:cs="Times New Roman"/>
          <w:sz w:val="20"/>
          <w:szCs w:val="20"/>
        </w:rPr>
        <w:t xml:space="preserve"> Important to note this requirement from </w:t>
      </w:r>
      <w:r>
        <w:rPr>
          <w:rFonts w:ascii="Calibri" w:eastAsia="Times New Roman" w:hAnsi="Calibri" w:cs="Times New Roman"/>
          <w:sz w:val="20"/>
          <w:szCs w:val="20"/>
        </w:rPr>
        <w:t>the terms of reference</w:t>
      </w:r>
      <w:r w:rsidRPr="004B0F7D">
        <w:rPr>
          <w:rFonts w:ascii="Calibri" w:eastAsia="Times New Roman" w:hAnsi="Calibri" w:cs="Times New Roman"/>
          <w:sz w:val="20"/>
          <w:szCs w:val="20"/>
        </w:rPr>
        <w:t xml:space="preserve"> is consistent with t</w:t>
      </w:r>
      <w:r w:rsidRPr="004B0F7D">
        <w:rPr>
          <w:rFonts w:ascii="Calibri" w:eastAsia="Times New Roman" w:hAnsi="Calibri" w:cs="Times New Roman"/>
          <w:color w:val="000000"/>
          <w:sz w:val="20"/>
          <w:szCs w:val="20"/>
        </w:rPr>
        <w:t>he fundamental purpose of Australian aid - help people overcome poverty. See</w:t>
      </w:r>
      <w:r>
        <w:rPr>
          <w:color w:val="000000"/>
          <w:sz w:val="20"/>
          <w:szCs w:val="20"/>
        </w:rPr>
        <w:t xml:space="preserve">: </w:t>
      </w:r>
      <w:r w:rsidRPr="00E93453">
        <w:rPr>
          <w:rStyle w:val="A01"/>
          <w:rFonts w:ascii="Calibri" w:eastAsia="Times New Roman" w:hAnsi="Calibri" w:cs="Times New Roman"/>
          <w:b w:val="0"/>
          <w:bCs w:val="0"/>
          <w:i/>
          <w:sz w:val="20"/>
          <w:szCs w:val="20"/>
        </w:rPr>
        <w:t xml:space="preserve">An Effective Aid Program for Australia </w:t>
      </w:r>
      <w:proofErr w:type="gramStart"/>
      <w:r w:rsidRPr="00E93453">
        <w:rPr>
          <w:rStyle w:val="A01"/>
          <w:rFonts w:ascii="Calibri" w:eastAsia="Times New Roman" w:hAnsi="Calibri" w:cs="Times New Roman"/>
          <w:b w:val="0"/>
          <w:bCs w:val="0"/>
          <w:i/>
          <w:sz w:val="20"/>
          <w:szCs w:val="20"/>
        </w:rPr>
        <w:t>Making</w:t>
      </w:r>
      <w:proofErr w:type="gramEnd"/>
      <w:r w:rsidRPr="00E93453">
        <w:rPr>
          <w:rStyle w:val="A01"/>
          <w:rFonts w:ascii="Calibri" w:eastAsia="Times New Roman" w:hAnsi="Calibri" w:cs="Times New Roman"/>
          <w:i/>
          <w:sz w:val="20"/>
          <w:szCs w:val="20"/>
        </w:rPr>
        <w:t xml:space="preserve"> a real difference—delivering real results.</w:t>
      </w:r>
    </w:p>
  </w:footnote>
  <w:footnote w:id="8">
    <w:p w:rsidR="00E72021" w:rsidRDefault="00E72021" w:rsidP="00B77EB7">
      <w:pPr>
        <w:pStyle w:val="FootnoteText"/>
      </w:pPr>
      <w:r>
        <w:rPr>
          <w:rStyle w:val="FootnoteReference"/>
        </w:rPr>
        <w:footnoteRef/>
      </w:r>
      <w:proofErr w:type="gramStart"/>
      <w:r>
        <w:t>ODE Evaluation of Australian Law and Justice Assistance, Indonesia Case Study at p 28.</w:t>
      </w:r>
      <w:proofErr w:type="gramEnd"/>
    </w:p>
  </w:footnote>
  <w:footnote w:id="9">
    <w:p w:rsidR="00E72021" w:rsidRDefault="00E72021">
      <w:pPr>
        <w:pStyle w:val="FootnoteText"/>
      </w:pPr>
      <w:r>
        <w:rPr>
          <w:rStyle w:val="FootnoteReference"/>
        </w:rPr>
        <w:footnoteRef/>
      </w:r>
      <w:r>
        <w:t xml:space="preserve"> The Review Team’s visit to Lombok provided sufficient evidence to suggest this strategy has positive possibility. </w:t>
      </w:r>
    </w:p>
  </w:footnote>
  <w:footnote w:id="10">
    <w:p w:rsidR="00E72021" w:rsidRDefault="00E72021" w:rsidP="00E14934">
      <w:pPr>
        <w:pStyle w:val="FootnoteText"/>
      </w:pPr>
      <w:r>
        <w:rPr>
          <w:rStyle w:val="FootnoteReference"/>
        </w:rPr>
        <w:footnoteRef/>
      </w:r>
      <w:r>
        <w:t xml:space="preserve"> The </w:t>
      </w:r>
      <w:r>
        <w:rPr>
          <w:rFonts w:cstheme="minorHAnsi"/>
        </w:rPr>
        <w:t xml:space="preserve">PD and ISP </w:t>
      </w:r>
      <w:r>
        <w:t xml:space="preserve">should also provide advice to AusAID and </w:t>
      </w:r>
      <w:proofErr w:type="spellStart"/>
      <w:r>
        <w:t>Bappenas</w:t>
      </w:r>
      <w:proofErr w:type="spellEnd"/>
      <w:r>
        <w:t xml:space="preserve"> to assist in the development of the policy.</w:t>
      </w:r>
    </w:p>
  </w:footnote>
  <w:footnote w:id="11">
    <w:p w:rsidR="00E72021" w:rsidRDefault="00E72021" w:rsidP="00D31068">
      <w:pPr>
        <w:pStyle w:val="FootnoteText"/>
      </w:pPr>
      <w:r>
        <w:rPr>
          <w:rStyle w:val="FootnoteReference"/>
        </w:rPr>
        <w:footnoteRef/>
      </w:r>
      <w:r>
        <w:t xml:space="preserve"> AusAID (November 2011) </w:t>
      </w:r>
      <w:r w:rsidRPr="005E7E41">
        <w:rPr>
          <w:i/>
        </w:rPr>
        <w:t xml:space="preserve">Effective Governance Thematic Strategy </w:t>
      </w:r>
      <w:r>
        <w:t xml:space="preserve">at p 16 </w:t>
      </w:r>
      <w:hyperlink r:id="rId1" w:history="1">
        <w:r w:rsidRPr="00625974">
          <w:rPr>
            <w:rStyle w:val="Hyperlink"/>
            <w:rFonts w:cstheme="minorBidi"/>
          </w:rPr>
          <w:t>http://www.ausaid.gov.au/aidissues/Documents/thematic-strategies/governance-strategy.pdf</w:t>
        </w:r>
      </w:hyperlink>
      <w:r>
        <w:t xml:space="preserve"> </w:t>
      </w:r>
    </w:p>
  </w:footnote>
  <w:footnote w:id="12">
    <w:p w:rsidR="00E72021" w:rsidRPr="00EE214A" w:rsidRDefault="00E72021" w:rsidP="00D31068">
      <w:pPr>
        <w:pStyle w:val="FootnoteText"/>
        <w:rPr>
          <w:i/>
        </w:rPr>
      </w:pPr>
      <w:r>
        <w:rPr>
          <w:rStyle w:val="FootnoteReference"/>
        </w:rPr>
        <w:footnoteRef/>
      </w:r>
      <w:r>
        <w:t xml:space="preserve">This understanding of ‘beneficiaries’ also means that the program should begin and end with an analysis of the needs of marginalised groups.  It should be noted however that the AIPJ Annual Plan 2012 at p 6 seems to adopt a different approach: </w:t>
      </w:r>
      <w:r w:rsidRPr="002141AE">
        <w:rPr>
          <w:i/>
        </w:rPr>
        <w:t>‘AIPJ has adopted a ‘universalist’ approach to the needs of the marginalised.  …. Taking the needs of the marginalised as the starting points would result in a disjointed approach, would not be in keeping with partners’ preferred approach, and would be likely to produce separate systems which would be neither effective nor sustainable.  Reforms to benefit marginalised groups can only be implemented if they are initiated (or at the very least endorsed) by central institutions.’</w:t>
      </w:r>
    </w:p>
  </w:footnote>
  <w:footnote w:id="13">
    <w:p w:rsidR="00E72021" w:rsidRDefault="00E72021" w:rsidP="005B1CBB">
      <w:pPr>
        <w:pStyle w:val="FootnoteText"/>
      </w:pPr>
      <w:r>
        <w:rPr>
          <w:rStyle w:val="FootnoteReference"/>
        </w:rPr>
        <w:footnoteRef/>
      </w:r>
      <w:r>
        <w:t xml:space="preserve"> Some members of the AIPJ management team indicated they believed they were bound by the Design and further believed they were unable to contemplate other activities which they interpreted to be outside the design.</w:t>
      </w:r>
    </w:p>
  </w:footnote>
  <w:footnote w:id="14">
    <w:p w:rsidR="00E72021" w:rsidRDefault="00E72021">
      <w:pPr>
        <w:pStyle w:val="FootnoteText"/>
      </w:pPr>
      <w:r>
        <w:rPr>
          <w:rStyle w:val="FootnoteReference"/>
        </w:rPr>
        <w:footnoteRef/>
      </w:r>
      <w:r>
        <w:t xml:space="preserve"> See e.g. </w:t>
      </w:r>
      <w:hyperlink r:id="rId2" w:history="1">
        <w:r w:rsidRPr="00060846">
          <w:rPr>
            <w:rStyle w:val="Hyperlink"/>
            <w:rFonts w:cstheme="minorBidi"/>
          </w:rPr>
          <w:t>http://www.ausaid.gov.au/business/Documents/hrgs-projects-10-11.pdf</w:t>
        </w:r>
      </w:hyperlink>
    </w:p>
  </w:footnote>
  <w:footnote w:id="15">
    <w:p w:rsidR="00E72021" w:rsidRDefault="00E72021" w:rsidP="0050608B">
      <w:pPr>
        <w:pStyle w:val="FootnoteText"/>
      </w:pPr>
      <w:r>
        <w:rPr>
          <w:rStyle w:val="FootnoteReference"/>
        </w:rPr>
        <w:footnoteRef/>
      </w:r>
      <w:r>
        <w:t xml:space="preserve"> Through consultations with the partners and with limited time with the staff themselves, the Review Team concluded the staff generally, seemed to be focused on their own particular area rather than being involved more holistically across the AIPJ program.    </w:t>
      </w:r>
    </w:p>
  </w:footnote>
  <w:footnote w:id="16">
    <w:p w:rsidR="00E72021" w:rsidRDefault="00E72021">
      <w:pPr>
        <w:pStyle w:val="FootnoteText"/>
      </w:pPr>
      <w:r>
        <w:rPr>
          <w:rStyle w:val="FootnoteReference"/>
        </w:rPr>
        <w:footnoteRef/>
      </w:r>
      <w:r>
        <w:t xml:space="preserve"> Once identified as suitable, available individuals could be engaged on a needs basis. They could for example, be consulted at particular times during the management annual cycle. This could be during strategic planning, activity development, budget development and assess M&amp;E etc. </w:t>
      </w:r>
    </w:p>
  </w:footnote>
  <w:footnote w:id="17">
    <w:p w:rsidR="00E72021" w:rsidRDefault="00E72021" w:rsidP="00FA34AF">
      <w:pPr>
        <w:pStyle w:val="FootnoteText"/>
      </w:pPr>
      <w:r>
        <w:rPr>
          <w:rStyle w:val="FootnoteReference"/>
        </w:rPr>
        <w:footnoteRef/>
      </w:r>
      <w:r>
        <w:t xml:space="preserve"> The Design indicates the Board is co-chaired by </w:t>
      </w:r>
      <w:proofErr w:type="spellStart"/>
      <w:r>
        <w:t>AusAID’s</w:t>
      </w:r>
      <w:proofErr w:type="spellEnd"/>
      <w:r>
        <w:t xml:space="preserve"> Minister </w:t>
      </w:r>
      <w:r w:rsidRPr="000963E8">
        <w:t>Counsellor</w:t>
      </w:r>
      <w:r>
        <w:t xml:space="preserve"> and a senior representative of </w:t>
      </w:r>
      <w:proofErr w:type="spellStart"/>
      <w:r>
        <w:t>Bappenas</w:t>
      </w:r>
      <w:proofErr w:type="spellEnd"/>
      <w:r>
        <w:t xml:space="preserve"> and </w:t>
      </w:r>
      <w:r w:rsidRPr="000963E8">
        <w:t>comprises</w:t>
      </w:r>
      <w:r>
        <w:t xml:space="preserve"> ex officio representatives of the Indonesian judiciary, </w:t>
      </w:r>
      <w:proofErr w:type="spellStart"/>
      <w:r>
        <w:t>GoI</w:t>
      </w:r>
      <w:proofErr w:type="spellEnd"/>
      <w:r>
        <w:t xml:space="preserve">, </w:t>
      </w:r>
      <w:proofErr w:type="spellStart"/>
      <w:r>
        <w:t>GoA</w:t>
      </w:r>
      <w:proofErr w:type="spellEnd"/>
      <w:r>
        <w:t xml:space="preserve"> (including Attorney- General’s Department and DFAT, the Indonesian National Human Rights Commissions and Indonesian civil society.  </w:t>
      </w:r>
    </w:p>
  </w:footnote>
  <w:footnote w:id="18">
    <w:p w:rsidR="00E72021" w:rsidRPr="00755FC9" w:rsidRDefault="00E72021" w:rsidP="001562EB">
      <w:pPr>
        <w:pStyle w:val="FootnoteText"/>
      </w:pPr>
      <w:r w:rsidRPr="00755FC9">
        <w:rPr>
          <w:rStyle w:val="FootnoteReference"/>
        </w:rPr>
        <w:footnoteRef/>
      </w:r>
      <w:hyperlink r:id="rId3" w:history="1">
        <w:r w:rsidRPr="00755FC9">
          <w:rPr>
            <w:rStyle w:val="Hyperlink"/>
            <w:rFonts w:ascii="Calibri" w:hAnsi="Calibri" w:cs="Calibri"/>
          </w:rPr>
          <w:t>http://www.idlo.int/english/WhoWeAre/Pages/Home.aspx</w:t>
        </w:r>
      </w:hyperlink>
    </w:p>
  </w:footnote>
  <w:footnote w:id="19">
    <w:p w:rsidR="00E72021" w:rsidRPr="00D35CF0" w:rsidRDefault="00E72021" w:rsidP="00D35CF0">
      <w:pPr>
        <w:autoSpaceDE w:val="0"/>
        <w:autoSpaceDN w:val="0"/>
        <w:rPr>
          <w:rFonts w:ascii="Calibri" w:hAnsi="Calibri" w:cs="Calibri"/>
          <w:color w:val="FF0000"/>
          <w:sz w:val="20"/>
          <w:szCs w:val="20"/>
        </w:rPr>
      </w:pPr>
      <w:r w:rsidRPr="00D35CF0">
        <w:rPr>
          <w:rStyle w:val="FootnoteReference"/>
          <w:sz w:val="20"/>
          <w:szCs w:val="20"/>
        </w:rPr>
        <w:footnoteRef/>
      </w:r>
      <w:r w:rsidRPr="00D35CF0">
        <w:rPr>
          <w:rFonts w:ascii="Calibri" w:hAnsi="Calibri" w:cs="Calibri"/>
          <w:sz w:val="20"/>
          <w:szCs w:val="20"/>
        </w:rPr>
        <w:t>Compare also with IDLO Annual Management Plan 2012, Program value by Country Region in 2012, Figure 1 at p6</w:t>
      </w:r>
      <w:r>
        <w:rPr>
          <w:rFonts w:ascii="Calibri" w:hAnsi="Calibri" w:cs="Calibri"/>
          <w:color w:val="FF0000"/>
        </w:rPr>
        <w:t xml:space="preserve"> </w:t>
      </w:r>
      <w:hyperlink r:id="rId4" w:history="1">
        <w:r w:rsidRPr="00D35CF0">
          <w:rPr>
            <w:rStyle w:val="Hyperlink"/>
            <w:rFonts w:ascii="Calibri" w:hAnsi="Calibri" w:cs="Calibri"/>
            <w:sz w:val="20"/>
            <w:szCs w:val="20"/>
          </w:rPr>
          <w:t>http://www.idlo.int/DOCCalendar/Annual%20Management%20Plan%20and%20Budget%202012.pdf</w:t>
        </w:r>
      </w:hyperlink>
    </w:p>
  </w:footnote>
  <w:footnote w:id="20">
    <w:p w:rsidR="00E72021" w:rsidRDefault="00E72021">
      <w:pPr>
        <w:pStyle w:val="FootnoteText"/>
      </w:pPr>
      <w:r>
        <w:rPr>
          <w:rStyle w:val="FootnoteReference"/>
        </w:rPr>
        <w:footnoteRef/>
      </w:r>
      <w:r>
        <w:t xml:space="preserve"> </w:t>
      </w:r>
      <w:r w:rsidRPr="00DD4A62">
        <w:rPr>
          <w:sz w:val="18"/>
          <w:szCs w:val="18"/>
          <w:lang w:val="en-US"/>
        </w:rPr>
        <w:t>Though not an implementing partner for AIPJ, it is also important to keep the Law Council of Australia</w:t>
      </w:r>
      <w:r>
        <w:rPr>
          <w:sz w:val="18"/>
          <w:szCs w:val="18"/>
          <w:lang w:val="en-US"/>
        </w:rPr>
        <w:t>, which has a partnership with its Indonesian counterpart,</w:t>
      </w:r>
      <w:r w:rsidRPr="00DD4A62">
        <w:rPr>
          <w:sz w:val="18"/>
          <w:szCs w:val="18"/>
          <w:lang w:val="en-US"/>
        </w:rPr>
        <w:t xml:space="preserve"> abreast of AIPJ’s work.</w:t>
      </w:r>
    </w:p>
  </w:footnote>
  <w:footnote w:id="21">
    <w:p w:rsidR="00E72021" w:rsidRPr="007A7E07" w:rsidRDefault="00E72021" w:rsidP="005B1CBB">
      <w:pPr>
        <w:pStyle w:val="FootnoteText"/>
        <w:rPr>
          <w:lang w:val="en-US"/>
        </w:rPr>
      </w:pPr>
      <w:r>
        <w:rPr>
          <w:rStyle w:val="FootnoteReference"/>
        </w:rPr>
        <w:footnoteRef/>
      </w:r>
      <w:r w:rsidRPr="004D72F8">
        <w:rPr>
          <w:sz w:val="18"/>
          <w:szCs w:val="18"/>
          <w:lang w:val="en-US"/>
        </w:rPr>
        <w:t xml:space="preserve">This includes ACCESS, AIPD, MAMPU, the Knowledge Sector, PNPM, Social Protection, Decentralization, as well as AusAID-supported outside agents, notably TAF and </w:t>
      </w:r>
      <w:r>
        <w:rPr>
          <w:sz w:val="18"/>
          <w:szCs w:val="18"/>
          <w:lang w:val="en-US"/>
        </w:rPr>
        <w:t xml:space="preserve">the World Bank’s </w:t>
      </w:r>
      <w:r w:rsidRPr="004D72F8">
        <w:rPr>
          <w:sz w:val="18"/>
          <w:szCs w:val="18"/>
          <w:lang w:val="en-US"/>
        </w:rPr>
        <w:t>Justice for the Poor</w:t>
      </w:r>
      <w:r>
        <w:rPr>
          <w:sz w:val="18"/>
          <w:szCs w:val="18"/>
          <w:lang w:val="en-US"/>
        </w:rPr>
        <w:t xml:space="preserve"> program</w:t>
      </w:r>
      <w:r w:rsidRPr="004D72F8">
        <w:rPr>
          <w:sz w:val="18"/>
          <w:szCs w:val="18"/>
          <w:lang w:val="en-US"/>
        </w:rPr>
        <w:t>.</w:t>
      </w:r>
    </w:p>
  </w:footnote>
  <w:footnote w:id="22">
    <w:p w:rsidR="00E72021" w:rsidRDefault="00E72021" w:rsidP="004432AA">
      <w:pPr>
        <w:pStyle w:val="FootnoteText"/>
      </w:pPr>
      <w:r>
        <w:rPr>
          <w:rStyle w:val="FootnoteReference"/>
        </w:rPr>
        <w:footnoteRef/>
      </w:r>
      <w:r>
        <w:t xml:space="preserve">For example, such program focus could serve to change the current engagement with the AGO, changing it from the current institutional reform basis to a product based approach, in which the AGO is pulled into dealing with a societal problematic (such as trafficking) because the full scale and, no less important, the geography of the problematic is forcefully identified, and the underlying power relations have shifted.  </w:t>
      </w:r>
      <w:r w:rsidRPr="001E2EEB">
        <w:rPr>
          <w:lang w:val="en-US"/>
        </w:rPr>
        <w:t xml:space="preserve">The IALDF Mid-Term Review (2006) found that while there were insistent reports of child trafficking and illegal logging from NTB and NTT, the Police and AGO actually had very few cases in those sectors. The majority of criminal cases </w:t>
      </w:r>
      <w:r>
        <w:rPr>
          <w:lang w:val="en-US"/>
        </w:rPr>
        <w:t xml:space="preserve">which they handled </w:t>
      </w:r>
      <w:r w:rsidRPr="001E2EEB">
        <w:rPr>
          <w:lang w:val="en-US"/>
        </w:rPr>
        <w:t xml:space="preserve">involved domestic violence. One explanation is that child trafficking and illegal logging, unlike domestic violence, are financially important </w:t>
      </w:r>
      <w:r>
        <w:rPr>
          <w:lang w:val="en-US"/>
        </w:rPr>
        <w:t xml:space="preserve">and so </w:t>
      </w:r>
      <w:proofErr w:type="spellStart"/>
      <w:r>
        <w:rPr>
          <w:lang w:val="en-US"/>
        </w:rPr>
        <w:t>disincentivizing</w:t>
      </w:r>
      <w:proofErr w:type="spellEnd"/>
      <w:r>
        <w:rPr>
          <w:lang w:val="en-US"/>
        </w:rPr>
        <w:t xml:space="preserve"> pro-active </w:t>
      </w:r>
      <w:r w:rsidRPr="001E2EEB">
        <w:rPr>
          <w:lang w:val="en-US"/>
        </w:rPr>
        <w:t xml:space="preserve">criminal enforcement. </w:t>
      </w:r>
      <w:r>
        <w:rPr>
          <w:lang w:val="en-US"/>
        </w:rPr>
        <w:t xml:space="preserve">The way </w:t>
      </w:r>
      <w:r w:rsidRPr="001E2EEB">
        <w:rPr>
          <w:lang w:val="en-US"/>
        </w:rPr>
        <w:t>by which this must be addressed is to change the underlying power balance</w:t>
      </w:r>
      <w:r>
        <w:rPr>
          <w:lang w:val="en-US"/>
        </w:rPr>
        <w:t xml:space="preserve"> at local levels</w:t>
      </w:r>
      <w:r w:rsidRPr="001E2EEB">
        <w:rPr>
          <w:lang w:val="en-US"/>
        </w:rPr>
        <w:t xml:space="preserve">, </w:t>
      </w:r>
      <w:r>
        <w:rPr>
          <w:lang w:val="en-US"/>
        </w:rPr>
        <w:t xml:space="preserve">by giving </w:t>
      </w:r>
      <w:r w:rsidRPr="001E2EEB">
        <w:rPr>
          <w:lang w:val="en-US"/>
        </w:rPr>
        <w:t xml:space="preserve">victimized communities a platform through CSO networks, </w:t>
      </w:r>
      <w:r>
        <w:rPr>
          <w:lang w:val="en-US"/>
        </w:rPr>
        <w:t xml:space="preserve">as well as </w:t>
      </w:r>
      <w:r w:rsidRPr="001E2EEB">
        <w:rPr>
          <w:lang w:val="en-US"/>
        </w:rPr>
        <w:t xml:space="preserve">institutional partners through regular university monitoring and studies </w:t>
      </w:r>
      <w:r>
        <w:rPr>
          <w:lang w:val="en-US"/>
        </w:rPr>
        <w:t xml:space="preserve">and </w:t>
      </w:r>
      <w:r w:rsidRPr="001E2EEB">
        <w:rPr>
          <w:lang w:val="en-US"/>
        </w:rPr>
        <w:t>media exposure</w:t>
      </w:r>
      <w:r>
        <w:rPr>
          <w:lang w:val="en-US"/>
        </w:rPr>
        <w:t xml:space="preserve">. In this approach, the enforcement agencies bring to focus their attention to the problem by a public discourse, based on a </w:t>
      </w:r>
      <w:r w:rsidRPr="001E2EEB">
        <w:rPr>
          <w:lang w:val="en-US"/>
        </w:rPr>
        <w:t>routine identification and quantification of the problem.</w:t>
      </w:r>
      <w:r>
        <w:rPr>
          <w:lang w:val="en-US"/>
        </w:rPr>
        <w:t xml:space="preserve"> That is called accountability.  </w:t>
      </w:r>
    </w:p>
  </w:footnote>
  <w:footnote w:id="23">
    <w:p w:rsidR="00E72021" w:rsidRDefault="00E72021" w:rsidP="004432AA">
      <w:pPr>
        <w:pStyle w:val="FootnoteText"/>
      </w:pPr>
      <w:r>
        <w:rPr>
          <w:rStyle w:val="FootnoteReference"/>
        </w:rPr>
        <w:footnoteRef/>
      </w:r>
      <w:r w:rsidRPr="00DE2233">
        <w:t xml:space="preserve">There are various more serious publications on this, including </w:t>
      </w:r>
      <w:r>
        <w:t xml:space="preserve">Cate Sumner &amp; Tim Lindsey, </w:t>
      </w:r>
      <w:r w:rsidRPr="00DE2233">
        <w:rPr>
          <w:i/>
        </w:rPr>
        <w:t>Courting Reform. Indonesia’s Islamic Courts</w:t>
      </w:r>
      <w:r>
        <w:t xml:space="preserve"> (Lowy Institute, 2011)</w:t>
      </w:r>
      <w:r w:rsidRPr="00DE2233">
        <w:t xml:space="preserve">. See also Tim Lindsey &amp; Cate Sumner, </w:t>
      </w:r>
      <w:r w:rsidRPr="00DE2233">
        <w:rPr>
          <w:i/>
        </w:rPr>
        <w:t>‘Real Islam’ in Action in Indonesia. The religious courts are agents of reform.</w:t>
      </w:r>
      <w:r w:rsidRPr="00DE2233">
        <w:t xml:space="preserve"> (The Australian 8 December 2010)</w:t>
      </w:r>
    </w:p>
  </w:footnote>
  <w:footnote w:id="24">
    <w:p w:rsidR="00E72021" w:rsidRPr="004201ED" w:rsidRDefault="00E72021" w:rsidP="004432AA">
      <w:pPr>
        <w:pStyle w:val="FootnoteText"/>
      </w:pPr>
      <w:r>
        <w:rPr>
          <w:rStyle w:val="FootnoteReference"/>
        </w:rPr>
        <w:footnoteRef/>
      </w:r>
      <w:r w:rsidRPr="00DE2233">
        <w:t xml:space="preserve">See recently </w:t>
      </w:r>
      <w:r w:rsidRPr="00DE2233">
        <w:rPr>
          <w:i/>
        </w:rPr>
        <w:t>NO ID and no proof of birth: Meet Indonesia’s uncounted millions</w:t>
      </w:r>
      <w:r w:rsidRPr="00DE2233">
        <w:t xml:space="preserve"> (the Jakarta Globe 5 August 2012).</w:t>
      </w:r>
    </w:p>
  </w:footnote>
  <w:footnote w:id="25">
    <w:p w:rsidR="00E72021" w:rsidRDefault="00E72021" w:rsidP="004432AA">
      <w:pPr>
        <w:pStyle w:val="FootnoteText"/>
      </w:pPr>
      <w:r>
        <w:rPr>
          <w:rStyle w:val="FootnoteReference"/>
        </w:rPr>
        <w:footnoteRef/>
      </w:r>
      <w:r>
        <w:t xml:space="preserve"> Informal costs in accessing the system and transportation for multiple hearings and formal costs in securing the certificates, which come from a different government office.</w:t>
      </w:r>
    </w:p>
  </w:footnote>
  <w:footnote w:id="26">
    <w:p w:rsidR="00E72021" w:rsidRDefault="00E72021" w:rsidP="004432AA">
      <w:pPr>
        <w:pStyle w:val="FootnoteText"/>
      </w:pPr>
      <w:r>
        <w:rPr>
          <w:rStyle w:val="FootnoteReference"/>
        </w:rPr>
        <w:footnoteRef/>
      </w:r>
      <w:r>
        <w:t xml:space="preserve"> The </w:t>
      </w:r>
      <w:r w:rsidRPr="009F69A2">
        <w:t xml:space="preserve">one roof court system gives the judiciary full control over administrative management </w:t>
      </w:r>
      <w:r>
        <w:t>of</w:t>
      </w:r>
      <w:r w:rsidRPr="009F69A2">
        <w:t xml:space="preserve"> the courts (budget, personnel and assets). It was introduced by law in 1999 and progressively developed until becoming fully effective in 2006.</w:t>
      </w:r>
      <w:r>
        <w:t xml:space="preserve"> </w:t>
      </w:r>
    </w:p>
  </w:footnote>
  <w:footnote w:id="27">
    <w:p w:rsidR="00E72021" w:rsidRPr="00DF253B" w:rsidRDefault="00E72021" w:rsidP="004432AA">
      <w:pPr>
        <w:pStyle w:val="FootnoteText"/>
        <w:rPr>
          <w:lang w:val="en-US"/>
        </w:rPr>
      </w:pPr>
      <w:r>
        <w:rPr>
          <w:rStyle w:val="FootnoteReference"/>
        </w:rPr>
        <w:footnoteRef/>
      </w:r>
      <w:r w:rsidRPr="00285F9B">
        <w:t xml:space="preserve">According </w:t>
      </w:r>
      <w:r>
        <w:t>to media reports 50</w:t>
      </w:r>
      <w:r w:rsidRPr="00285F9B">
        <w:t xml:space="preserve"> million children under </w:t>
      </w:r>
      <w:r>
        <w:t xml:space="preserve">the age of 18 </w:t>
      </w:r>
      <w:r w:rsidRPr="00285F9B">
        <w:t xml:space="preserve">do not have a birth certificate in Indonesia. </w:t>
      </w:r>
      <w:r w:rsidRPr="00DF253B">
        <w:t xml:space="preserve">(The Jakarta Globe </w:t>
      </w:r>
      <w:r>
        <w:t>6 October 2011</w:t>
      </w:r>
      <w:r w:rsidRPr="00DF253B">
        <w:t>.)</w:t>
      </w:r>
    </w:p>
  </w:footnote>
  <w:footnote w:id="28">
    <w:p w:rsidR="00E72021" w:rsidRPr="000C6B83" w:rsidRDefault="00E72021" w:rsidP="004432AA">
      <w:pPr>
        <w:pStyle w:val="FootnoteText"/>
        <w:rPr>
          <w:lang w:val="en-US"/>
        </w:rPr>
      </w:pPr>
      <w:r>
        <w:rPr>
          <w:rStyle w:val="FootnoteReference"/>
        </w:rPr>
        <w:footnoteRef/>
      </w:r>
      <w:r w:rsidRPr="000C6B83">
        <w:rPr>
          <w:i/>
          <w:lang w:val="en-US"/>
        </w:rPr>
        <w:t>Birth certificates still a problem in Indonesia’s Nusa Tenggara, official says</w:t>
      </w:r>
      <w:r w:rsidRPr="000C6B83">
        <w:rPr>
          <w:lang w:val="en-US"/>
        </w:rPr>
        <w:t>. (The Jakarta Globe, no date) http://www.thejakartaglobe.com/home/birth-certificates-still-a-problem-in-indonesias-nusa-tenggara-official-says/345952</w:t>
      </w:r>
    </w:p>
  </w:footnote>
  <w:footnote w:id="29">
    <w:p w:rsidR="00E72021" w:rsidRDefault="00E72021" w:rsidP="004432AA">
      <w:pPr>
        <w:pStyle w:val="FootnoteText"/>
      </w:pPr>
      <w:r>
        <w:rPr>
          <w:rStyle w:val="FootnoteReference"/>
        </w:rPr>
        <w:footnoteRef/>
      </w:r>
      <w:r w:rsidRPr="00E10F80">
        <w:t>The Jakarta Globe article cited above says that 91% of Jakarta street children lack birth certificates. It does not refer to PEKKA, but to other CSO such as LAPAM and ISCO.</w:t>
      </w:r>
      <w:r>
        <w:t xml:space="preserve"> </w:t>
      </w:r>
      <w:r w:rsidRPr="00E10F80">
        <w:t xml:space="preserve">Other CSOs working in this area are </w:t>
      </w:r>
      <w:proofErr w:type="spellStart"/>
      <w:r w:rsidRPr="00E10F80">
        <w:t>Sahabat</w:t>
      </w:r>
      <w:proofErr w:type="spellEnd"/>
      <w:r w:rsidRPr="00E10F80">
        <w:t xml:space="preserve"> </w:t>
      </w:r>
      <w:proofErr w:type="spellStart"/>
      <w:r w:rsidRPr="00E10F80">
        <w:t>Anak</w:t>
      </w:r>
      <w:proofErr w:type="spellEnd"/>
      <w:r w:rsidRPr="00E10F80">
        <w:t xml:space="preserve"> (The Jakarta Globe 16 March 2012).</w:t>
      </w:r>
    </w:p>
  </w:footnote>
  <w:footnote w:id="30">
    <w:p w:rsidR="00E72021" w:rsidRPr="00AD40CB" w:rsidRDefault="00E72021" w:rsidP="004432AA">
      <w:pPr>
        <w:pStyle w:val="FootnoteText"/>
      </w:pPr>
      <w:r>
        <w:rPr>
          <w:rStyle w:val="FootnoteReference"/>
        </w:rPr>
        <w:footnoteRef/>
      </w:r>
      <w:r>
        <w:rPr>
          <w:b/>
        </w:rPr>
        <w:t xml:space="preserve">MAMPU </w:t>
      </w:r>
      <w:r w:rsidRPr="00AD40CB">
        <w:rPr>
          <w:b/>
        </w:rPr>
        <w:t>Thematic Area 1: Access to Social Protection and Poverty Reduction Programs</w:t>
      </w:r>
      <w:proofErr w:type="gramStart"/>
      <w:r w:rsidRPr="00AD40CB">
        <w:rPr>
          <w:b/>
        </w:rPr>
        <w:t>.</w:t>
      </w:r>
      <w:r>
        <w:t>[</w:t>
      </w:r>
      <w:proofErr w:type="gramEnd"/>
      <w:r>
        <w:t>…] ‘</w:t>
      </w:r>
      <w:r w:rsidRPr="00AD40CB">
        <w:t>A third entry point is the ‘socialisation’ of program eligibility requirements and registration procedures. Poor women with low education or literacy and poor access to media (in remote areas, for example) are among the most vulnerable. A fourth access issue is access to identification documents. PEKKA, a CSO working with approximately 16000 poor households, has identified this as a major barrier, and provided excellent support to its members in accessing identification and other important official documents, such as marriage and divorce certificates. Government agencies have been very supportive of PEKKA’s work to provide the documentation that female-headed households urgently need to become eligible for social protection programs, and in fact have begun providing new counterpart budget funds, a move which bodes well for its replication and scale-up under this project.</w:t>
      </w:r>
      <w:r>
        <w:t>’</w:t>
      </w:r>
      <w:r w:rsidRPr="00AD40CB">
        <w:t xml:space="preserve"> http://www.ausaid.gov.au/countries/eastasia/indonesia/Documents/mampu-part-a.pdf</w:t>
      </w:r>
    </w:p>
  </w:footnote>
  <w:footnote w:id="31">
    <w:p w:rsidR="00E72021" w:rsidRDefault="00E72021" w:rsidP="004432AA">
      <w:pPr>
        <w:pStyle w:val="FootnoteText"/>
      </w:pPr>
      <w:r>
        <w:rPr>
          <w:rStyle w:val="FootnoteReference"/>
        </w:rPr>
        <w:footnoteRef/>
      </w:r>
      <w:r w:rsidRPr="00F14CE9">
        <w:t>One risk is that the certification of a marriage may be pushed by the new spouse, overriding an existing marriage and failing to recognize existing children.</w:t>
      </w:r>
      <w:r>
        <w:t xml:space="preserve"> The Supreme Court therefore insists on witness statements.</w:t>
      </w:r>
    </w:p>
  </w:footnote>
  <w:footnote w:id="32">
    <w:p w:rsidR="00E72021" w:rsidRDefault="00E72021" w:rsidP="004432AA">
      <w:pPr>
        <w:pStyle w:val="FootnoteText"/>
      </w:pPr>
      <w:r>
        <w:rPr>
          <w:rStyle w:val="FootnoteReference"/>
        </w:rPr>
        <w:footnoteRef/>
      </w:r>
      <w:r w:rsidRPr="0083678E">
        <w:t xml:space="preserve">The Ministry of Home Affairs sought full implementation of the birth certificates by 2011. According to figures </w:t>
      </w:r>
      <w:r>
        <w:t xml:space="preserve">reported in the press more than 60% of the currently 80 million Indonesian children born in the last 8 years lack a certificate. (The Jakarta Globe 5 August 2012.)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CBEBAAA"/>
    <w:lvl w:ilvl="0">
      <w:start w:val="1"/>
      <w:numFmt w:val="decimal"/>
      <w:pStyle w:val="ListNumber2"/>
      <w:lvlText w:val="%1."/>
      <w:lvlJc w:val="left"/>
      <w:pPr>
        <w:tabs>
          <w:tab w:val="num" w:pos="643"/>
        </w:tabs>
        <w:ind w:left="643" w:hanging="360"/>
      </w:pPr>
    </w:lvl>
  </w:abstractNum>
  <w:abstractNum w:abstractNumId="1">
    <w:nsid w:val="07FE4664"/>
    <w:multiLevelType w:val="hybridMultilevel"/>
    <w:tmpl w:val="7706B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75C21"/>
    <w:multiLevelType w:val="hybridMultilevel"/>
    <w:tmpl w:val="D136B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AC2571"/>
    <w:multiLevelType w:val="multilevel"/>
    <w:tmpl w:val="0C09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584BC5"/>
    <w:multiLevelType w:val="hybridMultilevel"/>
    <w:tmpl w:val="219CB58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C1690C"/>
    <w:multiLevelType w:val="hybridMultilevel"/>
    <w:tmpl w:val="74FA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BB65C72"/>
    <w:multiLevelType w:val="hybridMultilevel"/>
    <w:tmpl w:val="E0AE2604"/>
    <w:lvl w:ilvl="0" w:tplc="3D007E7C">
      <w:start w:val="1"/>
      <w:numFmt w:val="decimal"/>
      <w:lvlText w:val="%1."/>
      <w:lvlJc w:val="left"/>
      <w:pPr>
        <w:ind w:left="360" w:hanging="360"/>
      </w:pPr>
      <w:rPr>
        <w:rFonts w:hint="default"/>
        <w:u w:val="singl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EF26541"/>
    <w:multiLevelType w:val="hybridMultilevel"/>
    <w:tmpl w:val="BD0C0CD8"/>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22793C40"/>
    <w:multiLevelType w:val="hybridMultilevel"/>
    <w:tmpl w:val="6058A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DD1FAB"/>
    <w:multiLevelType w:val="hybridMultilevel"/>
    <w:tmpl w:val="52EA32E8"/>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0">
    <w:nsid w:val="287B1E4A"/>
    <w:multiLevelType w:val="hybridMultilevel"/>
    <w:tmpl w:val="219CB58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D2379C"/>
    <w:multiLevelType w:val="hybridMultilevel"/>
    <w:tmpl w:val="3CCE1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9000FDE"/>
    <w:multiLevelType w:val="hybridMultilevel"/>
    <w:tmpl w:val="B338011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nsid w:val="2AB225DA"/>
    <w:multiLevelType w:val="hybridMultilevel"/>
    <w:tmpl w:val="C886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D339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05C680B"/>
    <w:multiLevelType w:val="hybridMultilevel"/>
    <w:tmpl w:val="7E089E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203815"/>
    <w:multiLevelType w:val="hybridMultilevel"/>
    <w:tmpl w:val="60528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7C284C"/>
    <w:multiLevelType w:val="multilevel"/>
    <w:tmpl w:val="0C09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9CD3449"/>
    <w:multiLevelType w:val="hybridMultilevel"/>
    <w:tmpl w:val="EB06FE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BAD2F1F"/>
    <w:multiLevelType w:val="hybridMultilevel"/>
    <w:tmpl w:val="D1926D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C0A08DF"/>
    <w:multiLevelType w:val="hybridMultilevel"/>
    <w:tmpl w:val="05562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6A46D4"/>
    <w:multiLevelType w:val="hybridMultilevel"/>
    <w:tmpl w:val="9C0879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D923AB3"/>
    <w:multiLevelType w:val="hybridMultilevel"/>
    <w:tmpl w:val="D9C862D4"/>
    <w:lvl w:ilvl="0" w:tplc="E29E4EA8">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DFB7E1E"/>
    <w:multiLevelType w:val="hybridMultilevel"/>
    <w:tmpl w:val="39ACD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F81E8F"/>
    <w:multiLevelType w:val="hybridMultilevel"/>
    <w:tmpl w:val="363A9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3E57BF9"/>
    <w:multiLevelType w:val="hybridMultilevel"/>
    <w:tmpl w:val="5998A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7AB1E60"/>
    <w:multiLevelType w:val="hybridMultilevel"/>
    <w:tmpl w:val="A5320D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9A50037"/>
    <w:multiLevelType w:val="hybridMultilevel"/>
    <w:tmpl w:val="BAFA91D0"/>
    <w:lvl w:ilvl="0" w:tplc="3C7814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DE2283"/>
    <w:multiLevelType w:val="hybridMultilevel"/>
    <w:tmpl w:val="DAC20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0B86248"/>
    <w:multiLevelType w:val="hybridMultilevel"/>
    <w:tmpl w:val="839692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5C5166CE"/>
    <w:multiLevelType w:val="hybridMultilevel"/>
    <w:tmpl w:val="7654D3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C876554"/>
    <w:multiLevelType w:val="hybridMultilevel"/>
    <w:tmpl w:val="219CB58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35496E"/>
    <w:multiLevelType w:val="multilevel"/>
    <w:tmpl w:val="D478BFEE"/>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66D8323C"/>
    <w:multiLevelType w:val="hybridMultilevel"/>
    <w:tmpl w:val="BE962F5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nsid w:val="678057E5"/>
    <w:multiLevelType w:val="multilevel"/>
    <w:tmpl w:val="CC4C3DB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9F95126"/>
    <w:multiLevelType w:val="hybridMultilevel"/>
    <w:tmpl w:val="B90EC0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724932"/>
    <w:multiLevelType w:val="hybridMultilevel"/>
    <w:tmpl w:val="AA0E5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F71C0A"/>
    <w:multiLevelType w:val="hybridMultilevel"/>
    <w:tmpl w:val="38F452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6CD48CDA">
      <w:start w:val="6"/>
      <w:numFmt w:val="decimal"/>
      <w:lvlText w:val="%3"/>
      <w:lvlJc w:val="left"/>
      <w:pPr>
        <w:ind w:left="2340" w:hanging="360"/>
      </w:pPr>
      <w:rPr>
        <w:rFonts w:cstheme="minorHAns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6BF56AB"/>
    <w:multiLevelType w:val="hybridMultilevel"/>
    <w:tmpl w:val="3C70F74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777E7C29"/>
    <w:multiLevelType w:val="hybridMultilevel"/>
    <w:tmpl w:val="EBF01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7BD4F71"/>
    <w:multiLevelType w:val="multilevel"/>
    <w:tmpl w:val="CC4C3DB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9452410"/>
    <w:multiLevelType w:val="hybridMultilevel"/>
    <w:tmpl w:val="2668C67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79883262"/>
    <w:multiLevelType w:val="hybridMultilevel"/>
    <w:tmpl w:val="D1926D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B3C6E37"/>
    <w:multiLevelType w:val="hybridMultilevel"/>
    <w:tmpl w:val="E08628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C2B4CA6"/>
    <w:multiLevelType w:val="hybridMultilevel"/>
    <w:tmpl w:val="250CBC84"/>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7CD676FE"/>
    <w:multiLevelType w:val="hybridMultilevel"/>
    <w:tmpl w:val="960CB11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7"/>
  </w:num>
  <w:num w:numId="2">
    <w:abstractNumId w:val="4"/>
  </w:num>
  <w:num w:numId="3">
    <w:abstractNumId w:val="44"/>
  </w:num>
  <w:num w:numId="4">
    <w:abstractNumId w:val="36"/>
  </w:num>
  <w:num w:numId="5">
    <w:abstractNumId w:val="8"/>
  </w:num>
  <w:num w:numId="6">
    <w:abstractNumId w:val="14"/>
  </w:num>
  <w:num w:numId="7">
    <w:abstractNumId w:val="12"/>
  </w:num>
  <w:num w:numId="8">
    <w:abstractNumId w:val="0"/>
  </w:num>
  <w:num w:numId="9">
    <w:abstractNumId w:val="37"/>
  </w:num>
  <w:num w:numId="10">
    <w:abstractNumId w:val="35"/>
  </w:num>
  <w:num w:numId="11">
    <w:abstractNumId w:val="32"/>
  </w:num>
  <w:num w:numId="12">
    <w:abstractNumId w:val="24"/>
  </w:num>
  <w:num w:numId="13">
    <w:abstractNumId w:val="7"/>
  </w:num>
  <w:num w:numId="14">
    <w:abstractNumId w:val="30"/>
  </w:num>
  <w:num w:numId="15">
    <w:abstractNumId w:val="3"/>
  </w:num>
  <w:num w:numId="16">
    <w:abstractNumId w:val="40"/>
  </w:num>
  <w:num w:numId="17">
    <w:abstractNumId w:val="34"/>
  </w:num>
  <w:num w:numId="18">
    <w:abstractNumId w:val="42"/>
  </w:num>
  <w:num w:numId="19">
    <w:abstractNumId w:val="21"/>
  </w:num>
  <w:num w:numId="20">
    <w:abstractNumId w:val="28"/>
  </w:num>
  <w:num w:numId="21">
    <w:abstractNumId w:val="20"/>
  </w:num>
  <w:num w:numId="22">
    <w:abstractNumId w:val="16"/>
  </w:num>
  <w:num w:numId="23">
    <w:abstractNumId w:val="27"/>
  </w:num>
  <w:num w:numId="24">
    <w:abstractNumId w:val="19"/>
  </w:num>
  <w:num w:numId="25">
    <w:abstractNumId w:val="9"/>
  </w:num>
  <w:num w:numId="26">
    <w:abstractNumId w:val="13"/>
  </w:num>
  <w:num w:numId="27">
    <w:abstractNumId w:val="22"/>
  </w:num>
  <w:num w:numId="28">
    <w:abstractNumId w:val="1"/>
  </w:num>
  <w:num w:numId="29">
    <w:abstractNumId w:val="29"/>
  </w:num>
  <w:num w:numId="30">
    <w:abstractNumId w:val="33"/>
  </w:num>
  <w:num w:numId="31">
    <w:abstractNumId w:val="39"/>
  </w:num>
  <w:num w:numId="32">
    <w:abstractNumId w:val="31"/>
  </w:num>
  <w:num w:numId="33">
    <w:abstractNumId w:val="18"/>
  </w:num>
  <w:num w:numId="34">
    <w:abstractNumId w:val="26"/>
  </w:num>
  <w:num w:numId="35">
    <w:abstractNumId w:val="10"/>
  </w:num>
  <w:num w:numId="36">
    <w:abstractNumId w:val="43"/>
  </w:num>
  <w:num w:numId="37">
    <w:abstractNumId w:val="15"/>
  </w:num>
  <w:num w:numId="38">
    <w:abstractNumId w:val="45"/>
  </w:num>
  <w:num w:numId="39">
    <w:abstractNumId w:val="38"/>
  </w:num>
  <w:num w:numId="40">
    <w:abstractNumId w:val="23"/>
  </w:num>
  <w:num w:numId="41">
    <w:abstractNumId w:val="5"/>
  </w:num>
  <w:num w:numId="42">
    <w:abstractNumId w:val="41"/>
  </w:num>
  <w:num w:numId="43">
    <w:abstractNumId w:val="6"/>
  </w:num>
  <w:num w:numId="44">
    <w:abstractNumId w:val="2"/>
  </w:num>
  <w:num w:numId="45">
    <w:abstractNumId w:val="25"/>
  </w:num>
  <w:num w:numId="46">
    <w:abstractNumId w:val="1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BB"/>
    <w:rsid w:val="00010A78"/>
    <w:rsid w:val="000128C4"/>
    <w:rsid w:val="0001307E"/>
    <w:rsid w:val="000157EB"/>
    <w:rsid w:val="0002279B"/>
    <w:rsid w:val="00043AEC"/>
    <w:rsid w:val="00044025"/>
    <w:rsid w:val="00044FC9"/>
    <w:rsid w:val="000548A0"/>
    <w:rsid w:val="00056F35"/>
    <w:rsid w:val="000574F0"/>
    <w:rsid w:val="0005777F"/>
    <w:rsid w:val="0006152B"/>
    <w:rsid w:val="00066E7D"/>
    <w:rsid w:val="00067C0B"/>
    <w:rsid w:val="00081C18"/>
    <w:rsid w:val="00090D2B"/>
    <w:rsid w:val="000A3ED1"/>
    <w:rsid w:val="000A40C5"/>
    <w:rsid w:val="000A4417"/>
    <w:rsid w:val="000A7D8B"/>
    <w:rsid w:val="000C5CB7"/>
    <w:rsid w:val="000D4308"/>
    <w:rsid w:val="000D55CA"/>
    <w:rsid w:val="000D63A6"/>
    <w:rsid w:val="000E245A"/>
    <w:rsid w:val="000F3637"/>
    <w:rsid w:val="000F3B54"/>
    <w:rsid w:val="00100ED8"/>
    <w:rsid w:val="0010301B"/>
    <w:rsid w:val="00104DA9"/>
    <w:rsid w:val="00110B74"/>
    <w:rsid w:val="00112622"/>
    <w:rsid w:val="00116F39"/>
    <w:rsid w:val="00124150"/>
    <w:rsid w:val="00125F83"/>
    <w:rsid w:val="00127E30"/>
    <w:rsid w:val="00130915"/>
    <w:rsid w:val="0013121E"/>
    <w:rsid w:val="00131CDF"/>
    <w:rsid w:val="00135007"/>
    <w:rsid w:val="001351C0"/>
    <w:rsid w:val="00135842"/>
    <w:rsid w:val="001416CA"/>
    <w:rsid w:val="00145FEF"/>
    <w:rsid w:val="001562EB"/>
    <w:rsid w:val="00173545"/>
    <w:rsid w:val="00175D4C"/>
    <w:rsid w:val="00175DD1"/>
    <w:rsid w:val="001852E4"/>
    <w:rsid w:val="001854BA"/>
    <w:rsid w:val="0019446C"/>
    <w:rsid w:val="001A45D6"/>
    <w:rsid w:val="001A65C5"/>
    <w:rsid w:val="001B198F"/>
    <w:rsid w:val="001B1DD4"/>
    <w:rsid w:val="001B2EFA"/>
    <w:rsid w:val="001B5207"/>
    <w:rsid w:val="001B60FB"/>
    <w:rsid w:val="001C135D"/>
    <w:rsid w:val="001C3A87"/>
    <w:rsid w:val="001C6523"/>
    <w:rsid w:val="001D1CDA"/>
    <w:rsid w:val="001D24F9"/>
    <w:rsid w:val="001D2D5B"/>
    <w:rsid w:val="001E0454"/>
    <w:rsid w:val="001E0F22"/>
    <w:rsid w:val="001E2FE8"/>
    <w:rsid w:val="001E31E1"/>
    <w:rsid w:val="001F0061"/>
    <w:rsid w:val="001F034A"/>
    <w:rsid w:val="001F391C"/>
    <w:rsid w:val="001F4BBE"/>
    <w:rsid w:val="00210FDE"/>
    <w:rsid w:val="00211914"/>
    <w:rsid w:val="00211FA8"/>
    <w:rsid w:val="002141AE"/>
    <w:rsid w:val="00214AAC"/>
    <w:rsid w:val="00216F10"/>
    <w:rsid w:val="00223370"/>
    <w:rsid w:val="002234E6"/>
    <w:rsid w:val="00224C13"/>
    <w:rsid w:val="00226B3F"/>
    <w:rsid w:val="00227019"/>
    <w:rsid w:val="00230116"/>
    <w:rsid w:val="00231831"/>
    <w:rsid w:val="0023259E"/>
    <w:rsid w:val="00234D1F"/>
    <w:rsid w:val="0023765D"/>
    <w:rsid w:val="00244543"/>
    <w:rsid w:val="002514F0"/>
    <w:rsid w:val="00262ED8"/>
    <w:rsid w:val="00263094"/>
    <w:rsid w:val="00270356"/>
    <w:rsid w:val="00270B06"/>
    <w:rsid w:val="0027155B"/>
    <w:rsid w:val="00276FAF"/>
    <w:rsid w:val="00284BF7"/>
    <w:rsid w:val="00285974"/>
    <w:rsid w:val="00290B60"/>
    <w:rsid w:val="002918C9"/>
    <w:rsid w:val="002935D0"/>
    <w:rsid w:val="00293723"/>
    <w:rsid w:val="002A2E87"/>
    <w:rsid w:val="002A6829"/>
    <w:rsid w:val="002A78FF"/>
    <w:rsid w:val="002B2FEC"/>
    <w:rsid w:val="002B4642"/>
    <w:rsid w:val="002B564B"/>
    <w:rsid w:val="002B6768"/>
    <w:rsid w:val="002B75C9"/>
    <w:rsid w:val="002C0472"/>
    <w:rsid w:val="002D1A20"/>
    <w:rsid w:val="002D4E4A"/>
    <w:rsid w:val="002D7CD8"/>
    <w:rsid w:val="002F22E8"/>
    <w:rsid w:val="002F50C2"/>
    <w:rsid w:val="002F57E8"/>
    <w:rsid w:val="003127F6"/>
    <w:rsid w:val="0031479C"/>
    <w:rsid w:val="00322626"/>
    <w:rsid w:val="00322BBD"/>
    <w:rsid w:val="00323492"/>
    <w:rsid w:val="0032379F"/>
    <w:rsid w:val="00327B29"/>
    <w:rsid w:val="00337688"/>
    <w:rsid w:val="00340881"/>
    <w:rsid w:val="0034291D"/>
    <w:rsid w:val="00345EF2"/>
    <w:rsid w:val="003505E3"/>
    <w:rsid w:val="00351B3E"/>
    <w:rsid w:val="00352A15"/>
    <w:rsid w:val="00355161"/>
    <w:rsid w:val="0035617D"/>
    <w:rsid w:val="003623AB"/>
    <w:rsid w:val="00362D2B"/>
    <w:rsid w:val="00366A0C"/>
    <w:rsid w:val="00367103"/>
    <w:rsid w:val="00374C0B"/>
    <w:rsid w:val="00381BBA"/>
    <w:rsid w:val="00381EDD"/>
    <w:rsid w:val="0038411B"/>
    <w:rsid w:val="00390FD8"/>
    <w:rsid w:val="00397488"/>
    <w:rsid w:val="003A08AE"/>
    <w:rsid w:val="003A5373"/>
    <w:rsid w:val="003A6986"/>
    <w:rsid w:val="003B5349"/>
    <w:rsid w:val="003C2851"/>
    <w:rsid w:val="003C703E"/>
    <w:rsid w:val="003E30A2"/>
    <w:rsid w:val="003E4A11"/>
    <w:rsid w:val="00400D77"/>
    <w:rsid w:val="004022A8"/>
    <w:rsid w:val="004022D8"/>
    <w:rsid w:val="00402D8D"/>
    <w:rsid w:val="004044DD"/>
    <w:rsid w:val="0041080B"/>
    <w:rsid w:val="004115EF"/>
    <w:rsid w:val="004151C9"/>
    <w:rsid w:val="00417FC2"/>
    <w:rsid w:val="00432822"/>
    <w:rsid w:val="00435D5D"/>
    <w:rsid w:val="00440A92"/>
    <w:rsid w:val="004432AA"/>
    <w:rsid w:val="0044656B"/>
    <w:rsid w:val="004477CB"/>
    <w:rsid w:val="00451FDB"/>
    <w:rsid w:val="00456BDF"/>
    <w:rsid w:val="00457D1C"/>
    <w:rsid w:val="00472B06"/>
    <w:rsid w:val="004817C1"/>
    <w:rsid w:val="004836EC"/>
    <w:rsid w:val="00484A44"/>
    <w:rsid w:val="004859C6"/>
    <w:rsid w:val="004900A3"/>
    <w:rsid w:val="00492127"/>
    <w:rsid w:val="004978AB"/>
    <w:rsid w:val="00497EDB"/>
    <w:rsid w:val="004A1D1B"/>
    <w:rsid w:val="004A4964"/>
    <w:rsid w:val="004A6401"/>
    <w:rsid w:val="004B0A29"/>
    <w:rsid w:val="004B0BA5"/>
    <w:rsid w:val="004B6CD4"/>
    <w:rsid w:val="004B7B67"/>
    <w:rsid w:val="004C2E03"/>
    <w:rsid w:val="004C7AE7"/>
    <w:rsid w:val="004D003E"/>
    <w:rsid w:val="004D261E"/>
    <w:rsid w:val="004D59E6"/>
    <w:rsid w:val="004E220A"/>
    <w:rsid w:val="004E2577"/>
    <w:rsid w:val="004E799A"/>
    <w:rsid w:val="00501A7D"/>
    <w:rsid w:val="0050379F"/>
    <w:rsid w:val="00503BDF"/>
    <w:rsid w:val="00503F23"/>
    <w:rsid w:val="0050594C"/>
    <w:rsid w:val="0050608B"/>
    <w:rsid w:val="0051278F"/>
    <w:rsid w:val="005155DC"/>
    <w:rsid w:val="00517E87"/>
    <w:rsid w:val="00520AC4"/>
    <w:rsid w:val="005264C7"/>
    <w:rsid w:val="00532E12"/>
    <w:rsid w:val="00533126"/>
    <w:rsid w:val="005447DF"/>
    <w:rsid w:val="005457AE"/>
    <w:rsid w:val="0055593E"/>
    <w:rsid w:val="00561364"/>
    <w:rsid w:val="0056305A"/>
    <w:rsid w:val="00565CF5"/>
    <w:rsid w:val="00567F7C"/>
    <w:rsid w:val="00571897"/>
    <w:rsid w:val="005742E9"/>
    <w:rsid w:val="00575DAF"/>
    <w:rsid w:val="00576C17"/>
    <w:rsid w:val="00581871"/>
    <w:rsid w:val="00581AE6"/>
    <w:rsid w:val="00582221"/>
    <w:rsid w:val="005833E7"/>
    <w:rsid w:val="00583E7D"/>
    <w:rsid w:val="00585A90"/>
    <w:rsid w:val="00587D3F"/>
    <w:rsid w:val="0059135B"/>
    <w:rsid w:val="005A0519"/>
    <w:rsid w:val="005A53FB"/>
    <w:rsid w:val="005B1CBB"/>
    <w:rsid w:val="005B2068"/>
    <w:rsid w:val="005B2A52"/>
    <w:rsid w:val="005B67C7"/>
    <w:rsid w:val="005C2E4A"/>
    <w:rsid w:val="005C7743"/>
    <w:rsid w:val="005D544C"/>
    <w:rsid w:val="005E4167"/>
    <w:rsid w:val="005F155A"/>
    <w:rsid w:val="005F2FB4"/>
    <w:rsid w:val="005F6AE3"/>
    <w:rsid w:val="0060702B"/>
    <w:rsid w:val="00610572"/>
    <w:rsid w:val="00615845"/>
    <w:rsid w:val="00617AAE"/>
    <w:rsid w:val="006226C0"/>
    <w:rsid w:val="00622830"/>
    <w:rsid w:val="00627366"/>
    <w:rsid w:val="006304BA"/>
    <w:rsid w:val="00630F1B"/>
    <w:rsid w:val="00637867"/>
    <w:rsid w:val="00640DFC"/>
    <w:rsid w:val="00644188"/>
    <w:rsid w:val="00654C4A"/>
    <w:rsid w:val="00656B05"/>
    <w:rsid w:val="0066023F"/>
    <w:rsid w:val="00667D2E"/>
    <w:rsid w:val="00670BE4"/>
    <w:rsid w:val="00675092"/>
    <w:rsid w:val="006844D0"/>
    <w:rsid w:val="006875AF"/>
    <w:rsid w:val="00687899"/>
    <w:rsid w:val="006906B4"/>
    <w:rsid w:val="00697FEC"/>
    <w:rsid w:val="006A00B1"/>
    <w:rsid w:val="006B698E"/>
    <w:rsid w:val="006B6E64"/>
    <w:rsid w:val="006C29BB"/>
    <w:rsid w:val="006C3627"/>
    <w:rsid w:val="006D0FF2"/>
    <w:rsid w:val="006D41FA"/>
    <w:rsid w:val="006D46B3"/>
    <w:rsid w:val="006D7208"/>
    <w:rsid w:val="006D7D56"/>
    <w:rsid w:val="006E4A4A"/>
    <w:rsid w:val="006E5575"/>
    <w:rsid w:val="006E7C30"/>
    <w:rsid w:val="006F0944"/>
    <w:rsid w:val="006F2ECE"/>
    <w:rsid w:val="006F3621"/>
    <w:rsid w:val="006F6F56"/>
    <w:rsid w:val="006F744F"/>
    <w:rsid w:val="006F79CD"/>
    <w:rsid w:val="00706834"/>
    <w:rsid w:val="007072A7"/>
    <w:rsid w:val="00707BE5"/>
    <w:rsid w:val="0071311C"/>
    <w:rsid w:val="00713334"/>
    <w:rsid w:val="0071478F"/>
    <w:rsid w:val="007222FB"/>
    <w:rsid w:val="007246E5"/>
    <w:rsid w:val="00725F4A"/>
    <w:rsid w:val="00731928"/>
    <w:rsid w:val="00732052"/>
    <w:rsid w:val="00734B8D"/>
    <w:rsid w:val="00743CA2"/>
    <w:rsid w:val="0074602F"/>
    <w:rsid w:val="007528E2"/>
    <w:rsid w:val="00755382"/>
    <w:rsid w:val="00755FC9"/>
    <w:rsid w:val="00761C27"/>
    <w:rsid w:val="00762FC5"/>
    <w:rsid w:val="00766188"/>
    <w:rsid w:val="00771F2D"/>
    <w:rsid w:val="00775C99"/>
    <w:rsid w:val="00780F12"/>
    <w:rsid w:val="00783A16"/>
    <w:rsid w:val="00786DC4"/>
    <w:rsid w:val="0079243B"/>
    <w:rsid w:val="00792B42"/>
    <w:rsid w:val="00794EBA"/>
    <w:rsid w:val="007A2A17"/>
    <w:rsid w:val="007A48D2"/>
    <w:rsid w:val="007A5A83"/>
    <w:rsid w:val="007B04B0"/>
    <w:rsid w:val="007B43EF"/>
    <w:rsid w:val="007B761E"/>
    <w:rsid w:val="007B79CC"/>
    <w:rsid w:val="007C0422"/>
    <w:rsid w:val="007C3745"/>
    <w:rsid w:val="007C5D2A"/>
    <w:rsid w:val="007C7EE1"/>
    <w:rsid w:val="007D292F"/>
    <w:rsid w:val="007D5B85"/>
    <w:rsid w:val="007D6512"/>
    <w:rsid w:val="007E3BFF"/>
    <w:rsid w:val="007E413E"/>
    <w:rsid w:val="007E7402"/>
    <w:rsid w:val="007F7285"/>
    <w:rsid w:val="0080565D"/>
    <w:rsid w:val="0080740F"/>
    <w:rsid w:val="008117C3"/>
    <w:rsid w:val="008175E4"/>
    <w:rsid w:val="008211CF"/>
    <w:rsid w:val="00822FDB"/>
    <w:rsid w:val="00823EBA"/>
    <w:rsid w:val="00824C70"/>
    <w:rsid w:val="00832A0B"/>
    <w:rsid w:val="008409F5"/>
    <w:rsid w:val="00845AD0"/>
    <w:rsid w:val="00847C1F"/>
    <w:rsid w:val="0085035D"/>
    <w:rsid w:val="00860564"/>
    <w:rsid w:val="008644AF"/>
    <w:rsid w:val="00866C96"/>
    <w:rsid w:val="00870569"/>
    <w:rsid w:val="00873D51"/>
    <w:rsid w:val="008925B7"/>
    <w:rsid w:val="008943AD"/>
    <w:rsid w:val="008A30F1"/>
    <w:rsid w:val="008B02B1"/>
    <w:rsid w:val="008C0DA7"/>
    <w:rsid w:val="008C784E"/>
    <w:rsid w:val="008D5961"/>
    <w:rsid w:val="008D7D43"/>
    <w:rsid w:val="008E0DA6"/>
    <w:rsid w:val="008E2259"/>
    <w:rsid w:val="008E3B92"/>
    <w:rsid w:val="008E4B47"/>
    <w:rsid w:val="008E61CA"/>
    <w:rsid w:val="008E7018"/>
    <w:rsid w:val="008F37FE"/>
    <w:rsid w:val="008F419A"/>
    <w:rsid w:val="008F6A52"/>
    <w:rsid w:val="009004CE"/>
    <w:rsid w:val="00905CB2"/>
    <w:rsid w:val="009156FB"/>
    <w:rsid w:val="009162F0"/>
    <w:rsid w:val="00917213"/>
    <w:rsid w:val="0092025B"/>
    <w:rsid w:val="00920EE7"/>
    <w:rsid w:val="009256F2"/>
    <w:rsid w:val="009304B8"/>
    <w:rsid w:val="00931306"/>
    <w:rsid w:val="009330A4"/>
    <w:rsid w:val="009335BD"/>
    <w:rsid w:val="009344D1"/>
    <w:rsid w:val="009352DC"/>
    <w:rsid w:val="009364B6"/>
    <w:rsid w:val="00936FCC"/>
    <w:rsid w:val="009460CA"/>
    <w:rsid w:val="00946AB9"/>
    <w:rsid w:val="00950251"/>
    <w:rsid w:val="00951A15"/>
    <w:rsid w:val="00952FEC"/>
    <w:rsid w:val="00962C4D"/>
    <w:rsid w:val="00965842"/>
    <w:rsid w:val="009668A2"/>
    <w:rsid w:val="00970039"/>
    <w:rsid w:val="00974493"/>
    <w:rsid w:val="009768BD"/>
    <w:rsid w:val="00982110"/>
    <w:rsid w:val="00982BEA"/>
    <w:rsid w:val="00984990"/>
    <w:rsid w:val="00985CEE"/>
    <w:rsid w:val="0099057D"/>
    <w:rsid w:val="009906E8"/>
    <w:rsid w:val="0099252A"/>
    <w:rsid w:val="009963FE"/>
    <w:rsid w:val="009A322A"/>
    <w:rsid w:val="009A757B"/>
    <w:rsid w:val="009A7639"/>
    <w:rsid w:val="009A783B"/>
    <w:rsid w:val="009B421F"/>
    <w:rsid w:val="009D1E01"/>
    <w:rsid w:val="009D3388"/>
    <w:rsid w:val="009D4C9C"/>
    <w:rsid w:val="009D6E9F"/>
    <w:rsid w:val="009D7965"/>
    <w:rsid w:val="009D7B70"/>
    <w:rsid w:val="009E3D8C"/>
    <w:rsid w:val="009E3F40"/>
    <w:rsid w:val="009E6AB6"/>
    <w:rsid w:val="009F69A2"/>
    <w:rsid w:val="00A0684A"/>
    <w:rsid w:val="00A07A6F"/>
    <w:rsid w:val="00A10C90"/>
    <w:rsid w:val="00A11E29"/>
    <w:rsid w:val="00A1256F"/>
    <w:rsid w:val="00A1314C"/>
    <w:rsid w:val="00A1448A"/>
    <w:rsid w:val="00A15F19"/>
    <w:rsid w:val="00A163B3"/>
    <w:rsid w:val="00A21412"/>
    <w:rsid w:val="00A2352D"/>
    <w:rsid w:val="00A24C49"/>
    <w:rsid w:val="00A25479"/>
    <w:rsid w:val="00A263AC"/>
    <w:rsid w:val="00A31360"/>
    <w:rsid w:val="00A32E19"/>
    <w:rsid w:val="00A505C4"/>
    <w:rsid w:val="00A51F99"/>
    <w:rsid w:val="00A52492"/>
    <w:rsid w:val="00A63B47"/>
    <w:rsid w:val="00A77819"/>
    <w:rsid w:val="00A90561"/>
    <w:rsid w:val="00A9060D"/>
    <w:rsid w:val="00AA06CC"/>
    <w:rsid w:val="00AA5A2D"/>
    <w:rsid w:val="00AB4617"/>
    <w:rsid w:val="00AB63B1"/>
    <w:rsid w:val="00AC443B"/>
    <w:rsid w:val="00AD0A15"/>
    <w:rsid w:val="00AD0F0C"/>
    <w:rsid w:val="00AD41E8"/>
    <w:rsid w:val="00AD6314"/>
    <w:rsid w:val="00AE0449"/>
    <w:rsid w:val="00AE0A17"/>
    <w:rsid w:val="00AE128E"/>
    <w:rsid w:val="00AE15DC"/>
    <w:rsid w:val="00AE16B0"/>
    <w:rsid w:val="00AE3037"/>
    <w:rsid w:val="00AE4792"/>
    <w:rsid w:val="00AE59EB"/>
    <w:rsid w:val="00AE72F3"/>
    <w:rsid w:val="00AE781A"/>
    <w:rsid w:val="00AF16F7"/>
    <w:rsid w:val="00AF1E15"/>
    <w:rsid w:val="00AF7A91"/>
    <w:rsid w:val="00B066F2"/>
    <w:rsid w:val="00B07D01"/>
    <w:rsid w:val="00B1178B"/>
    <w:rsid w:val="00B151A9"/>
    <w:rsid w:val="00B164B6"/>
    <w:rsid w:val="00B16A13"/>
    <w:rsid w:val="00B21230"/>
    <w:rsid w:val="00B237E3"/>
    <w:rsid w:val="00B31428"/>
    <w:rsid w:val="00B342CD"/>
    <w:rsid w:val="00B36FD7"/>
    <w:rsid w:val="00B41711"/>
    <w:rsid w:val="00B50307"/>
    <w:rsid w:val="00B50C08"/>
    <w:rsid w:val="00B51A40"/>
    <w:rsid w:val="00B54001"/>
    <w:rsid w:val="00B54382"/>
    <w:rsid w:val="00B54642"/>
    <w:rsid w:val="00B54B35"/>
    <w:rsid w:val="00B565B5"/>
    <w:rsid w:val="00B6064C"/>
    <w:rsid w:val="00B61662"/>
    <w:rsid w:val="00B62DF8"/>
    <w:rsid w:val="00B65023"/>
    <w:rsid w:val="00B6557F"/>
    <w:rsid w:val="00B70FBE"/>
    <w:rsid w:val="00B71D85"/>
    <w:rsid w:val="00B7216E"/>
    <w:rsid w:val="00B753A5"/>
    <w:rsid w:val="00B77A5C"/>
    <w:rsid w:val="00B77EB7"/>
    <w:rsid w:val="00B8092A"/>
    <w:rsid w:val="00B82AEF"/>
    <w:rsid w:val="00B82F4B"/>
    <w:rsid w:val="00B855B2"/>
    <w:rsid w:val="00B85D95"/>
    <w:rsid w:val="00B93C9C"/>
    <w:rsid w:val="00BA0994"/>
    <w:rsid w:val="00BA4DB3"/>
    <w:rsid w:val="00BB2618"/>
    <w:rsid w:val="00BC10AA"/>
    <w:rsid w:val="00BC68CA"/>
    <w:rsid w:val="00BC70DE"/>
    <w:rsid w:val="00BD4027"/>
    <w:rsid w:val="00BD47C8"/>
    <w:rsid w:val="00BE03BE"/>
    <w:rsid w:val="00BE3333"/>
    <w:rsid w:val="00BF443C"/>
    <w:rsid w:val="00BF5767"/>
    <w:rsid w:val="00BF641F"/>
    <w:rsid w:val="00C01C69"/>
    <w:rsid w:val="00C02847"/>
    <w:rsid w:val="00C03676"/>
    <w:rsid w:val="00C05E09"/>
    <w:rsid w:val="00C120F2"/>
    <w:rsid w:val="00C1648F"/>
    <w:rsid w:val="00C17019"/>
    <w:rsid w:val="00C1777A"/>
    <w:rsid w:val="00C2023F"/>
    <w:rsid w:val="00C214C7"/>
    <w:rsid w:val="00C225CB"/>
    <w:rsid w:val="00C30B97"/>
    <w:rsid w:val="00C30FA9"/>
    <w:rsid w:val="00C4212B"/>
    <w:rsid w:val="00C429F1"/>
    <w:rsid w:val="00C46D2D"/>
    <w:rsid w:val="00C47400"/>
    <w:rsid w:val="00C57B4C"/>
    <w:rsid w:val="00C6000A"/>
    <w:rsid w:val="00C629EF"/>
    <w:rsid w:val="00C63442"/>
    <w:rsid w:val="00C651BB"/>
    <w:rsid w:val="00C664D6"/>
    <w:rsid w:val="00C66E66"/>
    <w:rsid w:val="00C67EBF"/>
    <w:rsid w:val="00C729C0"/>
    <w:rsid w:val="00C746B6"/>
    <w:rsid w:val="00C846AB"/>
    <w:rsid w:val="00C84E42"/>
    <w:rsid w:val="00C90083"/>
    <w:rsid w:val="00C91D52"/>
    <w:rsid w:val="00C921BF"/>
    <w:rsid w:val="00C9577F"/>
    <w:rsid w:val="00CA0257"/>
    <w:rsid w:val="00CA4CDD"/>
    <w:rsid w:val="00CB3879"/>
    <w:rsid w:val="00CC2154"/>
    <w:rsid w:val="00CC440F"/>
    <w:rsid w:val="00CC4E5D"/>
    <w:rsid w:val="00CD0799"/>
    <w:rsid w:val="00CD3111"/>
    <w:rsid w:val="00CD3EBC"/>
    <w:rsid w:val="00CD440B"/>
    <w:rsid w:val="00CD47FA"/>
    <w:rsid w:val="00CE6981"/>
    <w:rsid w:val="00CF1C3A"/>
    <w:rsid w:val="00CF7E34"/>
    <w:rsid w:val="00D01A38"/>
    <w:rsid w:val="00D02DC2"/>
    <w:rsid w:val="00D03353"/>
    <w:rsid w:val="00D110C9"/>
    <w:rsid w:val="00D11635"/>
    <w:rsid w:val="00D11B80"/>
    <w:rsid w:val="00D21034"/>
    <w:rsid w:val="00D273BE"/>
    <w:rsid w:val="00D27BAC"/>
    <w:rsid w:val="00D31068"/>
    <w:rsid w:val="00D31C7A"/>
    <w:rsid w:val="00D34E56"/>
    <w:rsid w:val="00D35426"/>
    <w:rsid w:val="00D35CF0"/>
    <w:rsid w:val="00D37A0C"/>
    <w:rsid w:val="00D40E07"/>
    <w:rsid w:val="00D457E5"/>
    <w:rsid w:val="00D46ED1"/>
    <w:rsid w:val="00D5047C"/>
    <w:rsid w:val="00D52ED3"/>
    <w:rsid w:val="00D540F8"/>
    <w:rsid w:val="00D542B3"/>
    <w:rsid w:val="00D554BD"/>
    <w:rsid w:val="00D56499"/>
    <w:rsid w:val="00D603F4"/>
    <w:rsid w:val="00D607C8"/>
    <w:rsid w:val="00D64AE7"/>
    <w:rsid w:val="00D65CDF"/>
    <w:rsid w:val="00D707DF"/>
    <w:rsid w:val="00D7412C"/>
    <w:rsid w:val="00D82322"/>
    <w:rsid w:val="00D8422D"/>
    <w:rsid w:val="00D865AA"/>
    <w:rsid w:val="00D8701A"/>
    <w:rsid w:val="00D87C06"/>
    <w:rsid w:val="00DA074C"/>
    <w:rsid w:val="00DA4080"/>
    <w:rsid w:val="00DA78CE"/>
    <w:rsid w:val="00DB31D3"/>
    <w:rsid w:val="00DB3FFC"/>
    <w:rsid w:val="00DC0EF8"/>
    <w:rsid w:val="00DD1644"/>
    <w:rsid w:val="00DD1C15"/>
    <w:rsid w:val="00DD26F5"/>
    <w:rsid w:val="00DD33D0"/>
    <w:rsid w:val="00DD4A62"/>
    <w:rsid w:val="00DE54D7"/>
    <w:rsid w:val="00DE5738"/>
    <w:rsid w:val="00DE7081"/>
    <w:rsid w:val="00DF10DF"/>
    <w:rsid w:val="00DF61A4"/>
    <w:rsid w:val="00E04BC0"/>
    <w:rsid w:val="00E04CF5"/>
    <w:rsid w:val="00E14934"/>
    <w:rsid w:val="00E32419"/>
    <w:rsid w:val="00E47329"/>
    <w:rsid w:val="00E53923"/>
    <w:rsid w:val="00E54BB7"/>
    <w:rsid w:val="00E6078F"/>
    <w:rsid w:val="00E61757"/>
    <w:rsid w:val="00E66589"/>
    <w:rsid w:val="00E72021"/>
    <w:rsid w:val="00E76075"/>
    <w:rsid w:val="00E84CD7"/>
    <w:rsid w:val="00E93390"/>
    <w:rsid w:val="00E93453"/>
    <w:rsid w:val="00E96286"/>
    <w:rsid w:val="00E96356"/>
    <w:rsid w:val="00EA2090"/>
    <w:rsid w:val="00EA2EF6"/>
    <w:rsid w:val="00EB1F8B"/>
    <w:rsid w:val="00EB3F24"/>
    <w:rsid w:val="00EC0DA0"/>
    <w:rsid w:val="00EC2E25"/>
    <w:rsid w:val="00EC36E3"/>
    <w:rsid w:val="00EC419C"/>
    <w:rsid w:val="00EC6277"/>
    <w:rsid w:val="00ED0429"/>
    <w:rsid w:val="00ED0944"/>
    <w:rsid w:val="00EE0E48"/>
    <w:rsid w:val="00EE214A"/>
    <w:rsid w:val="00EE5D99"/>
    <w:rsid w:val="00EF65EB"/>
    <w:rsid w:val="00F02286"/>
    <w:rsid w:val="00F0322C"/>
    <w:rsid w:val="00F13DEE"/>
    <w:rsid w:val="00F16148"/>
    <w:rsid w:val="00F16536"/>
    <w:rsid w:val="00F1688A"/>
    <w:rsid w:val="00F17D47"/>
    <w:rsid w:val="00F22F9A"/>
    <w:rsid w:val="00F23586"/>
    <w:rsid w:val="00F2471C"/>
    <w:rsid w:val="00F274A3"/>
    <w:rsid w:val="00F3263E"/>
    <w:rsid w:val="00F40099"/>
    <w:rsid w:val="00F451C5"/>
    <w:rsid w:val="00F509C5"/>
    <w:rsid w:val="00F52B95"/>
    <w:rsid w:val="00F628C5"/>
    <w:rsid w:val="00F63CB7"/>
    <w:rsid w:val="00F63E3C"/>
    <w:rsid w:val="00F766FE"/>
    <w:rsid w:val="00F81C42"/>
    <w:rsid w:val="00F8204F"/>
    <w:rsid w:val="00F82F63"/>
    <w:rsid w:val="00F83D6E"/>
    <w:rsid w:val="00F841AC"/>
    <w:rsid w:val="00F8582C"/>
    <w:rsid w:val="00F86518"/>
    <w:rsid w:val="00F86FCA"/>
    <w:rsid w:val="00F871BF"/>
    <w:rsid w:val="00F871E4"/>
    <w:rsid w:val="00F91ED6"/>
    <w:rsid w:val="00F91FC8"/>
    <w:rsid w:val="00F950FC"/>
    <w:rsid w:val="00F969F4"/>
    <w:rsid w:val="00FA148B"/>
    <w:rsid w:val="00FA34AF"/>
    <w:rsid w:val="00FB094B"/>
    <w:rsid w:val="00FB13DF"/>
    <w:rsid w:val="00FB206C"/>
    <w:rsid w:val="00FB5584"/>
    <w:rsid w:val="00FE2F98"/>
    <w:rsid w:val="00FE4D70"/>
    <w:rsid w:val="00FE6DA0"/>
    <w:rsid w:val="00FE6FC1"/>
    <w:rsid w:val="00FF302D"/>
    <w:rsid w:val="00FF446B"/>
    <w:rsid w:val="00FF496A"/>
    <w:rsid w:val="00FF56D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CBB"/>
    <w:pPr>
      <w:keepNext/>
      <w:keepLines/>
      <w:numPr>
        <w:numId w:val="11"/>
      </w:numPr>
      <w:spacing w:before="480" w:after="0"/>
      <w:ind w:left="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1CBB"/>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1CBB"/>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1CBB"/>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1CBB"/>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1CBB"/>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1CBB"/>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1CBB"/>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1CBB"/>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CBB"/>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5B1CBB"/>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5B1C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B1CBB"/>
    <w:rPr>
      <w:rFonts w:asciiTheme="majorHAnsi" w:eastAsiaTheme="majorEastAsia" w:hAnsiTheme="majorHAnsi" w:cstheme="majorBidi"/>
      <w:b/>
      <w:bCs/>
      <w:i/>
      <w:iCs/>
      <w:color w:val="4F81BD" w:themeColor="accent1"/>
      <w:lang w:eastAsia="en-AU"/>
    </w:rPr>
  </w:style>
  <w:style w:type="character" w:customStyle="1" w:styleId="Heading5Char">
    <w:name w:val="Heading 5 Char"/>
    <w:basedOn w:val="DefaultParagraphFont"/>
    <w:link w:val="Heading5"/>
    <w:uiPriority w:val="9"/>
    <w:semiHidden/>
    <w:rsid w:val="005B1CBB"/>
    <w:rPr>
      <w:rFonts w:asciiTheme="majorHAnsi" w:eastAsiaTheme="majorEastAsia" w:hAnsiTheme="majorHAnsi" w:cstheme="majorBidi"/>
      <w:color w:val="243F60" w:themeColor="accent1" w:themeShade="7F"/>
      <w:lang w:eastAsia="en-AU"/>
    </w:rPr>
  </w:style>
  <w:style w:type="character" w:customStyle="1" w:styleId="Heading6Char">
    <w:name w:val="Heading 6 Char"/>
    <w:basedOn w:val="DefaultParagraphFont"/>
    <w:link w:val="Heading6"/>
    <w:uiPriority w:val="9"/>
    <w:semiHidden/>
    <w:rsid w:val="005B1CBB"/>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uiPriority w:val="9"/>
    <w:semiHidden/>
    <w:rsid w:val="005B1CBB"/>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5B1CBB"/>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5B1CBB"/>
    <w:rPr>
      <w:rFonts w:asciiTheme="majorHAnsi" w:eastAsiaTheme="majorEastAsia" w:hAnsiTheme="majorHAnsi" w:cstheme="majorBidi"/>
      <w:i/>
      <w:iCs/>
      <w:color w:val="404040" w:themeColor="text1" w:themeTint="BF"/>
      <w:sz w:val="20"/>
      <w:szCs w:val="20"/>
      <w:lang w:eastAsia="en-AU"/>
    </w:rPr>
  </w:style>
  <w:style w:type="paragraph" w:styleId="ListParagraph">
    <w:name w:val="List Paragraph"/>
    <w:basedOn w:val="Normal"/>
    <w:uiPriority w:val="34"/>
    <w:qFormat/>
    <w:rsid w:val="005B1CBB"/>
    <w:pPr>
      <w:ind w:left="720"/>
      <w:contextualSpacing/>
    </w:pPr>
  </w:style>
  <w:style w:type="paragraph" w:styleId="Header">
    <w:name w:val="header"/>
    <w:basedOn w:val="Normal"/>
    <w:link w:val="HeaderChar"/>
    <w:uiPriority w:val="99"/>
    <w:unhideWhenUsed/>
    <w:rsid w:val="005B1C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CBB"/>
    <w:rPr>
      <w:rFonts w:eastAsiaTheme="minorEastAsia"/>
      <w:lang w:eastAsia="en-AU"/>
    </w:rPr>
  </w:style>
  <w:style w:type="paragraph" w:styleId="Footer">
    <w:name w:val="footer"/>
    <w:basedOn w:val="Normal"/>
    <w:link w:val="FooterChar"/>
    <w:uiPriority w:val="99"/>
    <w:unhideWhenUsed/>
    <w:rsid w:val="005B1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CBB"/>
    <w:rPr>
      <w:rFonts w:eastAsiaTheme="minorEastAsia"/>
      <w:lang w:eastAsia="en-AU"/>
    </w:rPr>
  </w:style>
  <w:style w:type="character" w:styleId="Hyperlink">
    <w:name w:val="Hyperlink"/>
    <w:basedOn w:val="DefaultParagraphFont"/>
    <w:uiPriority w:val="99"/>
    <w:rsid w:val="005B1CBB"/>
    <w:rPr>
      <w:rFonts w:cs="Times New Roman"/>
      <w:color w:val="0000FF"/>
      <w:u w:val="single"/>
    </w:rPr>
  </w:style>
  <w:style w:type="paragraph" w:customStyle="1" w:styleId="ecmsonormal">
    <w:name w:val="ec_msonormal"/>
    <w:basedOn w:val="Normal"/>
    <w:uiPriority w:val="99"/>
    <w:rsid w:val="005B1CBB"/>
    <w:pPr>
      <w:spacing w:before="100" w:beforeAutospacing="1" w:after="100" w:afterAutospacing="1" w:line="240" w:lineRule="auto"/>
    </w:pPr>
    <w:rPr>
      <w:rFonts w:ascii="Times New Roman" w:eastAsia="SimSun" w:hAnsi="Times New Roman" w:cs="Times New Roman"/>
      <w:sz w:val="24"/>
      <w:szCs w:val="24"/>
      <w:lang w:val="en-NZ" w:eastAsia="en-NZ"/>
    </w:rPr>
  </w:style>
  <w:style w:type="paragraph" w:styleId="BalloonText">
    <w:name w:val="Balloon Text"/>
    <w:basedOn w:val="Normal"/>
    <w:link w:val="BalloonTextChar"/>
    <w:uiPriority w:val="99"/>
    <w:semiHidden/>
    <w:unhideWhenUsed/>
    <w:rsid w:val="005B1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CBB"/>
    <w:rPr>
      <w:rFonts w:ascii="Tahoma" w:eastAsiaTheme="minorEastAsia" w:hAnsi="Tahoma" w:cs="Tahoma"/>
      <w:sz w:val="16"/>
      <w:szCs w:val="16"/>
      <w:lang w:eastAsia="en-AU"/>
    </w:rPr>
  </w:style>
  <w:style w:type="paragraph" w:styleId="EndnoteText">
    <w:name w:val="endnote text"/>
    <w:basedOn w:val="Normal"/>
    <w:link w:val="EndnoteTextChar"/>
    <w:uiPriority w:val="99"/>
    <w:semiHidden/>
    <w:unhideWhenUsed/>
    <w:rsid w:val="005B1C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1CBB"/>
    <w:rPr>
      <w:rFonts w:eastAsiaTheme="minorEastAsia"/>
      <w:sz w:val="20"/>
      <w:szCs w:val="20"/>
      <w:lang w:eastAsia="en-AU"/>
    </w:rPr>
  </w:style>
  <w:style w:type="character" w:styleId="EndnoteReference">
    <w:name w:val="endnote reference"/>
    <w:basedOn w:val="DefaultParagraphFont"/>
    <w:uiPriority w:val="99"/>
    <w:semiHidden/>
    <w:unhideWhenUsed/>
    <w:rsid w:val="005B1CBB"/>
    <w:rPr>
      <w:vertAlign w:val="superscript"/>
    </w:rPr>
  </w:style>
  <w:style w:type="paragraph" w:styleId="FootnoteText">
    <w:name w:val="footnote text"/>
    <w:basedOn w:val="Normal"/>
    <w:link w:val="FootnoteTextChar"/>
    <w:uiPriority w:val="99"/>
    <w:unhideWhenUsed/>
    <w:rsid w:val="005B1CBB"/>
    <w:pPr>
      <w:spacing w:after="0" w:line="240" w:lineRule="auto"/>
    </w:pPr>
    <w:rPr>
      <w:sz w:val="20"/>
      <w:szCs w:val="20"/>
    </w:rPr>
  </w:style>
  <w:style w:type="character" w:customStyle="1" w:styleId="FootnoteTextChar">
    <w:name w:val="Footnote Text Char"/>
    <w:basedOn w:val="DefaultParagraphFont"/>
    <w:link w:val="FootnoteText"/>
    <w:uiPriority w:val="99"/>
    <w:rsid w:val="005B1CBB"/>
    <w:rPr>
      <w:rFonts w:eastAsiaTheme="minorEastAsia"/>
      <w:sz w:val="20"/>
      <w:szCs w:val="20"/>
      <w:lang w:eastAsia="en-AU"/>
    </w:rPr>
  </w:style>
  <w:style w:type="character" w:styleId="FootnoteReference">
    <w:name w:val="footnote reference"/>
    <w:basedOn w:val="DefaultParagraphFont"/>
    <w:unhideWhenUsed/>
    <w:rsid w:val="005B1CBB"/>
    <w:rPr>
      <w:vertAlign w:val="superscript"/>
    </w:rPr>
  </w:style>
  <w:style w:type="character" w:styleId="CommentReference">
    <w:name w:val="annotation reference"/>
    <w:basedOn w:val="DefaultParagraphFont"/>
    <w:uiPriority w:val="99"/>
    <w:semiHidden/>
    <w:unhideWhenUsed/>
    <w:rsid w:val="005B1CBB"/>
    <w:rPr>
      <w:sz w:val="16"/>
      <w:szCs w:val="16"/>
    </w:rPr>
  </w:style>
  <w:style w:type="paragraph" w:styleId="CommentText">
    <w:name w:val="annotation text"/>
    <w:basedOn w:val="Normal"/>
    <w:link w:val="CommentTextChar"/>
    <w:uiPriority w:val="99"/>
    <w:unhideWhenUsed/>
    <w:rsid w:val="005B1CBB"/>
    <w:pPr>
      <w:spacing w:line="240" w:lineRule="auto"/>
    </w:pPr>
    <w:rPr>
      <w:sz w:val="20"/>
      <w:szCs w:val="20"/>
    </w:rPr>
  </w:style>
  <w:style w:type="character" w:customStyle="1" w:styleId="CommentTextChar">
    <w:name w:val="Comment Text Char"/>
    <w:basedOn w:val="DefaultParagraphFont"/>
    <w:link w:val="CommentText"/>
    <w:uiPriority w:val="99"/>
    <w:rsid w:val="005B1CBB"/>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5B1CBB"/>
    <w:rPr>
      <w:b/>
      <w:bCs/>
    </w:rPr>
  </w:style>
  <w:style w:type="character" w:customStyle="1" w:styleId="CommentSubjectChar">
    <w:name w:val="Comment Subject Char"/>
    <w:basedOn w:val="CommentTextChar"/>
    <w:link w:val="CommentSubject"/>
    <w:uiPriority w:val="99"/>
    <w:semiHidden/>
    <w:rsid w:val="005B1CBB"/>
    <w:rPr>
      <w:rFonts w:eastAsiaTheme="minorEastAsia"/>
      <w:b/>
      <w:bCs/>
      <w:sz w:val="20"/>
      <w:szCs w:val="20"/>
      <w:lang w:eastAsia="en-AU"/>
    </w:rPr>
  </w:style>
  <w:style w:type="paragraph" w:styleId="Revision">
    <w:name w:val="Revision"/>
    <w:hidden/>
    <w:uiPriority w:val="99"/>
    <w:semiHidden/>
    <w:rsid w:val="005B1CBB"/>
    <w:pPr>
      <w:spacing w:after="0" w:line="240" w:lineRule="auto"/>
    </w:pPr>
  </w:style>
  <w:style w:type="paragraph" w:styleId="BodyText">
    <w:name w:val="Body Text"/>
    <w:basedOn w:val="Normal"/>
    <w:link w:val="BodyTextChar"/>
    <w:uiPriority w:val="99"/>
    <w:semiHidden/>
    <w:rsid w:val="005B1CBB"/>
    <w:pPr>
      <w:spacing w:before="120" w:after="120" w:line="280" w:lineRule="exact"/>
      <w:ind w:left="284"/>
      <w:jc w:val="both"/>
    </w:pPr>
    <w:rPr>
      <w:rFonts w:ascii="Arial" w:eastAsia="Times New Roman" w:hAnsi="Arial" w:cs="Times New Roman"/>
      <w:lang w:val="en-GB" w:eastAsia="en-US"/>
    </w:rPr>
  </w:style>
  <w:style w:type="character" w:customStyle="1" w:styleId="BodyTextChar">
    <w:name w:val="Body Text Char"/>
    <w:basedOn w:val="DefaultParagraphFont"/>
    <w:link w:val="BodyText"/>
    <w:uiPriority w:val="99"/>
    <w:semiHidden/>
    <w:rsid w:val="005B1CBB"/>
    <w:rPr>
      <w:rFonts w:ascii="Arial" w:eastAsia="Times New Roman" w:hAnsi="Arial" w:cs="Times New Roman"/>
      <w:lang w:val="en-GB"/>
    </w:rPr>
  </w:style>
  <w:style w:type="paragraph" w:customStyle="1" w:styleId="Default">
    <w:name w:val="Default"/>
    <w:rsid w:val="005B1CBB"/>
    <w:pPr>
      <w:autoSpaceDE w:val="0"/>
      <w:autoSpaceDN w:val="0"/>
      <w:adjustRightInd w:val="0"/>
      <w:spacing w:after="0" w:line="240" w:lineRule="auto"/>
    </w:pPr>
    <w:rPr>
      <w:rFonts w:ascii="Arial" w:eastAsia="Calibri" w:hAnsi="Arial" w:cs="Arial"/>
      <w:color w:val="000000"/>
      <w:sz w:val="24"/>
      <w:szCs w:val="24"/>
    </w:rPr>
  </w:style>
  <w:style w:type="character" w:customStyle="1" w:styleId="A01">
    <w:name w:val="A0+1"/>
    <w:uiPriority w:val="99"/>
    <w:rsid w:val="005B1CBB"/>
    <w:rPr>
      <w:rFonts w:cs="Helvetica Neue"/>
      <w:b/>
      <w:bCs/>
      <w:color w:val="000000"/>
      <w:sz w:val="36"/>
      <w:szCs w:val="36"/>
    </w:rPr>
  </w:style>
  <w:style w:type="paragraph" w:styleId="ListNumber2">
    <w:name w:val="List Number 2"/>
    <w:basedOn w:val="Normal"/>
    <w:uiPriority w:val="99"/>
    <w:unhideWhenUsed/>
    <w:rsid w:val="005B1CBB"/>
    <w:pPr>
      <w:numPr>
        <w:numId w:val="8"/>
      </w:numPr>
      <w:spacing w:after="0" w:line="240" w:lineRule="auto"/>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5B1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B1C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1CBB"/>
    <w:rPr>
      <w:rFonts w:asciiTheme="majorHAnsi" w:eastAsiaTheme="majorEastAsia" w:hAnsiTheme="majorHAnsi" w:cstheme="majorBidi"/>
      <w:color w:val="17365D" w:themeColor="text2" w:themeShade="BF"/>
      <w:spacing w:val="5"/>
      <w:kern w:val="28"/>
      <w:sz w:val="52"/>
      <w:szCs w:val="52"/>
      <w:lang w:eastAsia="en-AU"/>
    </w:rPr>
  </w:style>
  <w:style w:type="paragraph" w:styleId="TOCHeading">
    <w:name w:val="TOC Heading"/>
    <w:basedOn w:val="Heading1"/>
    <w:next w:val="Normal"/>
    <w:uiPriority w:val="39"/>
    <w:semiHidden/>
    <w:unhideWhenUsed/>
    <w:qFormat/>
    <w:rsid w:val="005B1CBB"/>
    <w:pPr>
      <w:outlineLvl w:val="9"/>
    </w:pPr>
    <w:rPr>
      <w:lang w:val="en-US" w:eastAsia="en-US"/>
    </w:rPr>
  </w:style>
  <w:style w:type="paragraph" w:styleId="TOC1">
    <w:name w:val="toc 1"/>
    <w:basedOn w:val="Normal"/>
    <w:next w:val="Normal"/>
    <w:autoRedefine/>
    <w:uiPriority w:val="39"/>
    <w:unhideWhenUsed/>
    <w:rsid w:val="005B1CBB"/>
    <w:pPr>
      <w:spacing w:after="100"/>
    </w:pPr>
  </w:style>
  <w:style w:type="paragraph" w:styleId="TOC2">
    <w:name w:val="toc 2"/>
    <w:basedOn w:val="Normal"/>
    <w:next w:val="Normal"/>
    <w:autoRedefine/>
    <w:uiPriority w:val="39"/>
    <w:unhideWhenUsed/>
    <w:rsid w:val="005B1CBB"/>
    <w:pPr>
      <w:spacing w:after="100"/>
      <w:ind w:left="220"/>
    </w:pPr>
  </w:style>
  <w:style w:type="paragraph" w:styleId="TOC3">
    <w:name w:val="toc 3"/>
    <w:basedOn w:val="Normal"/>
    <w:next w:val="Normal"/>
    <w:autoRedefine/>
    <w:uiPriority w:val="39"/>
    <w:unhideWhenUsed/>
    <w:rsid w:val="00A10C90"/>
    <w:pPr>
      <w:tabs>
        <w:tab w:val="left" w:pos="1320"/>
        <w:tab w:val="right" w:leader="dot" w:pos="9089"/>
      </w:tabs>
      <w:spacing w:after="100"/>
      <w:ind w:left="720"/>
    </w:pPr>
  </w:style>
  <w:style w:type="paragraph" w:styleId="NoSpacing">
    <w:name w:val="No Spacing"/>
    <w:link w:val="NoSpacingChar"/>
    <w:uiPriority w:val="1"/>
    <w:qFormat/>
    <w:rsid w:val="005B1CBB"/>
    <w:pPr>
      <w:spacing w:after="0" w:line="240" w:lineRule="auto"/>
    </w:pPr>
    <w:rPr>
      <w:lang w:val="en-US"/>
    </w:rPr>
  </w:style>
  <w:style w:type="character" w:customStyle="1" w:styleId="NoSpacingChar">
    <w:name w:val="No Spacing Char"/>
    <w:basedOn w:val="DefaultParagraphFont"/>
    <w:link w:val="NoSpacing"/>
    <w:uiPriority w:val="1"/>
    <w:rsid w:val="005B1CBB"/>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CBB"/>
    <w:pPr>
      <w:keepNext/>
      <w:keepLines/>
      <w:numPr>
        <w:numId w:val="11"/>
      </w:numPr>
      <w:spacing w:before="480" w:after="0"/>
      <w:ind w:left="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1CBB"/>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1CBB"/>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1CBB"/>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1CBB"/>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1CBB"/>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1CBB"/>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1CBB"/>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1CBB"/>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CBB"/>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5B1CBB"/>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5B1C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B1CBB"/>
    <w:rPr>
      <w:rFonts w:asciiTheme="majorHAnsi" w:eastAsiaTheme="majorEastAsia" w:hAnsiTheme="majorHAnsi" w:cstheme="majorBidi"/>
      <w:b/>
      <w:bCs/>
      <w:i/>
      <w:iCs/>
      <w:color w:val="4F81BD" w:themeColor="accent1"/>
      <w:lang w:eastAsia="en-AU"/>
    </w:rPr>
  </w:style>
  <w:style w:type="character" w:customStyle="1" w:styleId="Heading5Char">
    <w:name w:val="Heading 5 Char"/>
    <w:basedOn w:val="DefaultParagraphFont"/>
    <w:link w:val="Heading5"/>
    <w:uiPriority w:val="9"/>
    <w:semiHidden/>
    <w:rsid w:val="005B1CBB"/>
    <w:rPr>
      <w:rFonts w:asciiTheme="majorHAnsi" w:eastAsiaTheme="majorEastAsia" w:hAnsiTheme="majorHAnsi" w:cstheme="majorBidi"/>
      <w:color w:val="243F60" w:themeColor="accent1" w:themeShade="7F"/>
      <w:lang w:eastAsia="en-AU"/>
    </w:rPr>
  </w:style>
  <w:style w:type="character" w:customStyle="1" w:styleId="Heading6Char">
    <w:name w:val="Heading 6 Char"/>
    <w:basedOn w:val="DefaultParagraphFont"/>
    <w:link w:val="Heading6"/>
    <w:uiPriority w:val="9"/>
    <w:semiHidden/>
    <w:rsid w:val="005B1CBB"/>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uiPriority w:val="9"/>
    <w:semiHidden/>
    <w:rsid w:val="005B1CBB"/>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5B1CBB"/>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5B1CBB"/>
    <w:rPr>
      <w:rFonts w:asciiTheme="majorHAnsi" w:eastAsiaTheme="majorEastAsia" w:hAnsiTheme="majorHAnsi" w:cstheme="majorBidi"/>
      <w:i/>
      <w:iCs/>
      <w:color w:val="404040" w:themeColor="text1" w:themeTint="BF"/>
      <w:sz w:val="20"/>
      <w:szCs w:val="20"/>
      <w:lang w:eastAsia="en-AU"/>
    </w:rPr>
  </w:style>
  <w:style w:type="paragraph" w:styleId="ListParagraph">
    <w:name w:val="List Paragraph"/>
    <w:basedOn w:val="Normal"/>
    <w:uiPriority w:val="34"/>
    <w:qFormat/>
    <w:rsid w:val="005B1CBB"/>
    <w:pPr>
      <w:ind w:left="720"/>
      <w:contextualSpacing/>
    </w:pPr>
  </w:style>
  <w:style w:type="paragraph" w:styleId="Header">
    <w:name w:val="header"/>
    <w:basedOn w:val="Normal"/>
    <w:link w:val="HeaderChar"/>
    <w:uiPriority w:val="99"/>
    <w:unhideWhenUsed/>
    <w:rsid w:val="005B1C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CBB"/>
    <w:rPr>
      <w:rFonts w:eastAsiaTheme="minorEastAsia"/>
      <w:lang w:eastAsia="en-AU"/>
    </w:rPr>
  </w:style>
  <w:style w:type="paragraph" w:styleId="Footer">
    <w:name w:val="footer"/>
    <w:basedOn w:val="Normal"/>
    <w:link w:val="FooterChar"/>
    <w:uiPriority w:val="99"/>
    <w:unhideWhenUsed/>
    <w:rsid w:val="005B1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CBB"/>
    <w:rPr>
      <w:rFonts w:eastAsiaTheme="minorEastAsia"/>
      <w:lang w:eastAsia="en-AU"/>
    </w:rPr>
  </w:style>
  <w:style w:type="character" w:styleId="Hyperlink">
    <w:name w:val="Hyperlink"/>
    <w:basedOn w:val="DefaultParagraphFont"/>
    <w:uiPriority w:val="99"/>
    <w:rsid w:val="005B1CBB"/>
    <w:rPr>
      <w:rFonts w:cs="Times New Roman"/>
      <w:color w:val="0000FF"/>
      <w:u w:val="single"/>
    </w:rPr>
  </w:style>
  <w:style w:type="paragraph" w:customStyle="1" w:styleId="ecmsonormal">
    <w:name w:val="ec_msonormal"/>
    <w:basedOn w:val="Normal"/>
    <w:uiPriority w:val="99"/>
    <w:rsid w:val="005B1CBB"/>
    <w:pPr>
      <w:spacing w:before="100" w:beforeAutospacing="1" w:after="100" w:afterAutospacing="1" w:line="240" w:lineRule="auto"/>
    </w:pPr>
    <w:rPr>
      <w:rFonts w:ascii="Times New Roman" w:eastAsia="SimSun" w:hAnsi="Times New Roman" w:cs="Times New Roman"/>
      <w:sz w:val="24"/>
      <w:szCs w:val="24"/>
      <w:lang w:val="en-NZ" w:eastAsia="en-NZ"/>
    </w:rPr>
  </w:style>
  <w:style w:type="paragraph" w:styleId="BalloonText">
    <w:name w:val="Balloon Text"/>
    <w:basedOn w:val="Normal"/>
    <w:link w:val="BalloonTextChar"/>
    <w:uiPriority w:val="99"/>
    <w:semiHidden/>
    <w:unhideWhenUsed/>
    <w:rsid w:val="005B1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CBB"/>
    <w:rPr>
      <w:rFonts w:ascii="Tahoma" w:eastAsiaTheme="minorEastAsia" w:hAnsi="Tahoma" w:cs="Tahoma"/>
      <w:sz w:val="16"/>
      <w:szCs w:val="16"/>
      <w:lang w:eastAsia="en-AU"/>
    </w:rPr>
  </w:style>
  <w:style w:type="paragraph" w:styleId="EndnoteText">
    <w:name w:val="endnote text"/>
    <w:basedOn w:val="Normal"/>
    <w:link w:val="EndnoteTextChar"/>
    <w:uiPriority w:val="99"/>
    <w:semiHidden/>
    <w:unhideWhenUsed/>
    <w:rsid w:val="005B1C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1CBB"/>
    <w:rPr>
      <w:rFonts w:eastAsiaTheme="minorEastAsia"/>
      <w:sz w:val="20"/>
      <w:szCs w:val="20"/>
      <w:lang w:eastAsia="en-AU"/>
    </w:rPr>
  </w:style>
  <w:style w:type="character" w:styleId="EndnoteReference">
    <w:name w:val="endnote reference"/>
    <w:basedOn w:val="DefaultParagraphFont"/>
    <w:uiPriority w:val="99"/>
    <w:semiHidden/>
    <w:unhideWhenUsed/>
    <w:rsid w:val="005B1CBB"/>
    <w:rPr>
      <w:vertAlign w:val="superscript"/>
    </w:rPr>
  </w:style>
  <w:style w:type="paragraph" w:styleId="FootnoteText">
    <w:name w:val="footnote text"/>
    <w:basedOn w:val="Normal"/>
    <w:link w:val="FootnoteTextChar"/>
    <w:uiPriority w:val="99"/>
    <w:unhideWhenUsed/>
    <w:rsid w:val="005B1CBB"/>
    <w:pPr>
      <w:spacing w:after="0" w:line="240" w:lineRule="auto"/>
    </w:pPr>
    <w:rPr>
      <w:sz w:val="20"/>
      <w:szCs w:val="20"/>
    </w:rPr>
  </w:style>
  <w:style w:type="character" w:customStyle="1" w:styleId="FootnoteTextChar">
    <w:name w:val="Footnote Text Char"/>
    <w:basedOn w:val="DefaultParagraphFont"/>
    <w:link w:val="FootnoteText"/>
    <w:uiPriority w:val="99"/>
    <w:rsid w:val="005B1CBB"/>
    <w:rPr>
      <w:rFonts w:eastAsiaTheme="minorEastAsia"/>
      <w:sz w:val="20"/>
      <w:szCs w:val="20"/>
      <w:lang w:eastAsia="en-AU"/>
    </w:rPr>
  </w:style>
  <w:style w:type="character" w:styleId="FootnoteReference">
    <w:name w:val="footnote reference"/>
    <w:basedOn w:val="DefaultParagraphFont"/>
    <w:unhideWhenUsed/>
    <w:rsid w:val="005B1CBB"/>
    <w:rPr>
      <w:vertAlign w:val="superscript"/>
    </w:rPr>
  </w:style>
  <w:style w:type="character" w:styleId="CommentReference">
    <w:name w:val="annotation reference"/>
    <w:basedOn w:val="DefaultParagraphFont"/>
    <w:uiPriority w:val="99"/>
    <w:semiHidden/>
    <w:unhideWhenUsed/>
    <w:rsid w:val="005B1CBB"/>
    <w:rPr>
      <w:sz w:val="16"/>
      <w:szCs w:val="16"/>
    </w:rPr>
  </w:style>
  <w:style w:type="paragraph" w:styleId="CommentText">
    <w:name w:val="annotation text"/>
    <w:basedOn w:val="Normal"/>
    <w:link w:val="CommentTextChar"/>
    <w:uiPriority w:val="99"/>
    <w:unhideWhenUsed/>
    <w:rsid w:val="005B1CBB"/>
    <w:pPr>
      <w:spacing w:line="240" w:lineRule="auto"/>
    </w:pPr>
    <w:rPr>
      <w:sz w:val="20"/>
      <w:szCs w:val="20"/>
    </w:rPr>
  </w:style>
  <w:style w:type="character" w:customStyle="1" w:styleId="CommentTextChar">
    <w:name w:val="Comment Text Char"/>
    <w:basedOn w:val="DefaultParagraphFont"/>
    <w:link w:val="CommentText"/>
    <w:uiPriority w:val="99"/>
    <w:rsid w:val="005B1CBB"/>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5B1CBB"/>
    <w:rPr>
      <w:b/>
      <w:bCs/>
    </w:rPr>
  </w:style>
  <w:style w:type="character" w:customStyle="1" w:styleId="CommentSubjectChar">
    <w:name w:val="Comment Subject Char"/>
    <w:basedOn w:val="CommentTextChar"/>
    <w:link w:val="CommentSubject"/>
    <w:uiPriority w:val="99"/>
    <w:semiHidden/>
    <w:rsid w:val="005B1CBB"/>
    <w:rPr>
      <w:rFonts w:eastAsiaTheme="minorEastAsia"/>
      <w:b/>
      <w:bCs/>
      <w:sz w:val="20"/>
      <w:szCs w:val="20"/>
      <w:lang w:eastAsia="en-AU"/>
    </w:rPr>
  </w:style>
  <w:style w:type="paragraph" w:styleId="Revision">
    <w:name w:val="Revision"/>
    <w:hidden/>
    <w:uiPriority w:val="99"/>
    <w:semiHidden/>
    <w:rsid w:val="005B1CBB"/>
    <w:pPr>
      <w:spacing w:after="0" w:line="240" w:lineRule="auto"/>
    </w:pPr>
  </w:style>
  <w:style w:type="paragraph" w:styleId="BodyText">
    <w:name w:val="Body Text"/>
    <w:basedOn w:val="Normal"/>
    <w:link w:val="BodyTextChar"/>
    <w:uiPriority w:val="99"/>
    <w:semiHidden/>
    <w:rsid w:val="005B1CBB"/>
    <w:pPr>
      <w:spacing w:before="120" w:after="120" w:line="280" w:lineRule="exact"/>
      <w:ind w:left="284"/>
      <w:jc w:val="both"/>
    </w:pPr>
    <w:rPr>
      <w:rFonts w:ascii="Arial" w:eastAsia="Times New Roman" w:hAnsi="Arial" w:cs="Times New Roman"/>
      <w:lang w:val="en-GB" w:eastAsia="en-US"/>
    </w:rPr>
  </w:style>
  <w:style w:type="character" w:customStyle="1" w:styleId="BodyTextChar">
    <w:name w:val="Body Text Char"/>
    <w:basedOn w:val="DefaultParagraphFont"/>
    <w:link w:val="BodyText"/>
    <w:uiPriority w:val="99"/>
    <w:semiHidden/>
    <w:rsid w:val="005B1CBB"/>
    <w:rPr>
      <w:rFonts w:ascii="Arial" w:eastAsia="Times New Roman" w:hAnsi="Arial" w:cs="Times New Roman"/>
      <w:lang w:val="en-GB"/>
    </w:rPr>
  </w:style>
  <w:style w:type="paragraph" w:customStyle="1" w:styleId="Default">
    <w:name w:val="Default"/>
    <w:rsid w:val="005B1CBB"/>
    <w:pPr>
      <w:autoSpaceDE w:val="0"/>
      <w:autoSpaceDN w:val="0"/>
      <w:adjustRightInd w:val="0"/>
      <w:spacing w:after="0" w:line="240" w:lineRule="auto"/>
    </w:pPr>
    <w:rPr>
      <w:rFonts w:ascii="Arial" w:eastAsia="Calibri" w:hAnsi="Arial" w:cs="Arial"/>
      <w:color w:val="000000"/>
      <w:sz w:val="24"/>
      <w:szCs w:val="24"/>
    </w:rPr>
  </w:style>
  <w:style w:type="character" w:customStyle="1" w:styleId="A01">
    <w:name w:val="A0+1"/>
    <w:uiPriority w:val="99"/>
    <w:rsid w:val="005B1CBB"/>
    <w:rPr>
      <w:rFonts w:cs="Helvetica Neue"/>
      <w:b/>
      <w:bCs/>
      <w:color w:val="000000"/>
      <w:sz w:val="36"/>
      <w:szCs w:val="36"/>
    </w:rPr>
  </w:style>
  <w:style w:type="paragraph" w:styleId="ListNumber2">
    <w:name w:val="List Number 2"/>
    <w:basedOn w:val="Normal"/>
    <w:uiPriority w:val="99"/>
    <w:unhideWhenUsed/>
    <w:rsid w:val="005B1CBB"/>
    <w:pPr>
      <w:numPr>
        <w:numId w:val="8"/>
      </w:numPr>
      <w:spacing w:after="0" w:line="240" w:lineRule="auto"/>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5B1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B1C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1CBB"/>
    <w:rPr>
      <w:rFonts w:asciiTheme="majorHAnsi" w:eastAsiaTheme="majorEastAsia" w:hAnsiTheme="majorHAnsi" w:cstheme="majorBidi"/>
      <w:color w:val="17365D" w:themeColor="text2" w:themeShade="BF"/>
      <w:spacing w:val="5"/>
      <w:kern w:val="28"/>
      <w:sz w:val="52"/>
      <w:szCs w:val="52"/>
      <w:lang w:eastAsia="en-AU"/>
    </w:rPr>
  </w:style>
  <w:style w:type="paragraph" w:styleId="TOCHeading">
    <w:name w:val="TOC Heading"/>
    <w:basedOn w:val="Heading1"/>
    <w:next w:val="Normal"/>
    <w:uiPriority w:val="39"/>
    <w:semiHidden/>
    <w:unhideWhenUsed/>
    <w:qFormat/>
    <w:rsid w:val="005B1CBB"/>
    <w:pPr>
      <w:outlineLvl w:val="9"/>
    </w:pPr>
    <w:rPr>
      <w:lang w:val="en-US" w:eastAsia="en-US"/>
    </w:rPr>
  </w:style>
  <w:style w:type="paragraph" w:styleId="TOC1">
    <w:name w:val="toc 1"/>
    <w:basedOn w:val="Normal"/>
    <w:next w:val="Normal"/>
    <w:autoRedefine/>
    <w:uiPriority w:val="39"/>
    <w:unhideWhenUsed/>
    <w:rsid w:val="005B1CBB"/>
    <w:pPr>
      <w:spacing w:after="100"/>
    </w:pPr>
  </w:style>
  <w:style w:type="paragraph" w:styleId="TOC2">
    <w:name w:val="toc 2"/>
    <w:basedOn w:val="Normal"/>
    <w:next w:val="Normal"/>
    <w:autoRedefine/>
    <w:uiPriority w:val="39"/>
    <w:unhideWhenUsed/>
    <w:rsid w:val="005B1CBB"/>
    <w:pPr>
      <w:spacing w:after="100"/>
      <w:ind w:left="220"/>
    </w:pPr>
  </w:style>
  <w:style w:type="paragraph" w:styleId="TOC3">
    <w:name w:val="toc 3"/>
    <w:basedOn w:val="Normal"/>
    <w:next w:val="Normal"/>
    <w:autoRedefine/>
    <w:uiPriority w:val="39"/>
    <w:unhideWhenUsed/>
    <w:rsid w:val="00A10C90"/>
    <w:pPr>
      <w:tabs>
        <w:tab w:val="left" w:pos="1320"/>
        <w:tab w:val="right" w:leader="dot" w:pos="9089"/>
      </w:tabs>
      <w:spacing w:after="100"/>
      <w:ind w:left="720"/>
    </w:pPr>
  </w:style>
  <w:style w:type="paragraph" w:styleId="NoSpacing">
    <w:name w:val="No Spacing"/>
    <w:link w:val="NoSpacingChar"/>
    <w:uiPriority w:val="1"/>
    <w:qFormat/>
    <w:rsid w:val="005B1CBB"/>
    <w:pPr>
      <w:spacing w:after="0" w:line="240" w:lineRule="auto"/>
    </w:pPr>
    <w:rPr>
      <w:lang w:val="en-US"/>
    </w:rPr>
  </w:style>
  <w:style w:type="character" w:customStyle="1" w:styleId="NoSpacingChar">
    <w:name w:val="No Spacing Char"/>
    <w:basedOn w:val="DefaultParagraphFont"/>
    <w:link w:val="NoSpacing"/>
    <w:uiPriority w:val="1"/>
    <w:rsid w:val="005B1CB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intranet2apps.ausaid.gov.au/phonebook/Default.aspx?Function/Phone/OrgUnitDetails=&amp;OrgUnitID=173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idlo.int/english/WhoWeAre/Pages/Home.aspx" TargetMode="External"/><Relationship Id="rId2" Type="http://schemas.openxmlformats.org/officeDocument/2006/relationships/hyperlink" Target="http://www.ausaid.gov.au/business/Documents/hrgs-projects-10-11.pdf" TargetMode="External"/><Relationship Id="rId1" Type="http://schemas.openxmlformats.org/officeDocument/2006/relationships/hyperlink" Target="http://www.ausaid.gov.au/aidissues/Documents/thematic-strategies/governance-strategy.pdf" TargetMode="External"/><Relationship Id="rId4" Type="http://schemas.openxmlformats.org/officeDocument/2006/relationships/hyperlink" Target="http://www.idlo.int/DOCCalendar/Annual%20Management%20Plan%20and%20Budget%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896D9-4707-4313-8025-71B4A444050A}"/>
</file>

<file path=customXml/itemProps2.xml><?xml version="1.0" encoding="utf-8"?>
<ds:datastoreItem xmlns:ds="http://schemas.openxmlformats.org/officeDocument/2006/customXml" ds:itemID="{383CC19A-CDA2-4758-BBBB-89B0F7997C1C}"/>
</file>

<file path=customXml/itemProps3.xml><?xml version="1.0" encoding="utf-8"?>
<ds:datastoreItem xmlns:ds="http://schemas.openxmlformats.org/officeDocument/2006/customXml" ds:itemID="{7B458BFE-B69F-4632-9F62-57C59BC3F7F7}"/>
</file>

<file path=customXml/itemProps4.xml><?xml version="1.0" encoding="utf-8"?>
<ds:datastoreItem xmlns:ds="http://schemas.openxmlformats.org/officeDocument/2006/customXml" ds:itemID="{2E06E073-E184-4BEE-8CB3-824898FD392E}"/>
</file>

<file path=docProps/app.xml><?xml version="1.0" encoding="utf-8"?>
<Properties xmlns="http://schemas.openxmlformats.org/officeDocument/2006/extended-properties" xmlns:vt="http://schemas.openxmlformats.org/officeDocument/2006/docPropsVTypes">
  <Template>Normal.dotm</Template>
  <TotalTime>2</TotalTime>
  <Pages>39</Pages>
  <Words>14268</Words>
  <Characters>81331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Emma Hunt</cp:lastModifiedBy>
  <cp:revision>3</cp:revision>
  <cp:lastPrinted>2013-01-07T04:17:00Z</cp:lastPrinted>
  <dcterms:created xsi:type="dcterms:W3CDTF">2013-03-12T03:32:00Z</dcterms:created>
  <dcterms:modified xsi:type="dcterms:W3CDTF">2013-03-12T03:34:00Z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26700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