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1B" w:rsidRPr="000D4D90" w:rsidRDefault="009D23F3">
      <w:pPr>
        <w:pStyle w:val="Title"/>
        <w:rPr>
          <w:rFonts w:ascii="Arial" w:hAnsi="Arial"/>
          <w:sz w:val="22"/>
          <w:lang w:eastAsia="en-US"/>
        </w:rPr>
      </w:pPr>
      <w:r>
        <w:rPr>
          <w:rFonts w:ascii="Arial" w:hAnsi="Arial"/>
          <w:noProof/>
          <w:sz w:val="22"/>
          <w:lang w:val="en-US" w:eastAsia="en-US"/>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310" cy="1350010"/>
                <wp:effectExtent l="0" t="0" r="2540" b="2540"/>
                <wp:wrapNone/>
                <wp:docPr id="6" name="Rectangle 1199"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9" o:spid="_x0000_s1026" alt="." style="position:absolute;margin-left:0;margin-top:0;width:595.3pt;height:10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" stroked="f">
                <w10:wrap anchorx="page" anchory="page"/>
              </v:rect>
            </w:pict>
          </mc:Fallback>
        </mc:AlternateContent>
      </w:r>
      <w:r>
        <w:rPr>
          <w:rFonts w:ascii="Arial" w:hAnsi="Arial"/>
          <w:noProof/>
          <w:sz w:val="22"/>
          <w:lang w:val="en-US" w:eastAsia="en-US"/>
        </w:rPr>
        <w:drawing>
          <wp:anchor distT="0" distB="0" distL="114300" distR="114300" simplePos="0" relativeHeight="251657216" behindDoc="1" locked="0" layoutInCell="0" allowOverlap="1">
            <wp:simplePos x="0" y="0"/>
            <wp:positionH relativeFrom="page">
              <wp:posOffset>0</wp:posOffset>
            </wp:positionH>
            <wp:positionV relativeFrom="page">
              <wp:posOffset>0</wp:posOffset>
            </wp:positionV>
            <wp:extent cx="7560310" cy="2771140"/>
            <wp:effectExtent l="0" t="0" r="2540" b="0"/>
            <wp:wrapNone/>
            <wp:docPr id="1198" name="Picture 1198" descr="AusAID graphics pacific factshe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 graphics pacific factsheet hea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277114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ountry-region">
        <w:r w:rsidR="009D727E">
          <w:t>Australia</w:t>
        </w:r>
      </w:smartTag>
      <w:r w:rsidR="001A3ABC">
        <w:t xml:space="preserve"> </w:t>
      </w:r>
      <w:r w:rsidR="009D727E">
        <w:t>–</w:t>
      </w:r>
      <w:r w:rsidR="001A3ABC">
        <w:t xml:space="preserve"> </w:t>
      </w:r>
      <w:smartTag w:uri="urn:schemas-microsoft-com:office:smarttags" w:element="country-region">
        <w:smartTag w:uri="urn:schemas-microsoft-com:office:smarttags" w:element="place">
          <w:r w:rsidR="009D727E">
            <w:t>Vanuatu</w:t>
          </w:r>
        </w:smartTag>
      </w:smartTag>
      <w:r w:rsidR="009D727E">
        <w:t xml:space="preserve"> Partnership Report 2010</w:t>
      </w:r>
    </w:p>
    <w:p w:rsidR="007A131B" w:rsidRPr="00BD1E79" w:rsidRDefault="009D727E">
      <w:pPr>
        <w:pStyle w:val="Date"/>
        <w:spacing w:after="1200"/>
      </w:pPr>
      <w:r>
        <w:t>August 2011</w:t>
      </w:r>
    </w:p>
    <w:p w:rsidR="00C47242" w:rsidRDefault="00C47242">
      <w:pPr>
        <w:pStyle w:val="TOCHeading"/>
      </w:pPr>
      <w:r>
        <w:t>Contents</w:t>
      </w:r>
    </w:p>
    <w:p w:rsidR="00C47242" w:rsidRDefault="00C47242">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978095" w:history="1">
        <w:r w:rsidRPr="00B6430A">
          <w:rPr>
            <w:rStyle w:val="Hyperlink"/>
            <w:noProof/>
          </w:rPr>
          <w:t>Summary</w:t>
        </w:r>
        <w:r>
          <w:rPr>
            <w:noProof/>
            <w:webHidden/>
          </w:rPr>
          <w:tab/>
        </w:r>
        <w:r>
          <w:rPr>
            <w:rStyle w:val="Hyperlink"/>
            <w:noProof/>
            <w:rtl/>
          </w:rPr>
          <w:fldChar w:fldCharType="begin"/>
        </w:r>
        <w:r>
          <w:rPr>
            <w:noProof/>
            <w:webHidden/>
          </w:rPr>
          <w:instrText xml:space="preserve"> PAGEREF _Toc360978095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C47242" w:rsidRDefault="00825B55">
      <w:pPr>
        <w:pStyle w:val="TOC1"/>
        <w:rPr>
          <w:rFonts w:ascii="Calibri" w:hAnsi="Calibri" w:cs="Arial"/>
          <w:noProof/>
          <w:color w:val="auto"/>
          <w:sz w:val="22"/>
          <w:szCs w:val="22"/>
          <w:lang w:val="en-US" w:eastAsia="en-US"/>
        </w:rPr>
      </w:pPr>
      <w:hyperlink w:anchor="_Toc360978096" w:history="1">
        <w:r w:rsidR="00C47242" w:rsidRPr="00B6430A">
          <w:rPr>
            <w:rStyle w:val="Hyperlink"/>
            <w:noProof/>
          </w:rPr>
          <w:t>Vanuatu context</w:t>
        </w:r>
        <w:r w:rsidR="00C47242">
          <w:rPr>
            <w:noProof/>
            <w:webHidden/>
          </w:rPr>
          <w:tab/>
        </w:r>
        <w:r w:rsidR="00C47242">
          <w:rPr>
            <w:rStyle w:val="Hyperlink"/>
            <w:noProof/>
            <w:rtl/>
          </w:rPr>
          <w:fldChar w:fldCharType="begin"/>
        </w:r>
        <w:r w:rsidR="00C47242">
          <w:rPr>
            <w:noProof/>
            <w:webHidden/>
          </w:rPr>
          <w:instrText xml:space="preserve"> PAGEREF _Toc360978096 \h </w:instrText>
        </w:r>
        <w:r w:rsidR="00C47242">
          <w:rPr>
            <w:rStyle w:val="Hyperlink"/>
            <w:noProof/>
            <w:rtl/>
          </w:rPr>
        </w:r>
        <w:r w:rsidR="00C47242">
          <w:rPr>
            <w:rStyle w:val="Hyperlink"/>
            <w:noProof/>
            <w:rtl/>
          </w:rPr>
          <w:fldChar w:fldCharType="separate"/>
        </w:r>
        <w:r w:rsidR="00C47242">
          <w:rPr>
            <w:noProof/>
            <w:webHidden/>
          </w:rPr>
          <w:t>2</w:t>
        </w:r>
        <w:r w:rsidR="00C47242">
          <w:rPr>
            <w:rStyle w:val="Hyperlink"/>
            <w:noProof/>
            <w:rtl/>
          </w:rPr>
          <w:fldChar w:fldCharType="end"/>
        </w:r>
      </w:hyperlink>
    </w:p>
    <w:p w:rsidR="00C47242" w:rsidRDefault="00825B55">
      <w:pPr>
        <w:pStyle w:val="TOC1"/>
        <w:rPr>
          <w:rFonts w:ascii="Calibri" w:hAnsi="Calibri" w:cs="Arial"/>
          <w:noProof/>
          <w:color w:val="auto"/>
          <w:sz w:val="22"/>
          <w:szCs w:val="22"/>
          <w:lang w:val="en-US" w:eastAsia="en-US"/>
        </w:rPr>
      </w:pPr>
      <w:hyperlink w:anchor="_Toc360978097" w:history="1">
        <w:r w:rsidR="00C47242" w:rsidRPr="00B6430A">
          <w:rPr>
            <w:rStyle w:val="Hyperlink"/>
            <w:noProof/>
          </w:rPr>
          <w:t>Results</w:t>
        </w:r>
        <w:r w:rsidR="00C47242">
          <w:rPr>
            <w:noProof/>
            <w:webHidden/>
          </w:rPr>
          <w:tab/>
        </w:r>
        <w:r w:rsidR="00C47242">
          <w:rPr>
            <w:rStyle w:val="Hyperlink"/>
            <w:noProof/>
            <w:rtl/>
          </w:rPr>
          <w:fldChar w:fldCharType="begin"/>
        </w:r>
        <w:r w:rsidR="00C47242">
          <w:rPr>
            <w:noProof/>
            <w:webHidden/>
          </w:rPr>
          <w:instrText xml:space="preserve"> PAGEREF _Toc360978097 \h </w:instrText>
        </w:r>
        <w:r w:rsidR="00C47242">
          <w:rPr>
            <w:rStyle w:val="Hyperlink"/>
            <w:noProof/>
            <w:rtl/>
          </w:rPr>
        </w:r>
        <w:r w:rsidR="00C47242">
          <w:rPr>
            <w:rStyle w:val="Hyperlink"/>
            <w:noProof/>
            <w:rtl/>
          </w:rPr>
          <w:fldChar w:fldCharType="separate"/>
        </w:r>
        <w:r w:rsidR="00C47242">
          <w:rPr>
            <w:noProof/>
            <w:webHidden/>
          </w:rPr>
          <w:t>2</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098" w:history="1">
        <w:r w:rsidR="00C47242" w:rsidRPr="00B6430A">
          <w:rPr>
            <w:rStyle w:val="Hyperlink"/>
            <w:noProof/>
          </w:rPr>
          <w:t>Rating</w:t>
        </w:r>
        <w:r w:rsidR="00C47242">
          <w:rPr>
            <w:noProof/>
            <w:webHidden/>
          </w:rPr>
          <w:tab/>
        </w:r>
        <w:r w:rsidR="00C47242">
          <w:rPr>
            <w:rStyle w:val="Hyperlink"/>
            <w:noProof/>
            <w:rtl/>
          </w:rPr>
          <w:fldChar w:fldCharType="begin"/>
        </w:r>
        <w:r w:rsidR="00C47242">
          <w:rPr>
            <w:noProof/>
            <w:webHidden/>
          </w:rPr>
          <w:instrText xml:space="preserve"> PAGEREF _Toc360978098 \h </w:instrText>
        </w:r>
        <w:r w:rsidR="00C47242">
          <w:rPr>
            <w:rStyle w:val="Hyperlink"/>
            <w:noProof/>
            <w:rtl/>
          </w:rPr>
        </w:r>
        <w:r w:rsidR="00C47242">
          <w:rPr>
            <w:rStyle w:val="Hyperlink"/>
            <w:noProof/>
            <w:rtl/>
          </w:rPr>
          <w:fldChar w:fldCharType="separate"/>
        </w:r>
        <w:r w:rsidR="00C47242">
          <w:rPr>
            <w:noProof/>
            <w:webHidden/>
          </w:rPr>
          <w:t>3</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099" w:history="1">
        <w:r w:rsidR="00C47242" w:rsidRPr="00B6430A">
          <w:rPr>
            <w:rStyle w:val="Hyperlink"/>
            <w:noProof/>
          </w:rPr>
          <w:t>Assessment of results and performance</w:t>
        </w:r>
        <w:r w:rsidR="00C47242">
          <w:rPr>
            <w:noProof/>
            <w:webHidden/>
          </w:rPr>
          <w:tab/>
        </w:r>
        <w:r w:rsidR="00C47242">
          <w:rPr>
            <w:rStyle w:val="Hyperlink"/>
            <w:noProof/>
            <w:rtl/>
          </w:rPr>
          <w:fldChar w:fldCharType="begin"/>
        </w:r>
        <w:r w:rsidR="00C47242">
          <w:rPr>
            <w:noProof/>
            <w:webHidden/>
          </w:rPr>
          <w:instrText xml:space="preserve"> PAGEREF _Toc360978099 \h </w:instrText>
        </w:r>
        <w:r w:rsidR="00C47242">
          <w:rPr>
            <w:rStyle w:val="Hyperlink"/>
            <w:noProof/>
            <w:rtl/>
          </w:rPr>
        </w:r>
        <w:r w:rsidR="00C47242">
          <w:rPr>
            <w:rStyle w:val="Hyperlink"/>
            <w:noProof/>
            <w:rtl/>
          </w:rPr>
          <w:fldChar w:fldCharType="separate"/>
        </w:r>
        <w:r w:rsidR="00C47242">
          <w:rPr>
            <w:noProof/>
            <w:webHidden/>
          </w:rPr>
          <w:t>3</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0" w:history="1">
        <w:r w:rsidR="00C47242" w:rsidRPr="00B6430A">
          <w:rPr>
            <w:rStyle w:val="Hyperlink"/>
            <w:noProof/>
          </w:rPr>
          <w:t>Rating</w:t>
        </w:r>
        <w:r w:rsidR="00C47242">
          <w:rPr>
            <w:noProof/>
            <w:webHidden/>
          </w:rPr>
          <w:tab/>
        </w:r>
        <w:r w:rsidR="00C47242">
          <w:rPr>
            <w:rStyle w:val="Hyperlink"/>
            <w:noProof/>
            <w:rtl/>
          </w:rPr>
          <w:fldChar w:fldCharType="begin"/>
        </w:r>
        <w:r w:rsidR="00C47242">
          <w:rPr>
            <w:noProof/>
            <w:webHidden/>
          </w:rPr>
          <w:instrText xml:space="preserve"> PAGEREF _Toc360978100 \h </w:instrText>
        </w:r>
        <w:r w:rsidR="00C47242">
          <w:rPr>
            <w:rStyle w:val="Hyperlink"/>
            <w:noProof/>
            <w:rtl/>
          </w:rPr>
        </w:r>
        <w:r w:rsidR="00C47242">
          <w:rPr>
            <w:rStyle w:val="Hyperlink"/>
            <w:noProof/>
            <w:rtl/>
          </w:rPr>
          <w:fldChar w:fldCharType="separate"/>
        </w:r>
        <w:r w:rsidR="00C47242">
          <w:rPr>
            <w:noProof/>
            <w:webHidden/>
          </w:rPr>
          <w:t>4</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1" w:history="1">
        <w:r w:rsidR="00C47242" w:rsidRPr="00B6430A">
          <w:rPr>
            <w:rStyle w:val="Hyperlink"/>
            <w:noProof/>
          </w:rPr>
          <w:t>Assessment of results and performance</w:t>
        </w:r>
        <w:r w:rsidR="00C47242">
          <w:rPr>
            <w:noProof/>
            <w:webHidden/>
          </w:rPr>
          <w:tab/>
        </w:r>
        <w:r w:rsidR="00C47242">
          <w:rPr>
            <w:rStyle w:val="Hyperlink"/>
            <w:noProof/>
            <w:rtl/>
          </w:rPr>
          <w:fldChar w:fldCharType="begin"/>
        </w:r>
        <w:r w:rsidR="00C47242">
          <w:rPr>
            <w:noProof/>
            <w:webHidden/>
          </w:rPr>
          <w:instrText xml:space="preserve"> PAGEREF _Toc360978101 \h </w:instrText>
        </w:r>
        <w:r w:rsidR="00C47242">
          <w:rPr>
            <w:rStyle w:val="Hyperlink"/>
            <w:noProof/>
            <w:rtl/>
          </w:rPr>
        </w:r>
        <w:r w:rsidR="00C47242">
          <w:rPr>
            <w:rStyle w:val="Hyperlink"/>
            <w:noProof/>
            <w:rtl/>
          </w:rPr>
          <w:fldChar w:fldCharType="separate"/>
        </w:r>
        <w:r w:rsidR="00C47242">
          <w:rPr>
            <w:noProof/>
            <w:webHidden/>
          </w:rPr>
          <w:t>4</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2" w:history="1">
        <w:r w:rsidR="00C47242" w:rsidRPr="00B6430A">
          <w:rPr>
            <w:rStyle w:val="Hyperlink"/>
            <w:noProof/>
          </w:rPr>
          <w:t>Rating</w:t>
        </w:r>
        <w:r w:rsidR="00C47242">
          <w:rPr>
            <w:noProof/>
            <w:webHidden/>
          </w:rPr>
          <w:tab/>
        </w:r>
        <w:r w:rsidR="00C47242">
          <w:rPr>
            <w:rStyle w:val="Hyperlink"/>
            <w:noProof/>
            <w:rtl/>
          </w:rPr>
          <w:fldChar w:fldCharType="begin"/>
        </w:r>
        <w:r w:rsidR="00C47242">
          <w:rPr>
            <w:noProof/>
            <w:webHidden/>
          </w:rPr>
          <w:instrText xml:space="preserve"> PAGEREF _Toc360978102 \h </w:instrText>
        </w:r>
        <w:r w:rsidR="00C47242">
          <w:rPr>
            <w:rStyle w:val="Hyperlink"/>
            <w:noProof/>
            <w:rtl/>
          </w:rPr>
        </w:r>
        <w:r w:rsidR="00C47242">
          <w:rPr>
            <w:rStyle w:val="Hyperlink"/>
            <w:noProof/>
            <w:rtl/>
          </w:rPr>
          <w:fldChar w:fldCharType="separate"/>
        </w:r>
        <w:r w:rsidR="00C47242">
          <w:rPr>
            <w:noProof/>
            <w:webHidden/>
          </w:rPr>
          <w:t>6</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3" w:history="1">
        <w:r w:rsidR="00C47242" w:rsidRPr="00B6430A">
          <w:rPr>
            <w:rStyle w:val="Hyperlink"/>
            <w:noProof/>
          </w:rPr>
          <w:t>Assessment of results and performance</w:t>
        </w:r>
        <w:r w:rsidR="00C47242">
          <w:rPr>
            <w:noProof/>
            <w:webHidden/>
          </w:rPr>
          <w:tab/>
        </w:r>
        <w:r w:rsidR="00C47242">
          <w:rPr>
            <w:rStyle w:val="Hyperlink"/>
            <w:noProof/>
            <w:rtl/>
          </w:rPr>
          <w:fldChar w:fldCharType="begin"/>
        </w:r>
        <w:r w:rsidR="00C47242">
          <w:rPr>
            <w:noProof/>
            <w:webHidden/>
          </w:rPr>
          <w:instrText xml:space="preserve"> PAGEREF _Toc360978103 \h </w:instrText>
        </w:r>
        <w:r w:rsidR="00C47242">
          <w:rPr>
            <w:rStyle w:val="Hyperlink"/>
            <w:noProof/>
            <w:rtl/>
          </w:rPr>
        </w:r>
        <w:r w:rsidR="00C47242">
          <w:rPr>
            <w:rStyle w:val="Hyperlink"/>
            <w:noProof/>
            <w:rtl/>
          </w:rPr>
          <w:fldChar w:fldCharType="separate"/>
        </w:r>
        <w:r w:rsidR="00C47242">
          <w:rPr>
            <w:noProof/>
            <w:webHidden/>
          </w:rPr>
          <w:t>6</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4" w:history="1">
        <w:r w:rsidR="00C47242" w:rsidRPr="00B6430A">
          <w:rPr>
            <w:rStyle w:val="Hyperlink"/>
            <w:noProof/>
          </w:rPr>
          <w:t>Rating</w:t>
        </w:r>
        <w:r w:rsidR="00C47242">
          <w:rPr>
            <w:noProof/>
            <w:webHidden/>
          </w:rPr>
          <w:tab/>
        </w:r>
        <w:r w:rsidR="00C47242">
          <w:rPr>
            <w:rStyle w:val="Hyperlink"/>
            <w:noProof/>
            <w:rtl/>
          </w:rPr>
          <w:fldChar w:fldCharType="begin"/>
        </w:r>
        <w:r w:rsidR="00C47242">
          <w:rPr>
            <w:noProof/>
            <w:webHidden/>
          </w:rPr>
          <w:instrText xml:space="preserve"> PAGEREF _Toc360978104 \h </w:instrText>
        </w:r>
        <w:r w:rsidR="00C47242">
          <w:rPr>
            <w:rStyle w:val="Hyperlink"/>
            <w:noProof/>
            <w:rtl/>
          </w:rPr>
        </w:r>
        <w:r w:rsidR="00C47242">
          <w:rPr>
            <w:rStyle w:val="Hyperlink"/>
            <w:noProof/>
            <w:rtl/>
          </w:rPr>
          <w:fldChar w:fldCharType="separate"/>
        </w:r>
        <w:r w:rsidR="00C47242">
          <w:rPr>
            <w:noProof/>
            <w:webHidden/>
          </w:rPr>
          <w:t>7</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5" w:history="1">
        <w:r w:rsidR="00C47242" w:rsidRPr="00B6430A">
          <w:rPr>
            <w:rStyle w:val="Hyperlink"/>
            <w:noProof/>
          </w:rPr>
          <w:t>Assessment of results and performance</w:t>
        </w:r>
        <w:r w:rsidR="00C47242">
          <w:rPr>
            <w:noProof/>
            <w:webHidden/>
          </w:rPr>
          <w:tab/>
        </w:r>
        <w:r w:rsidR="00C47242">
          <w:rPr>
            <w:rStyle w:val="Hyperlink"/>
            <w:noProof/>
            <w:rtl/>
          </w:rPr>
          <w:fldChar w:fldCharType="begin"/>
        </w:r>
        <w:r w:rsidR="00C47242">
          <w:rPr>
            <w:noProof/>
            <w:webHidden/>
          </w:rPr>
          <w:instrText xml:space="preserve"> PAGEREF _Toc360978105 \h </w:instrText>
        </w:r>
        <w:r w:rsidR="00C47242">
          <w:rPr>
            <w:rStyle w:val="Hyperlink"/>
            <w:noProof/>
            <w:rtl/>
          </w:rPr>
        </w:r>
        <w:r w:rsidR="00C47242">
          <w:rPr>
            <w:rStyle w:val="Hyperlink"/>
            <w:noProof/>
            <w:rtl/>
          </w:rPr>
          <w:fldChar w:fldCharType="separate"/>
        </w:r>
        <w:r w:rsidR="00C47242">
          <w:rPr>
            <w:noProof/>
            <w:webHidden/>
          </w:rPr>
          <w:t>8</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6" w:history="1">
        <w:r w:rsidR="00C47242" w:rsidRPr="00B6430A">
          <w:rPr>
            <w:rStyle w:val="Hyperlink"/>
            <w:noProof/>
          </w:rPr>
          <w:t>Rating</w:t>
        </w:r>
        <w:r w:rsidR="00C47242">
          <w:rPr>
            <w:noProof/>
            <w:webHidden/>
          </w:rPr>
          <w:tab/>
        </w:r>
        <w:r w:rsidR="00C47242">
          <w:rPr>
            <w:rStyle w:val="Hyperlink"/>
            <w:noProof/>
            <w:rtl/>
          </w:rPr>
          <w:fldChar w:fldCharType="begin"/>
        </w:r>
        <w:r w:rsidR="00C47242">
          <w:rPr>
            <w:noProof/>
            <w:webHidden/>
          </w:rPr>
          <w:instrText xml:space="preserve"> PAGEREF _Toc360978106 \h </w:instrText>
        </w:r>
        <w:r w:rsidR="00C47242">
          <w:rPr>
            <w:rStyle w:val="Hyperlink"/>
            <w:noProof/>
            <w:rtl/>
          </w:rPr>
        </w:r>
        <w:r w:rsidR="00C47242">
          <w:rPr>
            <w:rStyle w:val="Hyperlink"/>
            <w:noProof/>
            <w:rtl/>
          </w:rPr>
          <w:fldChar w:fldCharType="separate"/>
        </w:r>
        <w:r w:rsidR="00C47242">
          <w:rPr>
            <w:noProof/>
            <w:webHidden/>
          </w:rPr>
          <w:t>8</w:t>
        </w:r>
        <w:r w:rsidR="00C47242">
          <w:rPr>
            <w:rStyle w:val="Hyperlink"/>
            <w:noProof/>
            <w:rtl/>
          </w:rPr>
          <w:fldChar w:fldCharType="end"/>
        </w:r>
      </w:hyperlink>
    </w:p>
    <w:p w:rsidR="00C47242" w:rsidRDefault="00825B55">
      <w:pPr>
        <w:pStyle w:val="TOC3"/>
        <w:rPr>
          <w:rFonts w:ascii="Calibri" w:hAnsi="Calibri" w:cs="Arial"/>
          <w:noProof/>
          <w:sz w:val="22"/>
          <w:szCs w:val="22"/>
          <w:lang w:val="en-US" w:eastAsia="en-US"/>
        </w:rPr>
      </w:pPr>
      <w:hyperlink w:anchor="_Toc360978107" w:history="1">
        <w:r w:rsidR="00C47242" w:rsidRPr="00B6430A">
          <w:rPr>
            <w:rStyle w:val="Hyperlink"/>
            <w:noProof/>
          </w:rPr>
          <w:t>Assessment of results and performance</w:t>
        </w:r>
        <w:r w:rsidR="00C47242">
          <w:rPr>
            <w:noProof/>
            <w:webHidden/>
          </w:rPr>
          <w:tab/>
        </w:r>
        <w:r w:rsidR="00C47242">
          <w:rPr>
            <w:rStyle w:val="Hyperlink"/>
            <w:noProof/>
            <w:rtl/>
          </w:rPr>
          <w:fldChar w:fldCharType="begin"/>
        </w:r>
        <w:r w:rsidR="00C47242">
          <w:rPr>
            <w:noProof/>
            <w:webHidden/>
          </w:rPr>
          <w:instrText xml:space="preserve"> PAGEREF _Toc360978107 \h </w:instrText>
        </w:r>
        <w:r w:rsidR="00C47242">
          <w:rPr>
            <w:rStyle w:val="Hyperlink"/>
            <w:noProof/>
            <w:rtl/>
          </w:rPr>
        </w:r>
        <w:r w:rsidR="00C47242">
          <w:rPr>
            <w:rStyle w:val="Hyperlink"/>
            <w:noProof/>
            <w:rtl/>
          </w:rPr>
          <w:fldChar w:fldCharType="separate"/>
        </w:r>
        <w:r w:rsidR="00C47242">
          <w:rPr>
            <w:noProof/>
            <w:webHidden/>
          </w:rPr>
          <w:t>8</w:t>
        </w:r>
        <w:r w:rsidR="00C47242">
          <w:rPr>
            <w:rStyle w:val="Hyperlink"/>
            <w:noProof/>
            <w:rtl/>
          </w:rPr>
          <w:fldChar w:fldCharType="end"/>
        </w:r>
      </w:hyperlink>
    </w:p>
    <w:p w:rsidR="00C47242" w:rsidRDefault="00825B55">
      <w:pPr>
        <w:pStyle w:val="TOC2"/>
        <w:rPr>
          <w:rFonts w:ascii="Calibri" w:hAnsi="Calibri" w:cs="Arial"/>
          <w:noProof/>
          <w:color w:val="auto"/>
          <w:sz w:val="22"/>
          <w:szCs w:val="22"/>
          <w:lang w:val="en-US" w:eastAsia="en-US"/>
        </w:rPr>
      </w:pPr>
      <w:hyperlink w:anchor="_Toc360978108" w:history="1">
        <w:r w:rsidR="00C47242" w:rsidRPr="00B6430A">
          <w:rPr>
            <w:rStyle w:val="Hyperlink"/>
            <w:noProof/>
          </w:rPr>
          <w:t>Attachment A:</w:t>
        </w:r>
        <w:r w:rsidR="00C47242">
          <w:rPr>
            <w:noProof/>
            <w:webHidden/>
          </w:rPr>
          <w:tab/>
        </w:r>
        <w:r w:rsidR="00C47242">
          <w:rPr>
            <w:rStyle w:val="Hyperlink"/>
            <w:noProof/>
            <w:rtl/>
          </w:rPr>
          <w:fldChar w:fldCharType="begin"/>
        </w:r>
        <w:r w:rsidR="00C47242">
          <w:rPr>
            <w:noProof/>
            <w:webHidden/>
          </w:rPr>
          <w:instrText xml:space="preserve"> PAGEREF _Toc360978108 \h </w:instrText>
        </w:r>
        <w:r w:rsidR="00C47242">
          <w:rPr>
            <w:rStyle w:val="Hyperlink"/>
            <w:noProof/>
            <w:rtl/>
          </w:rPr>
        </w:r>
        <w:r w:rsidR="00C47242">
          <w:rPr>
            <w:rStyle w:val="Hyperlink"/>
            <w:noProof/>
            <w:rtl/>
          </w:rPr>
          <w:fldChar w:fldCharType="separate"/>
        </w:r>
        <w:r w:rsidR="00C47242">
          <w:rPr>
            <w:noProof/>
            <w:webHidden/>
          </w:rPr>
          <w:t>11</w:t>
        </w:r>
        <w:r w:rsidR="00C47242">
          <w:rPr>
            <w:rStyle w:val="Hyperlink"/>
            <w:noProof/>
            <w:rtl/>
          </w:rPr>
          <w:fldChar w:fldCharType="end"/>
        </w:r>
      </w:hyperlink>
    </w:p>
    <w:p w:rsidR="00C47242" w:rsidRDefault="00C47242">
      <w:r>
        <w:fldChar w:fldCharType="end"/>
      </w:r>
    </w:p>
    <w:p w:rsidR="009D727E" w:rsidRDefault="00C47242" w:rsidP="009D727E">
      <w:pPr>
        <w:pStyle w:val="BodyText"/>
        <w:rPr>
          <w:rFonts w:cs="Arial"/>
        </w:rPr>
      </w:pPr>
      <w:r>
        <w:br w:type="page"/>
      </w:r>
      <w:r w:rsidR="009D727E" w:rsidRPr="006A1943">
        <w:lastRenderedPageBreak/>
        <w:t xml:space="preserve">This </w:t>
      </w:r>
      <w:r w:rsidR="009D727E">
        <w:t xml:space="preserve">is the second report on the </w:t>
      </w:r>
      <w:smartTag w:uri="urn:schemas-microsoft-com:office:smarttags" w:element="country-region">
        <w:smartTag w:uri="urn:schemas-microsoft-com:office:smarttags" w:element="place">
          <w:r w:rsidR="009D727E">
            <w:t>Australia</w:t>
          </w:r>
        </w:smartTag>
      </w:smartTag>
      <w:r w:rsidR="00654524">
        <w:t xml:space="preserve"> </w:t>
      </w:r>
      <w:r w:rsidR="009D727E">
        <w:t>–</w:t>
      </w:r>
      <w:r w:rsidR="00654524">
        <w:t xml:space="preserve"> </w:t>
      </w:r>
      <w:r w:rsidR="009D727E">
        <w:t xml:space="preserve">Vanuatu Partnership for Development, </w:t>
      </w:r>
      <w:r w:rsidR="00450323">
        <w:t xml:space="preserve">which was </w:t>
      </w:r>
      <w:r w:rsidR="009D727E">
        <w:t xml:space="preserve">signed in May 2009. The partnership is designed to accelerate </w:t>
      </w:r>
      <w:smartTag w:uri="urn:schemas-microsoft-com:office:smarttags" w:element="country-region">
        <w:smartTag w:uri="urn:schemas-microsoft-com:office:smarttags" w:element="place">
          <w:r w:rsidR="009D727E">
            <w:t>Vanuatu</w:t>
          </w:r>
        </w:smartTag>
      </w:smartTag>
      <w:r w:rsidR="009D727E">
        <w:t>’s progress towards achieving the Millennium Development Goals (</w:t>
      </w:r>
      <w:r w:rsidR="009D727E" w:rsidRPr="00AC177D">
        <w:t xml:space="preserve">MDGs). </w:t>
      </w:r>
      <w:r w:rsidR="009D727E" w:rsidRPr="00AC177D">
        <w:rPr>
          <w:rFonts w:cs="Arial"/>
        </w:rPr>
        <w:t>Under the partnership</w:t>
      </w:r>
      <w:r w:rsidR="009D727E">
        <w:rPr>
          <w:rFonts w:cs="Arial"/>
        </w:rPr>
        <w:t xml:space="preserve">, the Australian Government—primarily through the Australian Agency for International </w:t>
      </w:r>
      <w:r w:rsidR="009D727E" w:rsidRPr="00AC177D">
        <w:rPr>
          <w:rFonts w:cs="Arial"/>
        </w:rPr>
        <w:t>Development (</w:t>
      </w:r>
      <w:proofErr w:type="spellStart"/>
      <w:r w:rsidR="009D727E" w:rsidRPr="00AC177D">
        <w:rPr>
          <w:rFonts w:cs="Arial"/>
        </w:rPr>
        <w:t>AusAID</w:t>
      </w:r>
      <w:proofErr w:type="spellEnd"/>
      <w:r w:rsidR="009D727E" w:rsidRPr="00AC177D">
        <w:rPr>
          <w:rFonts w:cs="Arial"/>
        </w:rPr>
        <w:t>)—will</w:t>
      </w:r>
      <w:r w:rsidR="009D727E">
        <w:rPr>
          <w:rFonts w:cs="Arial"/>
        </w:rPr>
        <w:t xml:space="preserve"> also help the</w:t>
      </w:r>
      <w:r w:rsidR="009D727E" w:rsidRPr="00A65DCA">
        <w:rPr>
          <w:rFonts w:cs="Arial"/>
        </w:rPr>
        <w:t xml:space="preserve"> </w:t>
      </w:r>
      <w:r w:rsidR="009D727E">
        <w:rPr>
          <w:rFonts w:cs="Arial"/>
        </w:rPr>
        <w:t xml:space="preserve">Vanuatu Government respond to the social, environmental and economic challenges it faces. </w:t>
      </w:r>
    </w:p>
    <w:p w:rsidR="009D727E" w:rsidRDefault="009D727E" w:rsidP="009D727E">
      <w:pPr>
        <w:pStyle w:val="BodyText"/>
      </w:pPr>
      <w:r>
        <w:rPr>
          <w:rFonts w:cs="Arial"/>
        </w:rPr>
        <w:t xml:space="preserve">This report </w:t>
      </w:r>
      <w:r>
        <w:t>covers the 2010 calendar year.</w:t>
      </w:r>
    </w:p>
    <w:p w:rsidR="009D727E" w:rsidRDefault="009D727E" w:rsidP="009D23F3">
      <w:pPr>
        <w:pStyle w:val="Heading1"/>
        <w:spacing w:before="360"/>
      </w:pPr>
      <w:bookmarkStart w:id="0" w:name="_Toc360978095"/>
      <w:r>
        <w:t>Summary</w:t>
      </w:r>
      <w:bookmarkEnd w:id="0"/>
    </w:p>
    <w:p w:rsidR="009D727E" w:rsidRDefault="009D727E" w:rsidP="009D727E">
      <w:pPr>
        <w:pStyle w:val="BodyText"/>
      </w:pPr>
      <w:r>
        <w:t xml:space="preserve">2010 saw </w:t>
      </w:r>
      <w:smartTag w:uri="urn:schemas-microsoft-com:office:smarttags" w:element="country-region">
        <w:smartTag w:uri="urn:schemas-microsoft-com:office:smarttags" w:element="place">
          <w:r w:rsidRPr="00256DD4">
            <w:t>Vanuatu</w:t>
          </w:r>
        </w:smartTag>
      </w:smartTag>
      <w:r w:rsidRPr="00256DD4">
        <w:t xml:space="preserve"> </w:t>
      </w:r>
      <w:r>
        <w:t>continuing its run of seven years of consecutive economic growth</w:t>
      </w:r>
      <w:r w:rsidR="0000195E">
        <w:t>—</w:t>
      </w:r>
      <w:r w:rsidR="00E7611F">
        <w:t xml:space="preserve">commendable </w:t>
      </w:r>
      <w:r>
        <w:t>for a low-income country without mineral wealth</w:t>
      </w:r>
      <w:r w:rsidR="00C110CC">
        <w:t xml:space="preserve">. </w:t>
      </w:r>
      <w:r>
        <w:t>Tourism numbers remained strong, the law and order climate benevolent and policy reforms saw progress on utilities deregulation and primary school enrolments.</w:t>
      </w:r>
    </w:p>
    <w:p w:rsidR="009D727E" w:rsidRDefault="009D727E" w:rsidP="009D727E">
      <w:pPr>
        <w:pStyle w:val="BodyText"/>
      </w:pPr>
      <w:r>
        <w:t xml:space="preserve">The stand-out achievements under the </w:t>
      </w:r>
      <w:r w:rsidR="00E7611F">
        <w:t>p</w:t>
      </w:r>
      <w:r>
        <w:t>artnership were utilities deregulation and (near) universal primary education</w:t>
      </w:r>
      <w:r w:rsidR="00C110CC">
        <w:t xml:space="preserve">. </w:t>
      </w:r>
      <w:r>
        <w:t>The focus of efforts in these sectors was in negotiating and bedding down new ways of working, especially in health and education</w:t>
      </w:r>
      <w:r w:rsidR="00C110CC">
        <w:t xml:space="preserve">. </w:t>
      </w:r>
      <w:r>
        <w:t xml:space="preserve">Support for Radio </w:t>
      </w:r>
      <w:smartTag w:uri="urn:schemas-microsoft-com:office:smarttags" w:element="country-region">
        <w:smartTag w:uri="urn:schemas-microsoft-com:office:smarttags" w:element="place">
          <w:r>
            <w:t>Vanuatu</w:t>
          </w:r>
        </w:smartTag>
      </w:smartTag>
      <w:r>
        <w:t xml:space="preserve">, </w:t>
      </w:r>
      <w:r w:rsidRPr="003164F6">
        <w:rPr>
          <w:i/>
        </w:rPr>
        <w:t xml:space="preserve">Wan </w:t>
      </w:r>
      <w:proofErr w:type="spellStart"/>
      <w:r w:rsidRPr="003164F6">
        <w:rPr>
          <w:i/>
        </w:rPr>
        <w:t>Smolbag</w:t>
      </w:r>
      <w:proofErr w:type="spellEnd"/>
      <w:r>
        <w:t xml:space="preserve"> (youth services) and the Vanuatu Women’s Centre extended the reach of services in 2010.</w:t>
      </w:r>
      <w:r w:rsidDel="007705BF">
        <w:t xml:space="preserve"> </w:t>
      </w:r>
    </w:p>
    <w:p w:rsidR="009D727E" w:rsidRDefault="009D727E" w:rsidP="009D727E">
      <w:pPr>
        <w:pStyle w:val="BodyText"/>
      </w:pPr>
      <w:r>
        <w:t xml:space="preserve">A </w:t>
      </w:r>
      <w:r w:rsidRPr="003C559D">
        <w:t xml:space="preserve">portfolio of activities </w:t>
      </w:r>
      <w:r>
        <w:t xml:space="preserve">has been developed </w:t>
      </w:r>
      <w:r w:rsidRPr="003C559D">
        <w:t xml:space="preserve">that relies on </w:t>
      </w:r>
      <w:r>
        <w:t xml:space="preserve">the </w:t>
      </w:r>
      <w:r w:rsidRPr="003C559D">
        <w:t xml:space="preserve">leadership </w:t>
      </w:r>
      <w:r>
        <w:t xml:space="preserve">of </w:t>
      </w:r>
      <w:r w:rsidRPr="003C559D">
        <w:t xml:space="preserve">the Government of Vanuatu and robust systems. In 2010 the underlying fundamentals of the system did not mature </w:t>
      </w:r>
      <w:r>
        <w:t>as quickly as hoped</w:t>
      </w:r>
      <w:r w:rsidRPr="003C559D">
        <w:t>.</w:t>
      </w:r>
      <w:r>
        <w:t xml:space="preserve"> </w:t>
      </w:r>
      <w:r w:rsidR="0000195E">
        <w:t>Particularly</w:t>
      </w:r>
      <w:r>
        <w:t xml:space="preserve"> disappointing was the slow progress on rural road maintenance and rehabilitations</w:t>
      </w:r>
      <w:r w:rsidR="00C110CC">
        <w:t xml:space="preserve">. </w:t>
      </w:r>
    </w:p>
    <w:p w:rsidR="009D727E" w:rsidRPr="00E20F80" w:rsidRDefault="009D727E" w:rsidP="009D727E">
      <w:pPr>
        <w:pStyle w:val="Caption"/>
      </w:pPr>
      <w:r>
        <w:br w:type="page"/>
      </w:r>
      <w:r w:rsidRPr="00E20F80">
        <w:lastRenderedPageBreak/>
        <w:t xml:space="preserve">Table </w:t>
      </w:r>
      <w:r w:rsidR="00825B55">
        <w:fldChar w:fldCharType="begin"/>
      </w:r>
      <w:r w:rsidR="00825B55">
        <w:instrText xml:space="preserve"> SEQ Table \* MERGEFORMAT </w:instrText>
      </w:r>
      <w:r w:rsidR="00825B55">
        <w:fldChar w:fldCharType="separate"/>
      </w:r>
      <w:r>
        <w:rPr>
          <w:noProof/>
        </w:rPr>
        <w:t>1</w:t>
      </w:r>
      <w:r w:rsidR="00825B55">
        <w:rPr>
          <w:noProof/>
        </w:rPr>
        <w:fldChar w:fldCharType="end"/>
      </w:r>
      <w:r w:rsidRPr="00E20F80">
        <w:t xml:space="preserve">: Ratings of progress towards the objectives of the </w:t>
      </w:r>
      <w:r w:rsidR="00E7611F">
        <w:t>p</w:t>
      </w:r>
      <w:r w:rsidRPr="00E20F80">
        <w:t>artnership</w:t>
      </w:r>
      <w:r>
        <w:t xml:space="preserve"> </w:t>
      </w:r>
      <w:r w:rsidRPr="00E20F80">
        <w:t>in 2010</w:t>
      </w:r>
    </w:p>
    <w:tbl>
      <w:tblPr>
        <w:tblW w:w="0" w:type="auto"/>
        <w:tblInd w:w="57" w:type="dxa"/>
        <w:tblLook w:val="01E0" w:firstRow="1" w:lastRow="1" w:firstColumn="1" w:lastColumn="1" w:noHBand="0" w:noVBand="0"/>
      </w:tblPr>
      <w:tblGrid>
        <w:gridCol w:w="4440"/>
        <w:gridCol w:w="1320"/>
        <w:gridCol w:w="2177"/>
      </w:tblGrid>
      <w:tr w:rsidR="009D727E" w:rsidRPr="00D81B5B" w:rsidTr="00336D68">
        <w:trPr>
          <w:cantSplit/>
          <w:tblHeader/>
        </w:trPr>
        <w:tc>
          <w:tcPr>
            <w:tcW w:w="4440" w:type="dxa"/>
            <w:tcBorders>
              <w:top w:val="single" w:sz="12" w:space="0" w:color="auto"/>
              <w:bottom w:val="single" w:sz="2" w:space="0" w:color="auto"/>
            </w:tcBorders>
            <w:tcMar>
              <w:left w:w="57" w:type="dxa"/>
              <w:right w:w="57" w:type="dxa"/>
            </w:tcMar>
          </w:tcPr>
          <w:p w:rsidR="009D727E" w:rsidRPr="00D81B5B" w:rsidRDefault="009D727E" w:rsidP="009D727E">
            <w:pPr>
              <w:pStyle w:val="TableTextColumnHeading"/>
            </w:pPr>
            <w:r w:rsidRPr="00D81B5B">
              <w:t>Objective</w:t>
            </w:r>
          </w:p>
        </w:tc>
        <w:tc>
          <w:tcPr>
            <w:tcW w:w="1320" w:type="dxa"/>
            <w:tcBorders>
              <w:top w:val="single" w:sz="12" w:space="0" w:color="auto"/>
              <w:bottom w:val="single" w:sz="2" w:space="0" w:color="auto"/>
            </w:tcBorders>
            <w:tcMar>
              <w:left w:w="57" w:type="dxa"/>
              <w:right w:w="57" w:type="dxa"/>
            </w:tcMar>
          </w:tcPr>
          <w:p w:rsidR="009D727E" w:rsidRDefault="009D727E" w:rsidP="009D727E">
            <w:pPr>
              <w:pStyle w:val="TableTextColumnHeading"/>
              <w:jc w:val="center"/>
            </w:pPr>
            <w:r w:rsidRPr="00D81B5B">
              <w:t>Rating</w:t>
            </w:r>
            <w:r>
              <w:t xml:space="preserve"> in 2010</w:t>
            </w:r>
          </w:p>
        </w:tc>
        <w:tc>
          <w:tcPr>
            <w:tcW w:w="2177" w:type="dxa"/>
            <w:tcBorders>
              <w:top w:val="single" w:sz="12" w:space="0" w:color="auto"/>
              <w:bottom w:val="single" w:sz="2" w:space="0" w:color="auto"/>
            </w:tcBorders>
            <w:tcMar>
              <w:left w:w="57" w:type="dxa"/>
              <w:right w:w="57" w:type="dxa"/>
            </w:tcMar>
          </w:tcPr>
          <w:p w:rsidR="009D727E" w:rsidRDefault="009D727E" w:rsidP="009D727E">
            <w:pPr>
              <w:pStyle w:val="TableTextColumnHeading"/>
              <w:jc w:val="center"/>
            </w:pPr>
            <w:r>
              <w:t>Relative to</w:t>
            </w:r>
            <w:r w:rsidRPr="00D81B5B">
              <w:t xml:space="preserve"> previous rating</w:t>
            </w:r>
          </w:p>
        </w:tc>
      </w:tr>
      <w:tr w:rsidR="009D727E" w:rsidRPr="00D81B5B" w:rsidTr="009D727E">
        <w:trPr>
          <w:cantSplit/>
        </w:trPr>
        <w:tc>
          <w:tcPr>
            <w:tcW w:w="4440" w:type="dxa"/>
            <w:tcBorders>
              <w:top w:val="single" w:sz="2" w:space="0" w:color="auto"/>
            </w:tcBorders>
            <w:tcMar>
              <w:left w:w="57" w:type="dxa"/>
              <w:right w:w="57" w:type="dxa"/>
            </w:tcMar>
            <w:vAlign w:val="center"/>
          </w:tcPr>
          <w:p w:rsidR="009D727E" w:rsidRDefault="00581A3A" w:rsidP="001C46E8">
            <w:pPr>
              <w:pStyle w:val="TableTextEntries"/>
              <w:numPr>
                <w:ilvl w:val="0"/>
                <w:numId w:val="18"/>
              </w:numPr>
              <w:ind w:left="369"/>
            </w:pPr>
            <w:r>
              <w:t>Improved e</w:t>
            </w:r>
            <w:r w:rsidR="009D727E">
              <w:t xml:space="preserve">ducation </w:t>
            </w:r>
          </w:p>
        </w:tc>
        <w:tc>
          <w:tcPr>
            <w:tcW w:w="1320" w:type="dxa"/>
            <w:tcBorders>
              <w:top w:val="single" w:sz="2" w:space="0" w:color="auto"/>
            </w:tcBorders>
            <w:tcMar>
              <w:left w:w="57" w:type="dxa"/>
              <w:right w:w="57" w:type="dxa"/>
            </w:tcMar>
            <w:vAlign w:val="center"/>
          </w:tcPr>
          <w:p w:rsidR="009D727E" w:rsidRPr="0058729F" w:rsidRDefault="006D5140" w:rsidP="009D727E">
            <w:pPr>
              <w:pStyle w:val="Ratingbullet"/>
            </w:pPr>
            <w:r>
              <w:rPr>
                <w:rFonts w:ascii="Arial Unicode MS" w:eastAsia="Arial Unicode MS" w:hAnsi="Arial Unicode MS" w:cs="Arial Unicode MS" w:hint="eastAsia"/>
                <w:noProof/>
                <w:lang w:val="en-US"/>
              </w:rPr>
              <mc:AlternateContent>
                <mc:Choice Requires="wps">
                  <w:drawing>
                    <wp:inline distT="0" distB="0" distL="0" distR="0" wp14:anchorId="2424AAF5" wp14:editId="2DBF340D">
                      <wp:extent cx="95164" cy="105508"/>
                      <wp:effectExtent l="0" t="0" r="635" b="8890"/>
                      <wp:docPr id="12" name="Rectangle 12" descr="Amber"/>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alt="Amber"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" fillcolor="#ffc000" stroked="f" strokeweight="2pt">
                      <w10:anchorlock/>
                    </v:rect>
                  </w:pict>
                </mc:Fallback>
              </mc:AlternateContent>
            </w:r>
            <w:r w:rsidR="009D727E">
              <w:rPr>
                <w:rFonts w:ascii="Arial Unicode MS" w:eastAsia="Arial Unicode MS" w:hAnsi="Arial Unicode MS" w:cs="Arial Unicode MS" w:hint="eastAsia"/>
              </w:rPr>
              <w:t> </w:t>
            </w:r>
          </w:p>
        </w:tc>
        <w:tc>
          <w:tcPr>
            <w:tcW w:w="2177" w:type="dxa"/>
            <w:tcBorders>
              <w:top w:val="single" w:sz="2" w:space="0" w:color="auto"/>
            </w:tcBorders>
            <w:tcMar>
              <w:left w:w="57" w:type="dxa"/>
              <w:right w:w="57" w:type="dxa"/>
            </w:tcMar>
            <w:vAlign w:val="center"/>
          </w:tcPr>
          <w:p w:rsidR="009D727E" w:rsidRPr="0058729F" w:rsidRDefault="009D727E" w:rsidP="009D727E">
            <w:pPr>
              <w:pStyle w:val="TableTextEntries"/>
              <w:jc w:val="center"/>
            </w:pPr>
            <w:r>
              <w:t>Declined</w:t>
            </w:r>
          </w:p>
        </w:tc>
      </w:tr>
      <w:tr w:rsidR="009D727E" w:rsidRPr="00D81B5B" w:rsidTr="009D727E">
        <w:trPr>
          <w:cantSplit/>
        </w:trPr>
        <w:tc>
          <w:tcPr>
            <w:tcW w:w="4440" w:type="dxa"/>
            <w:tcMar>
              <w:left w:w="57" w:type="dxa"/>
              <w:right w:w="57" w:type="dxa"/>
            </w:tcMar>
            <w:vAlign w:val="center"/>
          </w:tcPr>
          <w:p w:rsidR="009D727E" w:rsidRDefault="00581A3A" w:rsidP="001C46E8">
            <w:pPr>
              <w:pStyle w:val="TableTextEntries"/>
              <w:numPr>
                <w:ilvl w:val="0"/>
                <w:numId w:val="18"/>
              </w:numPr>
              <w:ind w:left="369"/>
            </w:pPr>
            <w:r>
              <w:t>Improved h</w:t>
            </w:r>
            <w:r w:rsidR="009D727E">
              <w:t>ealth</w:t>
            </w:r>
          </w:p>
        </w:tc>
        <w:tc>
          <w:tcPr>
            <w:tcW w:w="1320" w:type="dxa"/>
            <w:tcMar>
              <w:left w:w="57" w:type="dxa"/>
              <w:right w:w="57" w:type="dxa"/>
            </w:tcMar>
            <w:vAlign w:val="center"/>
          </w:tcPr>
          <w:p w:rsidR="009D727E" w:rsidRPr="0058729F" w:rsidRDefault="006D5140" w:rsidP="009D727E">
            <w:pPr>
              <w:pStyle w:val="Ratingbullet"/>
            </w:pPr>
            <w:r>
              <w:rPr>
                <w:rFonts w:ascii="Arial Unicode MS" w:eastAsia="Arial Unicode MS" w:hAnsi="Arial Unicode MS" w:cs="Arial Unicode MS" w:hint="eastAsia"/>
                <w:noProof/>
                <w:lang w:val="en-US"/>
              </w:rPr>
              <mc:AlternateContent>
                <mc:Choice Requires="wps">
                  <w:drawing>
                    <wp:inline distT="0" distB="0" distL="0" distR="0" wp14:anchorId="2F745B1B" wp14:editId="1DD7F699">
                      <wp:extent cx="95164" cy="105508"/>
                      <wp:effectExtent l="0" t="0" r="635" b="8890"/>
                      <wp:docPr id="14" name="Rectangle 14" descr="Amber"/>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26" alt="Amber"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" fillcolor="#ffc000" stroked="f" strokeweight="2pt">
                      <w10:anchorlock/>
                    </v:rect>
                  </w:pict>
                </mc:Fallback>
              </mc:AlternateContent>
            </w:r>
            <w:r w:rsidR="009D727E">
              <w:rPr>
                <w:rFonts w:ascii="Arial Unicode MS" w:eastAsia="Arial Unicode MS" w:hAnsi="Arial Unicode MS" w:cs="Arial Unicode MS" w:hint="eastAsia"/>
              </w:rPr>
              <w:t> </w:t>
            </w:r>
          </w:p>
        </w:tc>
        <w:tc>
          <w:tcPr>
            <w:tcW w:w="2177" w:type="dxa"/>
            <w:tcMar>
              <w:left w:w="57" w:type="dxa"/>
              <w:right w:w="57" w:type="dxa"/>
            </w:tcMar>
            <w:vAlign w:val="center"/>
          </w:tcPr>
          <w:p w:rsidR="009D727E" w:rsidRPr="0058729F" w:rsidRDefault="009D727E" w:rsidP="009D727E">
            <w:pPr>
              <w:pStyle w:val="TableTextEntries"/>
              <w:jc w:val="center"/>
            </w:pPr>
            <w:r>
              <w:t>Unchanged</w:t>
            </w:r>
          </w:p>
        </w:tc>
      </w:tr>
      <w:tr w:rsidR="009D727E" w:rsidRPr="00D81B5B" w:rsidTr="009D727E">
        <w:trPr>
          <w:cantSplit/>
        </w:trPr>
        <w:tc>
          <w:tcPr>
            <w:tcW w:w="4440" w:type="dxa"/>
            <w:tcMar>
              <w:left w:w="57" w:type="dxa"/>
              <w:right w:w="57" w:type="dxa"/>
            </w:tcMar>
            <w:vAlign w:val="center"/>
          </w:tcPr>
          <w:p w:rsidR="009D727E" w:rsidRDefault="00581A3A" w:rsidP="001C46E8">
            <w:pPr>
              <w:pStyle w:val="TableTextEntries"/>
              <w:numPr>
                <w:ilvl w:val="0"/>
                <w:numId w:val="18"/>
              </w:numPr>
              <w:ind w:left="369"/>
            </w:pPr>
            <w:r>
              <w:t>Improved i</w:t>
            </w:r>
            <w:r w:rsidR="009D727E">
              <w:t>nfrastructure</w:t>
            </w:r>
          </w:p>
        </w:tc>
        <w:tc>
          <w:tcPr>
            <w:tcW w:w="1320" w:type="dxa"/>
            <w:tcMar>
              <w:left w:w="57" w:type="dxa"/>
              <w:right w:w="57" w:type="dxa"/>
            </w:tcMar>
            <w:vAlign w:val="center"/>
          </w:tcPr>
          <w:p w:rsidR="009D727E" w:rsidRPr="0058729F" w:rsidRDefault="006D5140" w:rsidP="009D727E">
            <w:pPr>
              <w:pStyle w:val="Ratingbullet"/>
            </w:pPr>
            <w:r>
              <w:rPr>
                <w:rFonts w:ascii="Arial Unicode MS" w:eastAsia="Arial Unicode MS" w:hAnsi="Arial Unicode MS" w:cs="Arial Unicode MS" w:hint="eastAsia"/>
                <w:noProof/>
                <w:lang w:val="en-US"/>
              </w:rPr>
              <mc:AlternateContent>
                <mc:Choice Requires="wps">
                  <w:drawing>
                    <wp:inline distT="0" distB="0" distL="0" distR="0" wp14:anchorId="743A1CA5" wp14:editId="7469CEC3">
                      <wp:extent cx="95164" cy="105508"/>
                      <wp:effectExtent l="0" t="0" r="635" b="8890"/>
                      <wp:docPr id="15" name="Rectangle 15" descr="Amber"/>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26" alt="Amber"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" fillcolor="#ffc000" stroked="f" strokeweight="2pt">
                      <w10:anchorlock/>
                    </v:rect>
                  </w:pict>
                </mc:Fallback>
              </mc:AlternateContent>
            </w:r>
            <w:r w:rsidR="009D727E">
              <w:rPr>
                <w:rFonts w:ascii="Arial Unicode MS" w:eastAsia="Arial Unicode MS" w:hAnsi="Arial Unicode MS" w:cs="Arial Unicode MS" w:hint="eastAsia"/>
              </w:rPr>
              <w:t> </w:t>
            </w:r>
          </w:p>
        </w:tc>
        <w:tc>
          <w:tcPr>
            <w:tcW w:w="2177" w:type="dxa"/>
            <w:tcMar>
              <w:left w:w="57" w:type="dxa"/>
              <w:right w:w="57" w:type="dxa"/>
            </w:tcMar>
            <w:vAlign w:val="center"/>
          </w:tcPr>
          <w:p w:rsidR="009D727E" w:rsidRPr="0058729F" w:rsidRDefault="009D727E" w:rsidP="009D727E">
            <w:pPr>
              <w:pStyle w:val="TableTextEntries"/>
              <w:jc w:val="center"/>
            </w:pPr>
            <w:r>
              <w:t>Declined</w:t>
            </w:r>
          </w:p>
        </w:tc>
      </w:tr>
      <w:tr w:rsidR="009D727E" w:rsidRPr="00D81B5B" w:rsidTr="009D727E">
        <w:trPr>
          <w:cantSplit/>
        </w:trPr>
        <w:tc>
          <w:tcPr>
            <w:tcW w:w="4440" w:type="dxa"/>
            <w:tcMar>
              <w:left w:w="57" w:type="dxa"/>
              <w:right w:w="57" w:type="dxa"/>
            </w:tcMar>
            <w:vAlign w:val="center"/>
          </w:tcPr>
          <w:p w:rsidR="009D727E" w:rsidRDefault="009D727E" w:rsidP="001C46E8">
            <w:pPr>
              <w:pStyle w:val="TableTextEntries"/>
              <w:numPr>
                <w:ilvl w:val="0"/>
                <w:numId w:val="18"/>
              </w:numPr>
              <w:ind w:left="369"/>
            </w:pPr>
            <w:r>
              <w:t xml:space="preserve">Economic </w:t>
            </w:r>
            <w:r w:rsidR="00E7611F">
              <w:t>g</w:t>
            </w:r>
            <w:r>
              <w:t xml:space="preserve">overnance </w:t>
            </w:r>
          </w:p>
        </w:tc>
        <w:tc>
          <w:tcPr>
            <w:tcW w:w="1320" w:type="dxa"/>
            <w:tcMar>
              <w:left w:w="57" w:type="dxa"/>
              <w:right w:w="57" w:type="dxa"/>
            </w:tcMar>
            <w:vAlign w:val="center"/>
          </w:tcPr>
          <w:p w:rsidR="009D727E" w:rsidRPr="0058729F" w:rsidRDefault="006D5140" w:rsidP="009D727E">
            <w:pPr>
              <w:pStyle w:val="Ratingbullet"/>
            </w:pPr>
            <w:r>
              <w:rPr>
                <w:rFonts w:ascii="Arial Unicode MS" w:eastAsia="Arial Unicode MS" w:hAnsi="Arial Unicode MS" w:cs="Arial Unicode MS" w:hint="eastAsia"/>
                <w:noProof/>
                <w:lang w:val="en-US"/>
              </w:rPr>
              <mc:AlternateContent>
                <mc:Choice Requires="wps">
                  <w:drawing>
                    <wp:inline distT="0" distB="0" distL="0" distR="0" wp14:anchorId="48158353" wp14:editId="7C5BF046">
                      <wp:extent cx="95164" cy="105508"/>
                      <wp:effectExtent l="0" t="0" r="635" b="8890"/>
                      <wp:docPr id="16" name="Rectangle 16" descr="Amber"/>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alt="Amber"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" fillcolor="#ffc000" stroked="f" strokeweight="2pt">
                      <w10:anchorlock/>
                    </v:rect>
                  </w:pict>
                </mc:Fallback>
              </mc:AlternateContent>
            </w:r>
            <w:r w:rsidR="009D727E">
              <w:rPr>
                <w:rFonts w:ascii="Arial Unicode MS" w:eastAsia="Arial Unicode MS" w:hAnsi="Arial Unicode MS" w:cs="Arial Unicode MS" w:hint="eastAsia"/>
              </w:rPr>
              <w:t> </w:t>
            </w:r>
          </w:p>
        </w:tc>
        <w:tc>
          <w:tcPr>
            <w:tcW w:w="2177" w:type="dxa"/>
            <w:tcMar>
              <w:left w:w="57" w:type="dxa"/>
              <w:right w:w="57" w:type="dxa"/>
            </w:tcMar>
            <w:vAlign w:val="center"/>
          </w:tcPr>
          <w:p w:rsidR="009D727E" w:rsidRPr="0058729F" w:rsidRDefault="009D727E" w:rsidP="009D727E">
            <w:pPr>
              <w:pStyle w:val="TableTextEntries"/>
              <w:jc w:val="center"/>
            </w:pPr>
            <w:r>
              <w:t xml:space="preserve">Declined </w:t>
            </w:r>
          </w:p>
        </w:tc>
      </w:tr>
      <w:tr w:rsidR="009D727E" w:rsidRPr="00D81B5B" w:rsidTr="009D727E">
        <w:trPr>
          <w:cantSplit/>
        </w:trPr>
        <w:tc>
          <w:tcPr>
            <w:tcW w:w="4440" w:type="dxa"/>
            <w:tcMar>
              <w:left w:w="57" w:type="dxa"/>
              <w:right w:w="57" w:type="dxa"/>
            </w:tcMar>
            <w:vAlign w:val="center"/>
          </w:tcPr>
          <w:p w:rsidR="009D727E" w:rsidRDefault="009D727E" w:rsidP="001C46E8">
            <w:pPr>
              <w:pStyle w:val="TableTextEntries"/>
              <w:numPr>
                <w:ilvl w:val="0"/>
                <w:numId w:val="18"/>
              </w:numPr>
              <w:ind w:left="369"/>
            </w:pPr>
            <w:r>
              <w:t xml:space="preserve">Law and </w:t>
            </w:r>
            <w:r w:rsidR="005E13D5">
              <w:t>j</w:t>
            </w:r>
            <w:r>
              <w:t xml:space="preserve">ustice </w:t>
            </w:r>
          </w:p>
        </w:tc>
        <w:tc>
          <w:tcPr>
            <w:tcW w:w="1320" w:type="dxa"/>
            <w:tcMar>
              <w:left w:w="57" w:type="dxa"/>
              <w:right w:w="57" w:type="dxa"/>
            </w:tcMar>
            <w:vAlign w:val="center"/>
          </w:tcPr>
          <w:p w:rsidR="009D727E" w:rsidRPr="0058729F" w:rsidRDefault="006D5140" w:rsidP="009D727E">
            <w:pPr>
              <w:pStyle w:val="Ratingbullet"/>
            </w:pPr>
            <w:r>
              <w:rPr>
                <w:rFonts w:ascii="Arial Unicode MS" w:eastAsia="Arial Unicode MS" w:hAnsi="Arial Unicode MS" w:cs="Arial Unicode MS" w:hint="eastAsia"/>
                <w:noProof/>
                <w:lang w:val="en-US"/>
              </w:rPr>
              <mc:AlternateContent>
                <mc:Choice Requires="wps">
                  <w:drawing>
                    <wp:inline distT="0" distB="0" distL="0" distR="0" wp14:anchorId="2EE9E2B2" wp14:editId="5DAA9590">
                      <wp:extent cx="95164" cy="105508"/>
                      <wp:effectExtent l="0" t="0" r="635" b="8890"/>
                      <wp:docPr id="13" name="Rectangle 13" descr="Green"/>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alt="Green"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" fillcolor="#9c0" stroked="f" strokeweight="2pt">
                      <w10:anchorlock/>
                    </v:rect>
                  </w:pict>
                </mc:Fallback>
              </mc:AlternateContent>
            </w:r>
          </w:p>
        </w:tc>
        <w:tc>
          <w:tcPr>
            <w:tcW w:w="2177" w:type="dxa"/>
            <w:tcMar>
              <w:left w:w="57" w:type="dxa"/>
              <w:right w:w="57" w:type="dxa"/>
            </w:tcMar>
            <w:vAlign w:val="center"/>
          </w:tcPr>
          <w:p w:rsidR="009D727E" w:rsidRPr="0058729F" w:rsidRDefault="009D727E" w:rsidP="009D727E">
            <w:pPr>
              <w:pStyle w:val="TableTextEntries"/>
              <w:jc w:val="center"/>
            </w:pPr>
            <w:r>
              <w:t>Improved</w:t>
            </w:r>
          </w:p>
        </w:tc>
      </w:tr>
    </w:tbl>
    <w:p w:rsidR="009D727E" w:rsidRDefault="009D727E" w:rsidP="009D727E">
      <w:pPr>
        <w:pStyle w:val="Note"/>
        <w:keepNext/>
      </w:pPr>
      <w:r w:rsidRPr="00D33DDE">
        <w:t xml:space="preserve">Note: </w:t>
      </w:r>
    </w:p>
    <w:p w:rsidR="009D727E" w:rsidRPr="006D2818" w:rsidRDefault="006D5140" w:rsidP="009D727E">
      <w:pPr>
        <w:pStyle w:val="Note"/>
        <w:keepNext/>
        <w:spacing w:before="0"/>
      </w:pPr>
      <w:r>
        <w:rPr>
          <w:rFonts w:ascii="Arial Unicode MS" w:eastAsia="Arial Unicode MS" w:hAnsi="Arial Unicode MS" w:cs="Arial Unicode MS" w:hint="eastAsia"/>
          <w:noProof/>
          <w:lang w:val="en-US"/>
        </w:rPr>
        <mc:AlternateContent>
          <mc:Choice Requires="wps">
            <w:drawing>
              <wp:inline distT="0" distB="0" distL="0" distR="0">
                <wp:extent cx="95164" cy="105508"/>
                <wp:effectExtent l="0" t="0" r="635" b="8890"/>
                <wp:docPr id="8" name="Rectangle 8" descr="Green"/>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99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Green"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" fillcolor="#9c0" stroked="f" strokeweight="2pt">
                <w10:anchorlock/>
              </v:rect>
            </w:pict>
          </mc:Fallback>
        </mc:AlternateContent>
      </w:r>
      <w:r w:rsidR="009D727E">
        <w:rPr>
          <w:rFonts w:ascii="Arial Unicode MS" w:eastAsia="Arial Unicode MS" w:hAnsi="Arial Unicode MS" w:cs="Arial Unicode MS" w:hint="eastAsia"/>
        </w:rPr>
        <w:t> </w:t>
      </w:r>
      <w:r w:rsidR="009D727E" w:rsidRPr="006D2818">
        <w:t>The objective will be fully achieved within the timeframe of the strategy.</w:t>
      </w:r>
    </w:p>
    <w:p w:rsidR="009D727E" w:rsidRPr="006D2818" w:rsidRDefault="006D5140" w:rsidP="009D727E">
      <w:pPr>
        <w:pStyle w:val="Note"/>
        <w:keepNext/>
        <w:spacing w:before="0"/>
      </w:pPr>
      <w:r>
        <w:rPr>
          <w:rFonts w:ascii="Arial Unicode MS" w:eastAsia="Arial Unicode MS" w:hAnsi="Arial Unicode MS" w:cs="Arial Unicode MS" w:hint="eastAsia"/>
          <w:noProof/>
          <w:lang w:val="en-US"/>
        </w:rPr>
        <mc:AlternateContent>
          <mc:Choice Requires="wps">
            <w:drawing>
              <wp:inline distT="0" distB="0" distL="0" distR="0" wp14:anchorId="50E1AB4D" wp14:editId="7C759085">
                <wp:extent cx="95164" cy="105508"/>
                <wp:effectExtent l="0" t="0" r="635" b="8890"/>
                <wp:docPr id="9" name="Rectangle 9" descr="Amber"/>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Amber"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" fillcolor="#ffc000" stroked="f" strokeweight="2pt">
                <w10:anchorlock/>
              </v:rect>
            </w:pict>
          </mc:Fallback>
        </mc:AlternateContent>
      </w:r>
      <w:r w:rsidR="009D727E">
        <w:rPr>
          <w:rFonts w:ascii="Arial Unicode MS" w:eastAsia="Arial Unicode MS" w:hAnsi="Arial Unicode MS" w:cs="Arial Unicode MS" w:hint="eastAsia"/>
        </w:rPr>
        <w:t> </w:t>
      </w:r>
      <w:r w:rsidR="009D727E" w:rsidRPr="006D2818">
        <w:t>The objective will be partly achieved within the timeframe of the strategy.</w:t>
      </w:r>
    </w:p>
    <w:p w:rsidR="009D727E" w:rsidRPr="006D2818" w:rsidRDefault="006D5140" w:rsidP="009D727E">
      <w:pPr>
        <w:pStyle w:val="Note"/>
        <w:spacing w:before="0"/>
      </w:pPr>
      <w:r>
        <w:rPr>
          <w:rFonts w:ascii="Arial Unicode MS" w:eastAsia="Arial Unicode MS" w:hAnsi="Arial Unicode MS" w:cs="Arial Unicode MS" w:hint="eastAsia"/>
          <w:noProof/>
          <w:lang w:val="en-US"/>
        </w:rPr>
        <mc:AlternateContent>
          <mc:Choice Requires="wps">
            <w:drawing>
              <wp:inline distT="0" distB="0" distL="0" distR="0" wp14:anchorId="17BA65F5" wp14:editId="64E6316F">
                <wp:extent cx="95164" cy="105508"/>
                <wp:effectExtent l="0" t="0" r="635" b="8890"/>
                <wp:docPr id="10" name="Rectangle 10" descr="Red"/>
                <wp:cNvGraphicFramePr/>
                <a:graphic xmlns:a="http://schemas.openxmlformats.org/drawingml/2006/main">
                  <a:graphicData uri="http://schemas.microsoft.com/office/word/2010/wordprocessingShape">
                    <wps:wsp>
                      <wps:cNvSpPr/>
                      <wps:spPr>
                        <a:xfrm>
                          <a:off x="0" y="0"/>
                          <a:ext cx="95164" cy="10550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alt="Red" style="width:7.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" fillcolor="red" stroked="f" strokeweight="2pt">
                <w10:anchorlock/>
              </v:rect>
            </w:pict>
          </mc:Fallback>
        </mc:AlternateContent>
      </w:r>
      <w:r w:rsidR="009D727E">
        <w:rPr>
          <w:rFonts w:ascii="Arial Unicode MS" w:eastAsia="Arial Unicode MS" w:hAnsi="Arial Unicode MS" w:cs="Arial Unicode MS" w:hint="eastAsia"/>
        </w:rPr>
        <w:t> </w:t>
      </w:r>
      <w:r w:rsidR="009D727E" w:rsidRPr="006D2818">
        <w:t>The objective is unlikely to be achieved within the timeframe of the strategy.</w:t>
      </w:r>
    </w:p>
    <w:p w:rsidR="009D727E" w:rsidRPr="00B76E5E" w:rsidRDefault="009D727E" w:rsidP="009D727E">
      <w:pPr>
        <w:pStyle w:val="Heading1"/>
        <w:rPr>
          <w:highlight w:val="yellow"/>
        </w:rPr>
      </w:pPr>
      <w:bookmarkStart w:id="1" w:name="_Toc360978096"/>
      <w:smartTag w:uri="urn:schemas-microsoft-com:office:smarttags" w:element="country-region">
        <w:smartTag w:uri="urn:schemas-microsoft-com:office:smarttags" w:element="place">
          <w:r>
            <w:t>Vanuatu</w:t>
          </w:r>
        </w:smartTag>
      </w:smartTag>
      <w:r>
        <w:t xml:space="preserve"> </w:t>
      </w:r>
      <w:r w:rsidRPr="006D2DEC">
        <w:t>context</w:t>
      </w:r>
      <w:bookmarkEnd w:id="1"/>
    </w:p>
    <w:p w:rsidR="009D727E" w:rsidRDefault="009D727E" w:rsidP="009D727E">
      <w:pPr>
        <w:pStyle w:val="BodyText"/>
      </w:pPr>
      <w:r>
        <w:t>2010 was a challenging year for Vanuatu, as the government experienced a fiscal deficit of 2.7</w:t>
      </w:r>
      <w:r w:rsidR="00E7611F">
        <w:t> </w:t>
      </w:r>
      <w:r>
        <w:t xml:space="preserve">per cent of </w:t>
      </w:r>
      <w:r w:rsidR="00AC3247" w:rsidRPr="00AC3247">
        <w:t xml:space="preserve">gross domestic product </w:t>
      </w:r>
      <w:r>
        <w:t xml:space="preserve">and real </w:t>
      </w:r>
      <w:r w:rsidR="00AC3247" w:rsidRPr="00AC3247">
        <w:t xml:space="preserve">gross domestic product </w:t>
      </w:r>
      <w:r>
        <w:t>growth dropped to 3.0</w:t>
      </w:r>
      <w:r w:rsidR="00E7611F">
        <w:t> </w:t>
      </w:r>
      <w:r>
        <w:t>per</w:t>
      </w:r>
      <w:r w:rsidR="00E7611F">
        <w:t> </w:t>
      </w:r>
      <w:r>
        <w:t>cent (from a high of 6.3 per cent in 2008</w:t>
      </w:r>
      <w:r w:rsidR="003164F6">
        <w:t>, then</w:t>
      </w:r>
      <w:r>
        <w:t xml:space="preserve"> 3.</w:t>
      </w:r>
      <w:r w:rsidR="003164F6">
        <w:t>6</w:t>
      </w:r>
      <w:r>
        <w:t xml:space="preserve"> per cent in</w:t>
      </w:r>
      <w:r w:rsidR="003164F6">
        <w:t xml:space="preserve"> 2009)</w:t>
      </w:r>
      <w:r>
        <w:t>. G</w:t>
      </w:r>
      <w:r w:rsidRPr="00E72E66">
        <w:t xml:space="preserve">rowth </w:t>
      </w:r>
      <w:r>
        <w:t>was</w:t>
      </w:r>
      <w:r w:rsidRPr="00E72E66">
        <w:t xml:space="preserve"> projected to </w:t>
      </w:r>
      <w:r>
        <w:t>rise to 3.75 per cent in 2011, driven primarily by tourism, but was constrained by the impact of global economic uncertainty.</w:t>
      </w:r>
    </w:p>
    <w:p w:rsidR="009D727E" w:rsidRDefault="009D727E" w:rsidP="009D727E">
      <w:pPr>
        <w:pStyle w:val="BodyText"/>
      </w:pPr>
      <w:r>
        <w:t xml:space="preserve">Sound policy choices over the past decade have led to significant poverty reduction, but </w:t>
      </w:r>
      <w:r w:rsidRPr="003E15E2">
        <w:t xml:space="preserve">Vanuatu </w:t>
      </w:r>
      <w:r>
        <w:t xml:space="preserve">remains </w:t>
      </w:r>
      <w:r w:rsidRPr="003E15E2">
        <w:t>‘s</w:t>
      </w:r>
      <w:r>
        <w:t>l</w:t>
      </w:r>
      <w:r w:rsidRPr="003E15E2">
        <w:t xml:space="preserve">ightly off-track’ on most poverty indicators, and ‘off track’ to reduce basic needs poverty by 2015 (although food poverty remains low). Many of </w:t>
      </w:r>
      <w:smartTag w:uri="urn:schemas-microsoft-com:office:smarttags" w:element="country-region">
        <w:smartTag w:uri="urn:schemas-microsoft-com:office:smarttags" w:element="place">
          <w:r w:rsidRPr="003E15E2">
            <w:t>Vanuatu</w:t>
          </w:r>
        </w:smartTag>
      </w:smartTag>
      <w:r w:rsidRPr="003E15E2">
        <w:t>’s rural majority (around 170</w:t>
      </w:r>
      <w:r w:rsidR="0000195E">
        <w:t> </w:t>
      </w:r>
      <w:r w:rsidRPr="003E15E2">
        <w:t>000 people, or 35</w:t>
      </w:r>
      <w:r w:rsidR="0000195E">
        <w:t> </w:t>
      </w:r>
      <w:r w:rsidRPr="003E15E2">
        <w:t>000 households) lack</w:t>
      </w:r>
      <w:r w:rsidR="00E7611F">
        <w:t>s</w:t>
      </w:r>
      <w:r w:rsidRPr="003E15E2">
        <w:t xml:space="preserve"> access to </w:t>
      </w:r>
      <w:r>
        <w:t>basic services</w:t>
      </w:r>
      <w:r w:rsidRPr="003E15E2">
        <w:t>. While the cash economy is expanding, income-earning opportunities are still limited, especially for women.</w:t>
      </w:r>
      <w:r w:rsidR="00E7611F">
        <w:t xml:space="preserve"> At least one-third of those living i</w:t>
      </w:r>
      <w:r>
        <w:t>n g</w:t>
      </w:r>
      <w:r w:rsidRPr="003E15E2">
        <w:t>reater Port Vila (59</w:t>
      </w:r>
      <w:r w:rsidR="0000195E">
        <w:t> </w:t>
      </w:r>
      <w:r w:rsidRPr="003E15E2">
        <w:t xml:space="preserve">000 people) </w:t>
      </w:r>
      <w:r>
        <w:t xml:space="preserve">continue to live </w:t>
      </w:r>
      <w:r w:rsidRPr="003E15E2">
        <w:t>under the poverty line</w:t>
      </w:r>
      <w:r>
        <w:t xml:space="preserve">, compared to </w:t>
      </w:r>
      <w:r w:rsidR="00C110CC">
        <w:t>9</w:t>
      </w:r>
      <w:r>
        <w:t xml:space="preserve"> per cent</w:t>
      </w:r>
      <w:r w:rsidRPr="003E15E2">
        <w:t xml:space="preserve"> in rural areas</w:t>
      </w:r>
      <w:r>
        <w:t>.</w:t>
      </w:r>
    </w:p>
    <w:p w:rsidR="006D5140" w:rsidRPr="003E15E2" w:rsidRDefault="006D5140" w:rsidP="009D727E">
      <w:pPr>
        <w:pStyle w:val="BodyText"/>
      </w:pPr>
      <w:proofErr w:type="spellStart"/>
      <w:proofErr w:type="gramStart"/>
      <w:r>
        <w:t>asdf</w:t>
      </w:r>
      <w:proofErr w:type="spellEnd"/>
      <w:proofErr w:type="gramEnd"/>
    </w:p>
    <w:p w:rsidR="009D727E" w:rsidRDefault="009D727E" w:rsidP="009D727E">
      <w:pPr>
        <w:pStyle w:val="BodyText"/>
      </w:pPr>
      <w:r>
        <w:t>The national budget of</w:t>
      </w:r>
      <w:r w:rsidRPr="0052326F">
        <w:t xml:space="preserve"> 2010 </w:t>
      </w:r>
      <w:r>
        <w:t xml:space="preserve">recorded </w:t>
      </w:r>
      <w:r w:rsidRPr="0052326F">
        <w:t xml:space="preserve">total government </w:t>
      </w:r>
      <w:r>
        <w:t>revenue</w:t>
      </w:r>
      <w:r w:rsidRPr="0052326F">
        <w:t xml:space="preserve"> </w:t>
      </w:r>
      <w:r>
        <w:t>of around</w:t>
      </w:r>
      <w:r w:rsidRPr="0052326F">
        <w:t xml:space="preserve"> </w:t>
      </w:r>
      <w:r w:rsidRPr="00B944DF">
        <w:t>US$1</w:t>
      </w:r>
      <w:r>
        <w:t>61</w:t>
      </w:r>
      <w:r w:rsidRPr="00B944DF">
        <w:t xml:space="preserve"> million</w:t>
      </w:r>
      <w:r>
        <w:rPr>
          <w:rStyle w:val="FootnoteReference"/>
        </w:rPr>
        <w:footnoteReference w:id="2"/>
      </w:r>
      <w:r>
        <w:t>, matched by an estimated US$112</w:t>
      </w:r>
      <w:r w:rsidR="00E7611F">
        <w:t> </w:t>
      </w:r>
      <w:r>
        <w:t>million from donor partners</w:t>
      </w:r>
      <w:r w:rsidR="00C110CC">
        <w:t xml:space="preserve">. </w:t>
      </w:r>
      <w:r>
        <w:t>With total Australian aid at around US$62</w:t>
      </w:r>
      <w:r w:rsidR="00E7611F">
        <w:t> </w:t>
      </w:r>
      <w:r>
        <w:t xml:space="preserve">million in 2010, the aid partnership </w:t>
      </w:r>
      <w:r w:rsidRPr="00485F65">
        <w:t xml:space="preserve">accounts for a major portion of </w:t>
      </w:r>
      <w:smartTag w:uri="urn:schemas-microsoft-com:office:smarttags" w:element="country-region">
        <w:smartTag w:uri="urn:schemas-microsoft-com:office:smarttags" w:element="place">
          <w:r w:rsidR="00E7611F">
            <w:t>Vanuatu</w:t>
          </w:r>
        </w:smartTag>
      </w:smartTag>
      <w:r w:rsidR="00E7611F">
        <w:t>’s</w:t>
      </w:r>
      <w:r>
        <w:t xml:space="preserve"> </w:t>
      </w:r>
      <w:r w:rsidR="00AC3247" w:rsidRPr="00AC3247">
        <w:t xml:space="preserve">official development assistance </w:t>
      </w:r>
      <w:r>
        <w:t xml:space="preserve">and total revenue. The government made concerted </w:t>
      </w:r>
      <w:r w:rsidRPr="00485F65">
        <w:t>efforts to lead donor coordination</w:t>
      </w:r>
      <w:r>
        <w:t xml:space="preserve"> in 2010</w:t>
      </w:r>
      <w:r w:rsidR="00C110CC">
        <w:t xml:space="preserve">. </w:t>
      </w:r>
      <w:r w:rsidRPr="00485F65">
        <w:t>It convened a workshop of all development partners in 2010, and worked with donor partners to pool funding and align with government priorities in the education and health sectors.</w:t>
      </w:r>
    </w:p>
    <w:p w:rsidR="009D727E" w:rsidRDefault="009D727E" w:rsidP="009D727E">
      <w:pPr>
        <w:pStyle w:val="Heading1"/>
        <w:ind w:left="360" w:hanging="360"/>
      </w:pPr>
      <w:bookmarkStart w:id="2" w:name="_Toc360978097"/>
      <w:r>
        <w:t>Results</w:t>
      </w:r>
      <w:bookmarkEnd w:id="2"/>
    </w:p>
    <w:p w:rsidR="00336D68" w:rsidRPr="00336D68" w:rsidRDefault="009D727E" w:rsidP="006D5140">
      <w:pPr>
        <w:pStyle w:val="Heading2"/>
      </w:pPr>
      <w:r w:rsidRPr="00336D68">
        <w:t xml:space="preserve">Objective 1: Improved </w:t>
      </w:r>
      <w:r w:rsidR="00E7611F" w:rsidRPr="00336D68">
        <w:t>e</w:t>
      </w:r>
      <w:r w:rsidRPr="00336D68">
        <w:t>ducation</w:t>
      </w:r>
    </w:p>
    <w:p w:rsidR="009D727E" w:rsidRDefault="009D727E" w:rsidP="009D727E">
      <w:pPr>
        <w:pStyle w:val="Table-list-bullet"/>
        <w:numPr>
          <w:ilvl w:val="0"/>
          <w:numId w:val="0"/>
        </w:numPr>
        <w:spacing w:before="120"/>
        <w:rPr>
          <w:sz w:val="18"/>
          <w:szCs w:val="18"/>
        </w:rPr>
      </w:pPr>
    </w:p>
    <w:tbl>
      <w:tblPr>
        <w:tblW w:w="7938" w:type="dxa"/>
        <w:tblInd w:w="57" w:type="dxa"/>
        <w:tblBorders>
          <w:top w:val="single" w:sz="12" w:space="0" w:color="auto"/>
          <w:bottom w:val="single" w:sz="12" w:space="0" w:color="auto"/>
        </w:tblBorders>
        <w:tblLook w:val="01E0" w:firstRow="1" w:lastRow="1" w:firstColumn="1" w:lastColumn="1" w:noHBand="0" w:noVBand="0"/>
      </w:tblPr>
      <w:tblGrid>
        <w:gridCol w:w="7938"/>
      </w:tblGrid>
      <w:tr w:rsidR="009D727E" w:rsidRPr="00F21734" w:rsidTr="009D727E">
        <w:tc>
          <w:tcPr>
            <w:tcW w:w="7938" w:type="dxa"/>
            <w:tcBorders>
              <w:top w:val="single" w:sz="12" w:space="0" w:color="auto"/>
              <w:bottom w:val="single" w:sz="12" w:space="0" w:color="auto"/>
            </w:tcBorders>
            <w:shd w:val="clear" w:color="auto" w:fill="F5F1CC"/>
          </w:tcPr>
          <w:p w:rsidR="009D727E" w:rsidRDefault="009D727E" w:rsidP="009D727E">
            <w:pPr>
              <w:pStyle w:val="BoxHeading1"/>
            </w:pPr>
            <w:r w:rsidRPr="00F21734">
              <w:t xml:space="preserve">Joint </w:t>
            </w:r>
            <w:r>
              <w:t>c</w:t>
            </w:r>
            <w:r w:rsidRPr="00F21734">
              <w:t>ommitments</w:t>
            </w:r>
          </w:p>
          <w:p w:rsidR="009D727E" w:rsidRPr="00F21734" w:rsidRDefault="009D727E" w:rsidP="009D727E">
            <w:pPr>
              <w:pStyle w:val="BoxText"/>
              <w:rPr>
                <w:b/>
              </w:rPr>
            </w:pPr>
            <w:r w:rsidRPr="00F21734">
              <w:lastRenderedPageBreak/>
              <w:t xml:space="preserve">The </w:t>
            </w:r>
            <w:r>
              <w:t>p</w:t>
            </w:r>
            <w:r w:rsidRPr="00F21734">
              <w:t>artnership will support increased access and quality of education for boys and girls and equip them with relevant skills and knowledge, through:</w:t>
            </w:r>
            <w:r w:rsidRPr="00F21734">
              <w:rPr>
                <w:b/>
              </w:rPr>
              <w:t xml:space="preserve"> </w:t>
            </w:r>
          </w:p>
          <w:p w:rsidR="009D727E" w:rsidRPr="00B8453B" w:rsidRDefault="009D727E" w:rsidP="009D727E">
            <w:pPr>
              <w:pStyle w:val="BoxListBullet"/>
              <w:rPr>
                <w:lang w:val="en-US"/>
              </w:rPr>
            </w:pPr>
            <w:r>
              <w:rPr>
                <w:lang w:val="en-US"/>
              </w:rPr>
              <w:t>a</w:t>
            </w:r>
            <w:r w:rsidRPr="00B8453B">
              <w:rPr>
                <w:lang w:val="en-US"/>
              </w:rPr>
              <w:t>ccelerating progress towards the 2015 goal of universal primary education (MDG</w:t>
            </w:r>
            <w:r>
              <w:rPr>
                <w:lang w:val="en-US"/>
              </w:rPr>
              <w:t> </w:t>
            </w:r>
            <w:r w:rsidRPr="00B8453B">
              <w:rPr>
                <w:lang w:val="en-US"/>
              </w:rPr>
              <w:t xml:space="preserve">2) </w:t>
            </w:r>
          </w:p>
          <w:p w:rsidR="009D727E" w:rsidRPr="00B8453B" w:rsidRDefault="009D727E" w:rsidP="009D727E">
            <w:pPr>
              <w:pStyle w:val="BoxListBullet"/>
              <w:rPr>
                <w:lang w:val="en-US"/>
              </w:rPr>
            </w:pPr>
            <w:r>
              <w:rPr>
                <w:lang w:val="en-US"/>
              </w:rPr>
              <w:t>i</w:t>
            </w:r>
            <w:r w:rsidRPr="00B8453B">
              <w:rPr>
                <w:lang w:val="en-US"/>
              </w:rPr>
              <w:t xml:space="preserve">mproving the quality of education, through reforming the curriculum, upgrading school facilities and resources, and enhancing teacher training </w:t>
            </w:r>
          </w:p>
          <w:p w:rsidR="009D727E" w:rsidRPr="00B8453B" w:rsidRDefault="00B550C5" w:rsidP="009D727E">
            <w:pPr>
              <w:pStyle w:val="BoxListBullet"/>
              <w:rPr>
                <w:lang w:val="en-US"/>
              </w:rPr>
            </w:pPr>
            <w:r>
              <w:rPr>
                <w:lang w:val="en-US"/>
              </w:rPr>
              <w:t xml:space="preserve">providing </w:t>
            </w:r>
            <w:r w:rsidR="009D727E">
              <w:rPr>
                <w:lang w:val="en-US"/>
              </w:rPr>
              <w:t>o</w:t>
            </w:r>
            <w:r w:rsidR="009D727E" w:rsidRPr="00B8453B">
              <w:rPr>
                <w:lang w:val="en-US"/>
              </w:rPr>
              <w:t>ngoing support for the Government of Vanuatu’s education reform agenda</w:t>
            </w:r>
            <w:r>
              <w:rPr>
                <w:lang w:val="en-US"/>
              </w:rPr>
              <w:t>,</w:t>
            </w:r>
            <w:r w:rsidR="009D727E" w:rsidRPr="00B8453B">
              <w:rPr>
                <w:lang w:val="en-US"/>
              </w:rPr>
              <w:t xml:space="preserve"> in line with the Vanuatu Education Sector Strategy, co-financed with </w:t>
            </w:r>
            <w:smartTag w:uri="urn:schemas-microsoft-com:office:smarttags" w:element="country-region">
              <w:smartTag w:uri="urn:schemas-microsoft-com:office:smarttags" w:element="place">
                <w:r w:rsidR="009D727E" w:rsidRPr="00B8453B">
                  <w:rPr>
                    <w:lang w:val="en-US"/>
                  </w:rPr>
                  <w:t>New Zealand</w:t>
                </w:r>
              </w:smartTag>
            </w:smartTag>
            <w:r w:rsidR="009D727E" w:rsidRPr="00B8453B">
              <w:rPr>
                <w:lang w:val="en-US"/>
              </w:rPr>
              <w:t xml:space="preserve"> and other donors</w:t>
            </w:r>
          </w:p>
          <w:p w:rsidR="009D727E" w:rsidRPr="00B8453B" w:rsidRDefault="00B550C5" w:rsidP="009D727E">
            <w:pPr>
              <w:pStyle w:val="BoxListBullet"/>
              <w:rPr>
                <w:lang w:val="en-US"/>
              </w:rPr>
            </w:pPr>
            <w:r>
              <w:rPr>
                <w:lang w:val="en-US"/>
              </w:rPr>
              <w:t xml:space="preserve">providing </w:t>
            </w:r>
            <w:r w:rsidR="009D727E">
              <w:rPr>
                <w:lang w:val="en-US"/>
              </w:rPr>
              <w:t>i</w:t>
            </w:r>
            <w:r w:rsidR="009D727E" w:rsidRPr="00B8453B">
              <w:rPr>
                <w:lang w:val="en-US"/>
              </w:rPr>
              <w:t>ncreased training and employment opportunities by support</w:t>
            </w:r>
            <w:r>
              <w:rPr>
                <w:lang w:val="en-US"/>
              </w:rPr>
              <w:t>ing</w:t>
            </w:r>
            <w:r w:rsidR="009D727E" w:rsidRPr="00B8453B">
              <w:rPr>
                <w:lang w:val="en-US"/>
              </w:rPr>
              <w:t xml:space="preserve"> demand</w:t>
            </w:r>
            <w:r w:rsidR="009D727E" w:rsidRPr="00B8453B">
              <w:rPr>
                <w:lang w:val="en-US"/>
              </w:rPr>
              <w:noBreakHyphen/>
              <w:t>driven vocational training services.</w:t>
            </w:r>
          </w:p>
          <w:p w:rsidR="009D727E" w:rsidRPr="00F21734" w:rsidRDefault="009D727E" w:rsidP="009D727E">
            <w:pPr>
              <w:pStyle w:val="BoxHeading1"/>
            </w:pPr>
            <w:r w:rsidRPr="00F21734">
              <w:t xml:space="preserve">Target </w:t>
            </w:r>
            <w:r>
              <w:t>r</w:t>
            </w:r>
            <w:r w:rsidRPr="00F21734">
              <w:t>esults</w:t>
            </w:r>
          </w:p>
          <w:p w:rsidR="009D727E" w:rsidRPr="00B8453B" w:rsidRDefault="009D727E" w:rsidP="009D727E">
            <w:pPr>
              <w:pStyle w:val="BoxListBullet"/>
              <w:spacing w:before="60"/>
              <w:rPr>
                <w:lang w:val="en-US"/>
              </w:rPr>
            </w:pPr>
            <w:r>
              <w:rPr>
                <w:lang w:val="en-US"/>
              </w:rPr>
              <w:t>a</w:t>
            </w:r>
            <w:r w:rsidRPr="00B8453B">
              <w:rPr>
                <w:lang w:val="en-US"/>
              </w:rPr>
              <w:t xml:space="preserve">chieve the </w:t>
            </w:r>
            <w:r>
              <w:t>Vanuatu Education Road Map</w:t>
            </w:r>
            <w:r w:rsidRPr="00B8453B">
              <w:rPr>
                <w:lang w:val="en-US"/>
              </w:rPr>
              <w:t xml:space="preserve"> goal of increasing net primary enrolment rate to 100</w:t>
            </w:r>
            <w:r w:rsidR="00B550C5">
              <w:rPr>
                <w:lang w:val="en-US"/>
              </w:rPr>
              <w:t> </w:t>
            </w:r>
            <w:r w:rsidR="00C110CC">
              <w:rPr>
                <w:lang w:val="en-US"/>
              </w:rPr>
              <w:t>per cent</w:t>
            </w:r>
            <w:r w:rsidRPr="00B8453B">
              <w:rPr>
                <w:lang w:val="en-US"/>
              </w:rPr>
              <w:t xml:space="preserve"> by 2015, reaching 85</w:t>
            </w:r>
            <w:r>
              <w:rPr>
                <w:lang w:val="en-US"/>
              </w:rPr>
              <w:t xml:space="preserve"> per cent </w:t>
            </w:r>
            <w:r w:rsidRPr="00B8453B">
              <w:rPr>
                <w:lang w:val="en-US"/>
              </w:rPr>
              <w:t>by 2011</w:t>
            </w:r>
          </w:p>
          <w:p w:rsidR="009D727E" w:rsidRPr="00B8453B" w:rsidRDefault="009D727E" w:rsidP="009D727E">
            <w:pPr>
              <w:pStyle w:val="BoxListBullet"/>
              <w:rPr>
                <w:lang w:val="en-US"/>
              </w:rPr>
            </w:pPr>
            <w:r>
              <w:rPr>
                <w:lang w:val="en-US"/>
              </w:rPr>
              <w:t>i</w:t>
            </w:r>
            <w:r w:rsidRPr="00B8453B">
              <w:rPr>
                <w:lang w:val="en-US"/>
              </w:rPr>
              <w:t>mprove literacy and numeracy skills of school age children, tracked through national assessments</w:t>
            </w:r>
          </w:p>
          <w:p w:rsidR="009D727E" w:rsidRPr="00B8453B" w:rsidRDefault="009D727E" w:rsidP="009D727E">
            <w:pPr>
              <w:pStyle w:val="BoxListBullet"/>
              <w:rPr>
                <w:lang w:val="en-US"/>
              </w:rPr>
            </w:pPr>
            <w:r>
              <w:rPr>
                <w:lang w:val="en-US"/>
              </w:rPr>
              <w:t>s</w:t>
            </w:r>
            <w:r w:rsidRPr="00B8453B">
              <w:rPr>
                <w:lang w:val="en-US"/>
              </w:rPr>
              <w:t xml:space="preserve">trengthen financial management and accountability, including primary schools adopting </w:t>
            </w:r>
            <w:r>
              <w:rPr>
                <w:lang w:val="en-US"/>
              </w:rPr>
              <w:t>g</w:t>
            </w:r>
            <w:r w:rsidRPr="00B8453B">
              <w:rPr>
                <w:lang w:val="en-US"/>
              </w:rPr>
              <w:t>overnment-approved bank accounts by the end of 2009</w:t>
            </w:r>
          </w:p>
          <w:p w:rsidR="009D727E" w:rsidRPr="00B8453B" w:rsidRDefault="009D727E" w:rsidP="009D727E">
            <w:pPr>
              <w:pStyle w:val="BoxListBullet"/>
              <w:rPr>
                <w:lang w:val="en-US"/>
              </w:rPr>
            </w:pPr>
            <w:r>
              <w:rPr>
                <w:lang w:val="en-US"/>
              </w:rPr>
              <w:t>i</w:t>
            </w:r>
            <w:r w:rsidRPr="00B8453B">
              <w:rPr>
                <w:lang w:val="en-US"/>
              </w:rPr>
              <w:t>ncrease proportion of certified primary school teachers</w:t>
            </w:r>
          </w:p>
          <w:p w:rsidR="009D727E" w:rsidRPr="00F21734" w:rsidRDefault="00B550C5" w:rsidP="009D727E">
            <w:pPr>
              <w:pStyle w:val="BoxListBullet"/>
            </w:pPr>
            <w:r>
              <w:rPr>
                <w:lang w:val="en-US"/>
              </w:rPr>
              <w:t xml:space="preserve">ensure </w:t>
            </w:r>
            <w:r w:rsidR="009D727E">
              <w:rPr>
                <w:lang w:val="en-US"/>
              </w:rPr>
              <w:t>h</w:t>
            </w:r>
            <w:r w:rsidR="009D727E" w:rsidRPr="00B8453B">
              <w:rPr>
                <w:lang w:val="en-US"/>
              </w:rPr>
              <w:t xml:space="preserve">igher numbers of technical and vocational trainees increase their incomes through </w:t>
            </w:r>
            <w:r w:rsidR="009D727E">
              <w:rPr>
                <w:lang w:val="en-US"/>
              </w:rPr>
              <w:br/>
            </w:r>
            <w:r w:rsidR="009D727E" w:rsidRPr="00B8453B">
              <w:rPr>
                <w:lang w:val="en-US"/>
              </w:rPr>
              <w:t>skill development.</w:t>
            </w:r>
          </w:p>
        </w:tc>
      </w:tr>
    </w:tbl>
    <w:p w:rsidR="009D727E" w:rsidRDefault="009D727E" w:rsidP="006D5140">
      <w:pPr>
        <w:pStyle w:val="Heading3"/>
      </w:pPr>
      <w:bookmarkStart w:id="3" w:name="_Toc360978098"/>
      <w:r>
        <w:lastRenderedPageBreak/>
        <w:t>Rating</w:t>
      </w:r>
      <w:bookmarkEnd w:id="3"/>
    </w:p>
    <w:p w:rsidR="009D727E" w:rsidRDefault="009D23F3" w:rsidP="009D727E">
      <w:pPr>
        <w:pStyle w:val="BodyText"/>
      </w:pPr>
      <w:r>
        <w:rPr>
          <w:noProof/>
          <w:color w:val="FF9900"/>
          <w:sz w:val="28"/>
          <w:szCs w:val="28"/>
          <w:lang w:val="en-US" w:eastAsia="en-US"/>
        </w:rPr>
        <w:drawing>
          <wp:inline distT="0" distB="0" distL="0" distR="0" wp14:anchorId="1133F08A" wp14:editId="109F8DF1">
            <wp:extent cx="153670" cy="153670"/>
            <wp:effectExtent l="0" t="0" r="0" b="0"/>
            <wp:docPr id="1" name="Picture 1" descr="A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9D727E">
        <w:rPr>
          <w:rFonts w:ascii="Arial Unicode MS" w:eastAsia="Arial Unicode MS" w:hAnsi="Arial Unicode MS" w:cs="Arial Unicode MS" w:hint="eastAsia"/>
        </w:rPr>
        <w:t> </w:t>
      </w:r>
      <w:r w:rsidR="009D727E" w:rsidRPr="008041F5">
        <w:t>The objective will be partly achieved within the timeframe of the strategy.</w:t>
      </w:r>
    </w:p>
    <w:p w:rsidR="009D727E" w:rsidRDefault="009D727E" w:rsidP="006D5140">
      <w:pPr>
        <w:pStyle w:val="Heading3"/>
      </w:pPr>
      <w:bookmarkStart w:id="4" w:name="_Toc360978099"/>
      <w:r w:rsidRPr="00AA0131">
        <w:t>Assessment</w:t>
      </w:r>
      <w:r>
        <w:t xml:space="preserve"> of results and performance</w:t>
      </w:r>
      <w:bookmarkEnd w:id="4"/>
    </w:p>
    <w:p w:rsidR="009D727E" w:rsidRDefault="009D727E" w:rsidP="009D727E">
      <w:pPr>
        <w:pStyle w:val="BodyText"/>
      </w:pPr>
      <w:r>
        <w:rPr>
          <w:b/>
        </w:rPr>
        <w:t>A</w:t>
      </w:r>
      <w:r w:rsidRPr="003326F7">
        <w:rPr>
          <w:b/>
        </w:rPr>
        <w:t xml:space="preserve">ccess to primary schooling </w:t>
      </w:r>
      <w:r w:rsidRPr="00690177">
        <w:t xml:space="preserve">increased by </w:t>
      </w:r>
      <w:r w:rsidR="00C110CC">
        <w:t>7</w:t>
      </w:r>
      <w:r w:rsidRPr="00690177">
        <w:t xml:space="preserve"> per cent in 2010</w:t>
      </w:r>
      <w:r w:rsidR="00C110CC">
        <w:t xml:space="preserve">. </w:t>
      </w:r>
      <w:r w:rsidRPr="00C33218">
        <w:t>This meant 3000</w:t>
      </w:r>
      <w:r w:rsidR="00B550C5">
        <w:t> </w:t>
      </w:r>
      <w:r w:rsidRPr="00C33218">
        <w:t>more students were able to go to school, and families received substantial financial relief</w:t>
      </w:r>
      <w:r w:rsidR="00C110CC">
        <w:t xml:space="preserve">. </w:t>
      </w:r>
      <w:r w:rsidRPr="00C33218">
        <w:t>Parental fees were replaced by grants paid direct to schools</w:t>
      </w:r>
      <w:r w:rsidR="00B95094">
        <w:t>—</w:t>
      </w:r>
      <w:r w:rsidRPr="00C33218">
        <w:t xml:space="preserve">jointly financed by </w:t>
      </w:r>
      <w:smartTag w:uri="urn:schemas-microsoft-com:office:smarttags" w:element="country-region">
        <w:r w:rsidRPr="00C33218">
          <w:t>Vanuatu</w:t>
        </w:r>
      </w:smartTag>
      <w:r w:rsidRPr="00C33218">
        <w:t xml:space="preserve">, </w:t>
      </w:r>
      <w:smartTag w:uri="urn:schemas-microsoft-com:office:smarttags" w:element="country-region">
        <w:r w:rsidRPr="00C33218">
          <w:t>Australia</w:t>
        </w:r>
      </w:smartTag>
      <w:r w:rsidRPr="00C33218">
        <w:t xml:space="preserve">, </w:t>
      </w:r>
      <w:smartTag w:uri="urn:schemas-microsoft-com:office:smarttags" w:element="country-region">
        <w:smartTag w:uri="urn:schemas-microsoft-com:office:smarttags" w:element="place">
          <w:r w:rsidRPr="00C33218">
            <w:t>New Zealand</w:t>
          </w:r>
        </w:smartTag>
      </w:smartTag>
      <w:r w:rsidRPr="00C33218">
        <w:t xml:space="preserve"> and </w:t>
      </w:r>
      <w:r w:rsidR="00AC3247" w:rsidRPr="00AC3247">
        <w:t>United Nations Children's Fund</w:t>
      </w:r>
      <w:r w:rsidR="00C110CC">
        <w:t xml:space="preserve">. </w:t>
      </w:r>
      <w:r w:rsidRPr="00C33218">
        <w:t xml:space="preserve">Government’s contribution to the school grants increased by 25 per cent in the 2011 budget, in line with </w:t>
      </w:r>
      <w:r w:rsidR="00B550C5">
        <w:t>this</w:t>
      </w:r>
      <w:r w:rsidR="00B550C5" w:rsidRPr="00C33218">
        <w:t xml:space="preserve"> </w:t>
      </w:r>
      <w:r w:rsidRPr="00C33218">
        <w:t>partnership commitment.</w:t>
      </w:r>
      <w:r>
        <w:t xml:space="preserve"> </w:t>
      </w:r>
    </w:p>
    <w:p w:rsidR="009D727E" w:rsidRPr="00C33218" w:rsidRDefault="009D727E" w:rsidP="009D727E">
      <w:pPr>
        <w:pStyle w:val="BodyText"/>
      </w:pPr>
      <w:smartTag w:uri="urn:schemas-microsoft-com:office:smarttags" w:element="country-region">
        <w:smartTag w:uri="urn:schemas-microsoft-com:office:smarttags" w:element="place">
          <w:r w:rsidRPr="00FF4638">
            <w:t>Vanuatu</w:t>
          </w:r>
        </w:smartTag>
      </w:smartTag>
      <w:r w:rsidRPr="00FF4638">
        <w:t xml:space="preserve"> is</w:t>
      </w:r>
      <w:r w:rsidRPr="00FF4638">
        <w:rPr>
          <w:b/>
        </w:rPr>
        <w:t xml:space="preserve"> </w:t>
      </w:r>
      <w:r w:rsidRPr="00690177">
        <w:t>close to</w:t>
      </w:r>
      <w:r w:rsidRPr="00FF4638">
        <w:rPr>
          <w:b/>
        </w:rPr>
        <w:t xml:space="preserve"> gender parity in primary and secondary education</w:t>
      </w:r>
      <w:r>
        <w:t>. The Ministry of Education is in the final stages of developing an inclusive education policy, which commits to including children with disabilit</w:t>
      </w:r>
      <w:r w:rsidR="00694C4D">
        <w:t>y</w:t>
      </w:r>
      <w:r>
        <w:t xml:space="preserve"> and other special needs in the education system.</w:t>
      </w:r>
    </w:p>
    <w:p w:rsidR="009D727E" w:rsidRDefault="009D727E" w:rsidP="009D727E">
      <w:pPr>
        <w:pStyle w:val="BodyText"/>
      </w:pPr>
      <w:r>
        <w:t>C</w:t>
      </w:r>
      <w:r w:rsidRPr="00C33218">
        <w:t xml:space="preserve">hallenges remain in the </w:t>
      </w:r>
      <w:r w:rsidRPr="00C33218">
        <w:rPr>
          <w:b/>
        </w:rPr>
        <w:t>quality of schooling</w:t>
      </w:r>
      <w:r w:rsidR="00C110CC">
        <w:t xml:space="preserve">. </w:t>
      </w:r>
      <w:r>
        <w:rPr>
          <w:rFonts w:cs="Arial"/>
        </w:rPr>
        <w:t>An in-service unit w</w:t>
      </w:r>
      <w:r w:rsidRPr="00C33218">
        <w:rPr>
          <w:rFonts w:cs="Arial"/>
        </w:rPr>
        <w:t xml:space="preserve">as established within the Teacher’s College and modules </w:t>
      </w:r>
      <w:r>
        <w:rPr>
          <w:rFonts w:cs="Arial"/>
        </w:rPr>
        <w:t>we</w:t>
      </w:r>
      <w:r w:rsidRPr="00C33218">
        <w:rPr>
          <w:rFonts w:cs="Arial"/>
        </w:rPr>
        <w:t>re being developed for introduction in 2012</w:t>
      </w:r>
      <w:r w:rsidR="00C110CC">
        <w:rPr>
          <w:rFonts w:cs="Arial"/>
        </w:rPr>
        <w:t xml:space="preserve">. </w:t>
      </w:r>
      <w:r w:rsidRPr="00C33218">
        <w:t>Rising enrolments have increased pressure on the education system, particularly in urban areas</w:t>
      </w:r>
      <w:r w:rsidR="00C110CC">
        <w:t xml:space="preserve">. </w:t>
      </w:r>
      <w:r>
        <w:t>D</w:t>
      </w:r>
      <w:r w:rsidRPr="00D16418">
        <w:t xml:space="preserve">ata in this sector </w:t>
      </w:r>
      <w:r>
        <w:t>is limited, although n</w:t>
      </w:r>
      <w:r w:rsidRPr="00D16418">
        <w:t>ewly</w:t>
      </w:r>
      <w:r>
        <w:t xml:space="preserve"> introduced literacy tests will provide a welcome baseline. In 2011 selected high-performing schools will be studied to determine what delivers better reading results. The findings will be used to inform better teacher training in basic literacy. </w:t>
      </w:r>
    </w:p>
    <w:p w:rsidR="00581A3A" w:rsidRPr="00B60661" w:rsidRDefault="00581A3A" w:rsidP="00581A3A">
      <w:pPr>
        <w:pStyle w:val="BodyText"/>
      </w:pPr>
      <w:r w:rsidRPr="005A77C3">
        <w:rPr>
          <w:b/>
        </w:rPr>
        <w:t xml:space="preserve">Progress on </w:t>
      </w:r>
      <w:r>
        <w:rPr>
          <w:b/>
        </w:rPr>
        <w:t xml:space="preserve">school </w:t>
      </w:r>
      <w:r w:rsidRPr="005A77C3">
        <w:rPr>
          <w:b/>
        </w:rPr>
        <w:t>facilities</w:t>
      </w:r>
      <w:r>
        <w:t xml:space="preserve"> has been </w:t>
      </w:r>
      <w:r w:rsidRPr="00C33218">
        <w:t>disappointing</w:t>
      </w:r>
      <w:r>
        <w:t xml:space="preserve">. Capacity constraints in the Ministry and a costly classroom design have meant that </w:t>
      </w:r>
      <w:r w:rsidRPr="00C33218">
        <w:t xml:space="preserve">of </w:t>
      </w:r>
      <w:r>
        <w:t xml:space="preserve">the </w:t>
      </w:r>
      <w:r w:rsidRPr="00C33218">
        <w:t>20 planned double classrooms, none were constructed in the planned timeframe</w:t>
      </w:r>
    </w:p>
    <w:p w:rsidR="009D727E" w:rsidRDefault="00581A3A" w:rsidP="00581A3A">
      <w:pPr>
        <w:pStyle w:val="BodyText"/>
      </w:pPr>
      <w:r>
        <w:t xml:space="preserve">The </w:t>
      </w:r>
      <w:r>
        <w:rPr>
          <w:b/>
        </w:rPr>
        <w:t>t</w:t>
      </w:r>
      <w:r w:rsidRPr="00026738">
        <w:rPr>
          <w:b/>
        </w:rPr>
        <w:t>echnica</w:t>
      </w:r>
      <w:r>
        <w:rPr>
          <w:b/>
        </w:rPr>
        <w:t>l and vocational education and t</w:t>
      </w:r>
      <w:r w:rsidRPr="00026738">
        <w:rPr>
          <w:b/>
        </w:rPr>
        <w:t>raining</w:t>
      </w:r>
      <w:r>
        <w:t xml:space="preserve"> </w:t>
      </w:r>
      <w:r w:rsidR="00656444">
        <w:t xml:space="preserve">sector </w:t>
      </w:r>
      <w:r w:rsidR="00286C37">
        <w:t>has shown improvement</w:t>
      </w:r>
      <w:r>
        <w:t xml:space="preserve">, with an </w:t>
      </w:r>
      <w:proofErr w:type="spellStart"/>
      <w:r>
        <w:t>AusAID</w:t>
      </w:r>
      <w:proofErr w:type="spellEnd"/>
      <w:r>
        <w:t xml:space="preserve"> commissioned independent review </w:t>
      </w:r>
      <w:r w:rsidR="00286C37">
        <w:t xml:space="preserve">of the joint TVET program </w:t>
      </w:r>
      <w:r>
        <w:t>pointing to outcomes in system strengthening, training quality and access.</w:t>
      </w:r>
      <w:r w:rsidR="009D727E">
        <w:t xml:space="preserve"> There are now 40 registered </w:t>
      </w:r>
      <w:r w:rsidR="009D727E">
        <w:lastRenderedPageBreak/>
        <w:t>training providers compared to none in 2008. In</w:t>
      </w:r>
      <w:r w:rsidR="00B550C5">
        <w:t> </w:t>
      </w:r>
      <w:r w:rsidR="009D727E">
        <w:t>2010, 1080 participants attended accredited training courses and more than 900</w:t>
      </w:r>
      <w:r w:rsidR="00B550C5">
        <w:t> </w:t>
      </w:r>
      <w:r w:rsidR="009D727E">
        <w:t xml:space="preserve">people accessed business development services. </w:t>
      </w:r>
      <w:r w:rsidR="00B550C5">
        <w:t>Sixty-five</w:t>
      </w:r>
      <w:r w:rsidR="009D727E">
        <w:t xml:space="preserve"> per cent of graduates reported increased income and 72 per cent reported increased production from their farms and businesses as a result of their training. Women comprised 43 per cent of trainees from April</w:t>
      </w:r>
      <w:r w:rsidR="00B95094">
        <w:t xml:space="preserve"> to </w:t>
      </w:r>
      <w:r w:rsidR="009D727E">
        <w:t xml:space="preserve">September 2010 and 39 per cent of business development service users. </w:t>
      </w:r>
    </w:p>
    <w:p w:rsidR="009D727E" w:rsidRPr="003E4C57" w:rsidRDefault="009D727E" w:rsidP="009D727E">
      <w:pPr>
        <w:pStyle w:val="Caption"/>
        <w:rPr>
          <w:highlight w:val="magenta"/>
        </w:rPr>
      </w:pPr>
      <w:r w:rsidRPr="00E271CD">
        <w:t xml:space="preserve">Table </w:t>
      </w:r>
      <w:r w:rsidR="00825B55">
        <w:fldChar w:fldCharType="begin"/>
      </w:r>
      <w:r w:rsidR="00825B55">
        <w:instrText xml:space="preserve"> SEQ Table \* MERGEFORMAT </w:instrText>
      </w:r>
      <w:r w:rsidR="00825B55">
        <w:fldChar w:fldCharType="separate"/>
      </w:r>
      <w:r>
        <w:rPr>
          <w:noProof/>
        </w:rPr>
        <w:t>2</w:t>
      </w:r>
      <w:r w:rsidR="00825B55">
        <w:rPr>
          <w:noProof/>
        </w:rPr>
        <w:fldChar w:fldCharType="end"/>
      </w:r>
      <w:r w:rsidRPr="00E271CD">
        <w:t xml:space="preserve">: </w:t>
      </w:r>
      <w:r>
        <w:t>Estimated education e</w:t>
      </w:r>
      <w:r w:rsidRPr="00E271CD">
        <w:t>xpenditure</w:t>
      </w:r>
      <w:r>
        <w:t xml:space="preserve"> in 2010</w:t>
      </w:r>
    </w:p>
    <w:tbl>
      <w:tblPr>
        <w:tblW w:w="0" w:type="auto"/>
        <w:tblInd w:w="57" w:type="dxa"/>
        <w:tblLayout w:type="fixed"/>
        <w:tblLook w:val="0000" w:firstRow="0" w:lastRow="0" w:firstColumn="0" w:lastColumn="0" w:noHBand="0" w:noVBand="0"/>
      </w:tblPr>
      <w:tblGrid>
        <w:gridCol w:w="5683"/>
        <w:gridCol w:w="1127"/>
        <w:gridCol w:w="1128"/>
      </w:tblGrid>
      <w:tr w:rsidR="009D727E" w:rsidRPr="003E4C57" w:rsidTr="00336D68">
        <w:trPr>
          <w:cantSplit/>
          <w:tblHeader/>
        </w:trPr>
        <w:tc>
          <w:tcPr>
            <w:tcW w:w="5683" w:type="dxa"/>
            <w:tcBorders>
              <w:top w:val="single" w:sz="12" w:space="0" w:color="auto"/>
              <w:bottom w:val="single" w:sz="2" w:space="0" w:color="auto"/>
            </w:tcBorders>
            <w:tcMar>
              <w:left w:w="57" w:type="dxa"/>
              <w:right w:w="57" w:type="dxa"/>
            </w:tcMar>
          </w:tcPr>
          <w:p w:rsidR="009D727E" w:rsidRDefault="009D727E" w:rsidP="009D727E">
            <w:pPr>
              <w:pStyle w:val="TableDataColumnHeading"/>
              <w:jc w:val="left"/>
            </w:pPr>
            <w:r>
              <w:t>Objective</w:t>
            </w:r>
          </w:p>
        </w:tc>
        <w:tc>
          <w:tcPr>
            <w:tcW w:w="1127" w:type="dxa"/>
            <w:tcBorders>
              <w:top w:val="single" w:sz="12" w:space="0" w:color="auto"/>
              <w:bottom w:val="single" w:sz="2" w:space="0" w:color="auto"/>
            </w:tcBorders>
            <w:tcMar>
              <w:left w:w="57" w:type="dxa"/>
              <w:right w:w="57" w:type="dxa"/>
            </w:tcMar>
          </w:tcPr>
          <w:p w:rsidR="009D727E" w:rsidRDefault="009D727E" w:rsidP="009D727E">
            <w:pPr>
              <w:pStyle w:val="TableDataColumnHeading"/>
            </w:pPr>
            <w:r>
              <w:t>$ million</w:t>
            </w:r>
          </w:p>
        </w:tc>
        <w:tc>
          <w:tcPr>
            <w:tcW w:w="1128" w:type="dxa"/>
            <w:tcBorders>
              <w:top w:val="single" w:sz="12" w:space="0" w:color="auto"/>
              <w:bottom w:val="single" w:sz="2" w:space="0" w:color="auto"/>
            </w:tcBorders>
            <w:tcMar>
              <w:left w:w="57" w:type="dxa"/>
              <w:right w:w="57" w:type="dxa"/>
            </w:tcMar>
          </w:tcPr>
          <w:p w:rsidR="009D727E" w:rsidRDefault="009D727E" w:rsidP="00B550C5">
            <w:pPr>
              <w:pStyle w:val="TableDataColumnHeading"/>
            </w:pPr>
            <w:r>
              <w:t xml:space="preserve"> </w:t>
            </w:r>
            <w:r w:rsidR="00B550C5">
              <w:t>%</w:t>
            </w:r>
            <w:r>
              <w:t xml:space="preserve"> of bilateral program</w:t>
            </w:r>
          </w:p>
        </w:tc>
      </w:tr>
      <w:tr w:rsidR="009D727E" w:rsidRPr="002452D0" w:rsidTr="009D727E">
        <w:tc>
          <w:tcPr>
            <w:tcW w:w="5683" w:type="dxa"/>
            <w:tcMar>
              <w:left w:w="57" w:type="dxa"/>
              <w:right w:w="57" w:type="dxa"/>
            </w:tcMar>
          </w:tcPr>
          <w:p w:rsidR="009D727E" w:rsidRPr="002452D0" w:rsidRDefault="009D727E" w:rsidP="00B550C5">
            <w:pPr>
              <w:pStyle w:val="TableDataEntries"/>
              <w:jc w:val="left"/>
            </w:pPr>
            <w:r>
              <w:t>Improved</w:t>
            </w:r>
            <w:r w:rsidR="00B550C5">
              <w:t xml:space="preserve"> e</w:t>
            </w:r>
            <w:r>
              <w:t>ducation: support increased access and quality of education for all boys and girls, and equip them with relevant skills and knowledge</w:t>
            </w:r>
          </w:p>
        </w:tc>
        <w:tc>
          <w:tcPr>
            <w:tcW w:w="1127" w:type="dxa"/>
            <w:tcMar>
              <w:left w:w="57" w:type="dxa"/>
              <w:right w:w="57" w:type="dxa"/>
            </w:tcMar>
          </w:tcPr>
          <w:p w:rsidR="009D727E" w:rsidRPr="002452D0" w:rsidRDefault="009D727E" w:rsidP="009D727E">
            <w:pPr>
              <w:pStyle w:val="TableDataEntries"/>
            </w:pPr>
            <w:r>
              <w:t>6.9</w:t>
            </w:r>
          </w:p>
        </w:tc>
        <w:tc>
          <w:tcPr>
            <w:tcW w:w="1128" w:type="dxa"/>
            <w:tcMar>
              <w:left w:w="57" w:type="dxa"/>
              <w:right w:w="57" w:type="dxa"/>
            </w:tcMar>
          </w:tcPr>
          <w:p w:rsidR="009D727E" w:rsidRPr="002452D0" w:rsidRDefault="009D727E" w:rsidP="009D727E">
            <w:pPr>
              <w:pStyle w:val="TableDataEntries"/>
            </w:pPr>
            <w:r>
              <w:t>14</w:t>
            </w:r>
          </w:p>
        </w:tc>
      </w:tr>
      <w:tr w:rsidR="009D727E" w:rsidRPr="002452D0" w:rsidTr="009D727E">
        <w:tc>
          <w:tcPr>
            <w:tcW w:w="5683" w:type="dxa"/>
            <w:tcBorders>
              <w:bottom w:val="single" w:sz="12" w:space="0" w:color="auto"/>
            </w:tcBorders>
            <w:tcMar>
              <w:left w:w="57" w:type="dxa"/>
              <w:right w:w="57" w:type="dxa"/>
            </w:tcMar>
          </w:tcPr>
          <w:p w:rsidR="009D727E" w:rsidRDefault="009D727E" w:rsidP="009D727E">
            <w:pPr>
              <w:pStyle w:val="TableDataEntries"/>
              <w:jc w:val="left"/>
            </w:pPr>
            <w:r>
              <w:t xml:space="preserve">Australian Awards (scholarships) </w:t>
            </w:r>
          </w:p>
        </w:tc>
        <w:tc>
          <w:tcPr>
            <w:tcW w:w="1127" w:type="dxa"/>
            <w:tcBorders>
              <w:bottom w:val="single" w:sz="12" w:space="0" w:color="auto"/>
            </w:tcBorders>
            <w:tcMar>
              <w:left w:w="57" w:type="dxa"/>
              <w:right w:w="57" w:type="dxa"/>
            </w:tcMar>
          </w:tcPr>
          <w:p w:rsidR="009D727E" w:rsidRDefault="009D727E" w:rsidP="009D727E">
            <w:pPr>
              <w:pStyle w:val="TableDataEntries"/>
            </w:pPr>
            <w:r>
              <w:t>3.6</w:t>
            </w:r>
          </w:p>
        </w:tc>
        <w:tc>
          <w:tcPr>
            <w:tcW w:w="1128" w:type="dxa"/>
            <w:tcBorders>
              <w:bottom w:val="single" w:sz="12" w:space="0" w:color="auto"/>
            </w:tcBorders>
            <w:tcMar>
              <w:left w:w="57" w:type="dxa"/>
              <w:right w:w="57" w:type="dxa"/>
            </w:tcMar>
          </w:tcPr>
          <w:p w:rsidR="009D727E" w:rsidRDefault="009D727E" w:rsidP="009D727E">
            <w:pPr>
              <w:pStyle w:val="TableDataEntries"/>
            </w:pPr>
            <w:r>
              <w:t>7</w:t>
            </w:r>
          </w:p>
        </w:tc>
      </w:tr>
    </w:tbl>
    <w:p w:rsidR="009D727E" w:rsidRPr="00336D68" w:rsidRDefault="009D727E" w:rsidP="006D5140">
      <w:pPr>
        <w:pStyle w:val="Heading2"/>
      </w:pPr>
      <w:r w:rsidRPr="00336D68">
        <w:t xml:space="preserve">Objective 2: Improved </w:t>
      </w:r>
      <w:r w:rsidR="00B550C5" w:rsidRPr="00336D68">
        <w:t>h</w:t>
      </w:r>
      <w:r w:rsidRPr="00336D68">
        <w:t>ealth</w:t>
      </w:r>
    </w:p>
    <w:p w:rsidR="009D727E" w:rsidRPr="00D70B78" w:rsidRDefault="009D727E" w:rsidP="009D727E">
      <w:pPr>
        <w:keepNext/>
        <w:rPr>
          <w:rFonts w:ascii="Franklin Gothic Book" w:hAnsi="Franklin Gothic Book"/>
          <w:bCs/>
          <w:sz w:val="17"/>
          <w:szCs w:val="17"/>
        </w:rPr>
      </w:pPr>
    </w:p>
    <w:tbl>
      <w:tblPr>
        <w:tblW w:w="7938" w:type="dxa"/>
        <w:tblInd w:w="57" w:type="dxa"/>
        <w:tblBorders>
          <w:top w:val="single" w:sz="12" w:space="0" w:color="auto"/>
          <w:bottom w:val="single" w:sz="12" w:space="0" w:color="auto"/>
        </w:tblBorders>
        <w:tblLook w:val="01E0" w:firstRow="1" w:lastRow="1" w:firstColumn="1" w:lastColumn="1" w:noHBand="0" w:noVBand="0"/>
      </w:tblPr>
      <w:tblGrid>
        <w:gridCol w:w="7938"/>
      </w:tblGrid>
      <w:tr w:rsidR="009D727E" w:rsidRPr="0005328B" w:rsidTr="009D727E">
        <w:tc>
          <w:tcPr>
            <w:tcW w:w="7938" w:type="dxa"/>
            <w:tcBorders>
              <w:top w:val="single" w:sz="12" w:space="0" w:color="auto"/>
              <w:bottom w:val="single" w:sz="12" w:space="0" w:color="auto"/>
            </w:tcBorders>
            <w:shd w:val="clear" w:color="auto" w:fill="F5F1CC"/>
          </w:tcPr>
          <w:p w:rsidR="009D727E" w:rsidRPr="00B8453B" w:rsidRDefault="009D727E" w:rsidP="009D727E">
            <w:pPr>
              <w:pStyle w:val="BoxHeading1"/>
              <w:keepNext/>
            </w:pPr>
            <w:r w:rsidRPr="00B8453B">
              <w:t xml:space="preserve">Joint </w:t>
            </w:r>
            <w:r>
              <w:t>c</w:t>
            </w:r>
            <w:r w:rsidRPr="00B8453B">
              <w:t>ommitments</w:t>
            </w:r>
          </w:p>
          <w:p w:rsidR="009D727E" w:rsidRPr="0005328B" w:rsidRDefault="009D727E" w:rsidP="009D727E">
            <w:pPr>
              <w:pStyle w:val="BoxText"/>
              <w:keepNext/>
              <w:rPr>
                <w:lang w:val="en-US"/>
              </w:rPr>
            </w:pPr>
            <w:r w:rsidRPr="0005328B">
              <w:rPr>
                <w:lang w:val="en-US"/>
              </w:rPr>
              <w:t>The</w:t>
            </w:r>
            <w:r>
              <w:rPr>
                <w:lang w:val="en-US"/>
              </w:rPr>
              <w:t xml:space="preserve"> p</w:t>
            </w:r>
            <w:r w:rsidRPr="0005328B">
              <w:rPr>
                <w:lang w:val="en-US"/>
              </w:rPr>
              <w:t xml:space="preserve">artnership will strengthen health services and accelerate progress towards health MDGs, through: </w:t>
            </w:r>
          </w:p>
          <w:p w:rsidR="009D727E" w:rsidRPr="0005328B" w:rsidRDefault="009D727E" w:rsidP="009D727E">
            <w:pPr>
              <w:pStyle w:val="BoxListBullet"/>
              <w:keepNext/>
              <w:rPr>
                <w:lang w:val="en-US"/>
              </w:rPr>
            </w:pPr>
            <w:r>
              <w:rPr>
                <w:lang w:val="en-US"/>
              </w:rPr>
              <w:t>e</w:t>
            </w:r>
            <w:r w:rsidRPr="0005328B">
              <w:rPr>
                <w:lang w:val="en-US"/>
              </w:rPr>
              <w:t>nhanc</w:t>
            </w:r>
            <w:r w:rsidR="0059594F">
              <w:rPr>
                <w:lang w:val="en-US"/>
              </w:rPr>
              <w:t>ing</w:t>
            </w:r>
            <w:r w:rsidRPr="0005328B">
              <w:rPr>
                <w:lang w:val="en-US"/>
              </w:rPr>
              <w:t xml:space="preserve"> access to, and quality of, health care services, particularly for rural communities, including a strengthened health supply chain, strengthened community nursing, and </w:t>
            </w:r>
            <w:r>
              <w:rPr>
                <w:lang w:val="en-US"/>
              </w:rPr>
              <w:br/>
            </w:r>
            <w:r w:rsidRPr="0005328B">
              <w:rPr>
                <w:lang w:val="en-US"/>
              </w:rPr>
              <w:t>upgraded facilities</w:t>
            </w:r>
          </w:p>
          <w:p w:rsidR="009D727E" w:rsidRPr="0005328B" w:rsidRDefault="009D727E" w:rsidP="009D727E">
            <w:pPr>
              <w:pStyle w:val="BoxListBullet"/>
              <w:keepNext/>
              <w:rPr>
                <w:lang w:val="en-US"/>
              </w:rPr>
            </w:pPr>
            <w:r>
              <w:rPr>
                <w:lang w:val="en-US"/>
              </w:rPr>
              <w:t>c</w:t>
            </w:r>
            <w:r w:rsidRPr="0005328B">
              <w:rPr>
                <w:lang w:val="en-US"/>
              </w:rPr>
              <w:t>ontrolling and progressively eliminating malaria</w:t>
            </w:r>
          </w:p>
          <w:p w:rsidR="009D727E" w:rsidRPr="0005328B" w:rsidRDefault="009D727E" w:rsidP="009D727E">
            <w:pPr>
              <w:pStyle w:val="BoxListBullet"/>
              <w:keepNext/>
              <w:rPr>
                <w:lang w:val="en-US"/>
              </w:rPr>
            </w:pPr>
            <w:r>
              <w:rPr>
                <w:lang w:val="en-US"/>
              </w:rPr>
              <w:t>i</w:t>
            </w:r>
            <w:r w:rsidRPr="0005328B">
              <w:rPr>
                <w:lang w:val="en-US"/>
              </w:rPr>
              <w:t>mprov</w:t>
            </w:r>
            <w:r w:rsidR="0059594F">
              <w:rPr>
                <w:lang w:val="en-US"/>
              </w:rPr>
              <w:t>ing</w:t>
            </w:r>
            <w:r w:rsidRPr="0005328B">
              <w:rPr>
                <w:lang w:val="en-US"/>
              </w:rPr>
              <w:t xml:space="preserve"> budgeting, financial and expenditure management</w:t>
            </w:r>
          </w:p>
          <w:p w:rsidR="009D727E" w:rsidRPr="0005328B" w:rsidRDefault="009D727E" w:rsidP="009D727E">
            <w:pPr>
              <w:pStyle w:val="BoxListBullet"/>
              <w:keepNext/>
              <w:rPr>
                <w:lang w:val="en-US"/>
              </w:rPr>
            </w:pPr>
            <w:r>
              <w:rPr>
                <w:lang w:val="en-US"/>
              </w:rPr>
              <w:t>s</w:t>
            </w:r>
            <w:r w:rsidRPr="0005328B">
              <w:rPr>
                <w:lang w:val="en-US"/>
              </w:rPr>
              <w:t>trengthen</w:t>
            </w:r>
            <w:r w:rsidR="0059594F">
              <w:rPr>
                <w:lang w:val="en-US"/>
              </w:rPr>
              <w:t>ing</w:t>
            </w:r>
            <w:r w:rsidRPr="0005328B">
              <w:rPr>
                <w:lang w:val="en-US"/>
              </w:rPr>
              <w:t xml:space="preserve"> health information system to track MDG progress and support evidence</w:t>
            </w:r>
            <w:r w:rsidRPr="0005328B">
              <w:rPr>
                <w:lang w:val="en-US"/>
              </w:rPr>
              <w:noBreakHyphen/>
              <w:t>based decision</w:t>
            </w:r>
            <w:r>
              <w:rPr>
                <w:lang w:val="en-US"/>
              </w:rPr>
              <w:t xml:space="preserve"> </w:t>
            </w:r>
            <w:r w:rsidRPr="0005328B">
              <w:rPr>
                <w:lang w:val="en-US"/>
              </w:rPr>
              <w:t>making.</w:t>
            </w:r>
          </w:p>
          <w:p w:rsidR="009D727E" w:rsidRPr="00B8453B" w:rsidRDefault="009D727E" w:rsidP="009D727E">
            <w:pPr>
              <w:pStyle w:val="BoxHeading1"/>
              <w:keepNext/>
            </w:pPr>
            <w:r w:rsidRPr="00B8453B">
              <w:t xml:space="preserve">Target </w:t>
            </w:r>
            <w:r>
              <w:t>r</w:t>
            </w:r>
            <w:r w:rsidRPr="00B8453B">
              <w:t>esults</w:t>
            </w:r>
          </w:p>
          <w:p w:rsidR="009D727E" w:rsidRPr="0005328B" w:rsidRDefault="009D727E" w:rsidP="009D727E">
            <w:pPr>
              <w:pStyle w:val="BoxListBullet"/>
              <w:keepNext/>
              <w:spacing w:before="60"/>
              <w:rPr>
                <w:lang w:val="en-US"/>
              </w:rPr>
            </w:pPr>
            <w:r>
              <w:rPr>
                <w:lang w:val="en-US"/>
              </w:rPr>
              <w:t>u</w:t>
            </w:r>
            <w:r w:rsidRPr="0005328B">
              <w:rPr>
                <w:lang w:val="en-US"/>
              </w:rPr>
              <w:t>nder-five mortality rate reduced from 34.1</w:t>
            </w:r>
            <w:r>
              <w:rPr>
                <w:lang w:val="en-US"/>
              </w:rPr>
              <w:t> </w:t>
            </w:r>
            <w:r w:rsidRPr="0005328B">
              <w:rPr>
                <w:lang w:val="en-US"/>
              </w:rPr>
              <w:t>per</w:t>
            </w:r>
            <w:r>
              <w:rPr>
                <w:lang w:val="en-US"/>
              </w:rPr>
              <w:t> </w:t>
            </w:r>
            <w:r w:rsidRPr="0005328B">
              <w:rPr>
                <w:lang w:val="en-US"/>
              </w:rPr>
              <w:t>1000 in 2007 to the MDG target of 20.7</w:t>
            </w:r>
            <w:r>
              <w:rPr>
                <w:lang w:val="en-US"/>
              </w:rPr>
              <w:t> </w:t>
            </w:r>
            <w:r w:rsidRPr="0005328B">
              <w:rPr>
                <w:lang w:val="en-US"/>
              </w:rPr>
              <w:t>per</w:t>
            </w:r>
            <w:r>
              <w:rPr>
                <w:lang w:val="en-US"/>
              </w:rPr>
              <w:t> </w:t>
            </w:r>
            <w:r w:rsidRPr="0005328B">
              <w:rPr>
                <w:lang w:val="en-US"/>
              </w:rPr>
              <w:t xml:space="preserve">1000 by 2015, and maternal care improved with an increased percentage of </w:t>
            </w:r>
            <w:r>
              <w:rPr>
                <w:lang w:val="en-US"/>
              </w:rPr>
              <w:br/>
            </w:r>
            <w:r w:rsidRPr="0005328B">
              <w:rPr>
                <w:lang w:val="en-US"/>
              </w:rPr>
              <w:t>deliveries supervised by skilled staff</w:t>
            </w:r>
          </w:p>
          <w:p w:rsidR="009D727E" w:rsidRPr="0005328B" w:rsidRDefault="009D727E" w:rsidP="009D727E">
            <w:pPr>
              <w:pStyle w:val="BoxListBullet"/>
              <w:keepNext/>
              <w:rPr>
                <w:lang w:val="en-US"/>
              </w:rPr>
            </w:pPr>
            <w:r>
              <w:rPr>
                <w:lang w:val="en-US"/>
              </w:rPr>
              <w:t>i</w:t>
            </w:r>
            <w:r w:rsidRPr="0005328B">
              <w:rPr>
                <w:lang w:val="en-US"/>
              </w:rPr>
              <w:t>ncreased routine measles and triple antigen vaccination coverage of one-year</w:t>
            </w:r>
            <w:r>
              <w:rPr>
                <w:lang w:val="en-US"/>
              </w:rPr>
              <w:t>-</w:t>
            </w:r>
            <w:r w:rsidRPr="0005328B">
              <w:rPr>
                <w:lang w:val="en-US"/>
              </w:rPr>
              <w:t>old children</w:t>
            </w:r>
            <w:r w:rsidR="0059594F">
              <w:rPr>
                <w:lang w:val="en-US"/>
              </w:rPr>
              <w:t>,</w:t>
            </w:r>
            <w:r>
              <w:rPr>
                <w:lang w:val="en-US"/>
              </w:rPr>
              <w:br/>
            </w:r>
            <w:r w:rsidRPr="0005328B">
              <w:rPr>
                <w:lang w:val="en-US"/>
              </w:rPr>
              <w:t>to 80</w:t>
            </w:r>
            <w:r>
              <w:rPr>
                <w:lang w:val="en-US"/>
              </w:rPr>
              <w:t xml:space="preserve"> per cent </w:t>
            </w:r>
            <w:r w:rsidRPr="0005328B">
              <w:rPr>
                <w:lang w:val="en-US"/>
              </w:rPr>
              <w:t>by 2012 and 90</w:t>
            </w:r>
            <w:r>
              <w:rPr>
                <w:lang w:val="en-US"/>
              </w:rPr>
              <w:t xml:space="preserve"> per cent </w:t>
            </w:r>
            <w:r w:rsidRPr="0005328B">
              <w:rPr>
                <w:lang w:val="en-US"/>
              </w:rPr>
              <w:t>by 2015</w:t>
            </w:r>
          </w:p>
          <w:p w:rsidR="009D727E" w:rsidRPr="0005328B" w:rsidRDefault="009D727E" w:rsidP="009D727E">
            <w:pPr>
              <w:pStyle w:val="BoxListBullet"/>
              <w:keepNext/>
              <w:rPr>
                <w:lang w:val="en-US"/>
              </w:rPr>
            </w:pPr>
            <w:r>
              <w:rPr>
                <w:lang w:val="en-US"/>
              </w:rPr>
              <w:t>r</w:t>
            </w:r>
            <w:r w:rsidRPr="0005328B">
              <w:rPr>
                <w:lang w:val="en-US"/>
              </w:rPr>
              <w:t>educed malaria incidence nationwide by 70</w:t>
            </w:r>
            <w:r w:rsidR="00C110CC">
              <w:rPr>
                <w:lang w:val="en-US"/>
              </w:rPr>
              <w:t xml:space="preserve"> per cent</w:t>
            </w:r>
            <w:r w:rsidRPr="0005328B">
              <w:rPr>
                <w:lang w:val="en-US"/>
              </w:rPr>
              <w:t xml:space="preserve"> and elimination in </w:t>
            </w:r>
            <w:proofErr w:type="spellStart"/>
            <w:smartTag w:uri="urn:schemas-microsoft-com:office:smarttags" w:element="place">
              <w:smartTag w:uri="urn:schemas-microsoft-com:office:smarttags" w:element="PlaceName">
                <w:r w:rsidRPr="0005328B">
                  <w:rPr>
                    <w:lang w:val="en-US"/>
                  </w:rPr>
                  <w:t>Tafea</w:t>
                </w:r>
              </w:smartTag>
              <w:proofErr w:type="spellEnd"/>
              <w:r w:rsidRPr="0005328B">
                <w:rPr>
                  <w:lang w:val="en-US"/>
                </w:rPr>
                <w:t xml:space="preserve"> </w:t>
              </w:r>
              <w:smartTag w:uri="urn:schemas-microsoft-com:office:smarttags" w:element="PlaceType">
                <w:r w:rsidRPr="0005328B">
                  <w:rPr>
                    <w:lang w:val="en-US"/>
                  </w:rPr>
                  <w:t>Province</w:t>
                </w:r>
              </w:smartTag>
            </w:smartTag>
          </w:p>
          <w:p w:rsidR="009D727E" w:rsidRPr="0005328B" w:rsidRDefault="009D727E" w:rsidP="009D727E">
            <w:pPr>
              <w:pStyle w:val="BoxListBullet"/>
              <w:keepNext/>
            </w:pPr>
            <w:r>
              <w:rPr>
                <w:lang w:val="en-US"/>
              </w:rPr>
              <w:t>i</w:t>
            </w:r>
            <w:r w:rsidRPr="0005328B">
              <w:rPr>
                <w:lang w:val="en-US"/>
              </w:rPr>
              <w:t xml:space="preserve">ncreased proportion of health sector expenditures that reach provincial and </w:t>
            </w:r>
            <w:r>
              <w:rPr>
                <w:lang w:val="en-US"/>
              </w:rPr>
              <w:br/>
            </w:r>
            <w:r w:rsidRPr="0005328B">
              <w:rPr>
                <w:lang w:val="en-US"/>
              </w:rPr>
              <w:t>rural</w:t>
            </w:r>
            <w:r>
              <w:rPr>
                <w:lang w:val="en-US"/>
              </w:rPr>
              <w:t> </w:t>
            </w:r>
            <w:r w:rsidRPr="0005328B">
              <w:rPr>
                <w:lang w:val="en-US"/>
              </w:rPr>
              <w:t>facilities</w:t>
            </w:r>
            <w:r>
              <w:rPr>
                <w:lang w:val="en-US"/>
              </w:rPr>
              <w:t>.</w:t>
            </w:r>
          </w:p>
        </w:tc>
      </w:tr>
    </w:tbl>
    <w:p w:rsidR="009D727E" w:rsidRDefault="009D727E" w:rsidP="006D5140">
      <w:pPr>
        <w:pStyle w:val="Heading3"/>
      </w:pPr>
      <w:bookmarkStart w:id="5" w:name="_Toc360978100"/>
      <w:r>
        <w:t>Rating</w:t>
      </w:r>
      <w:bookmarkEnd w:id="5"/>
    </w:p>
    <w:p w:rsidR="009D727E" w:rsidRDefault="009D23F3" w:rsidP="009D727E">
      <w:pPr>
        <w:pStyle w:val="BodyText"/>
      </w:pPr>
      <w:r>
        <w:rPr>
          <w:noProof/>
          <w:color w:val="FF9900"/>
          <w:sz w:val="28"/>
          <w:szCs w:val="28"/>
          <w:lang w:val="en-US" w:eastAsia="en-US"/>
        </w:rPr>
        <w:drawing>
          <wp:inline distT="0" distB="0" distL="0" distR="0" wp14:anchorId="541505AE" wp14:editId="4587C7B7">
            <wp:extent cx="153670" cy="153670"/>
            <wp:effectExtent l="0" t="0" r="0" b="0"/>
            <wp:docPr id="2" name="Picture 2" descr="Amb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er 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9D727E">
        <w:rPr>
          <w:rFonts w:ascii="Arial Unicode MS" w:eastAsia="Arial Unicode MS" w:hAnsi="Arial Unicode MS" w:cs="Arial Unicode MS" w:hint="eastAsia"/>
        </w:rPr>
        <w:t> </w:t>
      </w:r>
      <w:r w:rsidR="009D727E" w:rsidRPr="008041F5">
        <w:t>The objective will be partly achieved within the timeframe of the strategy.</w:t>
      </w:r>
    </w:p>
    <w:p w:rsidR="009D727E" w:rsidRDefault="009D727E" w:rsidP="006D5140">
      <w:pPr>
        <w:pStyle w:val="Heading3"/>
      </w:pPr>
      <w:bookmarkStart w:id="6" w:name="_Toc360978101"/>
      <w:r>
        <w:t>Assessment of results and performance</w:t>
      </w:r>
      <w:bookmarkEnd w:id="6"/>
    </w:p>
    <w:p w:rsidR="009D727E" w:rsidRDefault="009D727E" w:rsidP="009D727E">
      <w:pPr>
        <w:pStyle w:val="BodyText"/>
      </w:pPr>
      <w:r>
        <w:t xml:space="preserve">As was the case </w:t>
      </w:r>
      <w:r w:rsidR="0059594F">
        <w:t>in 2009</w:t>
      </w:r>
      <w:r>
        <w:t xml:space="preserve">, it </w:t>
      </w:r>
      <w:r w:rsidRPr="0005328B">
        <w:t>is difficult to adequately assess progress against the target</w:t>
      </w:r>
      <w:r>
        <w:t xml:space="preserve"> results listed above because</w:t>
      </w:r>
      <w:r w:rsidRPr="0005328B">
        <w:t xml:space="preserve"> the</w:t>
      </w:r>
      <w:r>
        <w:t>re is not enough reliable data c</w:t>
      </w:r>
      <w:r w:rsidRPr="0005328B">
        <w:t xml:space="preserve">oming out of the </w:t>
      </w:r>
      <w:r>
        <w:t>h</w:t>
      </w:r>
      <w:r w:rsidRPr="0005328B">
        <w:t xml:space="preserve">ealth </w:t>
      </w:r>
      <w:r>
        <w:t>i</w:t>
      </w:r>
      <w:r w:rsidRPr="0005328B">
        <w:t xml:space="preserve">nformation </w:t>
      </w:r>
      <w:r>
        <w:t>s</w:t>
      </w:r>
      <w:r w:rsidRPr="0005328B">
        <w:t xml:space="preserve">ystem. </w:t>
      </w:r>
      <w:r>
        <w:t>Available data suggests</w:t>
      </w:r>
      <w:r w:rsidR="0059594F">
        <w:t>, however,</w:t>
      </w:r>
      <w:r>
        <w:t xml:space="preserve"> that </w:t>
      </w:r>
      <w:r w:rsidRPr="00DC3B17">
        <w:rPr>
          <w:b/>
        </w:rPr>
        <w:t xml:space="preserve">under-five mortality </w:t>
      </w:r>
      <w:r w:rsidRPr="00690177">
        <w:t>is decreasing</w:t>
      </w:r>
      <w:r w:rsidRPr="00E23FED">
        <w:t xml:space="preserve"> in line with the MDG and partnership target</w:t>
      </w:r>
      <w:r w:rsidR="00C110CC">
        <w:t xml:space="preserve">. </w:t>
      </w:r>
      <w:r>
        <w:t xml:space="preserve">Infant and under-five mortality rates are higher in rural </w:t>
      </w:r>
      <w:r>
        <w:lastRenderedPageBreak/>
        <w:t xml:space="preserve">areas, as well as among less wealthy households. </w:t>
      </w:r>
      <w:r w:rsidRPr="00DC3B17">
        <w:rPr>
          <w:b/>
        </w:rPr>
        <w:t>Maternal health</w:t>
      </w:r>
      <w:r>
        <w:t xml:space="preserve"> services vary greatly by province: </w:t>
      </w:r>
      <w:r w:rsidR="00581A3A">
        <w:t xml:space="preserve">for example, </w:t>
      </w:r>
      <w:r>
        <w:t xml:space="preserve">skilled birth attendance varies from 94 per cent in Port Vila to only 32 per cent in remote </w:t>
      </w:r>
      <w:proofErr w:type="spellStart"/>
      <w:r>
        <w:t>Torba</w:t>
      </w:r>
      <w:proofErr w:type="spellEnd"/>
      <w:r>
        <w:t xml:space="preserve"> province. </w:t>
      </w:r>
    </w:p>
    <w:p w:rsidR="009D727E" w:rsidRDefault="009D727E" w:rsidP="009D727E">
      <w:pPr>
        <w:pStyle w:val="BodyText"/>
      </w:pPr>
      <w:r w:rsidRPr="003326F7">
        <w:rPr>
          <w:b/>
        </w:rPr>
        <w:t xml:space="preserve">Measles </w:t>
      </w:r>
      <w:r>
        <w:rPr>
          <w:b/>
        </w:rPr>
        <w:t xml:space="preserve">immunisation </w:t>
      </w:r>
      <w:r w:rsidRPr="00690177">
        <w:t>coverage</w:t>
      </w:r>
      <w:r>
        <w:t xml:space="preserve"> reportedly increased by 82 per cent in 2010 primarily due to a supplementary campaign carried out in 2009, but remains a serious concern</w:t>
      </w:r>
      <w:r w:rsidR="00C110CC">
        <w:t xml:space="preserve">. </w:t>
      </w:r>
      <w:r>
        <w:t xml:space="preserve">The long-running </w:t>
      </w:r>
      <w:r w:rsidRPr="003326F7">
        <w:rPr>
          <w:b/>
        </w:rPr>
        <w:t>Village Health Workers</w:t>
      </w:r>
      <w:r w:rsidRPr="00E23FED">
        <w:t xml:space="preserve"> program</w:t>
      </w:r>
      <w:r>
        <w:t xml:space="preserve">, supported by </w:t>
      </w:r>
      <w:smartTag w:uri="urn:schemas-microsoft-com:office:smarttags" w:element="country-region">
        <w:r>
          <w:t>Australia</w:t>
        </w:r>
      </w:smartTag>
      <w:r>
        <w:t xml:space="preserve">, enabled 200 village health workers to operate throughout </w:t>
      </w:r>
      <w:smartTag w:uri="urn:schemas-microsoft-com:office:smarttags" w:element="country-region">
        <w:smartTag w:uri="urn:schemas-microsoft-com:office:smarttags" w:element="place">
          <w:r>
            <w:t>Vanuatu</w:t>
          </w:r>
        </w:smartTag>
      </w:smartTag>
      <w:r>
        <w:t>’s six provinces.</w:t>
      </w:r>
      <w:r w:rsidRPr="00E23FED">
        <w:t xml:space="preserve"> </w:t>
      </w:r>
      <w:r>
        <w:t>F</w:t>
      </w:r>
      <w:r w:rsidRPr="00E23FED">
        <w:t xml:space="preserve">unding of four trainers at the Vanuatu College of Nursing Education helped 30 </w:t>
      </w:r>
      <w:r w:rsidRPr="003326F7">
        <w:rPr>
          <w:b/>
        </w:rPr>
        <w:t>nurses</w:t>
      </w:r>
      <w:r w:rsidRPr="00E23FED">
        <w:t xml:space="preserve"> to complete their studies in 2010</w:t>
      </w:r>
      <w:r w:rsidR="00B95094">
        <w:t>—</w:t>
      </w:r>
      <w:r w:rsidRPr="00E23FED">
        <w:t>the first cohort to graduate since 2004.</w:t>
      </w:r>
      <w:r>
        <w:t xml:space="preserve"> </w:t>
      </w:r>
    </w:p>
    <w:p w:rsidR="009D727E" w:rsidRDefault="009D727E" w:rsidP="009D727E">
      <w:pPr>
        <w:pStyle w:val="BodyText"/>
      </w:pPr>
      <w:r>
        <w:t xml:space="preserve">Continuing support to tackle </w:t>
      </w:r>
      <w:r w:rsidRPr="00B51B46">
        <w:rPr>
          <w:b/>
        </w:rPr>
        <w:t>malaria</w:t>
      </w:r>
      <w:r>
        <w:t xml:space="preserve"> under the partnership has directly contributed to 100</w:t>
      </w:r>
      <w:r w:rsidR="0059594F">
        <w:t> </w:t>
      </w:r>
      <w:r>
        <w:t xml:space="preserve">per cent national coverage with bed nets, and indoor residual insecticide spraying has been completed in 94 per cent of target households in </w:t>
      </w:r>
      <w:proofErr w:type="spellStart"/>
      <w:smartTag w:uri="urn:schemas-microsoft-com:office:smarttags" w:element="place">
        <w:smartTag w:uri="urn:schemas-microsoft-com:office:smarttags" w:element="PlaceName">
          <w:r>
            <w:t>Tafea</w:t>
          </w:r>
        </w:smartTag>
        <w:proofErr w:type="spellEnd"/>
        <w:r>
          <w:t xml:space="preserve"> </w:t>
        </w:r>
        <w:smartTag w:uri="urn:schemas-microsoft-com:office:smarttags" w:element="PlaceType">
          <w:r>
            <w:t>Province</w:t>
          </w:r>
        </w:smartTag>
      </w:smartTag>
      <w:r>
        <w:t xml:space="preserve"> (which is targeted for malaria elimination)</w:t>
      </w:r>
      <w:r w:rsidR="00C110CC">
        <w:t xml:space="preserve">. </w:t>
      </w:r>
    </w:p>
    <w:p w:rsidR="009D727E" w:rsidRDefault="009D727E" w:rsidP="009D727E">
      <w:pPr>
        <w:pStyle w:val="BodyText"/>
      </w:pPr>
      <w:r>
        <w:t xml:space="preserve">Quality of services at the </w:t>
      </w:r>
      <w:r w:rsidRPr="00E23FED">
        <w:rPr>
          <w:b/>
        </w:rPr>
        <w:t>Vila</w:t>
      </w:r>
      <w:r>
        <w:t xml:space="preserve"> </w:t>
      </w:r>
      <w:r w:rsidRPr="00B51B46">
        <w:rPr>
          <w:b/>
        </w:rPr>
        <w:t xml:space="preserve">Central </w:t>
      </w:r>
      <w:r w:rsidRPr="00AC3247">
        <w:rPr>
          <w:b/>
        </w:rPr>
        <w:t>Hospital</w:t>
      </w:r>
      <w:r w:rsidRPr="00AC3247">
        <w:t xml:space="preserve"> (VCH) was maintained</w:t>
      </w:r>
      <w:r>
        <w:t xml:space="preserve"> with </w:t>
      </w:r>
      <w:smartTag w:uri="urn:schemas-microsoft-com:office:smarttags" w:element="country-region">
        <w:smartTag w:uri="urn:schemas-microsoft-com:office:smarttags" w:element="place">
          <w:r>
            <w:t>Australia</w:t>
          </w:r>
        </w:smartTag>
      </w:smartTag>
      <w:r>
        <w:t xml:space="preserve"> funding five senior medical specialists</w:t>
      </w:r>
      <w:r w:rsidR="00C110CC">
        <w:t xml:space="preserve">. </w:t>
      </w:r>
      <w:r>
        <w:t>There were no maternal deaths at VCH in 2010 (no data is available for the rest of the country) and it maintained its status as a teaching hospital with two masters-level graduating doctors, both of whom remain employed at VCH.</w:t>
      </w:r>
    </w:p>
    <w:p w:rsidR="009D727E" w:rsidRDefault="00581A3A" w:rsidP="009D727E">
      <w:pPr>
        <w:pStyle w:val="BodyText"/>
      </w:pPr>
      <w:r>
        <w:t xml:space="preserve">Preparations were completed for the signing of the first </w:t>
      </w:r>
      <w:r w:rsidRPr="00B51B46">
        <w:rPr>
          <w:b/>
        </w:rPr>
        <w:t>Joint Partnership Agreement</w:t>
      </w:r>
      <w:r>
        <w:t xml:space="preserve"> between the Government of Vanuatu and donors to formalise a new coordinated approach in the sector (was subsequently signed in early 2011). </w:t>
      </w:r>
      <w:r w:rsidR="009D727E">
        <w:t xml:space="preserve">The new </w:t>
      </w:r>
      <w:r w:rsidR="009D727E" w:rsidRPr="00D506D9">
        <w:rPr>
          <w:b/>
        </w:rPr>
        <w:t>Health Partners Group</w:t>
      </w:r>
      <w:r w:rsidR="009D727E">
        <w:t xml:space="preserve"> is proving a useful forum for information sharing. Australian funded advisory support assisted the Ministry of Health to develop a business plan aligned with a budget that includes government and donor funds for the first time. </w:t>
      </w:r>
    </w:p>
    <w:p w:rsidR="009D727E" w:rsidRPr="003E4C57" w:rsidRDefault="009D727E" w:rsidP="009D727E">
      <w:pPr>
        <w:pStyle w:val="Caption"/>
        <w:rPr>
          <w:highlight w:val="magenta"/>
        </w:rPr>
      </w:pPr>
      <w:r w:rsidRPr="00E271CD">
        <w:t xml:space="preserve">Table </w:t>
      </w:r>
      <w:r w:rsidR="00825B55">
        <w:fldChar w:fldCharType="begin"/>
      </w:r>
      <w:r w:rsidR="00825B55">
        <w:instrText xml:space="preserve"> SEQ Table \* MERGEFORMAT </w:instrText>
      </w:r>
      <w:r w:rsidR="00825B55">
        <w:fldChar w:fldCharType="separate"/>
      </w:r>
      <w:r>
        <w:rPr>
          <w:noProof/>
        </w:rPr>
        <w:t>3</w:t>
      </w:r>
      <w:r w:rsidR="00825B55">
        <w:rPr>
          <w:noProof/>
        </w:rPr>
        <w:fldChar w:fldCharType="end"/>
      </w:r>
      <w:r w:rsidRPr="00E271CD">
        <w:t xml:space="preserve">: </w:t>
      </w:r>
      <w:r>
        <w:t>Estimated health e</w:t>
      </w:r>
      <w:r w:rsidRPr="00E271CD">
        <w:t>xpenditure</w:t>
      </w:r>
      <w:r>
        <w:t xml:space="preserve"> in 2010</w:t>
      </w:r>
    </w:p>
    <w:tbl>
      <w:tblPr>
        <w:tblW w:w="0" w:type="auto"/>
        <w:tblInd w:w="57" w:type="dxa"/>
        <w:tblLayout w:type="fixed"/>
        <w:tblLook w:val="0000" w:firstRow="0" w:lastRow="0" w:firstColumn="0" w:lastColumn="0" w:noHBand="0" w:noVBand="0"/>
      </w:tblPr>
      <w:tblGrid>
        <w:gridCol w:w="5683"/>
        <w:gridCol w:w="1127"/>
        <w:gridCol w:w="1128"/>
      </w:tblGrid>
      <w:tr w:rsidR="009D727E" w:rsidRPr="003E4C57" w:rsidTr="00336D68">
        <w:trPr>
          <w:cantSplit/>
          <w:tblHeader/>
        </w:trPr>
        <w:tc>
          <w:tcPr>
            <w:tcW w:w="5683" w:type="dxa"/>
            <w:tcBorders>
              <w:top w:val="single" w:sz="12" w:space="0" w:color="auto"/>
              <w:bottom w:val="single" w:sz="2" w:space="0" w:color="auto"/>
            </w:tcBorders>
            <w:tcMar>
              <w:left w:w="57" w:type="dxa"/>
              <w:right w:w="57" w:type="dxa"/>
            </w:tcMar>
          </w:tcPr>
          <w:p w:rsidR="009D727E" w:rsidRDefault="009D727E" w:rsidP="009D727E">
            <w:pPr>
              <w:pStyle w:val="TableDataColumnHeading"/>
              <w:jc w:val="left"/>
            </w:pPr>
            <w:r>
              <w:t>Objective</w:t>
            </w:r>
          </w:p>
        </w:tc>
        <w:tc>
          <w:tcPr>
            <w:tcW w:w="1127" w:type="dxa"/>
            <w:tcBorders>
              <w:top w:val="single" w:sz="12" w:space="0" w:color="auto"/>
              <w:bottom w:val="single" w:sz="2" w:space="0" w:color="auto"/>
            </w:tcBorders>
            <w:tcMar>
              <w:left w:w="57" w:type="dxa"/>
              <w:right w:w="57" w:type="dxa"/>
            </w:tcMar>
          </w:tcPr>
          <w:p w:rsidR="009D727E" w:rsidRDefault="009D727E" w:rsidP="009D727E">
            <w:pPr>
              <w:pStyle w:val="TableDataColumnHeading"/>
            </w:pPr>
            <w:r>
              <w:t>$ million</w:t>
            </w:r>
          </w:p>
        </w:tc>
        <w:tc>
          <w:tcPr>
            <w:tcW w:w="1128" w:type="dxa"/>
            <w:tcBorders>
              <w:top w:val="single" w:sz="12" w:space="0" w:color="auto"/>
              <w:bottom w:val="single" w:sz="2" w:space="0" w:color="auto"/>
            </w:tcBorders>
            <w:tcMar>
              <w:left w:w="57" w:type="dxa"/>
              <w:right w:w="57" w:type="dxa"/>
            </w:tcMar>
          </w:tcPr>
          <w:p w:rsidR="009D727E" w:rsidRDefault="009D727E" w:rsidP="0059594F">
            <w:pPr>
              <w:pStyle w:val="TableDataColumnHeading"/>
            </w:pPr>
            <w:r>
              <w:t xml:space="preserve"> </w:t>
            </w:r>
            <w:r w:rsidR="0059594F">
              <w:t>%</w:t>
            </w:r>
            <w:r>
              <w:t xml:space="preserve"> of bilateral program</w:t>
            </w:r>
          </w:p>
        </w:tc>
      </w:tr>
      <w:tr w:rsidR="009D727E" w:rsidRPr="002452D0" w:rsidTr="009D727E">
        <w:tc>
          <w:tcPr>
            <w:tcW w:w="5683" w:type="dxa"/>
            <w:tcBorders>
              <w:bottom w:val="single" w:sz="12" w:space="0" w:color="auto"/>
            </w:tcBorders>
            <w:tcMar>
              <w:left w:w="57" w:type="dxa"/>
              <w:right w:w="57" w:type="dxa"/>
            </w:tcMar>
          </w:tcPr>
          <w:p w:rsidR="009D727E" w:rsidRPr="002452D0" w:rsidRDefault="009D727E" w:rsidP="00B550C5">
            <w:pPr>
              <w:pStyle w:val="TableDataEntries"/>
              <w:jc w:val="left"/>
            </w:pPr>
            <w:r w:rsidRPr="00D3511D">
              <w:t xml:space="preserve">Improved </w:t>
            </w:r>
            <w:r w:rsidR="00B550C5">
              <w:t>h</w:t>
            </w:r>
            <w:r w:rsidRPr="00D3511D">
              <w:t>ealth: strengthen health services and accelerate progress towards health MDGs</w:t>
            </w:r>
          </w:p>
        </w:tc>
        <w:tc>
          <w:tcPr>
            <w:tcW w:w="1127" w:type="dxa"/>
            <w:tcBorders>
              <w:bottom w:val="single" w:sz="12" w:space="0" w:color="auto"/>
            </w:tcBorders>
            <w:tcMar>
              <w:left w:w="57" w:type="dxa"/>
              <w:right w:w="57" w:type="dxa"/>
            </w:tcMar>
          </w:tcPr>
          <w:p w:rsidR="009D727E" w:rsidRPr="008A6A37" w:rsidRDefault="009D727E" w:rsidP="009D727E">
            <w:pPr>
              <w:pStyle w:val="TableDataEntries"/>
            </w:pPr>
            <w:r w:rsidRPr="008A6A37">
              <w:t>4.1</w:t>
            </w:r>
          </w:p>
        </w:tc>
        <w:tc>
          <w:tcPr>
            <w:tcW w:w="1128" w:type="dxa"/>
            <w:tcBorders>
              <w:bottom w:val="single" w:sz="12" w:space="0" w:color="auto"/>
            </w:tcBorders>
            <w:tcMar>
              <w:left w:w="57" w:type="dxa"/>
              <w:right w:w="57" w:type="dxa"/>
            </w:tcMar>
          </w:tcPr>
          <w:p w:rsidR="009D727E" w:rsidRPr="008A6A37" w:rsidRDefault="009D727E" w:rsidP="009D727E">
            <w:pPr>
              <w:pStyle w:val="TableDataEntries"/>
            </w:pPr>
            <w:r w:rsidRPr="008A6A37">
              <w:t>8</w:t>
            </w:r>
            <w:r>
              <w:t xml:space="preserve"> </w:t>
            </w:r>
          </w:p>
        </w:tc>
      </w:tr>
    </w:tbl>
    <w:p w:rsidR="009D727E" w:rsidRPr="00336D68" w:rsidRDefault="009D727E" w:rsidP="006D5140">
      <w:pPr>
        <w:pStyle w:val="Heading2"/>
      </w:pPr>
      <w:r w:rsidRPr="00336D68">
        <w:t>Objective 3: Improved</w:t>
      </w:r>
      <w:r w:rsidR="0059594F" w:rsidRPr="00336D68">
        <w:t xml:space="preserve"> i</w:t>
      </w:r>
      <w:r w:rsidRPr="00336D68">
        <w:t>nfrastructure</w:t>
      </w:r>
    </w:p>
    <w:p w:rsidR="009D727E" w:rsidRPr="00302B17" w:rsidRDefault="009D727E" w:rsidP="009D727E">
      <w:pPr>
        <w:rPr>
          <w:rFonts w:ascii="Franklin Gothic Book" w:hAnsi="Franklin Gothic Book"/>
          <w:sz w:val="18"/>
          <w:szCs w:val="18"/>
        </w:rPr>
      </w:pPr>
    </w:p>
    <w:tbl>
      <w:tblPr>
        <w:tblW w:w="7938" w:type="dxa"/>
        <w:tblInd w:w="57" w:type="dxa"/>
        <w:tblBorders>
          <w:top w:val="single" w:sz="12" w:space="0" w:color="auto"/>
          <w:bottom w:val="single" w:sz="12" w:space="0" w:color="auto"/>
        </w:tblBorders>
        <w:tblLook w:val="01E0" w:firstRow="1" w:lastRow="1" w:firstColumn="1" w:lastColumn="1" w:noHBand="0" w:noVBand="0"/>
      </w:tblPr>
      <w:tblGrid>
        <w:gridCol w:w="7938"/>
      </w:tblGrid>
      <w:tr w:rsidR="009D727E" w:rsidRPr="00CC784D" w:rsidTr="009D727E">
        <w:tc>
          <w:tcPr>
            <w:tcW w:w="7938" w:type="dxa"/>
            <w:tcBorders>
              <w:top w:val="single" w:sz="12" w:space="0" w:color="auto"/>
              <w:bottom w:val="single" w:sz="12" w:space="0" w:color="auto"/>
            </w:tcBorders>
            <w:shd w:val="clear" w:color="auto" w:fill="F5F1CC"/>
          </w:tcPr>
          <w:p w:rsidR="00336D68" w:rsidRDefault="00336D68" w:rsidP="00336D68">
            <w:pPr>
              <w:pStyle w:val="BoxHeading1"/>
            </w:pPr>
            <w:r w:rsidRPr="00CC784D">
              <w:t xml:space="preserve">Joint </w:t>
            </w:r>
            <w:r>
              <w:t>c</w:t>
            </w:r>
            <w:r w:rsidRPr="00CC784D">
              <w:t>ommitments</w:t>
            </w:r>
          </w:p>
          <w:p w:rsidR="00336D68" w:rsidRPr="00CC784D" w:rsidRDefault="00336D68" w:rsidP="00336D68">
            <w:pPr>
              <w:pStyle w:val="BoxText"/>
            </w:pPr>
            <w:r w:rsidRPr="00CC784D">
              <w:t xml:space="preserve">The </w:t>
            </w:r>
            <w:r>
              <w:t>p</w:t>
            </w:r>
            <w:r w:rsidRPr="00CC784D">
              <w:t xml:space="preserve">artnership will develop essential infrastructure to support economic growth and service delivery, through: </w:t>
            </w:r>
          </w:p>
          <w:p w:rsidR="00336D68" w:rsidRPr="009E6EBE" w:rsidRDefault="00336D68" w:rsidP="00336D68">
            <w:pPr>
              <w:pStyle w:val="BoxListBullet"/>
              <w:rPr>
                <w:lang w:val="en-US"/>
              </w:rPr>
            </w:pPr>
            <w:r>
              <w:rPr>
                <w:lang w:val="en-US"/>
              </w:rPr>
              <w:t>r</w:t>
            </w:r>
            <w:r w:rsidRPr="009E6EBE">
              <w:rPr>
                <w:lang w:val="en-US"/>
              </w:rPr>
              <w:t>ehabilitation and improved maintenance of high</w:t>
            </w:r>
            <w:r>
              <w:rPr>
                <w:lang w:val="en-US"/>
              </w:rPr>
              <w:t>-</w:t>
            </w:r>
            <w:r w:rsidRPr="009E6EBE">
              <w:rPr>
                <w:lang w:val="en-US"/>
              </w:rPr>
              <w:t>priority rural roads</w:t>
            </w:r>
            <w:r>
              <w:rPr>
                <w:lang w:val="en-US"/>
              </w:rPr>
              <w:t>,</w:t>
            </w:r>
            <w:r w:rsidRPr="009E6EBE">
              <w:rPr>
                <w:lang w:val="en-US"/>
              </w:rPr>
              <w:t xml:space="preserve"> drawing on the private sector and local communities as key providers of road maintenance services</w:t>
            </w:r>
          </w:p>
          <w:p w:rsidR="00336D68" w:rsidRPr="009E6EBE" w:rsidRDefault="00336D68" w:rsidP="00336D68">
            <w:pPr>
              <w:pStyle w:val="BoxListBullet"/>
              <w:rPr>
                <w:lang w:val="en-US"/>
              </w:rPr>
            </w:pPr>
            <w:r>
              <w:rPr>
                <w:lang w:val="en-US"/>
              </w:rPr>
              <w:t>e</w:t>
            </w:r>
            <w:r w:rsidRPr="009E6EBE">
              <w:rPr>
                <w:lang w:val="en-US"/>
              </w:rPr>
              <w:t>xpanded access, and reduced costs of</w:t>
            </w:r>
            <w:r>
              <w:rPr>
                <w:lang w:val="en-US"/>
              </w:rPr>
              <w:t>,</w:t>
            </w:r>
            <w:r w:rsidRPr="009E6EBE">
              <w:rPr>
                <w:lang w:val="en-US"/>
              </w:rPr>
              <w:t xml:space="preserve"> telecommunications and power services through greater competition and strengthened regulation</w:t>
            </w:r>
          </w:p>
          <w:p w:rsidR="009D727E" w:rsidRPr="009E6EBE" w:rsidRDefault="00336D68" w:rsidP="00336D68">
            <w:pPr>
              <w:pStyle w:val="BoxListBullet"/>
              <w:rPr>
                <w:lang w:val="en-US"/>
              </w:rPr>
            </w:pPr>
            <w:r>
              <w:rPr>
                <w:lang w:val="en-US"/>
              </w:rPr>
              <w:t>p</w:t>
            </w:r>
            <w:r w:rsidRPr="009E6EBE">
              <w:rPr>
                <w:lang w:val="en-US"/>
              </w:rPr>
              <w:t xml:space="preserve">rogress on reforms to improve maritime and aviation transport, including operational </w:t>
            </w:r>
            <w:r w:rsidR="009D727E" w:rsidRPr="009E6EBE">
              <w:rPr>
                <w:lang w:val="en-US"/>
              </w:rPr>
              <w:t xml:space="preserve">improvements to key wharf facilities and Air </w:t>
            </w:r>
            <w:smartTag w:uri="urn:schemas-microsoft-com:office:smarttags" w:element="country-region">
              <w:smartTag w:uri="urn:schemas-microsoft-com:office:smarttags" w:element="place">
                <w:r w:rsidR="009D727E" w:rsidRPr="009E6EBE">
                  <w:rPr>
                    <w:lang w:val="en-US"/>
                  </w:rPr>
                  <w:t>Vanuatu</w:t>
                </w:r>
              </w:smartTag>
            </w:smartTag>
            <w:r w:rsidR="009D727E" w:rsidRPr="009E6EBE">
              <w:rPr>
                <w:lang w:val="en-US"/>
              </w:rPr>
              <w:t>.</w:t>
            </w:r>
          </w:p>
          <w:p w:rsidR="009D727E" w:rsidRPr="00CC784D" w:rsidRDefault="009D727E" w:rsidP="009D727E">
            <w:pPr>
              <w:pStyle w:val="BoxHeading1"/>
            </w:pPr>
            <w:r w:rsidRPr="00CC784D">
              <w:t xml:space="preserve">Target </w:t>
            </w:r>
            <w:r>
              <w:t>r</w:t>
            </w:r>
            <w:r w:rsidRPr="00CC784D">
              <w:t>esults</w:t>
            </w:r>
          </w:p>
          <w:p w:rsidR="009D727E" w:rsidRPr="009E6EBE" w:rsidRDefault="009D727E" w:rsidP="009D727E">
            <w:pPr>
              <w:pStyle w:val="BoxListBullet"/>
              <w:spacing w:before="60"/>
              <w:rPr>
                <w:lang w:val="en-US"/>
              </w:rPr>
            </w:pPr>
            <w:r>
              <w:rPr>
                <w:lang w:val="en-US"/>
              </w:rPr>
              <w:t>n</w:t>
            </w:r>
            <w:r w:rsidRPr="009E6EBE">
              <w:rPr>
                <w:lang w:val="en-US"/>
              </w:rPr>
              <w:t xml:space="preserve">ational roads better maintained and in good condition, including rehabilitation of national roads in </w:t>
            </w:r>
            <w:proofErr w:type="spellStart"/>
            <w:r w:rsidRPr="009E6EBE">
              <w:rPr>
                <w:lang w:val="en-US"/>
              </w:rPr>
              <w:t>Tanna</w:t>
            </w:r>
            <w:proofErr w:type="spellEnd"/>
            <w:r w:rsidRPr="009E6EBE">
              <w:rPr>
                <w:lang w:val="en-US"/>
              </w:rPr>
              <w:t xml:space="preserve">, </w:t>
            </w:r>
            <w:proofErr w:type="spellStart"/>
            <w:r w:rsidRPr="009E6EBE">
              <w:rPr>
                <w:lang w:val="en-US"/>
              </w:rPr>
              <w:t>Malekula</w:t>
            </w:r>
            <w:proofErr w:type="spellEnd"/>
            <w:r w:rsidRPr="009E6EBE">
              <w:rPr>
                <w:lang w:val="en-US"/>
              </w:rPr>
              <w:t xml:space="preserve"> and </w:t>
            </w:r>
            <w:proofErr w:type="spellStart"/>
            <w:r w:rsidRPr="009E6EBE">
              <w:rPr>
                <w:lang w:val="en-US"/>
              </w:rPr>
              <w:t>Ambae</w:t>
            </w:r>
            <w:proofErr w:type="spellEnd"/>
            <w:r w:rsidRPr="009E6EBE">
              <w:rPr>
                <w:lang w:val="en-US"/>
              </w:rPr>
              <w:t xml:space="preserve"> by 2012</w:t>
            </w:r>
          </w:p>
          <w:p w:rsidR="009D727E" w:rsidRPr="009E6EBE" w:rsidRDefault="009D727E" w:rsidP="009D727E">
            <w:pPr>
              <w:pStyle w:val="BoxListBullet"/>
              <w:rPr>
                <w:lang w:val="en-US"/>
              </w:rPr>
            </w:pPr>
            <w:r>
              <w:rPr>
                <w:lang w:val="en-US"/>
              </w:rPr>
              <w:lastRenderedPageBreak/>
              <w:t>e</w:t>
            </w:r>
            <w:r w:rsidRPr="009E6EBE">
              <w:rPr>
                <w:lang w:val="en-US"/>
              </w:rPr>
              <w:t xml:space="preserve">xpanded local employment and private sector development through road maintenance activities  </w:t>
            </w:r>
          </w:p>
          <w:p w:rsidR="009D727E" w:rsidRPr="009E6EBE" w:rsidRDefault="009D727E" w:rsidP="009D727E">
            <w:pPr>
              <w:pStyle w:val="BoxListBullet"/>
              <w:rPr>
                <w:lang w:val="en-US"/>
              </w:rPr>
            </w:pPr>
            <w:r>
              <w:rPr>
                <w:lang w:val="en-US"/>
              </w:rPr>
              <w:t>f</w:t>
            </w:r>
            <w:r w:rsidRPr="009E6EBE">
              <w:rPr>
                <w:lang w:val="en-US"/>
              </w:rPr>
              <w:t>urther improvements in telecommunications and power services:</w:t>
            </w:r>
          </w:p>
          <w:p w:rsidR="009D727E" w:rsidRPr="00CC784D" w:rsidRDefault="009D727E" w:rsidP="009D727E">
            <w:pPr>
              <w:pStyle w:val="BoxListBullet2"/>
            </w:pPr>
            <w:r w:rsidRPr="00CC784D">
              <w:t>90</w:t>
            </w:r>
            <w:r w:rsidR="00C110CC">
              <w:t xml:space="preserve"> per cent</w:t>
            </w:r>
            <w:r>
              <w:t xml:space="preserve"> </w:t>
            </w:r>
            <w:r w:rsidRPr="00CC784D">
              <w:t>mobile phone population coverage by 2015</w:t>
            </w:r>
          </w:p>
          <w:p w:rsidR="009D727E" w:rsidRPr="00CC784D" w:rsidRDefault="009D727E" w:rsidP="009D727E">
            <w:pPr>
              <w:pStyle w:val="BoxListBullet2"/>
            </w:pPr>
            <w:r w:rsidRPr="00CC784D">
              <w:t xml:space="preserve">expanded coverage and reduced cost of </w:t>
            </w:r>
            <w:r>
              <w:t>I</w:t>
            </w:r>
            <w:r w:rsidRPr="00CC784D">
              <w:t>nternet services</w:t>
            </w:r>
          </w:p>
          <w:p w:rsidR="009D727E" w:rsidRPr="00CC784D" w:rsidRDefault="009D727E" w:rsidP="009D727E">
            <w:pPr>
              <w:pStyle w:val="BoxListBullet2"/>
            </w:pPr>
            <w:r w:rsidRPr="00CC784D">
              <w:t>improved score on World Bank Institute Regulatory Quality indicator</w:t>
            </w:r>
          </w:p>
          <w:p w:rsidR="009D727E" w:rsidRPr="00CC784D" w:rsidRDefault="009D727E" w:rsidP="00C110CC">
            <w:pPr>
              <w:pStyle w:val="BoxListBullet2"/>
            </w:pPr>
            <w:r w:rsidRPr="00CC784D">
              <w:t>25</w:t>
            </w:r>
            <w:r w:rsidR="00C110CC">
              <w:t xml:space="preserve"> per cent</w:t>
            </w:r>
            <w:r w:rsidRPr="00CC784D">
              <w:t xml:space="preserve"> expansion in access to electricity in rural areas by 2015.</w:t>
            </w:r>
          </w:p>
        </w:tc>
      </w:tr>
    </w:tbl>
    <w:p w:rsidR="009D727E" w:rsidRDefault="009D727E" w:rsidP="006D5140">
      <w:pPr>
        <w:pStyle w:val="Heading3"/>
      </w:pPr>
      <w:bookmarkStart w:id="7" w:name="_Toc360978102"/>
      <w:r>
        <w:lastRenderedPageBreak/>
        <w:t>Rating</w:t>
      </w:r>
      <w:bookmarkEnd w:id="7"/>
    </w:p>
    <w:p w:rsidR="009D727E" w:rsidRDefault="009D23F3" w:rsidP="009D727E">
      <w:pPr>
        <w:pStyle w:val="BodyText"/>
      </w:pPr>
      <w:r>
        <w:rPr>
          <w:rFonts w:ascii="Arial Unicode MS" w:eastAsia="Arial Unicode MS" w:hAnsi="Arial Unicode MS" w:cs="Arial Unicode MS" w:hint="eastAsia"/>
          <w:noProof/>
          <w:lang w:val="en-US" w:eastAsia="en-US"/>
        </w:rPr>
        <w:drawing>
          <wp:inline distT="0" distB="0" distL="0" distR="0" wp14:anchorId="050599B7" wp14:editId="42E6B9FA">
            <wp:extent cx="145415" cy="145415"/>
            <wp:effectExtent l="0" t="0" r="6985" b="6985"/>
            <wp:docPr id="3" name="Picture 3" descr="Amb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er 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009D727E">
        <w:rPr>
          <w:rFonts w:ascii="Arial Unicode MS" w:eastAsia="Arial Unicode MS" w:hAnsi="Arial Unicode MS" w:cs="Arial Unicode MS" w:hint="eastAsia"/>
        </w:rPr>
        <w:t> </w:t>
      </w:r>
      <w:r w:rsidR="009D727E" w:rsidRPr="008041F5">
        <w:t>The objective will be partly achieved within the timeframe of the strategy.</w:t>
      </w:r>
    </w:p>
    <w:p w:rsidR="009D727E" w:rsidRDefault="009D727E" w:rsidP="006D5140">
      <w:pPr>
        <w:pStyle w:val="Heading3"/>
      </w:pPr>
      <w:bookmarkStart w:id="8" w:name="_Toc360978103"/>
      <w:r>
        <w:t>Assessment of results and performance</w:t>
      </w:r>
      <w:bookmarkEnd w:id="8"/>
    </w:p>
    <w:p w:rsidR="009D727E" w:rsidRPr="003E15E2" w:rsidRDefault="009D727E" w:rsidP="009D727E">
      <w:pPr>
        <w:pStyle w:val="BodyText"/>
      </w:pPr>
      <w:r>
        <w:t xml:space="preserve">The </w:t>
      </w:r>
      <w:r w:rsidRPr="003E15E2">
        <w:t xml:space="preserve">re-tender </w:t>
      </w:r>
      <w:r>
        <w:t xml:space="preserve">of </w:t>
      </w:r>
      <w:r w:rsidRPr="003E15E2">
        <w:t xml:space="preserve">the </w:t>
      </w:r>
      <w:proofErr w:type="spellStart"/>
      <w:r w:rsidRPr="003E15E2">
        <w:t>Lu</w:t>
      </w:r>
      <w:r>
        <w:t>ganville</w:t>
      </w:r>
      <w:proofErr w:type="spellEnd"/>
      <w:r>
        <w:t xml:space="preserve"> electricity concession, with Australian support, </w:t>
      </w:r>
      <w:r w:rsidRPr="003E15E2">
        <w:t xml:space="preserve">resulted in a new provider and </w:t>
      </w:r>
      <w:r w:rsidRPr="00690177">
        <w:t>competition in</w:t>
      </w:r>
      <w:r w:rsidRPr="007830D7">
        <w:rPr>
          <w:b/>
        </w:rPr>
        <w:t xml:space="preserve"> power</w:t>
      </w:r>
      <w:r w:rsidRPr="003E15E2">
        <w:t xml:space="preserve"> for the first time in 70 years. The Utilities Regulatory Authority (supported with </w:t>
      </w:r>
      <w:proofErr w:type="spellStart"/>
      <w:r w:rsidRPr="003E15E2">
        <w:t>AusAID</w:t>
      </w:r>
      <w:proofErr w:type="spellEnd"/>
      <w:r w:rsidRPr="003E15E2">
        <w:t xml:space="preserve"> funds and co-managed by </w:t>
      </w:r>
      <w:r w:rsidR="0059594F">
        <w:t xml:space="preserve">the </w:t>
      </w:r>
      <w:r w:rsidRPr="003E15E2">
        <w:t>World Bank) completed its tariff review which</w:t>
      </w:r>
      <w:r>
        <w:t xml:space="preserve"> has the potential to</w:t>
      </w:r>
      <w:r w:rsidRPr="003E15E2">
        <w:t xml:space="preserve"> halve the cost of power for low</w:t>
      </w:r>
      <w:r w:rsidR="0059594F">
        <w:t>-</w:t>
      </w:r>
      <w:r w:rsidRPr="003E15E2">
        <w:t>i</w:t>
      </w:r>
      <w:r>
        <w:t>ncome consumers</w:t>
      </w:r>
      <w:r w:rsidRPr="003E15E2">
        <w:t xml:space="preserve">. </w:t>
      </w:r>
    </w:p>
    <w:p w:rsidR="009D727E" w:rsidRDefault="009D727E" w:rsidP="009D727E">
      <w:pPr>
        <w:pStyle w:val="BodyText"/>
      </w:pPr>
      <w:r>
        <w:t>2010</w:t>
      </w:r>
      <w:r w:rsidRPr="003E15E2">
        <w:t xml:space="preserve"> saw </w:t>
      </w:r>
      <w:r w:rsidRPr="00690177">
        <w:t xml:space="preserve">good progress on </w:t>
      </w:r>
      <w:r w:rsidRPr="007830D7">
        <w:rPr>
          <w:b/>
        </w:rPr>
        <w:t>rural electrification</w:t>
      </w:r>
      <w:r>
        <w:t xml:space="preserve"> with the</w:t>
      </w:r>
      <w:r w:rsidR="0059594F">
        <w:t xml:space="preserve"> Vanuatu G</w:t>
      </w:r>
      <w:r w:rsidRPr="003E15E2">
        <w:t>overnment committing to develop a Nation</w:t>
      </w:r>
      <w:r>
        <w:t>al Energy Roadmap and an</w:t>
      </w:r>
      <w:r w:rsidRPr="003E15E2">
        <w:t xml:space="preserve"> Energy for Rural Development program, both of which Australia will support </w:t>
      </w:r>
      <w:r>
        <w:t xml:space="preserve">under the </w:t>
      </w:r>
      <w:r w:rsidR="0059594F">
        <w:t>p</w:t>
      </w:r>
      <w:r w:rsidRPr="00B32FB8">
        <w:t>artnership.</w:t>
      </w:r>
      <w:r>
        <w:t xml:space="preserve"> The energy roadmap</w:t>
      </w:r>
      <w:r w:rsidR="0059594F">
        <w:t>,</w:t>
      </w:r>
      <w:r>
        <w:t xml:space="preserve"> along with the larger investment programs</w:t>
      </w:r>
      <w:r w:rsidR="0059594F">
        <w:t>,</w:t>
      </w:r>
      <w:r>
        <w:t xml:space="preserve"> will develop disaggregated baseline information on access and impact</w:t>
      </w:r>
      <w:r w:rsidR="00C110CC">
        <w:t xml:space="preserve">. </w:t>
      </w:r>
    </w:p>
    <w:p w:rsidR="009D727E" w:rsidRPr="003E15E2" w:rsidRDefault="009D727E" w:rsidP="009D727E">
      <w:pPr>
        <w:pStyle w:val="BodyText"/>
      </w:pPr>
      <w:smartTag w:uri="urn:schemas-microsoft-com:office:smarttags" w:element="country-region">
        <w:smartTag w:uri="urn:schemas-microsoft-com:office:smarttags" w:element="place">
          <w:r w:rsidRPr="003E15E2">
            <w:t>Australia</w:t>
          </w:r>
        </w:smartTag>
      </w:smartTag>
      <w:r w:rsidRPr="003E15E2">
        <w:t xml:space="preserve"> </w:t>
      </w:r>
      <w:r>
        <w:t>funded the distribution of some</w:t>
      </w:r>
      <w:r w:rsidRPr="003E15E2">
        <w:t xml:space="preserve"> 6</w:t>
      </w:r>
      <w:r>
        <w:t>000 low-</w:t>
      </w:r>
      <w:r w:rsidRPr="003E15E2">
        <w:t xml:space="preserve">cost </w:t>
      </w:r>
      <w:r w:rsidRPr="00690177">
        <w:rPr>
          <w:b/>
        </w:rPr>
        <w:t>solar lighting</w:t>
      </w:r>
      <w:r w:rsidRPr="003E15E2">
        <w:t xml:space="preserve"> products, </w:t>
      </w:r>
      <w:r>
        <w:t>mostly</w:t>
      </w:r>
      <w:r w:rsidRPr="003E15E2">
        <w:t xml:space="preserve"> in rural areas. If th</w:t>
      </w:r>
      <w:r w:rsidR="0059594F">
        <w:t>is</w:t>
      </w:r>
      <w:r w:rsidRPr="003E15E2">
        <w:t xml:space="preserve"> pilot </w:t>
      </w:r>
      <w:r>
        <w:t xml:space="preserve">is </w:t>
      </w:r>
      <w:r w:rsidRPr="003E15E2">
        <w:t>successful</w:t>
      </w:r>
      <w:r>
        <w:t xml:space="preserve">, this program could </w:t>
      </w:r>
      <w:r w:rsidRPr="003E15E2">
        <w:t>be expanded to 24</w:t>
      </w:r>
      <w:r w:rsidR="00B95094">
        <w:t> </w:t>
      </w:r>
      <w:r w:rsidRPr="003E15E2">
        <w:t>000 products by 2012. Many of these small solar products also charge mobile phones</w:t>
      </w:r>
      <w:r>
        <w:t>;</w:t>
      </w:r>
      <w:r w:rsidRPr="003E15E2">
        <w:t xml:space="preserve"> up to 40</w:t>
      </w:r>
      <w:r>
        <w:t xml:space="preserve"> per cent</w:t>
      </w:r>
      <w:r w:rsidRPr="003E15E2">
        <w:t xml:space="preserve"> of the cost of mobile ownership in rural Vanuatu </w:t>
      </w:r>
      <w:r>
        <w:t>is</w:t>
      </w:r>
      <w:r w:rsidRPr="003E15E2">
        <w:t xml:space="preserve"> associated with charging mobile batteries. </w:t>
      </w:r>
    </w:p>
    <w:p w:rsidR="009D727E" w:rsidRPr="003E15E2" w:rsidRDefault="009D727E" w:rsidP="009D727E">
      <w:pPr>
        <w:pStyle w:val="BodyText"/>
      </w:pPr>
      <w:r w:rsidRPr="00B32FB8">
        <w:t xml:space="preserve">Vanuatu achieved </w:t>
      </w:r>
      <w:r w:rsidR="00694C4D">
        <w:t>more than</w:t>
      </w:r>
      <w:r w:rsidRPr="00B32FB8">
        <w:t xml:space="preserve"> </w:t>
      </w:r>
      <w:r w:rsidRPr="00690177">
        <w:t>90 per cent</w:t>
      </w:r>
      <w:r w:rsidRPr="00B32FB8">
        <w:t xml:space="preserve"> </w:t>
      </w:r>
      <w:r w:rsidRPr="00B32FB8">
        <w:rPr>
          <w:b/>
        </w:rPr>
        <w:t>mobile coverage</w:t>
      </w:r>
      <w:r w:rsidRPr="00B32FB8">
        <w:t xml:space="preserve"> in 2010 (based on population with access), meeting a key target under the partnership</w:t>
      </w:r>
      <w:r w:rsidR="00C110CC">
        <w:t xml:space="preserve">. </w:t>
      </w:r>
      <w:r>
        <w:t>I</w:t>
      </w:r>
      <w:r w:rsidRPr="003E15E2">
        <w:t xml:space="preserve">ntensive </w:t>
      </w:r>
      <w:r>
        <w:t xml:space="preserve">Australian </w:t>
      </w:r>
      <w:r w:rsidRPr="003E15E2">
        <w:t xml:space="preserve">support to telecommunications in Vanuatu reduced somewhat in 2010, as the World Bank took up management of the </w:t>
      </w:r>
      <w:proofErr w:type="spellStart"/>
      <w:r w:rsidRPr="003E15E2">
        <w:t>AusAID</w:t>
      </w:r>
      <w:proofErr w:type="spellEnd"/>
      <w:r w:rsidRPr="003E15E2">
        <w:t xml:space="preserve"> trust fund to support the sector. The </w:t>
      </w:r>
      <w:r>
        <w:t>other</w:t>
      </w:r>
      <w:r w:rsidRPr="003E15E2">
        <w:t xml:space="preserve"> </w:t>
      </w:r>
      <w:r>
        <w:t>achievement</w:t>
      </w:r>
      <w:r w:rsidRPr="003E15E2">
        <w:t xml:space="preserve"> in 2010 was the establishment of a permanent Telecom Regulator</w:t>
      </w:r>
      <w:r>
        <w:t>’</w:t>
      </w:r>
      <w:r w:rsidRPr="003E15E2">
        <w:t>s Office</w:t>
      </w:r>
      <w:r>
        <w:t>,</w:t>
      </w:r>
      <w:r w:rsidRPr="003E15E2">
        <w:t xml:space="preserve"> </w:t>
      </w:r>
      <w:r>
        <w:t xml:space="preserve">regulating </w:t>
      </w:r>
      <w:r w:rsidRPr="003E15E2">
        <w:t xml:space="preserve">competition in the sector. </w:t>
      </w:r>
    </w:p>
    <w:p w:rsidR="009D727E" w:rsidRPr="003E15E2" w:rsidRDefault="009D727E" w:rsidP="009D727E">
      <w:pPr>
        <w:pStyle w:val="BodyText"/>
      </w:pPr>
      <w:r w:rsidRPr="00690177">
        <w:rPr>
          <w:b/>
        </w:rPr>
        <w:t>Rural roads</w:t>
      </w:r>
      <w:r>
        <w:t xml:space="preserve"> infrastructure was a new area of investment under the partnership in 2010</w:t>
      </w:r>
      <w:r w:rsidR="00C110CC">
        <w:t xml:space="preserve">. </w:t>
      </w:r>
      <w:r>
        <w:t>S</w:t>
      </w:r>
      <w:r w:rsidRPr="003E15E2">
        <w:t xml:space="preserve">olid progress </w:t>
      </w:r>
      <w:r>
        <w:t xml:space="preserve">was made </w:t>
      </w:r>
      <w:r w:rsidRPr="003E15E2">
        <w:t>on institutional reform in the Department of Public Works</w:t>
      </w:r>
      <w:r>
        <w:t>,</w:t>
      </w:r>
      <w:r w:rsidRPr="003E15E2">
        <w:t xml:space="preserve"> but </w:t>
      </w:r>
      <w:r>
        <w:t xml:space="preserve">less </w:t>
      </w:r>
      <w:r w:rsidRPr="003E15E2">
        <w:t xml:space="preserve">on </w:t>
      </w:r>
      <w:r>
        <w:t xml:space="preserve">the </w:t>
      </w:r>
      <w:r w:rsidRPr="003E15E2">
        <w:t>delivery of physical works</w:t>
      </w:r>
      <w:r>
        <w:t xml:space="preserve">. </w:t>
      </w:r>
      <w:r w:rsidRPr="003E15E2">
        <w:t>An independent</w:t>
      </w:r>
      <w:r>
        <w:t>,</w:t>
      </w:r>
      <w:r w:rsidRPr="003E15E2">
        <w:t xml:space="preserve"> mid-term review in 2010 led to a reduction in the planned scope of works (down from 191</w:t>
      </w:r>
      <w:r w:rsidR="0059594F">
        <w:t xml:space="preserve"> </w:t>
      </w:r>
      <w:r w:rsidRPr="003E15E2">
        <w:t>km to 140</w:t>
      </w:r>
      <w:r w:rsidR="0059594F">
        <w:t xml:space="preserve"> </w:t>
      </w:r>
      <w:r w:rsidRPr="003E15E2">
        <w:t>km of road maintained) and the scale of employment generation (105</w:t>
      </w:r>
      <w:r w:rsidR="00B95094">
        <w:t> </w:t>
      </w:r>
      <w:r w:rsidRPr="003E15E2">
        <w:t>000 labour days, down from 160</w:t>
      </w:r>
      <w:r w:rsidR="00B95094">
        <w:t> </w:t>
      </w:r>
      <w:r w:rsidRPr="003E15E2">
        <w:t>000)</w:t>
      </w:r>
      <w:r w:rsidR="00B95094">
        <w:t>—</w:t>
      </w:r>
      <w:r>
        <w:t>given higher</w:t>
      </w:r>
      <w:r w:rsidR="0059594F">
        <w:t>-</w:t>
      </w:r>
      <w:r>
        <w:t>than</w:t>
      </w:r>
      <w:r w:rsidR="0059594F">
        <w:t>-</w:t>
      </w:r>
      <w:r>
        <w:t xml:space="preserve">anticipated tender costs and </w:t>
      </w:r>
      <w:r w:rsidRPr="00297DA4">
        <w:t>low labour productivity levels.</w:t>
      </w:r>
      <w:r>
        <w:t xml:space="preserve"> </w:t>
      </w:r>
    </w:p>
    <w:p w:rsidR="009D727E" w:rsidRPr="000851B3" w:rsidRDefault="009D727E" w:rsidP="009D727E">
      <w:pPr>
        <w:pStyle w:val="BodyText"/>
      </w:pPr>
      <w:r>
        <w:t>S</w:t>
      </w:r>
      <w:r w:rsidRPr="003E15E2">
        <w:t xml:space="preserve">upport for </w:t>
      </w:r>
      <w:r w:rsidRPr="00690177">
        <w:rPr>
          <w:b/>
        </w:rPr>
        <w:t xml:space="preserve">ports </w:t>
      </w:r>
      <w:r w:rsidRPr="00BE3B17">
        <w:t>reform</w:t>
      </w:r>
      <w:r w:rsidRPr="00BE3B17">
        <w:rPr>
          <w:b/>
        </w:rPr>
        <w:t xml:space="preserve"> </w:t>
      </w:r>
      <w:r w:rsidRPr="003E15E2">
        <w:t xml:space="preserve">in 2010 led to the international recruitment of a General </w:t>
      </w:r>
      <w:r w:rsidRPr="00693DDF">
        <w:t xml:space="preserve">Manager (part-funded by Australia), resulting </w:t>
      </w:r>
      <w:r w:rsidRPr="00690177">
        <w:t xml:space="preserve">in improved efficiency at the international Port Vila port. </w:t>
      </w:r>
      <w:r w:rsidRPr="00693DDF">
        <w:t xml:space="preserve">For example, the number of containers handled per hour doubled from </w:t>
      </w:r>
      <w:r w:rsidR="00B95094">
        <w:t>5</w:t>
      </w:r>
      <w:r w:rsidRPr="00693DDF">
        <w:t xml:space="preserve"> units to </w:t>
      </w:r>
      <w:r w:rsidR="00B95094">
        <w:t>10</w:t>
      </w:r>
      <w:r w:rsidRPr="00693DDF">
        <w:t>, and container delivery times dropped from several weeks to 2</w:t>
      </w:r>
      <w:r w:rsidR="0059594F">
        <w:t xml:space="preserve"> to </w:t>
      </w:r>
      <w:r w:rsidRPr="00693DDF">
        <w:t xml:space="preserve">5 days. While this support is valuable in and of itself, it is a precursor to larger reforms to both the physical </w:t>
      </w:r>
      <w:r>
        <w:t>infrastructure</w:t>
      </w:r>
      <w:r w:rsidRPr="00693DDF">
        <w:t xml:space="preserve"> and</w:t>
      </w:r>
      <w:r w:rsidRPr="003E15E2">
        <w:t xml:space="preserve"> management at </w:t>
      </w:r>
      <w:r>
        <w:t>the port</w:t>
      </w:r>
      <w:r w:rsidR="00C110CC">
        <w:t xml:space="preserve">. </w:t>
      </w:r>
    </w:p>
    <w:p w:rsidR="009D727E" w:rsidRPr="003E4C57" w:rsidRDefault="009D727E" w:rsidP="009D727E">
      <w:pPr>
        <w:pStyle w:val="Caption"/>
        <w:rPr>
          <w:highlight w:val="magenta"/>
        </w:rPr>
      </w:pPr>
      <w:r w:rsidRPr="00E271CD">
        <w:lastRenderedPageBreak/>
        <w:t xml:space="preserve">Table </w:t>
      </w:r>
      <w:r w:rsidR="00825B55">
        <w:fldChar w:fldCharType="begin"/>
      </w:r>
      <w:r w:rsidR="00825B55">
        <w:instrText xml:space="preserve"> SEQ Table \* MERGEFORMAT </w:instrText>
      </w:r>
      <w:r w:rsidR="00825B55">
        <w:fldChar w:fldCharType="separate"/>
      </w:r>
      <w:r>
        <w:rPr>
          <w:noProof/>
        </w:rPr>
        <w:t>4</w:t>
      </w:r>
      <w:r w:rsidR="00825B55">
        <w:rPr>
          <w:noProof/>
        </w:rPr>
        <w:fldChar w:fldCharType="end"/>
      </w:r>
      <w:r w:rsidRPr="00E271CD">
        <w:t xml:space="preserve">: </w:t>
      </w:r>
      <w:r>
        <w:t>Estimated infrastructure e</w:t>
      </w:r>
      <w:r w:rsidRPr="00E271CD">
        <w:t>xpenditure</w:t>
      </w:r>
      <w:r>
        <w:t xml:space="preserve"> in 2010</w:t>
      </w:r>
    </w:p>
    <w:tbl>
      <w:tblPr>
        <w:tblW w:w="0" w:type="auto"/>
        <w:tblInd w:w="57" w:type="dxa"/>
        <w:tblLayout w:type="fixed"/>
        <w:tblLook w:val="0000" w:firstRow="0" w:lastRow="0" w:firstColumn="0" w:lastColumn="0" w:noHBand="0" w:noVBand="0"/>
      </w:tblPr>
      <w:tblGrid>
        <w:gridCol w:w="5683"/>
        <w:gridCol w:w="1127"/>
        <w:gridCol w:w="1128"/>
      </w:tblGrid>
      <w:tr w:rsidR="009D727E" w:rsidRPr="003E4C57" w:rsidTr="00336D68">
        <w:trPr>
          <w:cantSplit/>
          <w:tblHeader/>
        </w:trPr>
        <w:tc>
          <w:tcPr>
            <w:tcW w:w="5683" w:type="dxa"/>
            <w:tcBorders>
              <w:top w:val="single" w:sz="12" w:space="0" w:color="auto"/>
              <w:bottom w:val="single" w:sz="2" w:space="0" w:color="auto"/>
            </w:tcBorders>
            <w:tcMar>
              <w:left w:w="57" w:type="dxa"/>
              <w:right w:w="57" w:type="dxa"/>
            </w:tcMar>
          </w:tcPr>
          <w:p w:rsidR="009D727E" w:rsidRDefault="009D727E" w:rsidP="009D727E">
            <w:pPr>
              <w:pStyle w:val="TableDataColumnHeading"/>
              <w:jc w:val="left"/>
            </w:pPr>
            <w:r>
              <w:t>Objective</w:t>
            </w:r>
          </w:p>
        </w:tc>
        <w:tc>
          <w:tcPr>
            <w:tcW w:w="1127" w:type="dxa"/>
            <w:tcBorders>
              <w:top w:val="single" w:sz="12" w:space="0" w:color="auto"/>
              <w:bottom w:val="single" w:sz="2" w:space="0" w:color="auto"/>
            </w:tcBorders>
            <w:tcMar>
              <w:left w:w="57" w:type="dxa"/>
              <w:right w:w="57" w:type="dxa"/>
            </w:tcMar>
          </w:tcPr>
          <w:p w:rsidR="009D727E" w:rsidRDefault="009D727E" w:rsidP="009D727E">
            <w:pPr>
              <w:pStyle w:val="TableDataColumnHeading"/>
            </w:pPr>
            <w:r>
              <w:t>$ million</w:t>
            </w:r>
          </w:p>
        </w:tc>
        <w:tc>
          <w:tcPr>
            <w:tcW w:w="1128" w:type="dxa"/>
            <w:tcBorders>
              <w:top w:val="single" w:sz="12" w:space="0" w:color="auto"/>
              <w:bottom w:val="single" w:sz="2" w:space="0" w:color="auto"/>
            </w:tcBorders>
            <w:tcMar>
              <w:left w:w="57" w:type="dxa"/>
              <w:right w:w="57" w:type="dxa"/>
            </w:tcMar>
          </w:tcPr>
          <w:p w:rsidR="009D727E" w:rsidRDefault="009D727E" w:rsidP="0059594F">
            <w:pPr>
              <w:pStyle w:val="TableDataColumnHeading"/>
            </w:pPr>
            <w:r>
              <w:t xml:space="preserve"> </w:t>
            </w:r>
            <w:r w:rsidR="0059594F">
              <w:t>%</w:t>
            </w:r>
            <w:r>
              <w:t xml:space="preserve"> of bilateral program</w:t>
            </w:r>
          </w:p>
        </w:tc>
      </w:tr>
      <w:tr w:rsidR="009D727E" w:rsidRPr="002452D0" w:rsidTr="009D727E">
        <w:tc>
          <w:tcPr>
            <w:tcW w:w="5683" w:type="dxa"/>
            <w:tcBorders>
              <w:bottom w:val="single" w:sz="12" w:space="0" w:color="auto"/>
            </w:tcBorders>
            <w:tcMar>
              <w:left w:w="57" w:type="dxa"/>
              <w:right w:w="57" w:type="dxa"/>
            </w:tcMar>
          </w:tcPr>
          <w:p w:rsidR="009D727E" w:rsidRPr="002452D0" w:rsidRDefault="009D727E" w:rsidP="0059594F">
            <w:pPr>
              <w:pStyle w:val="TableDataEntries"/>
              <w:jc w:val="left"/>
            </w:pPr>
            <w:r w:rsidRPr="007C3A14">
              <w:t xml:space="preserve">Improved </w:t>
            </w:r>
            <w:r w:rsidR="0059594F">
              <w:t>i</w:t>
            </w:r>
            <w:r w:rsidRPr="007C3A14">
              <w:t>nfrastructure: develop essential infrastructure to support economic growth and service delivery</w:t>
            </w:r>
          </w:p>
        </w:tc>
        <w:tc>
          <w:tcPr>
            <w:tcW w:w="1127" w:type="dxa"/>
            <w:tcBorders>
              <w:bottom w:val="single" w:sz="12" w:space="0" w:color="auto"/>
            </w:tcBorders>
            <w:tcMar>
              <w:left w:w="57" w:type="dxa"/>
              <w:right w:w="57" w:type="dxa"/>
            </w:tcMar>
          </w:tcPr>
          <w:p w:rsidR="009D727E" w:rsidRPr="008A6A37" w:rsidRDefault="009D727E" w:rsidP="009D727E">
            <w:pPr>
              <w:pStyle w:val="TableDataEntries"/>
            </w:pPr>
            <w:r w:rsidRPr="008A6A37">
              <w:t>12.9</w:t>
            </w:r>
          </w:p>
        </w:tc>
        <w:tc>
          <w:tcPr>
            <w:tcW w:w="1128" w:type="dxa"/>
            <w:tcBorders>
              <w:bottom w:val="single" w:sz="12" w:space="0" w:color="auto"/>
            </w:tcBorders>
            <w:tcMar>
              <w:left w:w="57" w:type="dxa"/>
              <w:right w:w="57" w:type="dxa"/>
            </w:tcMar>
          </w:tcPr>
          <w:p w:rsidR="009D727E" w:rsidRPr="008A6A37" w:rsidRDefault="009D727E" w:rsidP="009D727E">
            <w:pPr>
              <w:pStyle w:val="TableDataEntries"/>
            </w:pPr>
            <w:r w:rsidRPr="008A6A37">
              <w:t>26</w:t>
            </w:r>
            <w:r>
              <w:t xml:space="preserve"> </w:t>
            </w:r>
          </w:p>
        </w:tc>
      </w:tr>
    </w:tbl>
    <w:p w:rsidR="009D727E" w:rsidRPr="00336D68" w:rsidRDefault="009D727E" w:rsidP="006D5140">
      <w:pPr>
        <w:pStyle w:val="Heading2"/>
      </w:pPr>
      <w:r w:rsidRPr="00336D68">
        <w:t xml:space="preserve">Objective </w:t>
      </w:r>
      <w:r w:rsidRPr="006D5140">
        <w:t xml:space="preserve">4: Economic </w:t>
      </w:r>
      <w:r w:rsidR="0059594F" w:rsidRPr="006D5140">
        <w:t>g</w:t>
      </w:r>
      <w:r w:rsidRPr="006D5140">
        <w:t>overnance</w:t>
      </w:r>
      <w:r w:rsidRPr="00336D68">
        <w:t xml:space="preserve"> </w:t>
      </w:r>
    </w:p>
    <w:p w:rsidR="009D727E" w:rsidRPr="009C308B" w:rsidRDefault="009D727E" w:rsidP="009D727E">
      <w:pPr>
        <w:pStyle w:val="BodyText"/>
        <w:spacing w:before="0" w:after="0"/>
        <w:rPr>
          <w:rFonts w:ascii="Franklin Gothic Book" w:hAnsi="Franklin Gothic Book"/>
          <w:sz w:val="18"/>
          <w:szCs w:val="18"/>
        </w:rPr>
      </w:pPr>
    </w:p>
    <w:tbl>
      <w:tblPr>
        <w:tblW w:w="7938" w:type="dxa"/>
        <w:tblInd w:w="57" w:type="dxa"/>
        <w:tblBorders>
          <w:top w:val="single" w:sz="12" w:space="0" w:color="auto"/>
          <w:bottom w:val="single" w:sz="12" w:space="0" w:color="auto"/>
        </w:tblBorders>
        <w:tblLook w:val="01E0" w:firstRow="1" w:lastRow="1" w:firstColumn="1" w:lastColumn="1" w:noHBand="0" w:noVBand="0"/>
      </w:tblPr>
      <w:tblGrid>
        <w:gridCol w:w="7938"/>
      </w:tblGrid>
      <w:tr w:rsidR="009D727E" w:rsidRPr="00797032" w:rsidTr="009D727E">
        <w:trPr>
          <w:trHeight w:val="6479"/>
        </w:trPr>
        <w:tc>
          <w:tcPr>
            <w:tcW w:w="7938" w:type="dxa"/>
            <w:tcBorders>
              <w:top w:val="single" w:sz="12" w:space="0" w:color="auto"/>
              <w:bottom w:val="single" w:sz="12" w:space="0" w:color="auto"/>
            </w:tcBorders>
            <w:shd w:val="clear" w:color="auto" w:fill="F5F1CC"/>
          </w:tcPr>
          <w:p w:rsidR="009D727E" w:rsidRPr="00B8453B" w:rsidRDefault="009D727E" w:rsidP="009D727E">
            <w:pPr>
              <w:pStyle w:val="BoxHeading1"/>
            </w:pPr>
            <w:r w:rsidRPr="00B8453B">
              <w:t xml:space="preserve">Joint </w:t>
            </w:r>
            <w:r>
              <w:t>c</w:t>
            </w:r>
            <w:r w:rsidRPr="00B8453B">
              <w:t>ommitments</w:t>
            </w:r>
          </w:p>
          <w:p w:rsidR="009D727E" w:rsidRPr="00797032" w:rsidRDefault="009D727E" w:rsidP="009D727E">
            <w:pPr>
              <w:pStyle w:val="BoxText"/>
              <w:rPr>
                <w:lang w:val="en-US"/>
              </w:rPr>
            </w:pPr>
            <w:r>
              <w:rPr>
                <w:lang w:val="en-US"/>
              </w:rPr>
              <w:t>The partnership will progress reform on economic governance issues, through:</w:t>
            </w:r>
          </w:p>
          <w:p w:rsidR="009D727E" w:rsidRPr="00797032" w:rsidRDefault="009D727E" w:rsidP="009D727E">
            <w:pPr>
              <w:pStyle w:val="BoxListBullet"/>
              <w:rPr>
                <w:lang w:val="en-US"/>
              </w:rPr>
            </w:pPr>
            <w:r>
              <w:rPr>
                <w:b/>
                <w:lang w:val="en-US"/>
              </w:rPr>
              <w:t>s</w:t>
            </w:r>
            <w:r w:rsidRPr="00747BE2">
              <w:rPr>
                <w:b/>
                <w:lang w:val="en-US"/>
              </w:rPr>
              <w:t>trengthened budget processes</w:t>
            </w:r>
            <w:r w:rsidRPr="00797032">
              <w:rPr>
                <w:lang w:val="en-US"/>
              </w:rPr>
              <w:t xml:space="preserve"> to better reflect national priorities for service delivery and </w:t>
            </w:r>
            <w:r>
              <w:rPr>
                <w:lang w:val="en-US"/>
              </w:rPr>
              <w:br/>
            </w:r>
            <w:r w:rsidRPr="00797032">
              <w:rPr>
                <w:lang w:val="en-US"/>
              </w:rPr>
              <w:t>public investment</w:t>
            </w:r>
          </w:p>
          <w:p w:rsidR="009D727E" w:rsidRPr="00797032" w:rsidRDefault="009D727E" w:rsidP="009D727E">
            <w:pPr>
              <w:pStyle w:val="BoxListBullet"/>
              <w:rPr>
                <w:lang w:val="en-US"/>
              </w:rPr>
            </w:pPr>
            <w:r>
              <w:rPr>
                <w:b/>
                <w:lang w:val="en-US"/>
              </w:rPr>
              <w:t>i</w:t>
            </w:r>
            <w:r w:rsidRPr="00747BE2">
              <w:rPr>
                <w:b/>
                <w:lang w:val="en-US"/>
              </w:rPr>
              <w:t>mproved public financial management systems</w:t>
            </w:r>
            <w:r w:rsidR="005E13D5">
              <w:rPr>
                <w:lang w:val="en-US"/>
              </w:rPr>
              <w:t>,</w:t>
            </w:r>
            <w:r w:rsidRPr="00797032">
              <w:rPr>
                <w:lang w:val="en-US"/>
              </w:rPr>
              <w:t xml:space="preserve"> including strengthening the budget process to combine donor and government resources and improv</w:t>
            </w:r>
            <w:r w:rsidR="005E13D5">
              <w:rPr>
                <w:lang w:val="en-US"/>
              </w:rPr>
              <w:t>ing</w:t>
            </w:r>
            <w:r w:rsidRPr="00797032">
              <w:rPr>
                <w:lang w:val="en-US"/>
              </w:rPr>
              <w:t xml:space="preserve"> financial management in line ministries to ensure more resources </w:t>
            </w:r>
            <w:r w:rsidR="005E13D5">
              <w:rPr>
                <w:lang w:val="en-US"/>
              </w:rPr>
              <w:t>are available</w:t>
            </w:r>
            <w:r w:rsidRPr="00797032">
              <w:rPr>
                <w:lang w:val="en-US"/>
              </w:rPr>
              <w:t xml:space="preserve"> to deliver services</w:t>
            </w:r>
          </w:p>
          <w:p w:rsidR="009D727E" w:rsidRPr="00797032" w:rsidRDefault="009D727E" w:rsidP="009D727E">
            <w:pPr>
              <w:pStyle w:val="BoxListBullet"/>
              <w:rPr>
                <w:lang w:val="en-US"/>
              </w:rPr>
            </w:pPr>
            <w:r>
              <w:rPr>
                <w:b/>
                <w:lang w:val="en-US"/>
              </w:rPr>
              <w:t>s</w:t>
            </w:r>
            <w:r w:rsidRPr="00747BE2">
              <w:rPr>
                <w:b/>
                <w:lang w:val="en-US"/>
              </w:rPr>
              <w:t>tronger transparency and accountability</w:t>
            </w:r>
            <w:r w:rsidRPr="00797032">
              <w:rPr>
                <w:lang w:val="en-US"/>
              </w:rPr>
              <w:t xml:space="preserve"> to Parliament and the people for the results of </w:t>
            </w:r>
            <w:r>
              <w:rPr>
                <w:lang w:val="en-US"/>
              </w:rPr>
              <w:br/>
            </w:r>
            <w:r w:rsidRPr="00797032">
              <w:rPr>
                <w:lang w:val="en-US"/>
              </w:rPr>
              <w:t>public expenditure</w:t>
            </w:r>
          </w:p>
          <w:p w:rsidR="009D727E" w:rsidRPr="00797032" w:rsidRDefault="009D727E" w:rsidP="009D727E">
            <w:pPr>
              <w:pStyle w:val="BoxListBullet"/>
              <w:rPr>
                <w:lang w:val="en-US"/>
              </w:rPr>
            </w:pPr>
            <w:r>
              <w:rPr>
                <w:b/>
                <w:lang w:val="en-US"/>
              </w:rPr>
              <w:t>i</w:t>
            </w:r>
            <w:r w:rsidRPr="00747BE2">
              <w:rPr>
                <w:b/>
                <w:lang w:val="en-US"/>
              </w:rPr>
              <w:t xml:space="preserve">mproved management of </w:t>
            </w:r>
            <w:r w:rsidR="005E13D5">
              <w:rPr>
                <w:b/>
                <w:lang w:val="en-US"/>
              </w:rPr>
              <w:t>g</w:t>
            </w:r>
            <w:r w:rsidRPr="00747BE2">
              <w:rPr>
                <w:b/>
                <w:lang w:val="en-US"/>
              </w:rPr>
              <w:t xml:space="preserve">overnment </w:t>
            </w:r>
            <w:r w:rsidR="005E13D5">
              <w:rPr>
                <w:b/>
                <w:lang w:val="en-US"/>
              </w:rPr>
              <w:t>b</w:t>
            </w:r>
            <w:r w:rsidRPr="00747BE2">
              <w:rPr>
                <w:b/>
                <w:lang w:val="en-US"/>
              </w:rPr>
              <w:t xml:space="preserve">usiness </w:t>
            </w:r>
            <w:r w:rsidR="005E13D5">
              <w:rPr>
                <w:b/>
                <w:lang w:val="en-US"/>
              </w:rPr>
              <w:t>e</w:t>
            </w:r>
            <w:r w:rsidRPr="00747BE2">
              <w:rPr>
                <w:b/>
                <w:lang w:val="en-US"/>
              </w:rPr>
              <w:t>nterprises</w:t>
            </w:r>
            <w:r w:rsidRPr="00797032">
              <w:rPr>
                <w:lang w:val="en-US"/>
              </w:rPr>
              <w:t>, to improve effectiveness of their operations and manage fiscal risks</w:t>
            </w:r>
          </w:p>
          <w:p w:rsidR="009D727E" w:rsidRPr="00797032" w:rsidRDefault="009D727E" w:rsidP="009D727E">
            <w:pPr>
              <w:pStyle w:val="BoxListBullet"/>
              <w:rPr>
                <w:lang w:val="en-US"/>
              </w:rPr>
            </w:pPr>
            <w:r>
              <w:rPr>
                <w:b/>
                <w:lang w:val="en-US"/>
              </w:rPr>
              <w:t>e</w:t>
            </w:r>
            <w:r w:rsidRPr="00747BE2">
              <w:rPr>
                <w:b/>
                <w:lang w:val="en-US"/>
              </w:rPr>
              <w:t>nhanced collection and management of statistics</w:t>
            </w:r>
            <w:r w:rsidRPr="00797032">
              <w:rPr>
                <w:lang w:val="en-US"/>
              </w:rPr>
              <w:t xml:space="preserve"> to track progress against </w:t>
            </w:r>
            <w:r>
              <w:rPr>
                <w:lang w:val="en-US"/>
              </w:rPr>
              <w:t xml:space="preserve">the </w:t>
            </w:r>
            <w:r w:rsidRPr="00797032">
              <w:rPr>
                <w:lang w:val="en-US"/>
              </w:rPr>
              <w:t>MDGs.</w:t>
            </w:r>
          </w:p>
          <w:p w:rsidR="009D727E" w:rsidRPr="00797032" w:rsidRDefault="009D727E" w:rsidP="009D727E">
            <w:pPr>
              <w:pStyle w:val="BoxText"/>
              <w:rPr>
                <w:lang w:val="en-US"/>
              </w:rPr>
            </w:pPr>
            <w:r w:rsidRPr="00797032">
              <w:rPr>
                <w:lang w:val="en-US"/>
              </w:rPr>
              <w:t>Subject to performance against these objectives Australia will provide additional funding on an incentive basis, to be agreed annually with the Vanuatu</w:t>
            </w:r>
            <w:r>
              <w:rPr>
                <w:lang w:val="en-US"/>
              </w:rPr>
              <w:t xml:space="preserve"> G</w:t>
            </w:r>
            <w:r w:rsidRPr="00797032">
              <w:rPr>
                <w:lang w:val="en-US"/>
              </w:rPr>
              <w:t>overnment.</w:t>
            </w:r>
          </w:p>
          <w:p w:rsidR="009D727E" w:rsidRPr="00B8453B" w:rsidRDefault="009D727E" w:rsidP="009D727E">
            <w:pPr>
              <w:pStyle w:val="BoxHeading1"/>
            </w:pPr>
            <w:r w:rsidRPr="00B8453B">
              <w:t>Target results</w:t>
            </w:r>
          </w:p>
          <w:p w:rsidR="009D727E" w:rsidRPr="00797032" w:rsidRDefault="009D727E" w:rsidP="009D727E">
            <w:pPr>
              <w:pStyle w:val="BoxListBullet"/>
              <w:spacing w:before="60"/>
              <w:rPr>
                <w:lang w:val="en-US"/>
              </w:rPr>
            </w:pPr>
            <w:r>
              <w:rPr>
                <w:lang w:val="en-US"/>
              </w:rPr>
              <w:t>i</w:t>
            </w:r>
            <w:r w:rsidRPr="00797032">
              <w:rPr>
                <w:lang w:val="en-US"/>
              </w:rPr>
              <w:t xml:space="preserve">mproved </w:t>
            </w:r>
            <w:r w:rsidR="005E13D5">
              <w:rPr>
                <w:lang w:val="en-US"/>
              </w:rPr>
              <w:t>p</w:t>
            </w:r>
            <w:proofErr w:type="spellStart"/>
            <w:r w:rsidR="00AC3247" w:rsidRPr="00AC3247">
              <w:t>ublic</w:t>
            </w:r>
            <w:proofErr w:type="spellEnd"/>
            <w:r w:rsidR="00AC3247" w:rsidRPr="00AC3247">
              <w:t xml:space="preserve"> </w:t>
            </w:r>
            <w:r w:rsidR="005E13D5">
              <w:t>e</w:t>
            </w:r>
            <w:r w:rsidR="00AC3247" w:rsidRPr="00AC3247">
              <w:t xml:space="preserve">xpenditure and </w:t>
            </w:r>
            <w:r w:rsidR="005E13D5">
              <w:t>f</w:t>
            </w:r>
            <w:r w:rsidR="00AC3247" w:rsidRPr="00AC3247">
              <w:t xml:space="preserve">inancial </w:t>
            </w:r>
            <w:r w:rsidR="005E13D5">
              <w:t>a</w:t>
            </w:r>
            <w:r w:rsidR="00AC3247" w:rsidRPr="00AC3247">
              <w:t xml:space="preserve">ccountability </w:t>
            </w:r>
            <w:r w:rsidRPr="00797032">
              <w:rPr>
                <w:lang w:val="en-US"/>
              </w:rPr>
              <w:t>scores on:</w:t>
            </w:r>
          </w:p>
          <w:p w:rsidR="009D727E" w:rsidRPr="00797032" w:rsidRDefault="009D727E" w:rsidP="009D727E">
            <w:pPr>
              <w:pStyle w:val="BoxListBullet2"/>
              <w:rPr>
                <w:lang w:val="en-US"/>
              </w:rPr>
            </w:pPr>
            <w:r w:rsidRPr="00797032">
              <w:rPr>
                <w:lang w:val="en-US"/>
              </w:rPr>
              <w:t>Government of Vanuatu resources received by service delivery units</w:t>
            </w:r>
          </w:p>
          <w:p w:rsidR="009D727E" w:rsidRPr="00797032" w:rsidRDefault="009D727E" w:rsidP="009D727E">
            <w:pPr>
              <w:pStyle w:val="BoxListBullet2"/>
              <w:rPr>
                <w:lang w:val="en-US"/>
              </w:rPr>
            </w:pPr>
            <w:r>
              <w:rPr>
                <w:lang w:val="en-US"/>
              </w:rPr>
              <w:t>p</w:t>
            </w:r>
            <w:r w:rsidRPr="00797032">
              <w:rPr>
                <w:lang w:val="en-US"/>
              </w:rPr>
              <w:t>roportion of aid provided by donors managed through Vanuatu systems</w:t>
            </w:r>
          </w:p>
          <w:p w:rsidR="009D727E" w:rsidRPr="00797032" w:rsidRDefault="009D727E" w:rsidP="009D727E">
            <w:pPr>
              <w:pStyle w:val="BoxListBullet2"/>
              <w:rPr>
                <w:lang w:val="en-US"/>
              </w:rPr>
            </w:pPr>
            <w:r>
              <w:rPr>
                <w:lang w:val="en-US"/>
              </w:rPr>
              <w:t>c</w:t>
            </w:r>
            <w:r w:rsidRPr="00797032">
              <w:rPr>
                <w:lang w:val="en-US"/>
              </w:rPr>
              <w:t>omprehensiveness and transparency of public financial management</w:t>
            </w:r>
            <w:r>
              <w:rPr>
                <w:lang w:val="en-US"/>
              </w:rPr>
              <w:t>,</w:t>
            </w:r>
            <w:r w:rsidRPr="00797032">
              <w:rPr>
                <w:lang w:val="en-US"/>
              </w:rPr>
              <w:t xml:space="preserve"> including oversight </w:t>
            </w:r>
            <w:r>
              <w:rPr>
                <w:lang w:val="en-US"/>
              </w:rPr>
              <w:br/>
            </w:r>
            <w:r w:rsidRPr="00797032">
              <w:rPr>
                <w:lang w:val="en-US"/>
              </w:rPr>
              <w:t xml:space="preserve">of fiscal risk from </w:t>
            </w:r>
            <w:r w:rsidR="005E13D5">
              <w:rPr>
                <w:lang w:val="en-US"/>
              </w:rPr>
              <w:t>g</w:t>
            </w:r>
            <w:r>
              <w:rPr>
                <w:lang w:val="en-US"/>
              </w:rPr>
              <w:t xml:space="preserve">overnment </w:t>
            </w:r>
            <w:r w:rsidR="005E13D5">
              <w:rPr>
                <w:lang w:val="en-US"/>
              </w:rPr>
              <w:t>b</w:t>
            </w:r>
            <w:r>
              <w:rPr>
                <w:lang w:val="en-US"/>
              </w:rPr>
              <w:t xml:space="preserve">usiness </w:t>
            </w:r>
            <w:r w:rsidR="005E13D5">
              <w:rPr>
                <w:lang w:val="en-US"/>
              </w:rPr>
              <w:t>e</w:t>
            </w:r>
            <w:r>
              <w:rPr>
                <w:lang w:val="en-US"/>
              </w:rPr>
              <w:t>nterprises</w:t>
            </w:r>
          </w:p>
          <w:p w:rsidR="009D727E" w:rsidRPr="00797032" w:rsidRDefault="009D727E" w:rsidP="009D727E">
            <w:pPr>
              <w:pStyle w:val="BoxListBullet2"/>
              <w:rPr>
                <w:lang w:val="en-US"/>
              </w:rPr>
            </w:pPr>
            <w:r>
              <w:rPr>
                <w:lang w:val="en-US"/>
              </w:rPr>
              <w:t>e</w:t>
            </w:r>
            <w:r w:rsidRPr="00797032">
              <w:rPr>
                <w:lang w:val="en-US"/>
              </w:rPr>
              <w:t>xternal scrutiny and audit</w:t>
            </w:r>
          </w:p>
          <w:p w:rsidR="009D727E" w:rsidRPr="00797032" w:rsidRDefault="009D727E" w:rsidP="009D727E">
            <w:pPr>
              <w:pStyle w:val="BoxListBullet"/>
              <w:rPr>
                <w:lang w:val="en-US"/>
              </w:rPr>
            </w:pPr>
            <w:r>
              <w:rPr>
                <w:lang w:val="en-US"/>
              </w:rPr>
              <w:t>f</w:t>
            </w:r>
            <w:r w:rsidRPr="00797032">
              <w:rPr>
                <w:lang w:val="en-US"/>
              </w:rPr>
              <w:t>iscal risks strategy in place for the 2010</w:t>
            </w:r>
            <w:r>
              <w:rPr>
                <w:lang w:val="en-US"/>
              </w:rPr>
              <w:t> B</w:t>
            </w:r>
            <w:r w:rsidRPr="00797032">
              <w:rPr>
                <w:lang w:val="en-US"/>
              </w:rPr>
              <w:t>udget and updated annually</w:t>
            </w:r>
          </w:p>
          <w:p w:rsidR="009D727E" w:rsidRPr="00797032" w:rsidRDefault="009D727E" w:rsidP="009D727E">
            <w:pPr>
              <w:pStyle w:val="BoxListBullet"/>
              <w:rPr>
                <w:lang w:val="en-US"/>
              </w:rPr>
            </w:pPr>
            <w:r w:rsidRPr="00797032">
              <w:rPr>
                <w:lang w:val="en-US"/>
              </w:rPr>
              <w:t>Vanuatu’s Population Census, Household Income and Expenditure Survey and national accounts completed as scheduled and published</w:t>
            </w:r>
            <w:r>
              <w:rPr>
                <w:lang w:val="en-US"/>
              </w:rPr>
              <w:t>.</w:t>
            </w:r>
          </w:p>
        </w:tc>
      </w:tr>
    </w:tbl>
    <w:p w:rsidR="009D727E" w:rsidRDefault="009D727E" w:rsidP="006D5140">
      <w:pPr>
        <w:pStyle w:val="Heading3"/>
      </w:pPr>
      <w:bookmarkStart w:id="9" w:name="_Toc360978104"/>
      <w:r>
        <w:t>Rating</w:t>
      </w:r>
      <w:bookmarkEnd w:id="9"/>
    </w:p>
    <w:p w:rsidR="009D727E" w:rsidRDefault="009D23F3" w:rsidP="009D727E">
      <w:pPr>
        <w:pStyle w:val="BodyText"/>
      </w:pPr>
      <w:r>
        <w:rPr>
          <w:noProof/>
          <w:color w:val="FF9900"/>
          <w:sz w:val="28"/>
          <w:szCs w:val="28"/>
          <w:lang w:val="en-US" w:eastAsia="en-US"/>
        </w:rPr>
        <w:drawing>
          <wp:inline distT="0" distB="0" distL="0" distR="0" wp14:anchorId="5B40EDBB" wp14:editId="64ECF39A">
            <wp:extent cx="145415" cy="145415"/>
            <wp:effectExtent l="0" t="0" r="6985" b="6985"/>
            <wp:docPr id="4" name="Picture 4" descr="Amb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er 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009D727E">
        <w:rPr>
          <w:rFonts w:ascii="Arial Unicode MS" w:eastAsia="Arial Unicode MS" w:hAnsi="Arial Unicode MS" w:cs="Arial Unicode MS" w:hint="eastAsia"/>
        </w:rPr>
        <w:t> </w:t>
      </w:r>
      <w:r w:rsidR="009D727E" w:rsidRPr="008041F5">
        <w:t>The objective will be partly achieved within the timeframe of the strategy.</w:t>
      </w:r>
    </w:p>
    <w:p w:rsidR="009D727E" w:rsidRDefault="009D727E" w:rsidP="006D5140">
      <w:pPr>
        <w:pStyle w:val="Heading3"/>
      </w:pPr>
      <w:bookmarkStart w:id="10" w:name="_Toc360978105"/>
      <w:r>
        <w:t>Assessment of results and performance</w:t>
      </w:r>
      <w:bookmarkEnd w:id="10"/>
    </w:p>
    <w:p w:rsidR="009D727E" w:rsidRDefault="009D727E" w:rsidP="009D727E">
      <w:pPr>
        <w:pStyle w:val="BodyText"/>
      </w:pPr>
      <w:r w:rsidRPr="00426DCD">
        <w:t>Support to the Department of Finance</w:t>
      </w:r>
      <w:r w:rsidRPr="00EF59AB">
        <w:t xml:space="preserve"> and Treasury </w:t>
      </w:r>
      <w:r>
        <w:t xml:space="preserve">(within the </w:t>
      </w:r>
      <w:r w:rsidRPr="00EF59AB">
        <w:t>Ministry of Fi</w:t>
      </w:r>
      <w:r>
        <w:t xml:space="preserve">nance and Economic Management) </w:t>
      </w:r>
      <w:r w:rsidRPr="00EF59AB">
        <w:t xml:space="preserve">continued to provide </w:t>
      </w:r>
      <w:r>
        <w:t xml:space="preserve">important </w:t>
      </w:r>
      <w:r w:rsidRPr="00EF59AB">
        <w:t xml:space="preserve">resources </w:t>
      </w:r>
      <w:r>
        <w:t xml:space="preserve">for </w:t>
      </w:r>
      <w:r w:rsidRPr="00EF59AB">
        <w:t xml:space="preserve">the management of </w:t>
      </w:r>
      <w:r w:rsidR="005E13D5">
        <w:t xml:space="preserve">the </w:t>
      </w:r>
      <w:r>
        <w:t>government’s</w:t>
      </w:r>
      <w:r w:rsidRPr="00EF59AB">
        <w:t xml:space="preserve"> </w:t>
      </w:r>
      <w:r w:rsidRPr="00B51B46">
        <w:rPr>
          <w:b/>
        </w:rPr>
        <w:t>budget and accounting processes</w:t>
      </w:r>
      <w:r w:rsidRPr="00EF59AB">
        <w:t>.</w:t>
      </w:r>
      <w:r w:rsidRPr="00B401C4">
        <w:t xml:space="preserve"> </w:t>
      </w:r>
      <w:r w:rsidRPr="00EF59AB">
        <w:t>Vanuatu</w:t>
      </w:r>
      <w:r>
        <w:t xml:space="preserve">’s 2010 budget was </w:t>
      </w:r>
      <w:r w:rsidRPr="00EF59AB">
        <w:t>the first to integrate go</w:t>
      </w:r>
      <w:r>
        <w:t xml:space="preserve">vernment and donor resources in a </w:t>
      </w:r>
      <w:r w:rsidRPr="00426DCD">
        <w:t>‘Development Budget’</w:t>
      </w:r>
      <w:r w:rsidR="00C110CC">
        <w:t xml:space="preserve">. </w:t>
      </w:r>
    </w:p>
    <w:p w:rsidR="009D727E" w:rsidRPr="00EF59AB" w:rsidRDefault="009D727E" w:rsidP="009D727E">
      <w:pPr>
        <w:pStyle w:val="BodyText"/>
      </w:pPr>
      <w:r>
        <w:lastRenderedPageBreak/>
        <w:t xml:space="preserve">The Ministry of Finance and Economic Management </w:t>
      </w:r>
      <w:r w:rsidRPr="00EF59AB">
        <w:t>continues to outperform expectations</w:t>
      </w:r>
      <w:r>
        <w:t>,</w:t>
      </w:r>
      <w:r w:rsidRPr="00EF59AB">
        <w:t xml:space="preserve"> and ongoing support will be critical</w:t>
      </w:r>
      <w:r w:rsidR="00C110CC">
        <w:t xml:space="preserve">. </w:t>
      </w:r>
      <w:proofErr w:type="spellStart"/>
      <w:r>
        <w:t>AusAID</w:t>
      </w:r>
      <w:proofErr w:type="spellEnd"/>
      <w:r>
        <w:t xml:space="preserve"> funding supports the Ministry to recruit its own advis</w:t>
      </w:r>
      <w:r w:rsidR="005E13D5">
        <w:t>e</w:t>
      </w:r>
      <w:r>
        <w:t>rs.</w:t>
      </w:r>
    </w:p>
    <w:p w:rsidR="009D727E" w:rsidRPr="00EF59AB" w:rsidRDefault="009D727E" w:rsidP="009D727E">
      <w:pPr>
        <w:pStyle w:val="BodyText"/>
      </w:pPr>
      <w:r>
        <w:t>The rollout</w:t>
      </w:r>
      <w:r w:rsidRPr="00EF59AB">
        <w:t xml:space="preserve"> of </w:t>
      </w:r>
      <w:r>
        <w:t xml:space="preserve">ministry’s </w:t>
      </w:r>
      <w:r w:rsidRPr="00EF59AB">
        <w:t xml:space="preserve">the </w:t>
      </w:r>
      <w:r>
        <w:t xml:space="preserve">initiative to establish public </w:t>
      </w:r>
      <w:r w:rsidRPr="007207A7">
        <w:rPr>
          <w:b/>
        </w:rPr>
        <w:t>Financial Services Bureau</w:t>
      </w:r>
      <w:r w:rsidR="005E13D5">
        <w:rPr>
          <w:b/>
        </w:rPr>
        <w:t>s</w:t>
      </w:r>
      <w:r w:rsidRPr="00EF59AB">
        <w:t xml:space="preserve"> </w:t>
      </w:r>
      <w:r>
        <w:t>in the provinces</w:t>
      </w:r>
      <w:r w:rsidRPr="00EF59AB">
        <w:t xml:space="preserve"> continues. A review of progress in April 2010 concluded that, despite de</w:t>
      </w:r>
      <w:r>
        <w:t>lays in rollout, the concept was</w:t>
      </w:r>
      <w:r w:rsidRPr="00EF59AB">
        <w:t xml:space="preserve"> sound and should </w:t>
      </w:r>
      <w:r w:rsidRPr="00297DA4">
        <w:t>proceed.</w:t>
      </w:r>
      <w:r>
        <w:t xml:space="preserve"> It found that line ministries we</w:t>
      </w:r>
      <w:r w:rsidRPr="00297DA4">
        <w:t xml:space="preserve">re using the Santo bureau to access the government finance system (previously impossible). There were also signs that the private sector </w:t>
      </w:r>
      <w:r>
        <w:t>wa</w:t>
      </w:r>
      <w:r w:rsidRPr="00297DA4">
        <w:t>s becoming more confident in the system, with more businesses accepting purchase orders in Santo</w:t>
      </w:r>
      <w:r w:rsidR="00C110CC">
        <w:t xml:space="preserve">. </w:t>
      </w:r>
      <w:r>
        <w:t xml:space="preserve">The </w:t>
      </w:r>
      <w:r w:rsidRPr="00EF59AB">
        <w:t xml:space="preserve">remaining three </w:t>
      </w:r>
      <w:r>
        <w:t>bureau</w:t>
      </w:r>
      <w:r w:rsidR="005E13D5">
        <w:t>s</w:t>
      </w:r>
      <w:r>
        <w:t xml:space="preserve"> are slated for establishment in 2011.</w:t>
      </w:r>
      <w:r w:rsidRPr="00EF59AB">
        <w:t xml:space="preserve"> </w:t>
      </w:r>
      <w:r>
        <w:t xml:space="preserve">This will </w:t>
      </w:r>
      <w:r w:rsidRPr="00EF59AB">
        <w:t xml:space="preserve">represent an important step towards </w:t>
      </w:r>
      <w:r>
        <w:t>more efficient public administration in the outer islands</w:t>
      </w:r>
      <w:r w:rsidRPr="00EF59AB">
        <w:t xml:space="preserve">. </w:t>
      </w:r>
    </w:p>
    <w:p w:rsidR="009D727E" w:rsidRPr="00EF59AB" w:rsidRDefault="009D727E" w:rsidP="009D727E">
      <w:pPr>
        <w:pStyle w:val="BodyText"/>
      </w:pPr>
      <w:r>
        <w:t>Ongoing s</w:t>
      </w:r>
      <w:r w:rsidRPr="00EF59AB">
        <w:t>upport to</w:t>
      </w:r>
      <w:r>
        <w:t xml:space="preserve"> the </w:t>
      </w:r>
      <w:r w:rsidRPr="003326F7">
        <w:rPr>
          <w:b/>
        </w:rPr>
        <w:t xml:space="preserve">National Statistics Office </w:t>
      </w:r>
      <w:r>
        <w:t>saw</w:t>
      </w:r>
      <w:r w:rsidRPr="00EF59AB">
        <w:t xml:space="preserve"> the </w:t>
      </w:r>
      <w:r w:rsidRPr="003326F7">
        <w:rPr>
          <w:b/>
        </w:rPr>
        <w:t xml:space="preserve">Population Census </w:t>
      </w:r>
      <w:r>
        <w:t>completed in 2010</w:t>
      </w:r>
      <w:r w:rsidR="00C110CC">
        <w:t xml:space="preserve">. </w:t>
      </w:r>
      <w:r>
        <w:t xml:space="preserve">The census will provide crucial information </w:t>
      </w:r>
      <w:r w:rsidRPr="00EF59AB">
        <w:t xml:space="preserve">to </w:t>
      </w:r>
      <w:r>
        <w:t>inform</w:t>
      </w:r>
      <w:r w:rsidRPr="00EF59AB">
        <w:t xml:space="preserve"> government and </w:t>
      </w:r>
      <w:r>
        <w:t>donor decision</w:t>
      </w:r>
      <w:r w:rsidR="005E13D5">
        <w:t xml:space="preserve"> </w:t>
      </w:r>
      <w:r>
        <w:t>-making</w:t>
      </w:r>
      <w:r w:rsidR="00C110CC">
        <w:t xml:space="preserve">. </w:t>
      </w:r>
      <w:r>
        <w:t>The office now has</w:t>
      </w:r>
      <w:r w:rsidRPr="00EF59AB">
        <w:t xml:space="preserve"> strong technical staff and sound institutional foundations</w:t>
      </w:r>
      <w:r w:rsidR="00C110CC">
        <w:t xml:space="preserve">. </w:t>
      </w:r>
      <w:proofErr w:type="spellStart"/>
      <w:r>
        <w:t>AusAID</w:t>
      </w:r>
      <w:proofErr w:type="spellEnd"/>
      <w:r>
        <w:t xml:space="preserve"> moved over the year to put in place a grant arrangement </w:t>
      </w:r>
      <w:r w:rsidR="005E13D5">
        <w:t>for</w:t>
      </w:r>
      <w:r w:rsidRPr="00EF59AB">
        <w:t xml:space="preserve"> </w:t>
      </w:r>
      <w:r>
        <w:t xml:space="preserve">the </w:t>
      </w:r>
      <w:r w:rsidR="005E13D5">
        <w:t xml:space="preserve">distribution </w:t>
      </w:r>
      <w:r>
        <w:t>of,</w:t>
      </w:r>
      <w:r w:rsidRPr="00EF59AB">
        <w:t xml:space="preserve"> </w:t>
      </w:r>
      <w:r>
        <w:t xml:space="preserve">and </w:t>
      </w:r>
      <w:r w:rsidRPr="00EF59AB">
        <w:t>demand for, statistical products.</w:t>
      </w:r>
    </w:p>
    <w:p w:rsidR="009D727E" w:rsidRPr="003E4C57" w:rsidRDefault="009D727E" w:rsidP="009D727E">
      <w:pPr>
        <w:pStyle w:val="Caption"/>
        <w:rPr>
          <w:highlight w:val="magenta"/>
        </w:rPr>
      </w:pPr>
      <w:r w:rsidRPr="00E271CD">
        <w:t xml:space="preserve">Table </w:t>
      </w:r>
      <w:r w:rsidR="00825B55">
        <w:fldChar w:fldCharType="begin"/>
      </w:r>
      <w:r w:rsidR="00825B55">
        <w:instrText xml:space="preserve"> SEQ Table \* MERGEFORMAT </w:instrText>
      </w:r>
      <w:r w:rsidR="00825B55">
        <w:fldChar w:fldCharType="separate"/>
      </w:r>
      <w:r>
        <w:rPr>
          <w:noProof/>
        </w:rPr>
        <w:t>5</w:t>
      </w:r>
      <w:r w:rsidR="00825B55">
        <w:rPr>
          <w:noProof/>
        </w:rPr>
        <w:fldChar w:fldCharType="end"/>
      </w:r>
      <w:r w:rsidRPr="00E271CD">
        <w:t xml:space="preserve">: </w:t>
      </w:r>
      <w:r>
        <w:t>Estimated economic governance e</w:t>
      </w:r>
      <w:r w:rsidRPr="00E271CD">
        <w:t>xpenditure</w:t>
      </w:r>
      <w:r>
        <w:t xml:space="preserve"> in 2010</w:t>
      </w:r>
    </w:p>
    <w:tbl>
      <w:tblPr>
        <w:tblW w:w="0" w:type="auto"/>
        <w:tblInd w:w="57" w:type="dxa"/>
        <w:tblLayout w:type="fixed"/>
        <w:tblLook w:val="0000" w:firstRow="0" w:lastRow="0" w:firstColumn="0" w:lastColumn="0" w:noHBand="0" w:noVBand="0"/>
      </w:tblPr>
      <w:tblGrid>
        <w:gridCol w:w="5683"/>
        <w:gridCol w:w="1127"/>
        <w:gridCol w:w="1128"/>
      </w:tblGrid>
      <w:tr w:rsidR="009D727E" w:rsidRPr="003E4C57" w:rsidTr="002666A9">
        <w:trPr>
          <w:cantSplit/>
          <w:tblHeader/>
        </w:trPr>
        <w:tc>
          <w:tcPr>
            <w:tcW w:w="5683" w:type="dxa"/>
            <w:tcBorders>
              <w:top w:val="single" w:sz="12" w:space="0" w:color="auto"/>
              <w:bottom w:val="single" w:sz="2" w:space="0" w:color="auto"/>
            </w:tcBorders>
            <w:tcMar>
              <w:left w:w="57" w:type="dxa"/>
              <w:right w:w="57" w:type="dxa"/>
            </w:tcMar>
          </w:tcPr>
          <w:p w:rsidR="009D727E" w:rsidRDefault="009D727E" w:rsidP="009D727E">
            <w:pPr>
              <w:pStyle w:val="TableDataColumnHeading"/>
              <w:jc w:val="left"/>
            </w:pPr>
            <w:r>
              <w:t>Objective</w:t>
            </w:r>
          </w:p>
        </w:tc>
        <w:tc>
          <w:tcPr>
            <w:tcW w:w="1127" w:type="dxa"/>
            <w:tcBorders>
              <w:top w:val="single" w:sz="12" w:space="0" w:color="auto"/>
              <w:bottom w:val="single" w:sz="2" w:space="0" w:color="auto"/>
            </w:tcBorders>
            <w:tcMar>
              <w:left w:w="57" w:type="dxa"/>
              <w:right w:w="57" w:type="dxa"/>
            </w:tcMar>
          </w:tcPr>
          <w:p w:rsidR="009D727E" w:rsidRDefault="009D727E" w:rsidP="009D727E">
            <w:pPr>
              <w:pStyle w:val="TableDataColumnHeading"/>
            </w:pPr>
            <w:r>
              <w:t>$ million</w:t>
            </w:r>
          </w:p>
        </w:tc>
        <w:tc>
          <w:tcPr>
            <w:tcW w:w="1128" w:type="dxa"/>
            <w:tcBorders>
              <w:top w:val="single" w:sz="12" w:space="0" w:color="auto"/>
              <w:bottom w:val="single" w:sz="2" w:space="0" w:color="auto"/>
            </w:tcBorders>
            <w:tcMar>
              <w:left w:w="57" w:type="dxa"/>
              <w:right w:w="57" w:type="dxa"/>
            </w:tcMar>
          </w:tcPr>
          <w:p w:rsidR="009D727E" w:rsidRDefault="009D727E" w:rsidP="001A3ABC">
            <w:pPr>
              <w:pStyle w:val="TableDataColumnHeading"/>
            </w:pPr>
            <w:r>
              <w:t xml:space="preserve"> </w:t>
            </w:r>
            <w:r w:rsidR="001A3ABC">
              <w:t>%</w:t>
            </w:r>
            <w:r>
              <w:t xml:space="preserve"> of bilateral program</w:t>
            </w:r>
          </w:p>
        </w:tc>
      </w:tr>
      <w:tr w:rsidR="009D727E" w:rsidRPr="002452D0" w:rsidTr="009D727E">
        <w:tc>
          <w:tcPr>
            <w:tcW w:w="5683" w:type="dxa"/>
            <w:tcBorders>
              <w:bottom w:val="single" w:sz="12" w:space="0" w:color="auto"/>
            </w:tcBorders>
            <w:tcMar>
              <w:left w:w="57" w:type="dxa"/>
              <w:right w:w="57" w:type="dxa"/>
            </w:tcMar>
          </w:tcPr>
          <w:p w:rsidR="009D727E" w:rsidRPr="002452D0" w:rsidRDefault="009D727E" w:rsidP="005E13D5">
            <w:pPr>
              <w:pStyle w:val="TableDataEntries"/>
              <w:jc w:val="left"/>
            </w:pPr>
            <w:r w:rsidRPr="007C3A14">
              <w:t xml:space="preserve">Economic </w:t>
            </w:r>
            <w:r w:rsidR="005E13D5">
              <w:t>g</w:t>
            </w:r>
            <w:r w:rsidRPr="007C3A14">
              <w:t>overnance: progress reform on economic governance issues</w:t>
            </w:r>
          </w:p>
        </w:tc>
        <w:tc>
          <w:tcPr>
            <w:tcW w:w="1127" w:type="dxa"/>
            <w:tcBorders>
              <w:bottom w:val="single" w:sz="12" w:space="0" w:color="auto"/>
            </w:tcBorders>
            <w:tcMar>
              <w:left w:w="57" w:type="dxa"/>
              <w:right w:w="57" w:type="dxa"/>
            </w:tcMar>
          </w:tcPr>
          <w:p w:rsidR="009D727E" w:rsidRPr="008A6A37" w:rsidRDefault="009D727E" w:rsidP="009D727E">
            <w:pPr>
              <w:pStyle w:val="TableDataEntries"/>
            </w:pPr>
            <w:r w:rsidRPr="008A6A37">
              <w:t>3.8</w:t>
            </w:r>
          </w:p>
        </w:tc>
        <w:tc>
          <w:tcPr>
            <w:tcW w:w="1128" w:type="dxa"/>
            <w:tcBorders>
              <w:bottom w:val="single" w:sz="12" w:space="0" w:color="auto"/>
            </w:tcBorders>
            <w:tcMar>
              <w:left w:w="57" w:type="dxa"/>
              <w:right w:w="57" w:type="dxa"/>
            </w:tcMar>
          </w:tcPr>
          <w:p w:rsidR="009D727E" w:rsidRPr="008A6A37" w:rsidRDefault="009D727E" w:rsidP="009D727E">
            <w:pPr>
              <w:pStyle w:val="TableDataEntries"/>
            </w:pPr>
            <w:r w:rsidRPr="008A6A37">
              <w:t>8</w:t>
            </w:r>
            <w:r>
              <w:t xml:space="preserve"> </w:t>
            </w:r>
          </w:p>
        </w:tc>
      </w:tr>
    </w:tbl>
    <w:p w:rsidR="009D727E" w:rsidRPr="002666A9" w:rsidRDefault="009D727E" w:rsidP="006D5140">
      <w:pPr>
        <w:pStyle w:val="Heading2"/>
      </w:pPr>
      <w:r w:rsidRPr="002666A9">
        <w:t xml:space="preserve">Objective 5: Law and </w:t>
      </w:r>
      <w:r w:rsidR="005E13D5" w:rsidRPr="002666A9">
        <w:t>j</w:t>
      </w:r>
      <w:r w:rsidRPr="002666A9">
        <w:t>ustice: more effective legal institutions and improved police services</w:t>
      </w:r>
    </w:p>
    <w:p w:rsidR="00796C85" w:rsidRDefault="00796C85" w:rsidP="00796C85"/>
    <w:p w:rsidR="009D727E" w:rsidRPr="00796C85" w:rsidRDefault="009D727E" w:rsidP="00796C85">
      <w:pPr>
        <w:rPr>
          <w:rFonts w:ascii="Georgia" w:hAnsi="Georgia"/>
          <w:sz w:val="19"/>
          <w:szCs w:val="19"/>
        </w:rPr>
      </w:pPr>
      <w:r w:rsidRPr="00796C85">
        <w:rPr>
          <w:rFonts w:ascii="Georgia" w:hAnsi="Georgia"/>
          <w:sz w:val="19"/>
          <w:szCs w:val="19"/>
        </w:rPr>
        <w:t>* Specific targets will be developed based on sector planning in 2011.</w:t>
      </w:r>
    </w:p>
    <w:p w:rsidR="009D727E" w:rsidRDefault="009D727E" w:rsidP="006D5140">
      <w:pPr>
        <w:pStyle w:val="Heading3"/>
      </w:pPr>
      <w:bookmarkStart w:id="11" w:name="_Toc360978106"/>
      <w:r>
        <w:t>Rating</w:t>
      </w:r>
      <w:bookmarkEnd w:id="11"/>
    </w:p>
    <w:p w:rsidR="009D727E" w:rsidRPr="00EA36A9" w:rsidRDefault="009D23F3" w:rsidP="009D727E">
      <w:pPr>
        <w:pStyle w:val="BodyText"/>
      </w:pPr>
      <w:r>
        <w:rPr>
          <w:noProof/>
          <w:color w:val="99CC00"/>
          <w:sz w:val="28"/>
          <w:szCs w:val="28"/>
          <w:lang w:val="en-US" w:eastAsia="en-US"/>
        </w:rPr>
        <w:drawing>
          <wp:inline distT="0" distB="0" distL="0" distR="0" wp14:anchorId="339CE963" wp14:editId="25B24AEA">
            <wp:extent cx="137795" cy="137795"/>
            <wp:effectExtent l="0" t="0" r="0" b="0"/>
            <wp:docPr id="5" name="Picture 5" descr="Gree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009D727E">
        <w:rPr>
          <w:rFonts w:ascii="Arial Unicode MS" w:eastAsia="Arial Unicode MS" w:hAnsi="Arial Unicode MS" w:cs="Arial Unicode MS" w:hint="eastAsia"/>
        </w:rPr>
        <w:t> </w:t>
      </w:r>
      <w:r w:rsidR="009D727E" w:rsidRPr="00230BD1">
        <w:t xml:space="preserve">The objective </w:t>
      </w:r>
      <w:r w:rsidR="009D727E" w:rsidRPr="00481728">
        <w:t>was</w:t>
      </w:r>
      <w:r w:rsidR="009D727E" w:rsidRPr="00230BD1">
        <w:t xml:space="preserve"> </w:t>
      </w:r>
      <w:r w:rsidR="009D727E">
        <w:t>fully</w:t>
      </w:r>
      <w:r w:rsidR="009D727E" w:rsidRPr="00230BD1">
        <w:t xml:space="preserve"> achieved within the timeframe of the strategy.</w:t>
      </w:r>
    </w:p>
    <w:p w:rsidR="009D727E" w:rsidRDefault="009D727E" w:rsidP="006D5140">
      <w:pPr>
        <w:pStyle w:val="Heading3"/>
      </w:pPr>
      <w:bookmarkStart w:id="12" w:name="_Toc360978107"/>
      <w:r>
        <w:t>Assessment of results and performance</w:t>
      </w:r>
      <w:bookmarkEnd w:id="12"/>
    </w:p>
    <w:p w:rsidR="009D727E" w:rsidRDefault="00581A3A" w:rsidP="009D727E">
      <w:pPr>
        <w:pStyle w:val="BodyText"/>
      </w:pPr>
      <w:r>
        <w:t xml:space="preserve">At the 2010 Australia – Vanuatu Partnership for Development talks, it was </w:t>
      </w:r>
      <w:r w:rsidRPr="008A6A37">
        <w:t xml:space="preserve">agreed to add </w:t>
      </w:r>
      <w:r>
        <w:t xml:space="preserve">the </w:t>
      </w:r>
      <w:r w:rsidRPr="008A6A37">
        <w:t xml:space="preserve">law and justice </w:t>
      </w:r>
      <w:r>
        <w:t xml:space="preserve">sector </w:t>
      </w:r>
      <w:r w:rsidRPr="008A6A37">
        <w:t>as a fifth priority</w:t>
      </w:r>
      <w:r>
        <w:t xml:space="preserve"> objective. </w:t>
      </w:r>
      <w:r w:rsidR="009D727E" w:rsidRPr="008A6A37">
        <w:t xml:space="preserve">The agreement to elevate law and justice as a partnership priority </w:t>
      </w:r>
      <w:r w:rsidR="009D727E">
        <w:t xml:space="preserve">indicates </w:t>
      </w:r>
      <w:r w:rsidR="009D727E" w:rsidRPr="008A6A37">
        <w:t>engagement on the performance</w:t>
      </w:r>
      <w:r w:rsidR="009D727E" w:rsidRPr="00564C0E">
        <w:t xml:space="preserve"> of this sector at senior levels</w:t>
      </w:r>
      <w:r w:rsidR="00C110CC">
        <w:t xml:space="preserve">. </w:t>
      </w:r>
    </w:p>
    <w:p w:rsidR="009D727E" w:rsidRDefault="009D727E" w:rsidP="009D727E">
      <w:pPr>
        <w:pStyle w:val="BodyText"/>
      </w:pPr>
      <w:r>
        <w:t>Both the legal and police projects</w:t>
      </w:r>
      <w:r w:rsidRPr="00564C0E">
        <w:t xml:space="preserve"> </w:t>
      </w:r>
      <w:r>
        <w:t>were on track to meet their objectives as they near</w:t>
      </w:r>
      <w:r w:rsidRPr="00564C0E">
        <w:t xml:space="preserve"> the end of</w:t>
      </w:r>
      <w:r>
        <w:t xml:space="preserve"> their current phases</w:t>
      </w:r>
      <w:r w:rsidR="00C110CC">
        <w:t xml:space="preserve">. </w:t>
      </w:r>
      <w:r>
        <w:t xml:space="preserve">Support to the </w:t>
      </w:r>
      <w:r w:rsidRPr="003326F7">
        <w:rPr>
          <w:b/>
        </w:rPr>
        <w:t>Vanuatu Police Force</w:t>
      </w:r>
      <w:r>
        <w:t xml:space="preserve"> saw 33 new recruits </w:t>
      </w:r>
      <w:r w:rsidRPr="00FA5F70">
        <w:t>train</w:t>
      </w:r>
      <w:r>
        <w:t>ed and 57 constables (the first in the Pacific) attaining a Diploma of Policing</w:t>
      </w:r>
      <w:r w:rsidR="00C110CC">
        <w:t xml:space="preserve">. </w:t>
      </w:r>
      <w:r>
        <w:t xml:space="preserve">Police capacity to respond to crimes expanded with the provision </w:t>
      </w:r>
      <w:r w:rsidRPr="00587D28">
        <w:t>of new police posts</w:t>
      </w:r>
      <w:r>
        <w:t xml:space="preserve">, communications systems, vehicles, </w:t>
      </w:r>
      <w:r w:rsidR="00C110CC">
        <w:t>10</w:t>
      </w:r>
      <w:r>
        <w:t xml:space="preserve"> specially</w:t>
      </w:r>
      <w:r w:rsidR="00E84D9A">
        <w:t>-</w:t>
      </w:r>
      <w:r>
        <w:t>equipped small boats and a larger patrol vessel. Crime reporting and corporate support remain areas in need of ongoing development.</w:t>
      </w:r>
    </w:p>
    <w:p w:rsidR="009D727E" w:rsidRDefault="009D727E" w:rsidP="009D727E">
      <w:pPr>
        <w:pStyle w:val="BodyText"/>
      </w:pPr>
      <w:r>
        <w:t xml:space="preserve">An independent review of the </w:t>
      </w:r>
      <w:r w:rsidRPr="002D7F5B">
        <w:rPr>
          <w:b/>
        </w:rPr>
        <w:t>legal</w:t>
      </w:r>
      <w:r>
        <w:t xml:space="preserve"> project found it highly effective, with particular success in office and case management and the professional performance of junior staff in the public legal offices</w:t>
      </w:r>
      <w:r w:rsidR="00C110CC">
        <w:t xml:space="preserve">. </w:t>
      </w:r>
      <w:r w:rsidRPr="00426DCD">
        <w:rPr>
          <w:b/>
        </w:rPr>
        <w:t>State Law Office</w:t>
      </w:r>
      <w:r>
        <w:t xml:space="preserve"> advisers provided high</w:t>
      </w:r>
      <w:r w:rsidR="00E84D9A">
        <w:t>-</w:t>
      </w:r>
      <w:r>
        <w:t>quality advice to public sector agencies and ministers on complex legal issues (for example about utilities deregulation), and successfully defended litigation cases against the state.</w:t>
      </w:r>
    </w:p>
    <w:p w:rsidR="009D727E" w:rsidRDefault="009D727E" w:rsidP="009D727E">
      <w:pPr>
        <w:pStyle w:val="BodyText"/>
      </w:pPr>
      <w:r>
        <w:lastRenderedPageBreak/>
        <w:t xml:space="preserve">The </w:t>
      </w:r>
      <w:r w:rsidRPr="00CD0CDE">
        <w:rPr>
          <w:b/>
        </w:rPr>
        <w:t>Vanuatu Women’s Centre</w:t>
      </w:r>
      <w:r>
        <w:t xml:space="preserve"> (co-funded with </w:t>
      </w:r>
      <w:r w:rsidRPr="00B95094">
        <w:t>N</w:t>
      </w:r>
      <w:r w:rsidR="00B95094">
        <w:t xml:space="preserve">ew </w:t>
      </w:r>
      <w:r w:rsidRPr="00B95094">
        <w:t>Z</w:t>
      </w:r>
      <w:r w:rsidR="00B95094">
        <w:t>ealand</w:t>
      </w:r>
      <w:r w:rsidRPr="00B95094">
        <w:t>) expanded</w:t>
      </w:r>
      <w:r>
        <w:t xml:space="preserve"> its work in Port</w:t>
      </w:r>
      <w:r w:rsidR="00E84D9A">
        <w:t> </w:t>
      </w:r>
      <w:r>
        <w:t>Vila and three provincial centres, providing counselling, community education and legal advocacy for victims of domestic violence. There was a further increase in client numbers, with 1619 women accessing counselling in 2010, compared to 345 in the six months from July to December 2009. The centre has been pivotal in the implementation of the new Family Protection Act</w:t>
      </w:r>
      <w:r w:rsidR="00C110CC">
        <w:t xml:space="preserve">. </w:t>
      </w:r>
      <w:r w:rsidR="00E84D9A">
        <w:t xml:space="preserve">A total of </w:t>
      </w:r>
      <w:r>
        <w:t>105 Family Protection Orders have been facilitated by the centre and its branches</w:t>
      </w:r>
      <w:r w:rsidR="00C110CC">
        <w:t xml:space="preserve">. </w:t>
      </w:r>
      <w:r>
        <w:t xml:space="preserve">In addition, provincial community awareness activities reached 3944 women and 3668 men. </w:t>
      </w:r>
    </w:p>
    <w:p w:rsidR="009D727E" w:rsidRPr="003E4C57" w:rsidRDefault="009D727E" w:rsidP="009D727E">
      <w:pPr>
        <w:pStyle w:val="Caption"/>
        <w:rPr>
          <w:highlight w:val="magenta"/>
        </w:rPr>
      </w:pPr>
      <w:r w:rsidRPr="00E271CD">
        <w:t xml:space="preserve">Table </w:t>
      </w:r>
      <w:r>
        <w:t>6</w:t>
      </w:r>
      <w:r w:rsidRPr="00E271CD">
        <w:t xml:space="preserve">: </w:t>
      </w:r>
      <w:r>
        <w:t>Estimated law and justice e</w:t>
      </w:r>
      <w:r w:rsidRPr="00E271CD">
        <w:t>xpenditure</w:t>
      </w:r>
      <w:r>
        <w:t xml:space="preserve"> in 2010 </w:t>
      </w:r>
    </w:p>
    <w:tbl>
      <w:tblPr>
        <w:tblW w:w="0" w:type="auto"/>
        <w:tblInd w:w="57" w:type="dxa"/>
        <w:tblLayout w:type="fixed"/>
        <w:tblLook w:val="0000" w:firstRow="0" w:lastRow="0" w:firstColumn="0" w:lastColumn="0" w:noHBand="0" w:noVBand="0"/>
      </w:tblPr>
      <w:tblGrid>
        <w:gridCol w:w="5683"/>
        <w:gridCol w:w="1127"/>
        <w:gridCol w:w="1128"/>
      </w:tblGrid>
      <w:tr w:rsidR="009D727E" w:rsidRPr="003E4C57" w:rsidTr="002666A9">
        <w:trPr>
          <w:cantSplit/>
          <w:tblHeader/>
        </w:trPr>
        <w:tc>
          <w:tcPr>
            <w:tcW w:w="5683" w:type="dxa"/>
            <w:tcBorders>
              <w:top w:val="single" w:sz="12" w:space="0" w:color="auto"/>
              <w:bottom w:val="single" w:sz="2" w:space="0" w:color="auto"/>
            </w:tcBorders>
            <w:tcMar>
              <w:left w:w="57" w:type="dxa"/>
              <w:right w:w="57" w:type="dxa"/>
            </w:tcMar>
          </w:tcPr>
          <w:p w:rsidR="009D727E" w:rsidRDefault="009D727E" w:rsidP="009D727E">
            <w:pPr>
              <w:pStyle w:val="TableDataColumnHeading"/>
              <w:jc w:val="left"/>
            </w:pPr>
            <w:r>
              <w:t>Objective</w:t>
            </w:r>
          </w:p>
        </w:tc>
        <w:tc>
          <w:tcPr>
            <w:tcW w:w="1127" w:type="dxa"/>
            <w:tcBorders>
              <w:top w:val="single" w:sz="12" w:space="0" w:color="auto"/>
              <w:bottom w:val="single" w:sz="2" w:space="0" w:color="auto"/>
            </w:tcBorders>
            <w:tcMar>
              <w:left w:w="57" w:type="dxa"/>
              <w:right w:w="57" w:type="dxa"/>
            </w:tcMar>
          </w:tcPr>
          <w:p w:rsidR="009D727E" w:rsidRDefault="009D727E" w:rsidP="009D727E">
            <w:pPr>
              <w:pStyle w:val="TableDataColumnHeading"/>
            </w:pPr>
            <w:r>
              <w:t>$ million</w:t>
            </w:r>
          </w:p>
        </w:tc>
        <w:tc>
          <w:tcPr>
            <w:tcW w:w="1128" w:type="dxa"/>
            <w:tcBorders>
              <w:top w:val="single" w:sz="12" w:space="0" w:color="auto"/>
              <w:bottom w:val="single" w:sz="2" w:space="0" w:color="auto"/>
            </w:tcBorders>
            <w:tcMar>
              <w:left w:w="57" w:type="dxa"/>
              <w:right w:w="57" w:type="dxa"/>
            </w:tcMar>
          </w:tcPr>
          <w:p w:rsidR="009D727E" w:rsidRDefault="009D727E" w:rsidP="00E84D9A">
            <w:pPr>
              <w:pStyle w:val="TableDataColumnHeading"/>
            </w:pPr>
            <w:r>
              <w:t xml:space="preserve"> </w:t>
            </w:r>
            <w:r w:rsidR="00E84D9A">
              <w:t>%</w:t>
            </w:r>
            <w:r>
              <w:t xml:space="preserve"> of bilateral program</w:t>
            </w:r>
          </w:p>
        </w:tc>
      </w:tr>
      <w:tr w:rsidR="009D727E" w:rsidRPr="003B1F7A" w:rsidTr="009D727E">
        <w:tc>
          <w:tcPr>
            <w:tcW w:w="5683" w:type="dxa"/>
            <w:tcBorders>
              <w:bottom w:val="single" w:sz="12" w:space="0" w:color="auto"/>
            </w:tcBorders>
            <w:tcMar>
              <w:left w:w="57" w:type="dxa"/>
              <w:right w:w="57" w:type="dxa"/>
            </w:tcMar>
          </w:tcPr>
          <w:p w:rsidR="009D727E" w:rsidRPr="002452D0" w:rsidRDefault="009D727E" w:rsidP="009D727E">
            <w:pPr>
              <w:pStyle w:val="TableDataEntries"/>
              <w:jc w:val="left"/>
            </w:pPr>
            <w:r w:rsidRPr="007C3A14">
              <w:t xml:space="preserve">Law and </w:t>
            </w:r>
            <w:r w:rsidR="00E84D9A">
              <w:t>j</w:t>
            </w:r>
            <w:r w:rsidRPr="007C3A14">
              <w:t>ustice: more effective legal institutions and improved police services</w:t>
            </w:r>
          </w:p>
        </w:tc>
        <w:tc>
          <w:tcPr>
            <w:tcW w:w="1127" w:type="dxa"/>
            <w:tcBorders>
              <w:bottom w:val="single" w:sz="12" w:space="0" w:color="auto"/>
            </w:tcBorders>
            <w:tcMar>
              <w:left w:w="57" w:type="dxa"/>
              <w:right w:w="57" w:type="dxa"/>
            </w:tcMar>
          </w:tcPr>
          <w:p w:rsidR="009D727E" w:rsidRPr="003B1F7A" w:rsidRDefault="009D727E" w:rsidP="009D727E">
            <w:pPr>
              <w:pStyle w:val="TableDataEntries"/>
            </w:pPr>
            <w:r w:rsidRPr="003B1F7A">
              <w:t>12</w:t>
            </w:r>
          </w:p>
        </w:tc>
        <w:tc>
          <w:tcPr>
            <w:tcW w:w="1128" w:type="dxa"/>
            <w:tcBorders>
              <w:bottom w:val="single" w:sz="12" w:space="0" w:color="auto"/>
            </w:tcBorders>
            <w:tcMar>
              <w:left w:w="57" w:type="dxa"/>
              <w:right w:w="57" w:type="dxa"/>
            </w:tcMar>
          </w:tcPr>
          <w:p w:rsidR="009D727E" w:rsidRPr="003B1F7A" w:rsidRDefault="009D727E" w:rsidP="009D727E">
            <w:pPr>
              <w:pStyle w:val="TableDataEntries"/>
            </w:pPr>
            <w:r w:rsidRPr="003B1F7A">
              <w:t>24</w:t>
            </w:r>
            <w:r>
              <w:t xml:space="preserve"> </w:t>
            </w:r>
          </w:p>
        </w:tc>
      </w:tr>
    </w:tbl>
    <w:p w:rsidR="009D727E" w:rsidRPr="002666A9" w:rsidRDefault="009D727E" w:rsidP="006D5140">
      <w:pPr>
        <w:pStyle w:val="Heading2"/>
      </w:pPr>
      <w:r w:rsidRPr="002666A9">
        <w:t xml:space="preserve">Other priority areas: civil society and land </w:t>
      </w:r>
    </w:p>
    <w:p w:rsidR="009D727E" w:rsidRDefault="009D727E" w:rsidP="009D727E">
      <w:pPr>
        <w:pStyle w:val="BodyText"/>
      </w:pPr>
      <w:r>
        <w:t>Cooperation in media, community partnerships, leadership and the land sector are not explicit priorities in the</w:t>
      </w:r>
      <w:r w:rsidR="00E84D9A">
        <w:t xml:space="preserve"> Vanuatu – Australia</w:t>
      </w:r>
      <w:r>
        <w:t xml:space="preserve"> Partnership for Development, but collectively, this assistance amounted to </w:t>
      </w:r>
      <w:r w:rsidR="00C110CC">
        <w:t>10</w:t>
      </w:r>
      <w:r>
        <w:t xml:space="preserve"> per cent of Australian bilateral assistance in 2010</w:t>
      </w:r>
      <w:r w:rsidR="00C110CC">
        <w:t xml:space="preserve">. </w:t>
      </w:r>
    </w:p>
    <w:p w:rsidR="009D727E" w:rsidRPr="00FD6AFF" w:rsidRDefault="009D727E" w:rsidP="009D727E">
      <w:pPr>
        <w:pStyle w:val="BodyText"/>
      </w:pPr>
      <w:r>
        <w:t xml:space="preserve">Australia’s support to the public broadcaster, </w:t>
      </w:r>
      <w:r w:rsidRPr="00331376">
        <w:rPr>
          <w:b/>
        </w:rPr>
        <w:t>Radio Vanuatu</w:t>
      </w:r>
      <w:r>
        <w:t>, helped improve</w:t>
      </w:r>
      <w:r w:rsidRPr="00FD6AFF">
        <w:t xml:space="preserve"> </w:t>
      </w:r>
      <w:r>
        <w:t xml:space="preserve">its </w:t>
      </w:r>
      <w:r w:rsidRPr="00FD6AFF">
        <w:t xml:space="preserve">quality and </w:t>
      </w:r>
      <w:r>
        <w:t>reach (</w:t>
      </w:r>
      <w:proofErr w:type="spellStart"/>
      <w:r>
        <w:t>AusAID</w:t>
      </w:r>
      <w:proofErr w:type="spellEnd"/>
      <w:r>
        <w:t xml:space="preserve"> and the Australian Broadcasting Corporation as implementing partner)</w:t>
      </w:r>
      <w:r w:rsidR="00C110CC">
        <w:t xml:space="preserve">. </w:t>
      </w:r>
      <w:r>
        <w:t>Major</w:t>
      </w:r>
      <w:r w:rsidR="00E84D9A">
        <w:t> </w:t>
      </w:r>
      <w:r>
        <w:t xml:space="preserve">achievements in 2010 included: </w:t>
      </w:r>
      <w:r w:rsidRPr="00FD6AFF">
        <w:t>100</w:t>
      </w:r>
      <w:r>
        <w:t xml:space="preserve"> per cent</w:t>
      </w:r>
      <w:r w:rsidRPr="00FD6AFF">
        <w:t xml:space="preserve"> radio </w:t>
      </w:r>
      <w:r>
        <w:t>transmission</w:t>
      </w:r>
      <w:r w:rsidRPr="00FD6AFF">
        <w:t xml:space="preserve"> across Vanuatu, active talkback </w:t>
      </w:r>
      <w:r>
        <w:t>sessions</w:t>
      </w:r>
      <w:r w:rsidRPr="00FD6AFF">
        <w:t xml:space="preserve">, seven public media forums about independence and </w:t>
      </w:r>
      <w:r>
        <w:t>proactive dissemination of</w:t>
      </w:r>
      <w:r w:rsidRPr="00FD6AFF">
        <w:t xml:space="preserve"> cyclone</w:t>
      </w:r>
      <w:r>
        <w:t xml:space="preserve"> and tsunami</w:t>
      </w:r>
      <w:r w:rsidRPr="00FD6AFF">
        <w:t xml:space="preserve"> warnings</w:t>
      </w:r>
      <w:r w:rsidR="00C110CC">
        <w:t xml:space="preserve">. </w:t>
      </w:r>
      <w:r>
        <w:t>Improved internal governance saw revenue increase</w:t>
      </w:r>
      <w:r w:rsidRPr="00FD6AFF">
        <w:t xml:space="preserve"> by 22</w:t>
      </w:r>
      <w:r>
        <w:t xml:space="preserve"> per cent</w:t>
      </w:r>
      <w:r w:rsidRPr="00FD6AFF">
        <w:t xml:space="preserve"> and net losses </w:t>
      </w:r>
      <w:r>
        <w:t>drop</w:t>
      </w:r>
      <w:r w:rsidRPr="00FD6AFF">
        <w:t xml:space="preserve"> b</w:t>
      </w:r>
      <w:r>
        <w:t>y 42 per cent</w:t>
      </w:r>
      <w:r w:rsidR="00B95094">
        <w:t>—</w:t>
      </w:r>
      <w:r>
        <w:t>but financial management remains</w:t>
      </w:r>
      <w:r w:rsidRPr="00FD6AFF">
        <w:t xml:space="preserve"> </w:t>
      </w:r>
      <w:r>
        <w:t>an area in need of further improvement</w:t>
      </w:r>
      <w:r w:rsidR="00C110CC">
        <w:t xml:space="preserve">. </w:t>
      </w:r>
    </w:p>
    <w:p w:rsidR="009D727E" w:rsidRDefault="00581A3A" w:rsidP="009D727E">
      <w:pPr>
        <w:pStyle w:val="BodyText"/>
      </w:pPr>
      <w:r>
        <w:t xml:space="preserve">Local non-government organisation </w:t>
      </w:r>
      <w:r w:rsidR="009D727E" w:rsidRPr="00183836">
        <w:rPr>
          <w:i/>
        </w:rPr>
        <w:t xml:space="preserve">Wan </w:t>
      </w:r>
      <w:proofErr w:type="spellStart"/>
      <w:r w:rsidR="009D727E" w:rsidRPr="00183836">
        <w:rPr>
          <w:i/>
        </w:rPr>
        <w:t>Smolbag</w:t>
      </w:r>
      <w:proofErr w:type="spellEnd"/>
      <w:r w:rsidR="009D727E">
        <w:t xml:space="preserve"> delivered on its role as the main provider of a range of public education, health and </w:t>
      </w:r>
      <w:r w:rsidR="009D727E" w:rsidRPr="00331376">
        <w:rPr>
          <w:b/>
        </w:rPr>
        <w:t>youth services</w:t>
      </w:r>
      <w:r w:rsidR="009D727E">
        <w:t xml:space="preserve"> in disadvantaged urban areas, with core funding from </w:t>
      </w:r>
      <w:proofErr w:type="spellStart"/>
      <w:r w:rsidR="009D727E">
        <w:t>AusAID</w:t>
      </w:r>
      <w:proofErr w:type="spellEnd"/>
      <w:r w:rsidR="009D727E">
        <w:t xml:space="preserve"> and New</w:t>
      </w:r>
      <w:r w:rsidR="00E84D9A">
        <w:t> </w:t>
      </w:r>
      <w:r w:rsidR="009D727E">
        <w:t>Zealand</w:t>
      </w:r>
      <w:r w:rsidR="00C110CC">
        <w:t xml:space="preserve">. </w:t>
      </w:r>
      <w:r w:rsidR="009D727E">
        <w:t>Th</w:t>
      </w:r>
      <w:r w:rsidR="00E84D9A">
        <w:t>is</w:t>
      </w:r>
      <w:r w:rsidR="009D727E">
        <w:t xml:space="preserve"> </w:t>
      </w:r>
      <w:r w:rsidR="00AC3247" w:rsidRPr="00AC3247">
        <w:t>non-government organisation</w:t>
      </w:r>
      <w:r w:rsidR="00E84D9A">
        <w:t>’</w:t>
      </w:r>
      <w:r w:rsidR="00AC3247">
        <w:t>s</w:t>
      </w:r>
      <w:r w:rsidR="00AC3247" w:rsidRPr="00AC3247">
        <w:t xml:space="preserve"> </w:t>
      </w:r>
      <w:r w:rsidR="009D727E">
        <w:t>reproductive and sexual health clinics in Port</w:t>
      </w:r>
      <w:r w:rsidR="00E84D9A">
        <w:t> </w:t>
      </w:r>
      <w:r w:rsidR="009D727E">
        <w:t xml:space="preserve">Vila and </w:t>
      </w:r>
      <w:proofErr w:type="spellStart"/>
      <w:r w:rsidR="009D727E">
        <w:t>Luganville</w:t>
      </w:r>
      <w:proofErr w:type="spellEnd"/>
      <w:r w:rsidR="009D727E">
        <w:t xml:space="preserve"> service more than 10</w:t>
      </w:r>
      <w:r w:rsidR="00AC3247">
        <w:t> </w:t>
      </w:r>
      <w:r w:rsidR="009D727E">
        <w:t xml:space="preserve">000 clients, fee-free, each year, and more than 2000 young people joined </w:t>
      </w:r>
      <w:r w:rsidR="0085754F" w:rsidRPr="00183836">
        <w:rPr>
          <w:i/>
        </w:rPr>
        <w:t xml:space="preserve">Wan </w:t>
      </w:r>
      <w:proofErr w:type="spellStart"/>
      <w:r w:rsidR="0085754F" w:rsidRPr="00183836">
        <w:rPr>
          <w:i/>
        </w:rPr>
        <w:t>Smolbag</w:t>
      </w:r>
      <w:proofErr w:type="spellEnd"/>
      <w:r w:rsidR="0085754F" w:rsidRPr="0085754F">
        <w:t xml:space="preserve"> </w:t>
      </w:r>
      <w:r w:rsidR="009D727E">
        <w:t>youth centres in 2010. Management reforms in 2010 are beginning to bring benefits and strengthen the organisation’s sustainability.</w:t>
      </w:r>
    </w:p>
    <w:p w:rsidR="009D727E" w:rsidRDefault="009D727E" w:rsidP="009D727E">
      <w:pPr>
        <w:pStyle w:val="BodyText"/>
      </w:pPr>
      <w:r>
        <w:t xml:space="preserve">Australia’s interim assistance to the </w:t>
      </w:r>
      <w:r w:rsidRPr="00A153A8">
        <w:rPr>
          <w:b/>
        </w:rPr>
        <w:t>land</w:t>
      </w:r>
      <w:r>
        <w:t xml:space="preserve"> sector</w:t>
      </w:r>
      <w:r w:rsidRPr="00D045F8">
        <w:t xml:space="preserve"> concluded in June 2010, </w:t>
      </w:r>
      <w:r>
        <w:t xml:space="preserve">anticipating a new joint program in 2011. </w:t>
      </w:r>
      <w:r w:rsidR="00E84D9A">
        <w:t>H</w:t>
      </w:r>
      <w:r w:rsidRPr="00D045F8">
        <w:t xml:space="preserve">aving </w:t>
      </w:r>
      <w:r>
        <w:t>helped the</w:t>
      </w:r>
      <w:r w:rsidRPr="00D045F8">
        <w:t xml:space="preserve"> Government of Vanuatu </w:t>
      </w:r>
      <w:r>
        <w:t>implement key reforms</w:t>
      </w:r>
      <w:r w:rsidR="00E84D9A">
        <w:t>,</w:t>
      </w:r>
      <w:r>
        <w:t xml:space="preserve"> such as </w:t>
      </w:r>
      <w:r w:rsidRPr="00D045F8">
        <w:t>new strata title legislation, a zoning system for Port Vila and the formation of the Vanuatu Land Governance Committee</w:t>
      </w:r>
      <w:r w:rsidR="00C110CC">
        <w:t xml:space="preserve">. </w:t>
      </w:r>
      <w:r>
        <w:t>Vanuatu l</w:t>
      </w:r>
      <w:r w:rsidRPr="00D045F8">
        <w:t>eadership at the executive and political level was instrumental to this success</w:t>
      </w:r>
      <w:r>
        <w:t>.</w:t>
      </w:r>
    </w:p>
    <w:p w:rsidR="009D727E" w:rsidRDefault="009D727E" w:rsidP="009D727E">
      <w:pPr>
        <w:pStyle w:val="BodyText"/>
      </w:pPr>
      <w:r>
        <w:t xml:space="preserve">The </w:t>
      </w:r>
      <w:proofErr w:type="spellStart"/>
      <w:r>
        <w:t>AusAID</w:t>
      </w:r>
      <w:proofErr w:type="spellEnd"/>
      <w:r>
        <w:t>-funded World Bank program,</w:t>
      </w:r>
      <w:r w:rsidRPr="00AF0538">
        <w:rPr>
          <w:b/>
        </w:rPr>
        <w:t xml:space="preserve"> </w:t>
      </w:r>
      <w:r w:rsidRPr="00183836">
        <w:rPr>
          <w:i/>
        </w:rPr>
        <w:t xml:space="preserve">Justice </w:t>
      </w:r>
      <w:proofErr w:type="spellStart"/>
      <w:r w:rsidRPr="00183836">
        <w:rPr>
          <w:i/>
        </w:rPr>
        <w:t>blong</w:t>
      </w:r>
      <w:proofErr w:type="spellEnd"/>
      <w:r w:rsidRPr="00183836">
        <w:rPr>
          <w:i/>
        </w:rPr>
        <w:t xml:space="preserve"> </w:t>
      </w:r>
      <w:proofErr w:type="spellStart"/>
      <w:r w:rsidRPr="00183836">
        <w:rPr>
          <w:i/>
        </w:rPr>
        <w:t>Evriwan</w:t>
      </w:r>
      <w:proofErr w:type="spellEnd"/>
      <w:r>
        <w:t>, established itself as a valuable niche component of land sector work</w:t>
      </w:r>
      <w:r w:rsidR="00C110CC">
        <w:t xml:space="preserve">. </w:t>
      </w:r>
      <w:r>
        <w:t xml:space="preserve">Research, such as land lease case studies on </w:t>
      </w:r>
      <w:proofErr w:type="spellStart"/>
      <w:r>
        <w:t>Tanna</w:t>
      </w:r>
      <w:proofErr w:type="spellEnd"/>
      <w:r>
        <w:t xml:space="preserve"> and </w:t>
      </w:r>
      <w:proofErr w:type="spellStart"/>
      <w:r>
        <w:t>Epi</w:t>
      </w:r>
      <w:proofErr w:type="spellEnd"/>
      <w:r>
        <w:t xml:space="preserve">, fed directly into government policy decisions that will be taken forward through the new land program. </w:t>
      </w:r>
    </w:p>
    <w:p w:rsidR="009D727E" w:rsidRPr="003E4C57" w:rsidRDefault="009D727E" w:rsidP="009D727E">
      <w:pPr>
        <w:pStyle w:val="Caption"/>
        <w:rPr>
          <w:highlight w:val="magenta"/>
        </w:rPr>
      </w:pPr>
      <w:r w:rsidRPr="00E271CD">
        <w:lastRenderedPageBreak/>
        <w:t>Table</w:t>
      </w:r>
      <w:r>
        <w:t xml:space="preserve"> 7</w:t>
      </w:r>
      <w:r w:rsidRPr="00E271CD">
        <w:t xml:space="preserve">: </w:t>
      </w:r>
      <w:r>
        <w:t>Estimated ‘other’ e</w:t>
      </w:r>
      <w:r w:rsidRPr="00E271CD">
        <w:t>xpenditure</w:t>
      </w:r>
      <w:r>
        <w:t xml:space="preserve"> in 2010</w:t>
      </w:r>
    </w:p>
    <w:tbl>
      <w:tblPr>
        <w:tblW w:w="0" w:type="auto"/>
        <w:tblInd w:w="57" w:type="dxa"/>
        <w:tblLayout w:type="fixed"/>
        <w:tblLook w:val="0000" w:firstRow="0" w:lastRow="0" w:firstColumn="0" w:lastColumn="0" w:noHBand="0" w:noVBand="0"/>
      </w:tblPr>
      <w:tblGrid>
        <w:gridCol w:w="5683"/>
        <w:gridCol w:w="1127"/>
        <w:gridCol w:w="1128"/>
      </w:tblGrid>
      <w:tr w:rsidR="009D727E" w:rsidRPr="003E4C57" w:rsidTr="002666A9">
        <w:trPr>
          <w:cantSplit/>
          <w:tblHeader/>
        </w:trPr>
        <w:tc>
          <w:tcPr>
            <w:tcW w:w="5683" w:type="dxa"/>
            <w:tcBorders>
              <w:top w:val="single" w:sz="12" w:space="0" w:color="auto"/>
              <w:bottom w:val="single" w:sz="2" w:space="0" w:color="auto"/>
            </w:tcBorders>
            <w:tcMar>
              <w:left w:w="57" w:type="dxa"/>
              <w:right w:w="57" w:type="dxa"/>
            </w:tcMar>
          </w:tcPr>
          <w:p w:rsidR="009D727E" w:rsidRDefault="009D727E" w:rsidP="009D727E">
            <w:pPr>
              <w:pStyle w:val="TableDataColumnHeading"/>
              <w:jc w:val="left"/>
            </w:pPr>
            <w:r>
              <w:t>Other assistance (outside the partnership priorities)</w:t>
            </w:r>
          </w:p>
        </w:tc>
        <w:tc>
          <w:tcPr>
            <w:tcW w:w="1127" w:type="dxa"/>
            <w:tcBorders>
              <w:top w:val="single" w:sz="12" w:space="0" w:color="auto"/>
              <w:bottom w:val="single" w:sz="2" w:space="0" w:color="auto"/>
            </w:tcBorders>
            <w:tcMar>
              <w:left w:w="57" w:type="dxa"/>
              <w:right w:w="57" w:type="dxa"/>
            </w:tcMar>
          </w:tcPr>
          <w:p w:rsidR="009D727E" w:rsidRDefault="009D727E" w:rsidP="009D727E">
            <w:pPr>
              <w:pStyle w:val="TableDataColumnHeading"/>
            </w:pPr>
            <w:r>
              <w:t>$ million</w:t>
            </w:r>
          </w:p>
        </w:tc>
        <w:tc>
          <w:tcPr>
            <w:tcW w:w="1128" w:type="dxa"/>
            <w:tcBorders>
              <w:top w:val="single" w:sz="12" w:space="0" w:color="auto"/>
              <w:bottom w:val="single" w:sz="2" w:space="0" w:color="auto"/>
            </w:tcBorders>
            <w:tcMar>
              <w:left w:w="57" w:type="dxa"/>
              <w:right w:w="57" w:type="dxa"/>
            </w:tcMar>
          </w:tcPr>
          <w:p w:rsidR="009D727E" w:rsidRDefault="009D727E" w:rsidP="00E84D9A">
            <w:pPr>
              <w:pStyle w:val="TableDataColumnHeading"/>
            </w:pPr>
            <w:r>
              <w:t xml:space="preserve"> </w:t>
            </w:r>
            <w:r w:rsidR="00E84D9A">
              <w:t>%</w:t>
            </w:r>
            <w:r>
              <w:t xml:space="preserve"> of bilateral program</w:t>
            </w:r>
          </w:p>
        </w:tc>
      </w:tr>
      <w:tr w:rsidR="009D727E" w:rsidRPr="002452D0" w:rsidTr="009D727E">
        <w:tc>
          <w:tcPr>
            <w:tcW w:w="5683" w:type="dxa"/>
            <w:tcBorders>
              <w:bottom w:val="single" w:sz="12" w:space="0" w:color="auto"/>
            </w:tcBorders>
            <w:tcMar>
              <w:left w:w="57" w:type="dxa"/>
              <w:right w:w="57" w:type="dxa"/>
            </w:tcMar>
          </w:tcPr>
          <w:p w:rsidR="009D727E" w:rsidRPr="002452D0" w:rsidRDefault="009D727E" w:rsidP="00694C4D">
            <w:pPr>
              <w:pStyle w:val="TableDataEntries"/>
              <w:jc w:val="left"/>
            </w:pPr>
            <w:r>
              <w:t xml:space="preserve">Civil society (media, youth, chiefs </w:t>
            </w:r>
            <w:r w:rsidR="00694C4D">
              <w:t>and</w:t>
            </w:r>
            <w:r>
              <w:t xml:space="preserve"> churches) and land</w:t>
            </w:r>
          </w:p>
        </w:tc>
        <w:tc>
          <w:tcPr>
            <w:tcW w:w="1127" w:type="dxa"/>
            <w:tcBorders>
              <w:bottom w:val="single" w:sz="12" w:space="0" w:color="auto"/>
            </w:tcBorders>
            <w:tcMar>
              <w:left w:w="57" w:type="dxa"/>
              <w:right w:w="57" w:type="dxa"/>
            </w:tcMar>
          </w:tcPr>
          <w:p w:rsidR="009D727E" w:rsidRPr="001126A5" w:rsidRDefault="009D727E" w:rsidP="009D727E">
            <w:pPr>
              <w:pStyle w:val="TableDataEntries"/>
            </w:pPr>
            <w:r w:rsidRPr="001126A5">
              <w:t>4.7</w:t>
            </w:r>
          </w:p>
        </w:tc>
        <w:tc>
          <w:tcPr>
            <w:tcW w:w="1128" w:type="dxa"/>
            <w:tcBorders>
              <w:bottom w:val="single" w:sz="12" w:space="0" w:color="auto"/>
            </w:tcBorders>
            <w:tcMar>
              <w:left w:w="57" w:type="dxa"/>
              <w:right w:w="57" w:type="dxa"/>
            </w:tcMar>
          </w:tcPr>
          <w:p w:rsidR="009D727E" w:rsidRPr="001126A5" w:rsidRDefault="009D727E" w:rsidP="009D727E">
            <w:pPr>
              <w:pStyle w:val="TableDataEntries"/>
            </w:pPr>
            <w:r w:rsidRPr="001126A5">
              <w:t>10</w:t>
            </w:r>
          </w:p>
        </w:tc>
      </w:tr>
    </w:tbl>
    <w:p w:rsidR="009D727E" w:rsidRDefault="009D727E" w:rsidP="009D727E">
      <w:pPr>
        <w:pStyle w:val="BodyText"/>
      </w:pPr>
    </w:p>
    <w:p w:rsidR="009D727E" w:rsidRDefault="009D727E" w:rsidP="006D5140">
      <w:pPr>
        <w:pStyle w:val="Heading2"/>
      </w:pPr>
      <w:r>
        <w:br w:type="page"/>
      </w:r>
      <w:bookmarkStart w:id="13" w:name="_Toc360978108"/>
      <w:r w:rsidRPr="008C35C6">
        <w:lastRenderedPageBreak/>
        <w:t>Attachment A:</w:t>
      </w:r>
      <w:bookmarkEnd w:id="13"/>
    </w:p>
    <w:p w:rsidR="008C35C6" w:rsidRPr="008C35C6" w:rsidRDefault="008C35C6" w:rsidP="008C35C6">
      <w:pPr>
        <w:pStyle w:val="BodyText"/>
      </w:pPr>
      <w:bookmarkStart w:id="14" w:name="_GoBack"/>
      <w:bookmarkEnd w:id="14"/>
    </w:p>
    <w:p w:rsidR="009D727E" w:rsidRPr="002666A9" w:rsidRDefault="009D727E" w:rsidP="002666A9">
      <w:pPr>
        <w:pStyle w:val="H3"/>
      </w:pPr>
      <w:r w:rsidRPr="002666A9">
        <w:t>Australia</w:t>
      </w:r>
      <w:r w:rsidR="00E84D9A" w:rsidRPr="002666A9">
        <w:t xml:space="preserve"> – </w:t>
      </w:r>
      <w:r w:rsidRPr="002666A9">
        <w:t>Vanuatu Partnership for Development Talks</w:t>
      </w:r>
    </w:p>
    <w:p w:rsidR="009D727E" w:rsidRPr="002666A9" w:rsidRDefault="009D727E" w:rsidP="002666A9">
      <w:pPr>
        <w:pStyle w:val="H3"/>
      </w:pPr>
      <w:r w:rsidRPr="002666A9">
        <w:t>12 August 2011</w:t>
      </w:r>
    </w:p>
    <w:p w:rsidR="009D727E" w:rsidRDefault="009D727E" w:rsidP="002666A9">
      <w:pPr>
        <w:pStyle w:val="H3"/>
      </w:pPr>
      <w:r w:rsidRPr="002666A9">
        <w:t>Agreed Outcomes</w:t>
      </w:r>
    </w:p>
    <w:p w:rsidR="002666A9" w:rsidRPr="002666A9" w:rsidRDefault="002666A9" w:rsidP="002666A9">
      <w:pPr>
        <w:pStyle w:val="H3"/>
      </w:pP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sz w:val="19"/>
          <w:szCs w:val="19"/>
        </w:rPr>
        <w:t xml:space="preserve">The Prime Minister of Vanuatu, the Hon. </w:t>
      </w:r>
      <w:proofErr w:type="spellStart"/>
      <w:r w:rsidRPr="008C35C6">
        <w:rPr>
          <w:rFonts w:ascii="Georgia" w:hAnsi="Georgia"/>
          <w:sz w:val="19"/>
          <w:szCs w:val="19"/>
        </w:rPr>
        <w:t>Meltek</w:t>
      </w:r>
      <w:proofErr w:type="spellEnd"/>
      <w:r w:rsidRPr="008C35C6">
        <w:rPr>
          <w:rFonts w:ascii="Georgia" w:hAnsi="Georgia"/>
          <w:sz w:val="19"/>
          <w:szCs w:val="19"/>
        </w:rPr>
        <w:t xml:space="preserve"> Sato </w:t>
      </w:r>
      <w:proofErr w:type="spellStart"/>
      <w:r w:rsidRPr="008C35C6">
        <w:rPr>
          <w:rFonts w:ascii="Georgia" w:hAnsi="Georgia"/>
          <w:sz w:val="19"/>
          <w:szCs w:val="19"/>
        </w:rPr>
        <w:t>Kilman</w:t>
      </w:r>
      <w:proofErr w:type="spellEnd"/>
      <w:r w:rsidRPr="008C35C6">
        <w:rPr>
          <w:rFonts w:ascii="Georgia" w:hAnsi="Georgia"/>
          <w:sz w:val="19"/>
          <w:szCs w:val="19"/>
        </w:rPr>
        <w:t xml:space="preserve"> </w:t>
      </w:r>
      <w:proofErr w:type="spellStart"/>
      <w:r w:rsidRPr="008C35C6">
        <w:rPr>
          <w:rFonts w:ascii="Georgia" w:hAnsi="Georgia"/>
          <w:sz w:val="19"/>
          <w:szCs w:val="19"/>
        </w:rPr>
        <w:t>Livtuvanu</w:t>
      </w:r>
      <w:proofErr w:type="spellEnd"/>
      <w:r w:rsidRPr="008C35C6">
        <w:rPr>
          <w:rFonts w:ascii="Georgia" w:hAnsi="Georgia"/>
          <w:sz w:val="19"/>
          <w:szCs w:val="19"/>
        </w:rPr>
        <w:t>, hosted the annual Vanuatu</w:t>
      </w:r>
      <w:r w:rsidR="00E84D9A" w:rsidRPr="008C35C6">
        <w:rPr>
          <w:rFonts w:ascii="Georgia" w:hAnsi="Georgia"/>
          <w:sz w:val="19"/>
          <w:szCs w:val="19"/>
        </w:rPr>
        <w:t xml:space="preserve"> – </w:t>
      </w:r>
      <w:r w:rsidRPr="008C35C6">
        <w:rPr>
          <w:rFonts w:ascii="Georgia" w:hAnsi="Georgia"/>
          <w:sz w:val="19"/>
          <w:szCs w:val="19"/>
        </w:rPr>
        <w:t>Australia Partnership for Development talks on 11</w:t>
      </w:r>
      <w:r w:rsidR="00B95094" w:rsidRPr="008C35C6">
        <w:rPr>
          <w:rFonts w:ascii="Georgia" w:hAnsi="Georgia"/>
          <w:sz w:val="19"/>
          <w:szCs w:val="19"/>
        </w:rPr>
        <w:t>–</w:t>
      </w:r>
      <w:r w:rsidRPr="008C35C6">
        <w:rPr>
          <w:rFonts w:ascii="Georgia" w:hAnsi="Georgia"/>
          <w:sz w:val="19"/>
          <w:szCs w:val="19"/>
        </w:rPr>
        <w:t>12 August 2011</w:t>
      </w:r>
      <w:r w:rsidR="00C110CC" w:rsidRPr="008C35C6">
        <w:rPr>
          <w:rFonts w:ascii="Georgia" w:hAnsi="Georgia"/>
          <w:color w:val="1A2732"/>
          <w:sz w:val="19"/>
          <w:szCs w:val="19"/>
        </w:rPr>
        <w:t xml:space="preserve">. </w:t>
      </w:r>
      <w:proofErr w:type="spellStart"/>
      <w:r w:rsidRPr="008C35C6">
        <w:rPr>
          <w:rFonts w:ascii="Georgia" w:hAnsi="Georgia"/>
          <w:sz w:val="19"/>
          <w:szCs w:val="19"/>
        </w:rPr>
        <w:t>AusAID</w:t>
      </w:r>
      <w:proofErr w:type="spellEnd"/>
      <w:r w:rsidRPr="008C35C6">
        <w:rPr>
          <w:rFonts w:ascii="Georgia" w:hAnsi="Georgia"/>
          <w:sz w:val="19"/>
          <w:szCs w:val="19"/>
        </w:rPr>
        <w:t xml:space="preserve"> Deputy Director General, James Batley, led the Australian delegation</w:t>
      </w:r>
      <w:r w:rsidR="00C110CC" w:rsidRPr="008C35C6">
        <w:rPr>
          <w:rFonts w:ascii="Georgia" w:hAnsi="Georgia"/>
          <w:color w:val="1A2732"/>
          <w:sz w:val="19"/>
          <w:szCs w:val="19"/>
        </w:rPr>
        <w:t xml:space="preserve">. </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The two sides reaffirmed:</w:t>
      </w:r>
    </w:p>
    <w:p w:rsidR="009D727E" w:rsidRPr="008C35C6" w:rsidRDefault="009D727E" w:rsidP="001C46E8">
      <w:pPr>
        <w:numPr>
          <w:ilvl w:val="1"/>
          <w:numId w:val="22"/>
        </w:numPr>
        <w:spacing w:before="180" w:after="180"/>
        <w:rPr>
          <w:rFonts w:ascii="Georgia" w:hAnsi="Georgia"/>
          <w:color w:val="1A2732"/>
          <w:sz w:val="19"/>
          <w:szCs w:val="19"/>
        </w:rPr>
      </w:pPr>
      <w:r w:rsidRPr="008C35C6">
        <w:rPr>
          <w:rFonts w:ascii="Georgia" w:hAnsi="Georgia"/>
          <w:color w:val="1A2732"/>
          <w:sz w:val="19"/>
          <w:szCs w:val="19"/>
        </w:rPr>
        <w:t xml:space="preserve">their commitment to the long-term development partnership, and its underlying principles of mutual respect, mutual accountability and genuine friendship </w:t>
      </w:r>
    </w:p>
    <w:p w:rsidR="009D727E" w:rsidRPr="008C35C6" w:rsidRDefault="009D727E" w:rsidP="001C46E8">
      <w:pPr>
        <w:numPr>
          <w:ilvl w:val="1"/>
          <w:numId w:val="22"/>
        </w:numPr>
        <w:spacing w:before="180" w:after="180"/>
        <w:rPr>
          <w:rFonts w:ascii="Georgia" w:hAnsi="Georgia"/>
          <w:color w:val="1A2732"/>
          <w:sz w:val="19"/>
          <w:szCs w:val="19"/>
        </w:rPr>
      </w:pPr>
      <w:r w:rsidRPr="008C35C6">
        <w:rPr>
          <w:rFonts w:ascii="Georgia" w:hAnsi="Georgia"/>
          <w:color w:val="1A2732"/>
          <w:sz w:val="19"/>
          <w:szCs w:val="19"/>
        </w:rPr>
        <w:t>the five priority areas under the partnership: education, health, infrastructure, economic governance and law and justice</w:t>
      </w:r>
      <w:r w:rsidR="00B95094" w:rsidRPr="008C35C6">
        <w:rPr>
          <w:rFonts w:ascii="Georgia" w:hAnsi="Georgia"/>
          <w:color w:val="1A2732"/>
          <w:sz w:val="19"/>
          <w:szCs w:val="19"/>
        </w:rPr>
        <w:t>—</w:t>
      </w:r>
      <w:r w:rsidRPr="008C35C6">
        <w:rPr>
          <w:rFonts w:ascii="Georgia" w:hAnsi="Georgia"/>
          <w:color w:val="1A2732"/>
          <w:sz w:val="19"/>
          <w:szCs w:val="19"/>
        </w:rPr>
        <w:t>in line with the Vanuatu Government’s policy priorities.</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 xml:space="preserve">They noted the Australian Government’s response to the </w:t>
      </w:r>
      <w:r w:rsidRPr="008C35C6">
        <w:rPr>
          <w:rFonts w:ascii="Georgia" w:hAnsi="Georgia"/>
          <w:i/>
          <w:color w:val="1A2732"/>
          <w:sz w:val="19"/>
          <w:szCs w:val="19"/>
        </w:rPr>
        <w:t>Independent Review of Aid Effectiveness</w:t>
      </w:r>
      <w:r w:rsidRPr="008C35C6">
        <w:rPr>
          <w:rFonts w:ascii="Georgia" w:hAnsi="Georgia"/>
          <w:color w:val="1A2732"/>
          <w:sz w:val="19"/>
          <w:szCs w:val="19"/>
        </w:rPr>
        <w:t xml:space="preserve"> and agreed:</w:t>
      </w:r>
    </w:p>
    <w:p w:rsidR="009D727E" w:rsidRPr="008C35C6" w:rsidRDefault="009D727E" w:rsidP="001C46E8">
      <w:pPr>
        <w:numPr>
          <w:ilvl w:val="1"/>
          <w:numId w:val="23"/>
        </w:numPr>
        <w:spacing w:before="180" w:after="180"/>
        <w:rPr>
          <w:rFonts w:ascii="Georgia" w:hAnsi="Georgia"/>
          <w:color w:val="1A2732"/>
          <w:sz w:val="19"/>
          <w:szCs w:val="19"/>
        </w:rPr>
      </w:pPr>
      <w:r w:rsidRPr="008C35C6">
        <w:rPr>
          <w:rFonts w:ascii="Georgia" w:hAnsi="Georgia"/>
          <w:color w:val="1A2732"/>
          <w:sz w:val="19"/>
          <w:szCs w:val="19"/>
        </w:rPr>
        <w:t xml:space="preserve">to ensure every vatu </w:t>
      </w:r>
      <w:r w:rsidRPr="008C35C6">
        <w:rPr>
          <w:rFonts w:ascii="Georgia" w:hAnsi="Georgia"/>
          <w:sz w:val="19"/>
          <w:szCs w:val="19"/>
        </w:rPr>
        <w:t xml:space="preserve">spent makes a real difference to the lives of </w:t>
      </w:r>
      <w:proofErr w:type="spellStart"/>
      <w:r w:rsidRPr="008C35C6">
        <w:rPr>
          <w:rFonts w:ascii="Georgia" w:hAnsi="Georgia"/>
          <w:sz w:val="19"/>
          <w:szCs w:val="19"/>
        </w:rPr>
        <w:t>ni</w:t>
      </w:r>
      <w:proofErr w:type="spellEnd"/>
      <w:r w:rsidRPr="008C35C6">
        <w:rPr>
          <w:rFonts w:ascii="Georgia" w:hAnsi="Georgia"/>
          <w:sz w:val="19"/>
          <w:szCs w:val="19"/>
        </w:rPr>
        <w:t>-Vanuatu people</w:t>
      </w:r>
    </w:p>
    <w:p w:rsidR="009D727E" w:rsidRPr="008C35C6" w:rsidRDefault="009D727E" w:rsidP="001C46E8">
      <w:pPr>
        <w:numPr>
          <w:ilvl w:val="1"/>
          <w:numId w:val="23"/>
        </w:numPr>
        <w:spacing w:before="180" w:after="180"/>
        <w:rPr>
          <w:rFonts w:ascii="Georgia" w:hAnsi="Georgia"/>
          <w:color w:val="1A2732"/>
          <w:sz w:val="19"/>
          <w:szCs w:val="19"/>
        </w:rPr>
      </w:pPr>
      <w:r w:rsidRPr="008C35C6">
        <w:rPr>
          <w:rFonts w:ascii="Georgia" w:hAnsi="Georgia"/>
          <w:color w:val="1A2732"/>
          <w:sz w:val="19"/>
          <w:szCs w:val="19"/>
        </w:rPr>
        <w:t>that Vanuatu’s development partners should continue to work together closely so that assistance is coordinated and effective, in accordance with our joint commitments under the Cairns Compact for Strengthening Development Cooperation.</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In briefing the Vanuatu Government on the Australian Government’s response to the Independent Review of Aid Effectiveness, Mr Batley noted that Australian aid to Pacific island countries will increase where assessments show that it will make the most difference.</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Mr Batley welcomed the Government of Vanuatu’s proposed Joint Declaration on Aid Effectiveness and agreed to support its formal endorsement.</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 xml:space="preserve">The two sides welcomed progress from joint efforts over the past year, in particular: 3000 more children attending primary schools than in 2009; a sharp reduction in the incidence of malaria in </w:t>
      </w:r>
      <w:proofErr w:type="spellStart"/>
      <w:r w:rsidRPr="008C35C6">
        <w:rPr>
          <w:rFonts w:ascii="Georgia" w:hAnsi="Georgia"/>
          <w:color w:val="1A2732"/>
          <w:sz w:val="19"/>
          <w:szCs w:val="19"/>
        </w:rPr>
        <w:t>Tafea</w:t>
      </w:r>
      <w:proofErr w:type="spellEnd"/>
      <w:r w:rsidRPr="008C35C6">
        <w:rPr>
          <w:rFonts w:ascii="Georgia" w:hAnsi="Georgia"/>
          <w:color w:val="1A2732"/>
          <w:sz w:val="19"/>
          <w:szCs w:val="19"/>
        </w:rPr>
        <w:t xml:space="preserve"> Province; and the introduction of competition to the electricity sector in </w:t>
      </w:r>
      <w:proofErr w:type="spellStart"/>
      <w:r w:rsidRPr="008C35C6">
        <w:rPr>
          <w:rFonts w:ascii="Georgia" w:hAnsi="Georgia"/>
          <w:color w:val="1A2732"/>
          <w:sz w:val="19"/>
          <w:szCs w:val="19"/>
        </w:rPr>
        <w:t>Luganville</w:t>
      </w:r>
      <w:proofErr w:type="spellEnd"/>
      <w:r w:rsidRPr="008C35C6">
        <w:rPr>
          <w:rFonts w:ascii="Georgia" w:hAnsi="Georgia"/>
          <w:color w:val="1A2732"/>
          <w:sz w:val="19"/>
          <w:szCs w:val="19"/>
        </w:rPr>
        <w:t>.</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They agreed on the importance of renewed momentum on our existing joint programs where progress has not been as fast as expected especially in education, infrastructure and health. The two sides also agreed:</w:t>
      </w:r>
    </w:p>
    <w:p w:rsidR="009D727E" w:rsidRPr="008C35C6" w:rsidRDefault="009D727E" w:rsidP="001C46E8">
      <w:pPr>
        <w:numPr>
          <w:ilvl w:val="0"/>
          <w:numId w:val="20"/>
        </w:numPr>
        <w:spacing w:before="180" w:after="180"/>
        <w:rPr>
          <w:rFonts w:ascii="Georgia" w:hAnsi="Georgia"/>
          <w:color w:val="1A2732"/>
          <w:sz w:val="19"/>
          <w:szCs w:val="19"/>
        </w:rPr>
      </w:pPr>
      <w:r w:rsidRPr="008C35C6">
        <w:rPr>
          <w:rFonts w:ascii="Georgia" w:hAnsi="Georgia"/>
          <w:color w:val="1A2732"/>
          <w:sz w:val="19"/>
          <w:szCs w:val="19"/>
        </w:rPr>
        <w:t>to examine practical steps to accelerate implementation of joint programs</w:t>
      </w:r>
    </w:p>
    <w:p w:rsidR="009D727E" w:rsidRPr="008C35C6" w:rsidRDefault="009D727E" w:rsidP="001C46E8">
      <w:pPr>
        <w:numPr>
          <w:ilvl w:val="0"/>
          <w:numId w:val="20"/>
        </w:numPr>
        <w:spacing w:before="180" w:after="180"/>
        <w:rPr>
          <w:rFonts w:ascii="Georgia" w:hAnsi="Georgia"/>
          <w:color w:val="1A2732"/>
          <w:sz w:val="19"/>
          <w:szCs w:val="19"/>
        </w:rPr>
      </w:pPr>
      <w:r w:rsidRPr="008C35C6">
        <w:rPr>
          <w:rFonts w:ascii="Georgia" w:hAnsi="Georgia"/>
          <w:color w:val="1A2732"/>
          <w:sz w:val="19"/>
          <w:szCs w:val="19"/>
        </w:rPr>
        <w:t xml:space="preserve">on the need to continue to strengthen Vanuatu Government systems, such as procurement and audit, so as to ensure that they are robust and enforced </w:t>
      </w:r>
    </w:p>
    <w:p w:rsidR="009D727E" w:rsidRPr="008C35C6" w:rsidRDefault="009D727E" w:rsidP="001C46E8">
      <w:pPr>
        <w:numPr>
          <w:ilvl w:val="0"/>
          <w:numId w:val="20"/>
        </w:numPr>
        <w:spacing w:before="180" w:after="180"/>
        <w:rPr>
          <w:rFonts w:ascii="Georgia" w:hAnsi="Georgia"/>
          <w:color w:val="1A2732"/>
          <w:sz w:val="19"/>
          <w:szCs w:val="19"/>
        </w:rPr>
      </w:pPr>
      <w:r w:rsidRPr="008C35C6">
        <w:rPr>
          <w:rFonts w:ascii="Georgia" w:hAnsi="Georgia"/>
          <w:color w:val="1A2732"/>
          <w:sz w:val="19"/>
          <w:szCs w:val="19"/>
        </w:rPr>
        <w:t>on the significance of Vanuatu’s sustained economic growth over the past seven years and acknowledge that continued growth is essential to generate employment, increase living standards, and reduce poverty</w:t>
      </w:r>
    </w:p>
    <w:p w:rsidR="009D727E" w:rsidRPr="008C35C6" w:rsidRDefault="009D727E" w:rsidP="001C46E8">
      <w:pPr>
        <w:numPr>
          <w:ilvl w:val="0"/>
          <w:numId w:val="20"/>
        </w:numPr>
        <w:spacing w:before="180" w:after="180"/>
        <w:rPr>
          <w:rFonts w:ascii="Georgia" w:hAnsi="Georgia"/>
          <w:color w:val="1A2732"/>
          <w:sz w:val="19"/>
          <w:szCs w:val="19"/>
        </w:rPr>
      </w:pPr>
      <w:r w:rsidRPr="008C35C6">
        <w:rPr>
          <w:rFonts w:ascii="Georgia" w:hAnsi="Georgia"/>
          <w:color w:val="1A2732"/>
          <w:sz w:val="19"/>
          <w:szCs w:val="19"/>
        </w:rPr>
        <w:lastRenderedPageBreak/>
        <w:t>to continue to work together on improving the enabling environment for local and foreign businesses alike</w:t>
      </w:r>
    </w:p>
    <w:p w:rsidR="009D727E" w:rsidRPr="008C35C6" w:rsidRDefault="009D727E" w:rsidP="001C46E8">
      <w:pPr>
        <w:numPr>
          <w:ilvl w:val="0"/>
          <w:numId w:val="20"/>
        </w:numPr>
        <w:spacing w:before="180" w:after="180"/>
        <w:rPr>
          <w:rFonts w:ascii="Georgia" w:hAnsi="Georgia"/>
          <w:color w:val="1A2732"/>
          <w:sz w:val="19"/>
          <w:szCs w:val="19"/>
        </w:rPr>
      </w:pPr>
      <w:r w:rsidRPr="008C35C6">
        <w:rPr>
          <w:rFonts w:ascii="Georgia" w:hAnsi="Georgia"/>
          <w:color w:val="1A2732"/>
          <w:sz w:val="19"/>
          <w:szCs w:val="19"/>
        </w:rPr>
        <w:t>to cooperate to improve government revenue collection</w:t>
      </w:r>
    </w:p>
    <w:p w:rsidR="009D727E" w:rsidRPr="008C35C6" w:rsidRDefault="009D727E" w:rsidP="001C46E8">
      <w:pPr>
        <w:numPr>
          <w:ilvl w:val="0"/>
          <w:numId w:val="20"/>
        </w:numPr>
        <w:spacing w:before="180" w:after="180"/>
        <w:rPr>
          <w:rFonts w:ascii="Georgia" w:hAnsi="Georgia"/>
          <w:color w:val="1A2732"/>
          <w:sz w:val="19"/>
          <w:szCs w:val="19"/>
        </w:rPr>
      </w:pPr>
      <w:r w:rsidRPr="008C35C6">
        <w:rPr>
          <w:rFonts w:ascii="Georgia" w:hAnsi="Georgia"/>
          <w:color w:val="1A2732"/>
          <w:sz w:val="19"/>
          <w:szCs w:val="19"/>
        </w:rPr>
        <w:t>on the risk posed to Vanuatu’s budgetary bottom line by unreported liabilities from government business enterprises, and the need to enforce the Government of Vanuatu’s mandatory annual reporting requirements</w:t>
      </w:r>
    </w:p>
    <w:p w:rsidR="009D727E" w:rsidRPr="008C35C6" w:rsidRDefault="009D727E" w:rsidP="001C46E8">
      <w:pPr>
        <w:numPr>
          <w:ilvl w:val="0"/>
          <w:numId w:val="20"/>
        </w:numPr>
        <w:spacing w:before="180" w:after="180"/>
        <w:rPr>
          <w:rFonts w:ascii="Georgia" w:hAnsi="Georgia"/>
          <w:color w:val="1A2732"/>
          <w:sz w:val="19"/>
          <w:szCs w:val="19"/>
        </w:rPr>
      </w:pPr>
      <w:r w:rsidRPr="008C35C6">
        <w:rPr>
          <w:rFonts w:ascii="Georgia" w:hAnsi="Georgia"/>
          <w:color w:val="1A2732"/>
          <w:sz w:val="19"/>
          <w:szCs w:val="19"/>
        </w:rPr>
        <w:t>to note steps already taken towards sector budget support in education and health, and to assess such support in the future on a case-by-case basis.</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In the education sector, the two sides were concerned with the low literacy rates in early grades of primary school, and agreed to address this through renewed emphasis on teacher training, as well as outsourcing school construction and helping schools get value for money from the new school grants scheme.</w:t>
      </w:r>
    </w:p>
    <w:p w:rsidR="009D727E" w:rsidRPr="008C35C6" w:rsidRDefault="009D727E" w:rsidP="001C46E8">
      <w:pPr>
        <w:numPr>
          <w:ilvl w:val="0"/>
          <w:numId w:val="21"/>
        </w:numPr>
        <w:rPr>
          <w:rFonts w:ascii="Georgia" w:hAnsi="Georgia"/>
          <w:sz w:val="19"/>
          <w:szCs w:val="19"/>
        </w:rPr>
      </w:pPr>
      <w:r w:rsidRPr="008C35C6">
        <w:rPr>
          <w:rFonts w:ascii="Georgia" w:hAnsi="Georgia"/>
          <w:color w:val="1A2732"/>
          <w:sz w:val="19"/>
          <w:szCs w:val="19"/>
        </w:rPr>
        <w:t xml:space="preserve">In line with commitments under the partnership, they agreed on the importance of increasing the </w:t>
      </w:r>
      <w:r w:rsidRPr="008C35C6">
        <w:rPr>
          <w:rFonts w:ascii="Georgia" w:hAnsi="Georgia"/>
          <w:sz w:val="19"/>
          <w:szCs w:val="19"/>
        </w:rPr>
        <w:t xml:space="preserve">proportion of total funding spent at provincial level on maternal and child health services in the next year. </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Anticipating the possibility of future investments in infrastructure, the two sides agreed to work together to improve the management and accountability of the Public Works Department, to restore confidence in its performance.</w:t>
      </w:r>
    </w:p>
    <w:p w:rsidR="009D727E" w:rsidRPr="008C35C6" w:rsidRDefault="009D727E" w:rsidP="001C46E8">
      <w:pPr>
        <w:numPr>
          <w:ilvl w:val="0"/>
          <w:numId w:val="21"/>
        </w:numPr>
        <w:spacing w:before="180" w:after="180"/>
        <w:rPr>
          <w:rFonts w:ascii="Georgia" w:hAnsi="Georgia"/>
          <w:iCs/>
          <w:color w:val="1A2732"/>
          <w:sz w:val="19"/>
          <w:szCs w:val="19"/>
        </w:rPr>
      </w:pPr>
      <w:r w:rsidRPr="008C35C6">
        <w:rPr>
          <w:rFonts w:ascii="Georgia" w:hAnsi="Georgia"/>
          <w:iCs/>
          <w:color w:val="1A2732"/>
          <w:sz w:val="19"/>
          <w:szCs w:val="19"/>
        </w:rPr>
        <w:t>Both sides welcomed the opening up of the electricity sector to competition and agreed to support Vanuatu’s proposed National Energy Roadmap, due for launch in October 2011.</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The two sides agreed to continue assistance under the Partnership to the law and justice sector with details of joint commitments to be finalised over the coming year.</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Both sides acknowledged the importance of cooperation in key areas outside the explicit mandate of the Partnership to achieving the MDG, specifically land, media and civil society.</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Recognising the important contribution of development assistance to Vanuatu’s future prosperity, the two sides resolved that senior officials meet quarterly under the framework of the Partnership to monitor progress against agreed results and commitments, and share budget plans and expenditure reporting.</w:t>
      </w:r>
    </w:p>
    <w:p w:rsidR="009D727E" w:rsidRPr="008C35C6" w:rsidRDefault="009D727E" w:rsidP="001C46E8">
      <w:pPr>
        <w:numPr>
          <w:ilvl w:val="0"/>
          <w:numId w:val="21"/>
        </w:numPr>
        <w:spacing w:before="180" w:after="180"/>
        <w:rPr>
          <w:rFonts w:ascii="Georgia" w:hAnsi="Georgia"/>
          <w:color w:val="1A2732"/>
          <w:sz w:val="19"/>
          <w:szCs w:val="19"/>
        </w:rPr>
      </w:pPr>
      <w:r w:rsidRPr="008C35C6">
        <w:rPr>
          <w:rFonts w:ascii="Georgia" w:hAnsi="Georgia"/>
          <w:color w:val="1A2732"/>
          <w:sz w:val="19"/>
          <w:szCs w:val="19"/>
        </w:rPr>
        <w:t>The two sides noted the importance of ongoing political support to long-term commitments under the Partnership. Both sides anticipate sustained momentum and similar frank and constructive discussion at the 2012 Partnership talks, to be held in Australia.</w:t>
      </w:r>
    </w:p>
    <w:p w:rsidR="004B6157" w:rsidRPr="00BD1E79" w:rsidRDefault="004B6157">
      <w:pPr>
        <w:pStyle w:val="Date"/>
      </w:pPr>
    </w:p>
    <w:sectPr w:rsidR="004B6157" w:rsidRPr="00BD1E79" w:rsidSect="00E77D0C">
      <w:headerReference w:type="even" r:id="rId16"/>
      <w:footerReference w:type="even" r:id="rId17"/>
      <w:footerReference w:type="default" r:id="rId18"/>
      <w:footerReference w:type="first" r:id="rId19"/>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55" w:rsidRDefault="00825B55">
      <w:r>
        <w:separator/>
      </w:r>
    </w:p>
    <w:p w:rsidR="00825B55" w:rsidRDefault="00825B55"/>
  </w:endnote>
  <w:endnote w:type="continuationSeparator" w:id="0">
    <w:p w:rsidR="00825B55" w:rsidRDefault="00825B55">
      <w:r>
        <w:continuationSeparator/>
      </w:r>
    </w:p>
    <w:p w:rsidR="00825B55" w:rsidRDefault="00825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37" w:rsidRPr="00AD612A" w:rsidRDefault="009D23F3">
    <w:pPr>
      <w:pStyle w:val="Footer"/>
    </w:pPr>
    <w:r>
      <w:rPr>
        <w:noProof/>
        <w:color w:val="54534A"/>
        <w:lang w:val="en-US" w:eastAsia="en-US"/>
      </w:rPr>
      <w:drawing>
        <wp:anchor distT="0" distB="0" distL="114300" distR="114300" simplePos="0" relativeHeight="251657216"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C37" w:rsidRPr="007C1ECE">
      <w:tab/>
    </w:r>
    <w:r w:rsidR="00286C37">
      <w:tab/>
    </w:r>
    <w:r w:rsidR="00286C37">
      <w:tab/>
    </w:r>
    <w:r w:rsidR="00286C37">
      <w:rPr>
        <w:rStyle w:val="PageNumber"/>
      </w:rPr>
      <w:fldChar w:fldCharType="begin"/>
    </w:r>
    <w:r w:rsidR="00286C37">
      <w:rPr>
        <w:rStyle w:val="PageNumber"/>
      </w:rPr>
      <w:instrText xml:space="preserve"> PAGE </w:instrText>
    </w:r>
    <w:r w:rsidR="00286C37">
      <w:rPr>
        <w:rStyle w:val="PageNumber"/>
      </w:rPr>
      <w:fldChar w:fldCharType="separate"/>
    </w:r>
    <w:r w:rsidR="00286C37">
      <w:rPr>
        <w:rStyle w:val="PageNumber"/>
        <w:noProof/>
      </w:rPr>
      <w:t>2</w:t>
    </w:r>
    <w:r w:rsidR="00286C3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37" w:rsidRPr="004A4B6B" w:rsidRDefault="00286C37" w:rsidP="001260C2">
    <w:pPr>
      <w:pStyle w:val="Footer"/>
    </w:pPr>
    <w:r>
      <w:tab/>
    </w:r>
    <w:r>
      <w:fldChar w:fldCharType="begin"/>
    </w:r>
    <w:r>
      <w:instrText xml:space="preserve"> STYLEREF  Title </w:instrText>
    </w:r>
    <w:r>
      <w:fldChar w:fldCharType="separate"/>
    </w:r>
    <w:r w:rsidR="006D5140">
      <w:rPr>
        <w:noProof/>
      </w:rPr>
      <w:t>Australia – Vanuatu Partnership Report 2010</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6D5140">
      <w:rPr>
        <w:rStyle w:val="PageNumber"/>
        <w:noProof/>
      </w:rPr>
      <w:t>12</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37" w:rsidRDefault="00286C37">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6D514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55" w:rsidRDefault="00825B55" w:rsidP="00D62AA4">
      <w:pPr>
        <w:spacing w:before="60" w:after="40" w:line="180" w:lineRule="exact"/>
      </w:pPr>
      <w:r>
        <w:continuationSeparator/>
      </w:r>
    </w:p>
  </w:footnote>
  <w:footnote w:type="continuationSeparator" w:id="0">
    <w:p w:rsidR="00825B55" w:rsidRDefault="00825B55">
      <w:r>
        <w:continuationSeparator/>
      </w:r>
    </w:p>
    <w:p w:rsidR="00825B55" w:rsidRDefault="00825B55"/>
  </w:footnote>
  <w:footnote w:type="continuationNotice" w:id="1">
    <w:p w:rsidR="00825B55" w:rsidRDefault="00825B55"/>
    <w:p w:rsidR="00825B55" w:rsidRDefault="00825B55"/>
  </w:footnote>
  <w:footnote w:id="2">
    <w:p w:rsidR="00286C37" w:rsidRDefault="00286C37" w:rsidP="009D727E">
      <w:pPr>
        <w:pStyle w:val="FootnoteText"/>
      </w:pPr>
      <w:r>
        <w:rPr>
          <w:rStyle w:val="FootnoteReference"/>
        </w:rPr>
        <w:footnoteRef/>
      </w:r>
      <w:r>
        <w:t xml:space="preserve"> Excluding donor flows (although in fact donor spending was recorded on budget for the first time in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37" w:rsidRDefault="009D23F3" w:rsidP="00B7603F">
    <w:pPr>
      <w:pStyle w:val="Header"/>
      <w:jc w:val="left"/>
    </w:pPr>
    <w:r>
      <w:rPr>
        <w:noProof/>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Amber color" style="width:7.6pt;height:7.6pt" o:bullet="t">
        <v:imagedata r:id="rId1" o:title="ambeer"/>
      </v:shape>
    </w:pict>
  </w:numPicBullet>
  <w:abstractNum w:abstractNumId="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B7DD8"/>
    <w:multiLevelType w:val="hybridMultilevel"/>
    <w:tmpl w:val="3EA6F6DE"/>
    <w:lvl w:ilvl="0" w:tplc="30FE0788">
      <w:start w:val="1"/>
      <w:numFmt w:val="lowerLetter"/>
      <w:pStyle w:val="TableListNumber2"/>
      <w:lvlText w:val="%1."/>
      <w:lvlJc w:val="left"/>
      <w:pPr>
        <w:tabs>
          <w:tab w:val="num" w:pos="454"/>
        </w:tabs>
        <w:ind w:left="454" w:hanging="227"/>
      </w:pPr>
      <w:rPr>
        <w:rFonts w:hint="default"/>
      </w:rPr>
    </w:lvl>
    <w:lvl w:ilvl="1" w:tplc="45E02940" w:tentative="1">
      <w:start w:val="1"/>
      <w:numFmt w:val="lowerLetter"/>
      <w:lvlText w:val="%2."/>
      <w:lvlJc w:val="left"/>
      <w:pPr>
        <w:tabs>
          <w:tab w:val="num" w:pos="1440"/>
        </w:tabs>
        <w:ind w:left="1440" w:hanging="360"/>
      </w:pPr>
    </w:lvl>
    <w:lvl w:ilvl="2" w:tplc="C2D84C0A" w:tentative="1">
      <w:start w:val="1"/>
      <w:numFmt w:val="lowerRoman"/>
      <w:lvlText w:val="%3."/>
      <w:lvlJc w:val="right"/>
      <w:pPr>
        <w:tabs>
          <w:tab w:val="num" w:pos="2160"/>
        </w:tabs>
        <w:ind w:left="2160" w:hanging="180"/>
      </w:pPr>
    </w:lvl>
    <w:lvl w:ilvl="3" w:tplc="70B8D1E6" w:tentative="1">
      <w:start w:val="1"/>
      <w:numFmt w:val="decimal"/>
      <w:lvlText w:val="%4."/>
      <w:lvlJc w:val="left"/>
      <w:pPr>
        <w:tabs>
          <w:tab w:val="num" w:pos="2880"/>
        </w:tabs>
        <w:ind w:left="2880" w:hanging="360"/>
      </w:pPr>
    </w:lvl>
    <w:lvl w:ilvl="4" w:tplc="25D8261A" w:tentative="1">
      <w:start w:val="1"/>
      <w:numFmt w:val="lowerLetter"/>
      <w:lvlText w:val="%5."/>
      <w:lvlJc w:val="left"/>
      <w:pPr>
        <w:tabs>
          <w:tab w:val="num" w:pos="3600"/>
        </w:tabs>
        <w:ind w:left="3600" w:hanging="360"/>
      </w:pPr>
    </w:lvl>
    <w:lvl w:ilvl="5" w:tplc="26CCE7F2" w:tentative="1">
      <w:start w:val="1"/>
      <w:numFmt w:val="lowerRoman"/>
      <w:lvlText w:val="%6."/>
      <w:lvlJc w:val="right"/>
      <w:pPr>
        <w:tabs>
          <w:tab w:val="num" w:pos="4320"/>
        </w:tabs>
        <w:ind w:left="4320" w:hanging="180"/>
      </w:pPr>
    </w:lvl>
    <w:lvl w:ilvl="6" w:tplc="AF7E06E4" w:tentative="1">
      <w:start w:val="1"/>
      <w:numFmt w:val="decimal"/>
      <w:lvlText w:val="%7."/>
      <w:lvlJc w:val="left"/>
      <w:pPr>
        <w:tabs>
          <w:tab w:val="num" w:pos="5040"/>
        </w:tabs>
        <w:ind w:left="5040" w:hanging="360"/>
      </w:pPr>
    </w:lvl>
    <w:lvl w:ilvl="7" w:tplc="AC1085F8" w:tentative="1">
      <w:start w:val="1"/>
      <w:numFmt w:val="lowerLetter"/>
      <w:lvlText w:val="%8."/>
      <w:lvlJc w:val="left"/>
      <w:pPr>
        <w:tabs>
          <w:tab w:val="num" w:pos="5760"/>
        </w:tabs>
        <w:ind w:left="5760" w:hanging="360"/>
      </w:pPr>
    </w:lvl>
    <w:lvl w:ilvl="8" w:tplc="ECB0AC72" w:tentative="1">
      <w:start w:val="1"/>
      <w:numFmt w:val="lowerRoman"/>
      <w:lvlText w:val="%9."/>
      <w:lvlJc w:val="right"/>
      <w:pPr>
        <w:tabs>
          <w:tab w:val="num" w:pos="6480"/>
        </w:tabs>
        <w:ind w:left="6480" w:hanging="180"/>
      </w:pPr>
    </w:lvl>
  </w:abstractNum>
  <w:abstractNum w:abstractNumId="2">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4">
    <w:nsid w:val="2452279A"/>
    <w:multiLevelType w:val="hybridMultilevel"/>
    <w:tmpl w:val="E5AC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14FD1"/>
    <w:multiLevelType w:val="hybridMultilevel"/>
    <w:tmpl w:val="78BA0EF4"/>
    <w:lvl w:ilvl="0" w:tplc="E260FE4E">
      <w:start w:val="3"/>
      <w:numFmt w:val="bullet"/>
      <w:lvlText w:val="-"/>
      <w:lvlJc w:val="left"/>
      <w:pPr>
        <w:tabs>
          <w:tab w:val="num" w:pos="720"/>
        </w:tabs>
        <w:ind w:left="720" w:hanging="360"/>
      </w:pPr>
      <w:rPr>
        <w:rFonts w:ascii="Arial" w:eastAsia="Times New Roman" w:hAnsi="Arial" w:hint="default"/>
      </w:rPr>
    </w:lvl>
    <w:lvl w:ilvl="1" w:tplc="E260FE4E">
      <w:start w:val="3"/>
      <w:numFmt w:val="bullet"/>
      <w:lvlText w:val="-"/>
      <w:lvlJc w:val="left"/>
      <w:pPr>
        <w:tabs>
          <w:tab w:val="num" w:pos="1440"/>
        </w:tabs>
        <w:ind w:left="1440" w:hanging="360"/>
      </w:pPr>
      <w:rPr>
        <w:rFonts w:ascii="Arial" w:eastAsia="Times New Roman" w:hAnsi="Arial"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345014DA"/>
    <w:multiLevelType w:val="hybridMultilevel"/>
    <w:tmpl w:val="1CA441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tplc="80A01CE4">
      <w:start w:val="1"/>
      <w:numFmt w:val="lowerLetter"/>
      <w:pStyle w:val="BoxListNumber2"/>
      <w:lvlText w:val="%1."/>
      <w:lvlJc w:val="left"/>
      <w:pPr>
        <w:tabs>
          <w:tab w:val="num" w:pos="567"/>
        </w:tabs>
        <w:ind w:left="567" w:hanging="283"/>
      </w:pPr>
      <w:rPr>
        <w:rFonts w:hint="default"/>
      </w:rPr>
    </w:lvl>
    <w:lvl w:ilvl="1" w:tplc="BA7E2428" w:tentative="1">
      <w:start w:val="1"/>
      <w:numFmt w:val="lowerLetter"/>
      <w:lvlText w:val="%2."/>
      <w:lvlJc w:val="left"/>
      <w:pPr>
        <w:tabs>
          <w:tab w:val="num" w:pos="1440"/>
        </w:tabs>
        <w:ind w:left="1440" w:hanging="360"/>
      </w:pPr>
    </w:lvl>
    <w:lvl w:ilvl="2" w:tplc="8A6612AC" w:tentative="1">
      <w:start w:val="1"/>
      <w:numFmt w:val="lowerRoman"/>
      <w:lvlText w:val="%3."/>
      <w:lvlJc w:val="right"/>
      <w:pPr>
        <w:tabs>
          <w:tab w:val="num" w:pos="2160"/>
        </w:tabs>
        <w:ind w:left="2160" w:hanging="180"/>
      </w:pPr>
    </w:lvl>
    <w:lvl w:ilvl="3" w:tplc="A3C8E1F6" w:tentative="1">
      <w:start w:val="1"/>
      <w:numFmt w:val="decimal"/>
      <w:lvlText w:val="%4."/>
      <w:lvlJc w:val="left"/>
      <w:pPr>
        <w:tabs>
          <w:tab w:val="num" w:pos="2880"/>
        </w:tabs>
        <w:ind w:left="2880" w:hanging="360"/>
      </w:pPr>
    </w:lvl>
    <w:lvl w:ilvl="4" w:tplc="323A4434" w:tentative="1">
      <w:start w:val="1"/>
      <w:numFmt w:val="lowerLetter"/>
      <w:lvlText w:val="%5."/>
      <w:lvlJc w:val="left"/>
      <w:pPr>
        <w:tabs>
          <w:tab w:val="num" w:pos="3600"/>
        </w:tabs>
        <w:ind w:left="3600" w:hanging="360"/>
      </w:pPr>
    </w:lvl>
    <w:lvl w:ilvl="5" w:tplc="CEBEFE7E" w:tentative="1">
      <w:start w:val="1"/>
      <w:numFmt w:val="lowerRoman"/>
      <w:lvlText w:val="%6."/>
      <w:lvlJc w:val="right"/>
      <w:pPr>
        <w:tabs>
          <w:tab w:val="num" w:pos="4320"/>
        </w:tabs>
        <w:ind w:left="4320" w:hanging="180"/>
      </w:pPr>
    </w:lvl>
    <w:lvl w:ilvl="6" w:tplc="C78267AC" w:tentative="1">
      <w:start w:val="1"/>
      <w:numFmt w:val="decimal"/>
      <w:lvlText w:val="%7."/>
      <w:lvlJc w:val="left"/>
      <w:pPr>
        <w:tabs>
          <w:tab w:val="num" w:pos="5040"/>
        </w:tabs>
        <w:ind w:left="5040" w:hanging="360"/>
      </w:pPr>
    </w:lvl>
    <w:lvl w:ilvl="7" w:tplc="BF1C3BEA" w:tentative="1">
      <w:start w:val="1"/>
      <w:numFmt w:val="lowerLetter"/>
      <w:lvlText w:val="%8."/>
      <w:lvlJc w:val="left"/>
      <w:pPr>
        <w:tabs>
          <w:tab w:val="num" w:pos="5760"/>
        </w:tabs>
        <w:ind w:left="5760" w:hanging="360"/>
      </w:pPr>
    </w:lvl>
    <w:lvl w:ilvl="8" w:tplc="D32259E8" w:tentative="1">
      <w:start w:val="1"/>
      <w:numFmt w:val="lowerRoman"/>
      <w:lvlText w:val="%9."/>
      <w:lvlJc w:val="right"/>
      <w:pPr>
        <w:tabs>
          <w:tab w:val="num" w:pos="6480"/>
        </w:tabs>
        <w:ind w:left="6480" w:hanging="180"/>
      </w:pPr>
    </w:lvl>
  </w:abstractNum>
  <w:abstractNum w:abstractNumId="9">
    <w:nsid w:val="46CD579B"/>
    <w:multiLevelType w:val="hybridMultilevel"/>
    <w:tmpl w:val="36F2514A"/>
    <w:lvl w:ilvl="0" w:tplc="6D66392A">
      <w:start w:val="1"/>
      <w:numFmt w:val="bullet"/>
      <w:pStyle w:val="BoxListBullet"/>
      <w:lvlText w:val="&gt;"/>
      <w:lvlJc w:val="left"/>
      <w:pPr>
        <w:tabs>
          <w:tab w:val="num" w:pos="284"/>
        </w:tabs>
        <w:ind w:left="284" w:hanging="284"/>
      </w:pPr>
      <w:rPr>
        <w:rFonts w:hint="default"/>
        <w:color w:val="auto"/>
      </w:rPr>
    </w:lvl>
    <w:lvl w:ilvl="1" w:tplc="762E39C8" w:tentative="1">
      <w:start w:val="1"/>
      <w:numFmt w:val="bullet"/>
      <w:lvlText w:val="o"/>
      <w:lvlJc w:val="left"/>
      <w:pPr>
        <w:tabs>
          <w:tab w:val="num" w:pos="1440"/>
        </w:tabs>
        <w:ind w:left="1440" w:hanging="360"/>
      </w:pPr>
      <w:rPr>
        <w:rFonts w:ascii="Courier New" w:hAnsi="Courier New" w:cs="Courier New" w:hint="default"/>
      </w:rPr>
    </w:lvl>
    <w:lvl w:ilvl="2" w:tplc="39B8CEA6" w:tentative="1">
      <w:start w:val="1"/>
      <w:numFmt w:val="bullet"/>
      <w:lvlText w:val=""/>
      <w:lvlJc w:val="left"/>
      <w:pPr>
        <w:tabs>
          <w:tab w:val="num" w:pos="2160"/>
        </w:tabs>
        <w:ind w:left="2160" w:hanging="360"/>
      </w:pPr>
      <w:rPr>
        <w:rFonts w:ascii="Wingdings" w:hAnsi="Wingdings" w:hint="default"/>
      </w:rPr>
    </w:lvl>
    <w:lvl w:ilvl="3" w:tplc="3CA4D13A" w:tentative="1">
      <w:start w:val="1"/>
      <w:numFmt w:val="bullet"/>
      <w:lvlText w:val=""/>
      <w:lvlJc w:val="left"/>
      <w:pPr>
        <w:tabs>
          <w:tab w:val="num" w:pos="2880"/>
        </w:tabs>
        <w:ind w:left="2880" w:hanging="360"/>
      </w:pPr>
      <w:rPr>
        <w:rFonts w:ascii="Symbol" w:hAnsi="Symbol" w:hint="default"/>
      </w:rPr>
    </w:lvl>
    <w:lvl w:ilvl="4" w:tplc="4198DCAC" w:tentative="1">
      <w:start w:val="1"/>
      <w:numFmt w:val="bullet"/>
      <w:lvlText w:val="o"/>
      <w:lvlJc w:val="left"/>
      <w:pPr>
        <w:tabs>
          <w:tab w:val="num" w:pos="3600"/>
        </w:tabs>
        <w:ind w:left="3600" w:hanging="360"/>
      </w:pPr>
      <w:rPr>
        <w:rFonts w:ascii="Courier New" w:hAnsi="Courier New" w:cs="Courier New" w:hint="default"/>
      </w:rPr>
    </w:lvl>
    <w:lvl w:ilvl="5" w:tplc="6B5E680E" w:tentative="1">
      <w:start w:val="1"/>
      <w:numFmt w:val="bullet"/>
      <w:lvlText w:val=""/>
      <w:lvlJc w:val="left"/>
      <w:pPr>
        <w:tabs>
          <w:tab w:val="num" w:pos="4320"/>
        </w:tabs>
        <w:ind w:left="4320" w:hanging="360"/>
      </w:pPr>
      <w:rPr>
        <w:rFonts w:ascii="Wingdings" w:hAnsi="Wingdings" w:hint="default"/>
      </w:rPr>
    </w:lvl>
    <w:lvl w:ilvl="6" w:tplc="4D9480C0" w:tentative="1">
      <w:start w:val="1"/>
      <w:numFmt w:val="bullet"/>
      <w:lvlText w:val=""/>
      <w:lvlJc w:val="left"/>
      <w:pPr>
        <w:tabs>
          <w:tab w:val="num" w:pos="5040"/>
        </w:tabs>
        <w:ind w:left="5040" w:hanging="360"/>
      </w:pPr>
      <w:rPr>
        <w:rFonts w:ascii="Symbol" w:hAnsi="Symbol" w:hint="default"/>
      </w:rPr>
    </w:lvl>
    <w:lvl w:ilvl="7" w:tplc="A6220904" w:tentative="1">
      <w:start w:val="1"/>
      <w:numFmt w:val="bullet"/>
      <w:lvlText w:val="o"/>
      <w:lvlJc w:val="left"/>
      <w:pPr>
        <w:tabs>
          <w:tab w:val="num" w:pos="5760"/>
        </w:tabs>
        <w:ind w:left="5760" w:hanging="360"/>
      </w:pPr>
      <w:rPr>
        <w:rFonts w:ascii="Courier New" w:hAnsi="Courier New" w:cs="Courier New" w:hint="default"/>
      </w:rPr>
    </w:lvl>
    <w:lvl w:ilvl="8" w:tplc="5E205026" w:tentative="1">
      <w:start w:val="1"/>
      <w:numFmt w:val="bullet"/>
      <w:lvlText w:val=""/>
      <w:lvlJc w:val="left"/>
      <w:pPr>
        <w:tabs>
          <w:tab w:val="num" w:pos="6480"/>
        </w:tabs>
        <w:ind w:left="6480" w:hanging="360"/>
      </w:pPr>
      <w:rPr>
        <w:rFonts w:ascii="Wingdings" w:hAnsi="Wingdings" w:hint="default"/>
      </w:rPr>
    </w:lvl>
  </w:abstractNum>
  <w:abstractNum w:abstractNumId="10">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98A5214"/>
    <w:multiLevelType w:val="hybridMultilevel"/>
    <w:tmpl w:val="0B5AC610"/>
    <w:lvl w:ilvl="0" w:tplc="A7840842">
      <w:start w:val="1"/>
      <w:numFmt w:val="decimal"/>
      <w:pStyle w:val="TableListNumber"/>
      <w:lvlText w:val="%1."/>
      <w:lvlJc w:val="left"/>
      <w:pPr>
        <w:tabs>
          <w:tab w:val="num" w:pos="227"/>
        </w:tabs>
        <w:ind w:left="227" w:hanging="227"/>
      </w:pPr>
      <w:rPr>
        <w:rFonts w:hint="default"/>
      </w:rPr>
    </w:lvl>
    <w:lvl w:ilvl="1" w:tplc="0A7222E2" w:tentative="1">
      <w:start w:val="1"/>
      <w:numFmt w:val="lowerLetter"/>
      <w:lvlText w:val="%2."/>
      <w:lvlJc w:val="left"/>
      <w:pPr>
        <w:tabs>
          <w:tab w:val="num" w:pos="1440"/>
        </w:tabs>
        <w:ind w:left="1440" w:hanging="360"/>
      </w:pPr>
    </w:lvl>
    <w:lvl w:ilvl="2" w:tplc="A77493DC" w:tentative="1">
      <w:start w:val="1"/>
      <w:numFmt w:val="lowerRoman"/>
      <w:lvlText w:val="%3."/>
      <w:lvlJc w:val="right"/>
      <w:pPr>
        <w:tabs>
          <w:tab w:val="num" w:pos="2160"/>
        </w:tabs>
        <w:ind w:left="2160" w:hanging="180"/>
      </w:pPr>
    </w:lvl>
    <w:lvl w:ilvl="3" w:tplc="FB187280" w:tentative="1">
      <w:start w:val="1"/>
      <w:numFmt w:val="decimal"/>
      <w:lvlText w:val="%4."/>
      <w:lvlJc w:val="left"/>
      <w:pPr>
        <w:tabs>
          <w:tab w:val="num" w:pos="2880"/>
        </w:tabs>
        <w:ind w:left="2880" w:hanging="360"/>
      </w:pPr>
    </w:lvl>
    <w:lvl w:ilvl="4" w:tplc="2D4AB8A0" w:tentative="1">
      <w:start w:val="1"/>
      <w:numFmt w:val="lowerLetter"/>
      <w:lvlText w:val="%5."/>
      <w:lvlJc w:val="left"/>
      <w:pPr>
        <w:tabs>
          <w:tab w:val="num" w:pos="3600"/>
        </w:tabs>
        <w:ind w:left="3600" w:hanging="360"/>
      </w:pPr>
    </w:lvl>
    <w:lvl w:ilvl="5" w:tplc="5EEE5814" w:tentative="1">
      <w:start w:val="1"/>
      <w:numFmt w:val="lowerRoman"/>
      <w:lvlText w:val="%6."/>
      <w:lvlJc w:val="right"/>
      <w:pPr>
        <w:tabs>
          <w:tab w:val="num" w:pos="4320"/>
        </w:tabs>
        <w:ind w:left="4320" w:hanging="180"/>
      </w:pPr>
    </w:lvl>
    <w:lvl w:ilvl="6" w:tplc="4E966310" w:tentative="1">
      <w:start w:val="1"/>
      <w:numFmt w:val="decimal"/>
      <w:lvlText w:val="%7."/>
      <w:lvlJc w:val="left"/>
      <w:pPr>
        <w:tabs>
          <w:tab w:val="num" w:pos="5040"/>
        </w:tabs>
        <w:ind w:left="5040" w:hanging="360"/>
      </w:pPr>
    </w:lvl>
    <w:lvl w:ilvl="7" w:tplc="E7589A8E" w:tentative="1">
      <w:start w:val="1"/>
      <w:numFmt w:val="lowerLetter"/>
      <w:lvlText w:val="%8."/>
      <w:lvlJc w:val="left"/>
      <w:pPr>
        <w:tabs>
          <w:tab w:val="num" w:pos="5760"/>
        </w:tabs>
        <w:ind w:left="5760" w:hanging="360"/>
      </w:pPr>
    </w:lvl>
    <w:lvl w:ilvl="8" w:tplc="D96CA586" w:tentative="1">
      <w:start w:val="1"/>
      <w:numFmt w:val="lowerRoman"/>
      <w:lvlText w:val="%9."/>
      <w:lvlJc w:val="right"/>
      <w:pPr>
        <w:tabs>
          <w:tab w:val="num" w:pos="6480"/>
        </w:tabs>
        <w:ind w:left="6480" w:hanging="180"/>
      </w:pPr>
    </w:lvl>
  </w:abstractNum>
  <w:abstractNum w:abstractNumId="13">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F264CF"/>
    <w:multiLevelType w:val="multilevel"/>
    <w:tmpl w:val="480EBD0E"/>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5">
    <w:nsid w:val="661746F4"/>
    <w:multiLevelType w:val="hybridMultilevel"/>
    <w:tmpl w:val="912246DE"/>
    <w:lvl w:ilvl="0" w:tplc="F33CF392">
      <w:start w:val="1"/>
      <w:numFmt w:val="bullet"/>
      <w:pStyle w:val="Table-list-bullet"/>
      <w:lvlText w:val="–"/>
      <w:lvlJc w:val="left"/>
      <w:pPr>
        <w:tabs>
          <w:tab w:val="num" w:pos="357"/>
        </w:tabs>
        <w:ind w:left="357" w:hanging="357"/>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8">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4B2D92"/>
    <w:multiLevelType w:val="hybridMultilevel"/>
    <w:tmpl w:val="6AF0E0AE"/>
    <w:lvl w:ilvl="0" w:tplc="78609A08">
      <w:numFmt w:val="bullet"/>
      <w:lvlText w:val="-"/>
      <w:lvlJc w:val="left"/>
      <w:pPr>
        <w:tabs>
          <w:tab w:val="num" w:pos="1496"/>
        </w:tabs>
        <w:ind w:left="1496" w:hanging="360"/>
      </w:pPr>
      <w:rPr>
        <w:rFonts w:ascii="Times New Roman" w:eastAsia="Times New Roman" w:hAnsi="Times New Roman" w:hint="default"/>
      </w:rPr>
    </w:lvl>
    <w:lvl w:ilvl="1" w:tplc="0C090003">
      <w:start w:val="1"/>
      <w:numFmt w:val="decimal"/>
      <w:lvlText w:val="%2."/>
      <w:lvlJc w:val="left"/>
      <w:pPr>
        <w:tabs>
          <w:tab w:val="num" w:pos="2216"/>
        </w:tabs>
        <w:ind w:left="2216" w:hanging="360"/>
      </w:pPr>
      <w:rPr>
        <w:rFonts w:cs="Times New Roman"/>
      </w:rPr>
    </w:lvl>
    <w:lvl w:ilvl="2" w:tplc="0C090005">
      <w:start w:val="1"/>
      <w:numFmt w:val="decimal"/>
      <w:lvlText w:val="%3."/>
      <w:lvlJc w:val="left"/>
      <w:pPr>
        <w:tabs>
          <w:tab w:val="num" w:pos="2936"/>
        </w:tabs>
        <w:ind w:left="2936" w:hanging="360"/>
      </w:pPr>
      <w:rPr>
        <w:rFonts w:cs="Times New Roman"/>
      </w:rPr>
    </w:lvl>
    <w:lvl w:ilvl="3" w:tplc="0C090001">
      <w:start w:val="1"/>
      <w:numFmt w:val="decimal"/>
      <w:lvlText w:val="%4."/>
      <w:lvlJc w:val="left"/>
      <w:pPr>
        <w:tabs>
          <w:tab w:val="num" w:pos="3656"/>
        </w:tabs>
        <w:ind w:left="3656" w:hanging="360"/>
      </w:pPr>
      <w:rPr>
        <w:rFonts w:cs="Times New Roman"/>
      </w:rPr>
    </w:lvl>
    <w:lvl w:ilvl="4" w:tplc="0C090003">
      <w:start w:val="1"/>
      <w:numFmt w:val="decimal"/>
      <w:lvlText w:val="%5."/>
      <w:lvlJc w:val="left"/>
      <w:pPr>
        <w:tabs>
          <w:tab w:val="num" w:pos="4376"/>
        </w:tabs>
        <w:ind w:left="4376" w:hanging="360"/>
      </w:pPr>
      <w:rPr>
        <w:rFonts w:cs="Times New Roman"/>
      </w:rPr>
    </w:lvl>
    <w:lvl w:ilvl="5" w:tplc="0C090005">
      <w:start w:val="1"/>
      <w:numFmt w:val="decimal"/>
      <w:lvlText w:val="%6."/>
      <w:lvlJc w:val="left"/>
      <w:pPr>
        <w:tabs>
          <w:tab w:val="num" w:pos="5096"/>
        </w:tabs>
        <w:ind w:left="5096" w:hanging="360"/>
      </w:pPr>
      <w:rPr>
        <w:rFonts w:cs="Times New Roman"/>
      </w:rPr>
    </w:lvl>
    <w:lvl w:ilvl="6" w:tplc="0C090001">
      <w:start w:val="1"/>
      <w:numFmt w:val="decimal"/>
      <w:lvlText w:val="%7."/>
      <w:lvlJc w:val="left"/>
      <w:pPr>
        <w:tabs>
          <w:tab w:val="num" w:pos="5816"/>
        </w:tabs>
        <w:ind w:left="5816" w:hanging="360"/>
      </w:pPr>
      <w:rPr>
        <w:rFonts w:cs="Times New Roman"/>
      </w:rPr>
    </w:lvl>
    <w:lvl w:ilvl="7" w:tplc="0C090003">
      <w:start w:val="1"/>
      <w:numFmt w:val="decimal"/>
      <w:lvlText w:val="%8."/>
      <w:lvlJc w:val="left"/>
      <w:pPr>
        <w:tabs>
          <w:tab w:val="num" w:pos="6536"/>
        </w:tabs>
        <w:ind w:left="6536" w:hanging="360"/>
      </w:pPr>
      <w:rPr>
        <w:rFonts w:cs="Times New Roman"/>
      </w:rPr>
    </w:lvl>
    <w:lvl w:ilvl="8" w:tplc="0C090005">
      <w:start w:val="1"/>
      <w:numFmt w:val="decimal"/>
      <w:lvlText w:val="%9."/>
      <w:lvlJc w:val="left"/>
      <w:pPr>
        <w:tabs>
          <w:tab w:val="num" w:pos="7256"/>
        </w:tabs>
        <w:ind w:left="7256" w:hanging="360"/>
      </w:pPr>
      <w:rPr>
        <w:rFonts w:cs="Times New Roman"/>
      </w:rPr>
    </w:lvl>
  </w:abstractNum>
  <w:abstractNum w:abstractNumId="20">
    <w:nsid w:val="79E1124E"/>
    <w:multiLevelType w:val="hybridMultilevel"/>
    <w:tmpl w:val="6D42E656"/>
    <w:lvl w:ilvl="0" w:tplc="4F7CB6BA">
      <w:start w:val="1"/>
      <w:numFmt w:val="lowerLetter"/>
      <w:pStyle w:val="ListNumber2"/>
      <w:lvlText w:val="%1."/>
      <w:lvlJc w:val="left"/>
      <w:pPr>
        <w:tabs>
          <w:tab w:val="num" w:pos="567"/>
        </w:tabs>
        <w:ind w:left="567" w:hanging="283"/>
      </w:pPr>
      <w:rPr>
        <w:rFonts w:hint="default"/>
      </w:rPr>
    </w:lvl>
    <w:lvl w:ilvl="1" w:tplc="857AFE8E" w:tentative="1">
      <w:start w:val="1"/>
      <w:numFmt w:val="lowerLetter"/>
      <w:lvlText w:val="%2."/>
      <w:lvlJc w:val="left"/>
      <w:pPr>
        <w:tabs>
          <w:tab w:val="num" w:pos="1440"/>
        </w:tabs>
        <w:ind w:left="1440" w:hanging="360"/>
      </w:pPr>
    </w:lvl>
    <w:lvl w:ilvl="2" w:tplc="4C48DE40" w:tentative="1">
      <w:start w:val="1"/>
      <w:numFmt w:val="lowerRoman"/>
      <w:lvlText w:val="%3."/>
      <w:lvlJc w:val="right"/>
      <w:pPr>
        <w:tabs>
          <w:tab w:val="num" w:pos="2160"/>
        </w:tabs>
        <w:ind w:left="2160" w:hanging="180"/>
      </w:pPr>
    </w:lvl>
    <w:lvl w:ilvl="3" w:tplc="F5DA3DF2" w:tentative="1">
      <w:start w:val="1"/>
      <w:numFmt w:val="decimal"/>
      <w:lvlText w:val="%4."/>
      <w:lvlJc w:val="left"/>
      <w:pPr>
        <w:tabs>
          <w:tab w:val="num" w:pos="2880"/>
        </w:tabs>
        <w:ind w:left="2880" w:hanging="360"/>
      </w:pPr>
    </w:lvl>
    <w:lvl w:ilvl="4" w:tplc="FB4E86AA" w:tentative="1">
      <w:start w:val="1"/>
      <w:numFmt w:val="lowerLetter"/>
      <w:lvlText w:val="%5."/>
      <w:lvlJc w:val="left"/>
      <w:pPr>
        <w:tabs>
          <w:tab w:val="num" w:pos="3600"/>
        </w:tabs>
        <w:ind w:left="3600" w:hanging="360"/>
      </w:pPr>
    </w:lvl>
    <w:lvl w:ilvl="5" w:tplc="8B5267A6" w:tentative="1">
      <w:start w:val="1"/>
      <w:numFmt w:val="lowerRoman"/>
      <w:lvlText w:val="%6."/>
      <w:lvlJc w:val="right"/>
      <w:pPr>
        <w:tabs>
          <w:tab w:val="num" w:pos="4320"/>
        </w:tabs>
        <w:ind w:left="4320" w:hanging="180"/>
      </w:pPr>
    </w:lvl>
    <w:lvl w:ilvl="6" w:tplc="DCA68D92" w:tentative="1">
      <w:start w:val="1"/>
      <w:numFmt w:val="decimal"/>
      <w:lvlText w:val="%7."/>
      <w:lvlJc w:val="left"/>
      <w:pPr>
        <w:tabs>
          <w:tab w:val="num" w:pos="5040"/>
        </w:tabs>
        <w:ind w:left="5040" w:hanging="360"/>
      </w:pPr>
    </w:lvl>
    <w:lvl w:ilvl="7" w:tplc="900A4A74" w:tentative="1">
      <w:start w:val="1"/>
      <w:numFmt w:val="lowerLetter"/>
      <w:lvlText w:val="%8."/>
      <w:lvlJc w:val="left"/>
      <w:pPr>
        <w:tabs>
          <w:tab w:val="num" w:pos="5760"/>
        </w:tabs>
        <w:ind w:left="5760" w:hanging="360"/>
      </w:pPr>
    </w:lvl>
    <w:lvl w:ilvl="8" w:tplc="D28E32D0" w:tentative="1">
      <w:start w:val="1"/>
      <w:numFmt w:val="lowerRoman"/>
      <w:lvlText w:val="%9."/>
      <w:lvlJc w:val="right"/>
      <w:pPr>
        <w:tabs>
          <w:tab w:val="num" w:pos="6480"/>
        </w:tabs>
        <w:ind w:left="6480" w:hanging="180"/>
      </w:pPr>
    </w:lvl>
  </w:abstractNum>
  <w:abstractNum w:abstractNumId="21">
    <w:nsid w:val="7DFA4651"/>
    <w:multiLevelType w:val="hybridMultilevel"/>
    <w:tmpl w:val="9E1ADC60"/>
    <w:lvl w:ilvl="0" w:tplc="E260FE4E">
      <w:start w:val="3"/>
      <w:numFmt w:val="bullet"/>
      <w:lvlText w:val="-"/>
      <w:lvlJc w:val="left"/>
      <w:pPr>
        <w:tabs>
          <w:tab w:val="num" w:pos="720"/>
        </w:tabs>
        <w:ind w:left="720" w:hanging="360"/>
      </w:pPr>
      <w:rPr>
        <w:rFonts w:ascii="Arial" w:eastAsia="Times New Roman" w:hAnsi="Arial" w:hint="default"/>
      </w:rPr>
    </w:lvl>
    <w:lvl w:ilvl="1" w:tplc="E260FE4E">
      <w:start w:val="3"/>
      <w:numFmt w:val="bullet"/>
      <w:lvlText w:val="-"/>
      <w:lvlJc w:val="left"/>
      <w:pPr>
        <w:tabs>
          <w:tab w:val="num" w:pos="1440"/>
        </w:tabs>
        <w:ind w:left="1440" w:hanging="360"/>
      </w:pPr>
      <w:rPr>
        <w:rFonts w:ascii="Arial" w:eastAsia="Times New Roman" w:hAnsi="Arial"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2">
    <w:nsid w:val="7F7A528B"/>
    <w:multiLevelType w:val="hybridMultilevel"/>
    <w:tmpl w:val="4ADC517C"/>
    <w:lvl w:ilvl="0" w:tplc="BABEBEB4">
      <w:start w:val="1"/>
      <w:numFmt w:val="bullet"/>
      <w:pStyle w:val="ListBullet"/>
      <w:lvlText w:val="&gt;"/>
      <w:lvlJc w:val="left"/>
      <w:pPr>
        <w:tabs>
          <w:tab w:val="num" w:pos="284"/>
        </w:tabs>
        <w:ind w:left="284" w:hanging="284"/>
      </w:pPr>
      <w:rPr>
        <w:rFonts w:hint="default"/>
        <w:color w:val="auto"/>
        <w:position w:val="3"/>
      </w:rPr>
    </w:lvl>
    <w:lvl w:ilvl="1" w:tplc="6F2677AC" w:tentative="1">
      <w:start w:val="1"/>
      <w:numFmt w:val="bullet"/>
      <w:lvlText w:val="o"/>
      <w:lvlJc w:val="left"/>
      <w:pPr>
        <w:tabs>
          <w:tab w:val="num" w:pos="1440"/>
        </w:tabs>
        <w:ind w:left="1440" w:hanging="360"/>
      </w:pPr>
      <w:rPr>
        <w:rFonts w:ascii="Courier New" w:hAnsi="Courier New" w:cs="Courier New" w:hint="default"/>
      </w:rPr>
    </w:lvl>
    <w:lvl w:ilvl="2" w:tplc="697C1C2A" w:tentative="1">
      <w:start w:val="1"/>
      <w:numFmt w:val="bullet"/>
      <w:lvlText w:val=""/>
      <w:lvlJc w:val="left"/>
      <w:pPr>
        <w:tabs>
          <w:tab w:val="num" w:pos="2160"/>
        </w:tabs>
        <w:ind w:left="2160" w:hanging="360"/>
      </w:pPr>
      <w:rPr>
        <w:rFonts w:ascii="Wingdings" w:hAnsi="Wingdings" w:hint="default"/>
      </w:rPr>
    </w:lvl>
    <w:lvl w:ilvl="3" w:tplc="E2546FD4" w:tentative="1">
      <w:start w:val="1"/>
      <w:numFmt w:val="bullet"/>
      <w:lvlText w:val=""/>
      <w:lvlJc w:val="left"/>
      <w:pPr>
        <w:tabs>
          <w:tab w:val="num" w:pos="2880"/>
        </w:tabs>
        <w:ind w:left="2880" w:hanging="360"/>
      </w:pPr>
      <w:rPr>
        <w:rFonts w:ascii="Symbol" w:hAnsi="Symbol" w:hint="default"/>
      </w:rPr>
    </w:lvl>
    <w:lvl w:ilvl="4" w:tplc="9CF883BC" w:tentative="1">
      <w:start w:val="1"/>
      <w:numFmt w:val="bullet"/>
      <w:lvlText w:val="o"/>
      <w:lvlJc w:val="left"/>
      <w:pPr>
        <w:tabs>
          <w:tab w:val="num" w:pos="3600"/>
        </w:tabs>
        <w:ind w:left="3600" w:hanging="360"/>
      </w:pPr>
      <w:rPr>
        <w:rFonts w:ascii="Courier New" w:hAnsi="Courier New" w:cs="Courier New" w:hint="default"/>
      </w:rPr>
    </w:lvl>
    <w:lvl w:ilvl="5" w:tplc="4282DC56" w:tentative="1">
      <w:start w:val="1"/>
      <w:numFmt w:val="bullet"/>
      <w:lvlText w:val=""/>
      <w:lvlJc w:val="left"/>
      <w:pPr>
        <w:tabs>
          <w:tab w:val="num" w:pos="4320"/>
        </w:tabs>
        <w:ind w:left="4320" w:hanging="360"/>
      </w:pPr>
      <w:rPr>
        <w:rFonts w:ascii="Wingdings" w:hAnsi="Wingdings" w:hint="default"/>
      </w:rPr>
    </w:lvl>
    <w:lvl w:ilvl="6" w:tplc="4A18EC16" w:tentative="1">
      <w:start w:val="1"/>
      <w:numFmt w:val="bullet"/>
      <w:lvlText w:val=""/>
      <w:lvlJc w:val="left"/>
      <w:pPr>
        <w:tabs>
          <w:tab w:val="num" w:pos="5040"/>
        </w:tabs>
        <w:ind w:left="5040" w:hanging="360"/>
      </w:pPr>
      <w:rPr>
        <w:rFonts w:ascii="Symbol" w:hAnsi="Symbol" w:hint="default"/>
      </w:rPr>
    </w:lvl>
    <w:lvl w:ilvl="7" w:tplc="B2C82C2E" w:tentative="1">
      <w:start w:val="1"/>
      <w:numFmt w:val="bullet"/>
      <w:lvlText w:val="o"/>
      <w:lvlJc w:val="left"/>
      <w:pPr>
        <w:tabs>
          <w:tab w:val="num" w:pos="5760"/>
        </w:tabs>
        <w:ind w:left="5760" w:hanging="360"/>
      </w:pPr>
      <w:rPr>
        <w:rFonts w:ascii="Courier New" w:hAnsi="Courier New" w:cs="Courier New" w:hint="default"/>
      </w:rPr>
    </w:lvl>
    <w:lvl w:ilvl="8" w:tplc="352C48C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9"/>
  </w:num>
  <w:num w:numId="6">
    <w:abstractNumId w:val="7"/>
  </w:num>
  <w:num w:numId="7">
    <w:abstractNumId w:val="14"/>
  </w:num>
  <w:num w:numId="8">
    <w:abstractNumId w:val="16"/>
  </w:num>
  <w:num w:numId="9">
    <w:abstractNumId w:val="0"/>
  </w:num>
  <w:num w:numId="10">
    <w:abstractNumId w:val="10"/>
  </w:num>
  <w:num w:numId="11">
    <w:abstractNumId w:val="18"/>
  </w:num>
  <w:num w:numId="12">
    <w:abstractNumId w:val="3"/>
  </w:num>
  <w:num w:numId="13">
    <w:abstractNumId w:val="2"/>
  </w:num>
  <w:num w:numId="14">
    <w:abstractNumId w:val="20"/>
  </w:num>
  <w:num w:numId="15">
    <w:abstractNumId w:val="22"/>
  </w:num>
  <w:num w:numId="16">
    <w:abstractNumId w:val="17"/>
  </w:num>
  <w:num w:numId="17">
    <w:abstractNumId w:val="13"/>
  </w:num>
  <w:num w:numId="18">
    <w:abstractNumId w:val="6"/>
  </w:num>
  <w:num w:numId="19">
    <w:abstractNumId w:val="1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1"/>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7E"/>
    <w:rsid w:val="0000195E"/>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235F"/>
    <w:rsid w:val="00022D41"/>
    <w:rsid w:val="000257E7"/>
    <w:rsid w:val="00030588"/>
    <w:rsid w:val="0003385B"/>
    <w:rsid w:val="00034B41"/>
    <w:rsid w:val="00034E45"/>
    <w:rsid w:val="00035E2A"/>
    <w:rsid w:val="00037673"/>
    <w:rsid w:val="000433AB"/>
    <w:rsid w:val="00044EDD"/>
    <w:rsid w:val="000452A6"/>
    <w:rsid w:val="0004636D"/>
    <w:rsid w:val="00046974"/>
    <w:rsid w:val="000513B2"/>
    <w:rsid w:val="00053BB3"/>
    <w:rsid w:val="00053D8A"/>
    <w:rsid w:val="00060A32"/>
    <w:rsid w:val="00061389"/>
    <w:rsid w:val="00063C90"/>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7A76"/>
    <w:rsid w:val="000A0794"/>
    <w:rsid w:val="000A3437"/>
    <w:rsid w:val="000A4433"/>
    <w:rsid w:val="000A5BCC"/>
    <w:rsid w:val="000A7400"/>
    <w:rsid w:val="000A7708"/>
    <w:rsid w:val="000A7AD4"/>
    <w:rsid w:val="000B0232"/>
    <w:rsid w:val="000B108C"/>
    <w:rsid w:val="000B13AB"/>
    <w:rsid w:val="000B146D"/>
    <w:rsid w:val="000B4054"/>
    <w:rsid w:val="000B56CF"/>
    <w:rsid w:val="000B5B55"/>
    <w:rsid w:val="000B6330"/>
    <w:rsid w:val="000B7FF7"/>
    <w:rsid w:val="000C0125"/>
    <w:rsid w:val="000C0807"/>
    <w:rsid w:val="000C0D83"/>
    <w:rsid w:val="000C45A2"/>
    <w:rsid w:val="000C6046"/>
    <w:rsid w:val="000D074E"/>
    <w:rsid w:val="000D32D5"/>
    <w:rsid w:val="000D444F"/>
    <w:rsid w:val="000D47A5"/>
    <w:rsid w:val="000E0333"/>
    <w:rsid w:val="000E2E8A"/>
    <w:rsid w:val="000E595E"/>
    <w:rsid w:val="000E5C21"/>
    <w:rsid w:val="000F706A"/>
    <w:rsid w:val="000F7DB9"/>
    <w:rsid w:val="000F7EBB"/>
    <w:rsid w:val="0010001A"/>
    <w:rsid w:val="001020A5"/>
    <w:rsid w:val="00103244"/>
    <w:rsid w:val="00104CCC"/>
    <w:rsid w:val="001104EF"/>
    <w:rsid w:val="00115A8C"/>
    <w:rsid w:val="00115D91"/>
    <w:rsid w:val="001204E2"/>
    <w:rsid w:val="001250BF"/>
    <w:rsid w:val="001260C2"/>
    <w:rsid w:val="00127B7F"/>
    <w:rsid w:val="00132E41"/>
    <w:rsid w:val="00135A4C"/>
    <w:rsid w:val="001360A4"/>
    <w:rsid w:val="00136E47"/>
    <w:rsid w:val="00136FF9"/>
    <w:rsid w:val="00137BA1"/>
    <w:rsid w:val="0014049B"/>
    <w:rsid w:val="00141818"/>
    <w:rsid w:val="0014252B"/>
    <w:rsid w:val="0014282B"/>
    <w:rsid w:val="00142A4D"/>
    <w:rsid w:val="00142E47"/>
    <w:rsid w:val="00143525"/>
    <w:rsid w:val="001436A7"/>
    <w:rsid w:val="00144611"/>
    <w:rsid w:val="00144B1B"/>
    <w:rsid w:val="0014787F"/>
    <w:rsid w:val="00152D98"/>
    <w:rsid w:val="001564B4"/>
    <w:rsid w:val="00156521"/>
    <w:rsid w:val="00156A18"/>
    <w:rsid w:val="0016217F"/>
    <w:rsid w:val="001644AA"/>
    <w:rsid w:val="00165C4D"/>
    <w:rsid w:val="00166BE1"/>
    <w:rsid w:val="001702D7"/>
    <w:rsid w:val="001707ED"/>
    <w:rsid w:val="00170B04"/>
    <w:rsid w:val="00172093"/>
    <w:rsid w:val="0017313D"/>
    <w:rsid w:val="001756DD"/>
    <w:rsid w:val="00175CFE"/>
    <w:rsid w:val="00176846"/>
    <w:rsid w:val="001772C7"/>
    <w:rsid w:val="00177AE1"/>
    <w:rsid w:val="00180E63"/>
    <w:rsid w:val="00180EC6"/>
    <w:rsid w:val="00182E7D"/>
    <w:rsid w:val="00183836"/>
    <w:rsid w:val="001840DC"/>
    <w:rsid w:val="00184C6E"/>
    <w:rsid w:val="00187D56"/>
    <w:rsid w:val="00190A25"/>
    <w:rsid w:val="00193384"/>
    <w:rsid w:val="001957F2"/>
    <w:rsid w:val="0019627A"/>
    <w:rsid w:val="00197485"/>
    <w:rsid w:val="001A0653"/>
    <w:rsid w:val="001A157D"/>
    <w:rsid w:val="001A3ABC"/>
    <w:rsid w:val="001A4314"/>
    <w:rsid w:val="001A4CB0"/>
    <w:rsid w:val="001A4F3D"/>
    <w:rsid w:val="001A64D6"/>
    <w:rsid w:val="001A676A"/>
    <w:rsid w:val="001A76CD"/>
    <w:rsid w:val="001A7A00"/>
    <w:rsid w:val="001B0BC3"/>
    <w:rsid w:val="001B11EB"/>
    <w:rsid w:val="001B1559"/>
    <w:rsid w:val="001B3A25"/>
    <w:rsid w:val="001B40B6"/>
    <w:rsid w:val="001B7441"/>
    <w:rsid w:val="001B7D36"/>
    <w:rsid w:val="001C1650"/>
    <w:rsid w:val="001C18A5"/>
    <w:rsid w:val="001C27DD"/>
    <w:rsid w:val="001C46E8"/>
    <w:rsid w:val="001C54D5"/>
    <w:rsid w:val="001C557B"/>
    <w:rsid w:val="001C68A6"/>
    <w:rsid w:val="001C6E03"/>
    <w:rsid w:val="001C6E25"/>
    <w:rsid w:val="001C7FAB"/>
    <w:rsid w:val="001D0D54"/>
    <w:rsid w:val="001D0D75"/>
    <w:rsid w:val="001D21D0"/>
    <w:rsid w:val="001D24B1"/>
    <w:rsid w:val="001D2D04"/>
    <w:rsid w:val="001D5233"/>
    <w:rsid w:val="001D65A4"/>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8B6"/>
    <w:rsid w:val="00203160"/>
    <w:rsid w:val="0020410B"/>
    <w:rsid w:val="00205AA6"/>
    <w:rsid w:val="0021017E"/>
    <w:rsid w:val="00212975"/>
    <w:rsid w:val="00213176"/>
    <w:rsid w:val="00214C9D"/>
    <w:rsid w:val="002178C9"/>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6A9"/>
    <w:rsid w:val="00266A89"/>
    <w:rsid w:val="00266B56"/>
    <w:rsid w:val="00266C05"/>
    <w:rsid w:val="002702DD"/>
    <w:rsid w:val="00272699"/>
    <w:rsid w:val="0027351E"/>
    <w:rsid w:val="0027441E"/>
    <w:rsid w:val="0027483C"/>
    <w:rsid w:val="00281D52"/>
    <w:rsid w:val="002820D7"/>
    <w:rsid w:val="00286C37"/>
    <w:rsid w:val="00286E03"/>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468F"/>
    <w:rsid w:val="002D5DED"/>
    <w:rsid w:val="002D657C"/>
    <w:rsid w:val="002D6E19"/>
    <w:rsid w:val="002D7A0A"/>
    <w:rsid w:val="002E000E"/>
    <w:rsid w:val="002E0115"/>
    <w:rsid w:val="002E1AC2"/>
    <w:rsid w:val="002E2CDD"/>
    <w:rsid w:val="002E499B"/>
    <w:rsid w:val="002E626C"/>
    <w:rsid w:val="002E7F6A"/>
    <w:rsid w:val="002F056E"/>
    <w:rsid w:val="002F1AB4"/>
    <w:rsid w:val="002F3393"/>
    <w:rsid w:val="002F36D2"/>
    <w:rsid w:val="002F3C1A"/>
    <w:rsid w:val="002F3E97"/>
    <w:rsid w:val="002F4300"/>
    <w:rsid w:val="002F489A"/>
    <w:rsid w:val="003023FD"/>
    <w:rsid w:val="0030414F"/>
    <w:rsid w:val="00305213"/>
    <w:rsid w:val="00305565"/>
    <w:rsid w:val="00310C02"/>
    <w:rsid w:val="0031131B"/>
    <w:rsid w:val="00312B95"/>
    <w:rsid w:val="00312E50"/>
    <w:rsid w:val="003147DD"/>
    <w:rsid w:val="00315D84"/>
    <w:rsid w:val="003164F6"/>
    <w:rsid w:val="00316AAC"/>
    <w:rsid w:val="00321C81"/>
    <w:rsid w:val="00322444"/>
    <w:rsid w:val="003225AB"/>
    <w:rsid w:val="00323965"/>
    <w:rsid w:val="00330A76"/>
    <w:rsid w:val="00330D74"/>
    <w:rsid w:val="00332945"/>
    <w:rsid w:val="00333127"/>
    <w:rsid w:val="003341A9"/>
    <w:rsid w:val="00334B60"/>
    <w:rsid w:val="003360B5"/>
    <w:rsid w:val="003368B5"/>
    <w:rsid w:val="003369D5"/>
    <w:rsid w:val="00336D68"/>
    <w:rsid w:val="00336FAC"/>
    <w:rsid w:val="003379F3"/>
    <w:rsid w:val="00337AAE"/>
    <w:rsid w:val="003405D1"/>
    <w:rsid w:val="00341566"/>
    <w:rsid w:val="00342A5A"/>
    <w:rsid w:val="00345C2F"/>
    <w:rsid w:val="0034794C"/>
    <w:rsid w:val="00347D10"/>
    <w:rsid w:val="00347E04"/>
    <w:rsid w:val="0035098F"/>
    <w:rsid w:val="003522B0"/>
    <w:rsid w:val="00352A66"/>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813B0"/>
    <w:rsid w:val="00381894"/>
    <w:rsid w:val="00382BC2"/>
    <w:rsid w:val="003852FD"/>
    <w:rsid w:val="003864C0"/>
    <w:rsid w:val="00386714"/>
    <w:rsid w:val="00386BBA"/>
    <w:rsid w:val="00386D59"/>
    <w:rsid w:val="003870E2"/>
    <w:rsid w:val="003908F2"/>
    <w:rsid w:val="0039171C"/>
    <w:rsid w:val="00393C49"/>
    <w:rsid w:val="00395037"/>
    <w:rsid w:val="003950F3"/>
    <w:rsid w:val="00396AAB"/>
    <w:rsid w:val="00396E51"/>
    <w:rsid w:val="00396FEE"/>
    <w:rsid w:val="00397842"/>
    <w:rsid w:val="003A12E4"/>
    <w:rsid w:val="003A1A4E"/>
    <w:rsid w:val="003A2AFB"/>
    <w:rsid w:val="003A3E3B"/>
    <w:rsid w:val="003A437D"/>
    <w:rsid w:val="003A5F6E"/>
    <w:rsid w:val="003B01D4"/>
    <w:rsid w:val="003B0602"/>
    <w:rsid w:val="003B3833"/>
    <w:rsid w:val="003B5B3A"/>
    <w:rsid w:val="003B669E"/>
    <w:rsid w:val="003B6AF8"/>
    <w:rsid w:val="003C4418"/>
    <w:rsid w:val="003D277A"/>
    <w:rsid w:val="003D3401"/>
    <w:rsid w:val="003D41D9"/>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EC1"/>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3FEB"/>
    <w:rsid w:val="00435FDB"/>
    <w:rsid w:val="0043622D"/>
    <w:rsid w:val="00442BE6"/>
    <w:rsid w:val="0044452B"/>
    <w:rsid w:val="00445908"/>
    <w:rsid w:val="00446BFE"/>
    <w:rsid w:val="00447F42"/>
    <w:rsid w:val="00450323"/>
    <w:rsid w:val="0045116A"/>
    <w:rsid w:val="00451E60"/>
    <w:rsid w:val="00452C48"/>
    <w:rsid w:val="00452E9D"/>
    <w:rsid w:val="0045304C"/>
    <w:rsid w:val="004530AC"/>
    <w:rsid w:val="00453EB3"/>
    <w:rsid w:val="00454368"/>
    <w:rsid w:val="004547C0"/>
    <w:rsid w:val="00454AE8"/>
    <w:rsid w:val="004559D3"/>
    <w:rsid w:val="00455E76"/>
    <w:rsid w:val="004561F5"/>
    <w:rsid w:val="00456D32"/>
    <w:rsid w:val="0045720E"/>
    <w:rsid w:val="00457853"/>
    <w:rsid w:val="00457902"/>
    <w:rsid w:val="00460B25"/>
    <w:rsid w:val="00461AD2"/>
    <w:rsid w:val="00462797"/>
    <w:rsid w:val="00464228"/>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472E"/>
    <w:rsid w:val="004A4B6B"/>
    <w:rsid w:val="004B0361"/>
    <w:rsid w:val="004B3904"/>
    <w:rsid w:val="004B42F1"/>
    <w:rsid w:val="004B6157"/>
    <w:rsid w:val="004B7492"/>
    <w:rsid w:val="004B7C61"/>
    <w:rsid w:val="004C0E63"/>
    <w:rsid w:val="004C3546"/>
    <w:rsid w:val="004C3568"/>
    <w:rsid w:val="004C4638"/>
    <w:rsid w:val="004C60B8"/>
    <w:rsid w:val="004C7DD7"/>
    <w:rsid w:val="004D18D0"/>
    <w:rsid w:val="004D27D6"/>
    <w:rsid w:val="004D2F5D"/>
    <w:rsid w:val="004D5771"/>
    <w:rsid w:val="004D79AD"/>
    <w:rsid w:val="004E493E"/>
    <w:rsid w:val="004E6274"/>
    <w:rsid w:val="004E63CC"/>
    <w:rsid w:val="004F096E"/>
    <w:rsid w:val="004F0BE2"/>
    <w:rsid w:val="004F256B"/>
    <w:rsid w:val="004F72C7"/>
    <w:rsid w:val="004F75A1"/>
    <w:rsid w:val="004F79BD"/>
    <w:rsid w:val="00502E98"/>
    <w:rsid w:val="005031B6"/>
    <w:rsid w:val="00506BC4"/>
    <w:rsid w:val="00507A63"/>
    <w:rsid w:val="00507D05"/>
    <w:rsid w:val="00510FCB"/>
    <w:rsid w:val="00513602"/>
    <w:rsid w:val="005157A6"/>
    <w:rsid w:val="0052067C"/>
    <w:rsid w:val="00522F30"/>
    <w:rsid w:val="00531479"/>
    <w:rsid w:val="005335EE"/>
    <w:rsid w:val="005343DE"/>
    <w:rsid w:val="005348EF"/>
    <w:rsid w:val="005351E9"/>
    <w:rsid w:val="005353FE"/>
    <w:rsid w:val="005363D4"/>
    <w:rsid w:val="005374AC"/>
    <w:rsid w:val="005445D6"/>
    <w:rsid w:val="00545090"/>
    <w:rsid w:val="00546C44"/>
    <w:rsid w:val="005510FE"/>
    <w:rsid w:val="00556B35"/>
    <w:rsid w:val="00561EE2"/>
    <w:rsid w:val="005631AD"/>
    <w:rsid w:val="005639EA"/>
    <w:rsid w:val="00564BCE"/>
    <w:rsid w:val="005667D5"/>
    <w:rsid w:val="005722A1"/>
    <w:rsid w:val="00572319"/>
    <w:rsid w:val="00572841"/>
    <w:rsid w:val="00573B43"/>
    <w:rsid w:val="00574314"/>
    <w:rsid w:val="00575350"/>
    <w:rsid w:val="00575D08"/>
    <w:rsid w:val="00580DC4"/>
    <w:rsid w:val="00581A3A"/>
    <w:rsid w:val="0058536F"/>
    <w:rsid w:val="00585433"/>
    <w:rsid w:val="0058729F"/>
    <w:rsid w:val="005879C7"/>
    <w:rsid w:val="0059107D"/>
    <w:rsid w:val="005910A3"/>
    <w:rsid w:val="00591DD6"/>
    <w:rsid w:val="005925E4"/>
    <w:rsid w:val="00592A83"/>
    <w:rsid w:val="00593B07"/>
    <w:rsid w:val="00593E3E"/>
    <w:rsid w:val="005942EA"/>
    <w:rsid w:val="005943A7"/>
    <w:rsid w:val="0059594F"/>
    <w:rsid w:val="00596832"/>
    <w:rsid w:val="005A1052"/>
    <w:rsid w:val="005A341D"/>
    <w:rsid w:val="005A3AA3"/>
    <w:rsid w:val="005A3FE0"/>
    <w:rsid w:val="005B2981"/>
    <w:rsid w:val="005B522F"/>
    <w:rsid w:val="005B7710"/>
    <w:rsid w:val="005C10C7"/>
    <w:rsid w:val="005C206D"/>
    <w:rsid w:val="005C2C17"/>
    <w:rsid w:val="005C349D"/>
    <w:rsid w:val="005C4005"/>
    <w:rsid w:val="005C4BD3"/>
    <w:rsid w:val="005C6FD6"/>
    <w:rsid w:val="005C7A9F"/>
    <w:rsid w:val="005D0AF9"/>
    <w:rsid w:val="005D1E18"/>
    <w:rsid w:val="005D244B"/>
    <w:rsid w:val="005D2B37"/>
    <w:rsid w:val="005D4715"/>
    <w:rsid w:val="005D4B7A"/>
    <w:rsid w:val="005D6F2C"/>
    <w:rsid w:val="005E0A0B"/>
    <w:rsid w:val="005E13D5"/>
    <w:rsid w:val="005E1812"/>
    <w:rsid w:val="005E1AF2"/>
    <w:rsid w:val="005E1D7A"/>
    <w:rsid w:val="005E2411"/>
    <w:rsid w:val="005E2D96"/>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70D"/>
    <w:rsid w:val="00602D21"/>
    <w:rsid w:val="00604147"/>
    <w:rsid w:val="00605815"/>
    <w:rsid w:val="00605C82"/>
    <w:rsid w:val="0060617B"/>
    <w:rsid w:val="00607E92"/>
    <w:rsid w:val="00614A27"/>
    <w:rsid w:val="00615247"/>
    <w:rsid w:val="006155FC"/>
    <w:rsid w:val="00615695"/>
    <w:rsid w:val="0061714E"/>
    <w:rsid w:val="006203BD"/>
    <w:rsid w:val="0062059B"/>
    <w:rsid w:val="006247BA"/>
    <w:rsid w:val="00624C5C"/>
    <w:rsid w:val="00627E76"/>
    <w:rsid w:val="006323A6"/>
    <w:rsid w:val="00632B1F"/>
    <w:rsid w:val="00635A99"/>
    <w:rsid w:val="00636A86"/>
    <w:rsid w:val="00645987"/>
    <w:rsid w:val="0065046E"/>
    <w:rsid w:val="006504EE"/>
    <w:rsid w:val="00650B00"/>
    <w:rsid w:val="0065259E"/>
    <w:rsid w:val="0065282A"/>
    <w:rsid w:val="00652F48"/>
    <w:rsid w:val="006536A9"/>
    <w:rsid w:val="00654524"/>
    <w:rsid w:val="00656444"/>
    <w:rsid w:val="00657C61"/>
    <w:rsid w:val="00657CB6"/>
    <w:rsid w:val="00657E00"/>
    <w:rsid w:val="006613A9"/>
    <w:rsid w:val="006625B4"/>
    <w:rsid w:val="006640FE"/>
    <w:rsid w:val="006650D3"/>
    <w:rsid w:val="00671255"/>
    <w:rsid w:val="00672BEE"/>
    <w:rsid w:val="00674467"/>
    <w:rsid w:val="0067448D"/>
    <w:rsid w:val="006762E5"/>
    <w:rsid w:val="006764C8"/>
    <w:rsid w:val="006777A0"/>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4C4D"/>
    <w:rsid w:val="006974FC"/>
    <w:rsid w:val="006A0482"/>
    <w:rsid w:val="006A13BF"/>
    <w:rsid w:val="006A4046"/>
    <w:rsid w:val="006A53F6"/>
    <w:rsid w:val="006B432F"/>
    <w:rsid w:val="006B7C24"/>
    <w:rsid w:val="006B7CF9"/>
    <w:rsid w:val="006C0139"/>
    <w:rsid w:val="006C111C"/>
    <w:rsid w:val="006C1AEE"/>
    <w:rsid w:val="006C27E2"/>
    <w:rsid w:val="006C3927"/>
    <w:rsid w:val="006C51F7"/>
    <w:rsid w:val="006C6452"/>
    <w:rsid w:val="006C6761"/>
    <w:rsid w:val="006D0368"/>
    <w:rsid w:val="006D2333"/>
    <w:rsid w:val="006D2DEC"/>
    <w:rsid w:val="006D3DBE"/>
    <w:rsid w:val="006D5140"/>
    <w:rsid w:val="006D571E"/>
    <w:rsid w:val="006D6CC7"/>
    <w:rsid w:val="006D70CD"/>
    <w:rsid w:val="006D7C85"/>
    <w:rsid w:val="006E1CA2"/>
    <w:rsid w:val="006E2C81"/>
    <w:rsid w:val="006E343F"/>
    <w:rsid w:val="006E42F5"/>
    <w:rsid w:val="006E4AA9"/>
    <w:rsid w:val="006E53D1"/>
    <w:rsid w:val="006E6DB3"/>
    <w:rsid w:val="006E7CC1"/>
    <w:rsid w:val="006F0B6B"/>
    <w:rsid w:val="006F1E01"/>
    <w:rsid w:val="006F47C8"/>
    <w:rsid w:val="006F4AF5"/>
    <w:rsid w:val="006F51F9"/>
    <w:rsid w:val="006F715C"/>
    <w:rsid w:val="006F7A23"/>
    <w:rsid w:val="0070010D"/>
    <w:rsid w:val="007004DA"/>
    <w:rsid w:val="00701726"/>
    <w:rsid w:val="007031E2"/>
    <w:rsid w:val="00703733"/>
    <w:rsid w:val="00705459"/>
    <w:rsid w:val="00711B43"/>
    <w:rsid w:val="007122CC"/>
    <w:rsid w:val="00716799"/>
    <w:rsid w:val="0072229D"/>
    <w:rsid w:val="007339FC"/>
    <w:rsid w:val="00733A81"/>
    <w:rsid w:val="0073548A"/>
    <w:rsid w:val="007375CF"/>
    <w:rsid w:val="00737AC8"/>
    <w:rsid w:val="00737F14"/>
    <w:rsid w:val="00740BD4"/>
    <w:rsid w:val="00741A70"/>
    <w:rsid w:val="00742F5B"/>
    <w:rsid w:val="0074328B"/>
    <w:rsid w:val="007500A2"/>
    <w:rsid w:val="00751A18"/>
    <w:rsid w:val="0075426C"/>
    <w:rsid w:val="00754B6C"/>
    <w:rsid w:val="007609DE"/>
    <w:rsid w:val="00760D7B"/>
    <w:rsid w:val="00762176"/>
    <w:rsid w:val="0076664B"/>
    <w:rsid w:val="00766D48"/>
    <w:rsid w:val="00773ADD"/>
    <w:rsid w:val="00774FA0"/>
    <w:rsid w:val="00777A11"/>
    <w:rsid w:val="0078013B"/>
    <w:rsid w:val="00780E9B"/>
    <w:rsid w:val="00784027"/>
    <w:rsid w:val="007848F3"/>
    <w:rsid w:val="00784C7B"/>
    <w:rsid w:val="007857B4"/>
    <w:rsid w:val="007864C1"/>
    <w:rsid w:val="00786718"/>
    <w:rsid w:val="00791CE4"/>
    <w:rsid w:val="00794312"/>
    <w:rsid w:val="0079518B"/>
    <w:rsid w:val="00796C85"/>
    <w:rsid w:val="00797D46"/>
    <w:rsid w:val="007A01CC"/>
    <w:rsid w:val="007A0524"/>
    <w:rsid w:val="007A131B"/>
    <w:rsid w:val="007A2597"/>
    <w:rsid w:val="007A25C9"/>
    <w:rsid w:val="007A2D4A"/>
    <w:rsid w:val="007A32BB"/>
    <w:rsid w:val="007A4679"/>
    <w:rsid w:val="007A4C9D"/>
    <w:rsid w:val="007A5DFF"/>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D1A32"/>
    <w:rsid w:val="007D3FA4"/>
    <w:rsid w:val="007D5153"/>
    <w:rsid w:val="007D620F"/>
    <w:rsid w:val="007E14BD"/>
    <w:rsid w:val="007E31EA"/>
    <w:rsid w:val="007E3B25"/>
    <w:rsid w:val="007E3B7D"/>
    <w:rsid w:val="007E5A22"/>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20AF"/>
    <w:rsid w:val="008125B6"/>
    <w:rsid w:val="00812625"/>
    <w:rsid w:val="00814DBF"/>
    <w:rsid w:val="00817759"/>
    <w:rsid w:val="00817C8F"/>
    <w:rsid w:val="00820982"/>
    <w:rsid w:val="008213C2"/>
    <w:rsid w:val="0082170D"/>
    <w:rsid w:val="0082187A"/>
    <w:rsid w:val="00822223"/>
    <w:rsid w:val="00822802"/>
    <w:rsid w:val="00825521"/>
    <w:rsid w:val="00825B55"/>
    <w:rsid w:val="00831989"/>
    <w:rsid w:val="00831EBD"/>
    <w:rsid w:val="00836BE4"/>
    <w:rsid w:val="008378B4"/>
    <w:rsid w:val="00840A1A"/>
    <w:rsid w:val="00840D02"/>
    <w:rsid w:val="008431E0"/>
    <w:rsid w:val="00843A16"/>
    <w:rsid w:val="00844665"/>
    <w:rsid w:val="00845E4B"/>
    <w:rsid w:val="00846735"/>
    <w:rsid w:val="00846837"/>
    <w:rsid w:val="00846E42"/>
    <w:rsid w:val="00850601"/>
    <w:rsid w:val="00852698"/>
    <w:rsid w:val="008527C1"/>
    <w:rsid w:val="00852948"/>
    <w:rsid w:val="00853065"/>
    <w:rsid w:val="00854598"/>
    <w:rsid w:val="00856BDC"/>
    <w:rsid w:val="0085754F"/>
    <w:rsid w:val="00857CBA"/>
    <w:rsid w:val="00861C4F"/>
    <w:rsid w:val="00862D0B"/>
    <w:rsid w:val="00863D30"/>
    <w:rsid w:val="008642DF"/>
    <w:rsid w:val="0086434F"/>
    <w:rsid w:val="00864FC3"/>
    <w:rsid w:val="00865AD8"/>
    <w:rsid w:val="00866CE0"/>
    <w:rsid w:val="008721CC"/>
    <w:rsid w:val="00872226"/>
    <w:rsid w:val="0087239F"/>
    <w:rsid w:val="00872695"/>
    <w:rsid w:val="00872B47"/>
    <w:rsid w:val="00874730"/>
    <w:rsid w:val="008751CE"/>
    <w:rsid w:val="00875F84"/>
    <w:rsid w:val="008773C3"/>
    <w:rsid w:val="00877623"/>
    <w:rsid w:val="008824EE"/>
    <w:rsid w:val="00882B7E"/>
    <w:rsid w:val="00882D96"/>
    <w:rsid w:val="00883EFA"/>
    <w:rsid w:val="00885A80"/>
    <w:rsid w:val="008867F6"/>
    <w:rsid w:val="00887818"/>
    <w:rsid w:val="00892C54"/>
    <w:rsid w:val="00892CC0"/>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F78"/>
    <w:rsid w:val="008C35C6"/>
    <w:rsid w:val="008C5ABC"/>
    <w:rsid w:val="008C5C88"/>
    <w:rsid w:val="008D095A"/>
    <w:rsid w:val="008D1FCD"/>
    <w:rsid w:val="008D75EB"/>
    <w:rsid w:val="008E0A3D"/>
    <w:rsid w:val="008E0A75"/>
    <w:rsid w:val="008E0EAF"/>
    <w:rsid w:val="008E1805"/>
    <w:rsid w:val="008E6453"/>
    <w:rsid w:val="009027ED"/>
    <w:rsid w:val="00903409"/>
    <w:rsid w:val="00903846"/>
    <w:rsid w:val="0090525F"/>
    <w:rsid w:val="00911B9C"/>
    <w:rsid w:val="00915D0C"/>
    <w:rsid w:val="00917927"/>
    <w:rsid w:val="009201BE"/>
    <w:rsid w:val="00920B05"/>
    <w:rsid w:val="00924453"/>
    <w:rsid w:val="009254FA"/>
    <w:rsid w:val="00925BAC"/>
    <w:rsid w:val="00927A4E"/>
    <w:rsid w:val="00930930"/>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415E"/>
    <w:rsid w:val="0094416B"/>
    <w:rsid w:val="00946625"/>
    <w:rsid w:val="00951733"/>
    <w:rsid w:val="009519FC"/>
    <w:rsid w:val="00952317"/>
    <w:rsid w:val="00953A8D"/>
    <w:rsid w:val="0095692A"/>
    <w:rsid w:val="00957D8E"/>
    <w:rsid w:val="0096040D"/>
    <w:rsid w:val="009606C6"/>
    <w:rsid w:val="00960AA9"/>
    <w:rsid w:val="00960D9D"/>
    <w:rsid w:val="00961811"/>
    <w:rsid w:val="009622C7"/>
    <w:rsid w:val="009663D4"/>
    <w:rsid w:val="00970F6A"/>
    <w:rsid w:val="009712C8"/>
    <w:rsid w:val="0097190C"/>
    <w:rsid w:val="009765DD"/>
    <w:rsid w:val="009775E7"/>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11D6"/>
    <w:rsid w:val="009D23F3"/>
    <w:rsid w:val="009D3AF6"/>
    <w:rsid w:val="009D4019"/>
    <w:rsid w:val="009D628C"/>
    <w:rsid w:val="009D727E"/>
    <w:rsid w:val="009E11BA"/>
    <w:rsid w:val="009E141B"/>
    <w:rsid w:val="009E2D6C"/>
    <w:rsid w:val="009E660D"/>
    <w:rsid w:val="009F3730"/>
    <w:rsid w:val="009F50D8"/>
    <w:rsid w:val="009F7E80"/>
    <w:rsid w:val="00A03535"/>
    <w:rsid w:val="00A045A2"/>
    <w:rsid w:val="00A04B6D"/>
    <w:rsid w:val="00A06DD7"/>
    <w:rsid w:val="00A12BCC"/>
    <w:rsid w:val="00A14318"/>
    <w:rsid w:val="00A14F4E"/>
    <w:rsid w:val="00A167FB"/>
    <w:rsid w:val="00A174F5"/>
    <w:rsid w:val="00A20E1D"/>
    <w:rsid w:val="00A241E3"/>
    <w:rsid w:val="00A32095"/>
    <w:rsid w:val="00A32C7A"/>
    <w:rsid w:val="00A32E70"/>
    <w:rsid w:val="00A33E33"/>
    <w:rsid w:val="00A33ECD"/>
    <w:rsid w:val="00A34D08"/>
    <w:rsid w:val="00A43557"/>
    <w:rsid w:val="00A44D85"/>
    <w:rsid w:val="00A45025"/>
    <w:rsid w:val="00A45844"/>
    <w:rsid w:val="00A51077"/>
    <w:rsid w:val="00A51224"/>
    <w:rsid w:val="00A53A6B"/>
    <w:rsid w:val="00A5433B"/>
    <w:rsid w:val="00A54C60"/>
    <w:rsid w:val="00A54E1A"/>
    <w:rsid w:val="00A55441"/>
    <w:rsid w:val="00A56A48"/>
    <w:rsid w:val="00A56DEC"/>
    <w:rsid w:val="00A60B48"/>
    <w:rsid w:val="00A60DA3"/>
    <w:rsid w:val="00A60DE4"/>
    <w:rsid w:val="00A612FF"/>
    <w:rsid w:val="00A614D0"/>
    <w:rsid w:val="00A62BFB"/>
    <w:rsid w:val="00A6462A"/>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7BD4"/>
    <w:rsid w:val="00A91E7F"/>
    <w:rsid w:val="00A95C14"/>
    <w:rsid w:val="00A95FAA"/>
    <w:rsid w:val="00A9666F"/>
    <w:rsid w:val="00A97BA6"/>
    <w:rsid w:val="00A97C92"/>
    <w:rsid w:val="00AA0797"/>
    <w:rsid w:val="00AA2F4F"/>
    <w:rsid w:val="00AA4BFF"/>
    <w:rsid w:val="00AB0069"/>
    <w:rsid w:val="00AB18A3"/>
    <w:rsid w:val="00AB24E1"/>
    <w:rsid w:val="00AB2AB3"/>
    <w:rsid w:val="00AB3D71"/>
    <w:rsid w:val="00AB6EAC"/>
    <w:rsid w:val="00AC07A4"/>
    <w:rsid w:val="00AC177D"/>
    <w:rsid w:val="00AC271E"/>
    <w:rsid w:val="00AC3247"/>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4251"/>
    <w:rsid w:val="00AF4AEB"/>
    <w:rsid w:val="00AF539D"/>
    <w:rsid w:val="00AF59B9"/>
    <w:rsid w:val="00AF5A5E"/>
    <w:rsid w:val="00AF7241"/>
    <w:rsid w:val="00B001E4"/>
    <w:rsid w:val="00B0153A"/>
    <w:rsid w:val="00B03CE1"/>
    <w:rsid w:val="00B045F0"/>
    <w:rsid w:val="00B04889"/>
    <w:rsid w:val="00B04DC4"/>
    <w:rsid w:val="00B05CA8"/>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2655"/>
    <w:rsid w:val="00B44BDA"/>
    <w:rsid w:val="00B4503B"/>
    <w:rsid w:val="00B453F2"/>
    <w:rsid w:val="00B462E6"/>
    <w:rsid w:val="00B46EBD"/>
    <w:rsid w:val="00B51489"/>
    <w:rsid w:val="00B5163B"/>
    <w:rsid w:val="00B51651"/>
    <w:rsid w:val="00B525EE"/>
    <w:rsid w:val="00B55021"/>
    <w:rsid w:val="00B550C5"/>
    <w:rsid w:val="00B562C4"/>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46D4"/>
    <w:rsid w:val="00B84A71"/>
    <w:rsid w:val="00B8544D"/>
    <w:rsid w:val="00B871A9"/>
    <w:rsid w:val="00B878CE"/>
    <w:rsid w:val="00B87B22"/>
    <w:rsid w:val="00B87F9C"/>
    <w:rsid w:val="00B906FF"/>
    <w:rsid w:val="00B9211C"/>
    <w:rsid w:val="00B92EEC"/>
    <w:rsid w:val="00B95094"/>
    <w:rsid w:val="00B950A5"/>
    <w:rsid w:val="00B97541"/>
    <w:rsid w:val="00BA1CA0"/>
    <w:rsid w:val="00BA455A"/>
    <w:rsid w:val="00BA5528"/>
    <w:rsid w:val="00BA688E"/>
    <w:rsid w:val="00BB0742"/>
    <w:rsid w:val="00BB1B0D"/>
    <w:rsid w:val="00BB6818"/>
    <w:rsid w:val="00BC013C"/>
    <w:rsid w:val="00BC0541"/>
    <w:rsid w:val="00BC0C96"/>
    <w:rsid w:val="00BC328D"/>
    <w:rsid w:val="00BC395B"/>
    <w:rsid w:val="00BC3F67"/>
    <w:rsid w:val="00BC45BA"/>
    <w:rsid w:val="00BC5F4E"/>
    <w:rsid w:val="00BC5FDE"/>
    <w:rsid w:val="00BC7297"/>
    <w:rsid w:val="00BC72EA"/>
    <w:rsid w:val="00BD0240"/>
    <w:rsid w:val="00BD0822"/>
    <w:rsid w:val="00BD1E79"/>
    <w:rsid w:val="00BD2C19"/>
    <w:rsid w:val="00BD5E01"/>
    <w:rsid w:val="00BD799F"/>
    <w:rsid w:val="00BE0125"/>
    <w:rsid w:val="00BE0A98"/>
    <w:rsid w:val="00BE1867"/>
    <w:rsid w:val="00BE5FB6"/>
    <w:rsid w:val="00BE79DB"/>
    <w:rsid w:val="00BF11D7"/>
    <w:rsid w:val="00BF467C"/>
    <w:rsid w:val="00BF59B0"/>
    <w:rsid w:val="00BF7D62"/>
    <w:rsid w:val="00C0130E"/>
    <w:rsid w:val="00C0272E"/>
    <w:rsid w:val="00C02B41"/>
    <w:rsid w:val="00C04D36"/>
    <w:rsid w:val="00C04DB4"/>
    <w:rsid w:val="00C05EB3"/>
    <w:rsid w:val="00C06FCE"/>
    <w:rsid w:val="00C07C03"/>
    <w:rsid w:val="00C10747"/>
    <w:rsid w:val="00C10EB5"/>
    <w:rsid w:val="00C110CC"/>
    <w:rsid w:val="00C12025"/>
    <w:rsid w:val="00C133C8"/>
    <w:rsid w:val="00C1447E"/>
    <w:rsid w:val="00C15F7E"/>
    <w:rsid w:val="00C21159"/>
    <w:rsid w:val="00C21650"/>
    <w:rsid w:val="00C265C0"/>
    <w:rsid w:val="00C27482"/>
    <w:rsid w:val="00C27872"/>
    <w:rsid w:val="00C30595"/>
    <w:rsid w:val="00C30AAD"/>
    <w:rsid w:val="00C311B3"/>
    <w:rsid w:val="00C33D9D"/>
    <w:rsid w:val="00C35637"/>
    <w:rsid w:val="00C36AC4"/>
    <w:rsid w:val="00C418FA"/>
    <w:rsid w:val="00C44424"/>
    <w:rsid w:val="00C44FA7"/>
    <w:rsid w:val="00C47242"/>
    <w:rsid w:val="00C472A4"/>
    <w:rsid w:val="00C537EB"/>
    <w:rsid w:val="00C61A21"/>
    <w:rsid w:val="00C62EDF"/>
    <w:rsid w:val="00C630B4"/>
    <w:rsid w:val="00C654F4"/>
    <w:rsid w:val="00C66654"/>
    <w:rsid w:val="00C706EC"/>
    <w:rsid w:val="00C71F95"/>
    <w:rsid w:val="00C72C64"/>
    <w:rsid w:val="00C73585"/>
    <w:rsid w:val="00C73C0D"/>
    <w:rsid w:val="00C7436B"/>
    <w:rsid w:val="00C7586A"/>
    <w:rsid w:val="00C76480"/>
    <w:rsid w:val="00C77547"/>
    <w:rsid w:val="00C778E6"/>
    <w:rsid w:val="00C81E07"/>
    <w:rsid w:val="00C8388D"/>
    <w:rsid w:val="00C839A9"/>
    <w:rsid w:val="00C83FB4"/>
    <w:rsid w:val="00C849C6"/>
    <w:rsid w:val="00C85D6A"/>
    <w:rsid w:val="00C874E9"/>
    <w:rsid w:val="00C9040A"/>
    <w:rsid w:val="00C90AFC"/>
    <w:rsid w:val="00C94693"/>
    <w:rsid w:val="00C94898"/>
    <w:rsid w:val="00CA2D32"/>
    <w:rsid w:val="00CA3FE6"/>
    <w:rsid w:val="00CA6414"/>
    <w:rsid w:val="00CA74DC"/>
    <w:rsid w:val="00CB2AB7"/>
    <w:rsid w:val="00CC0083"/>
    <w:rsid w:val="00CC27F3"/>
    <w:rsid w:val="00CC3194"/>
    <w:rsid w:val="00CC3562"/>
    <w:rsid w:val="00CC4D63"/>
    <w:rsid w:val="00CC5E5B"/>
    <w:rsid w:val="00CC61A5"/>
    <w:rsid w:val="00CC772A"/>
    <w:rsid w:val="00CC7E08"/>
    <w:rsid w:val="00CD14DB"/>
    <w:rsid w:val="00CD6D72"/>
    <w:rsid w:val="00CD7B93"/>
    <w:rsid w:val="00CE0348"/>
    <w:rsid w:val="00CE2E0F"/>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4D5F"/>
    <w:rsid w:val="00D04DD6"/>
    <w:rsid w:val="00D04DFA"/>
    <w:rsid w:val="00D0597F"/>
    <w:rsid w:val="00D05F35"/>
    <w:rsid w:val="00D06393"/>
    <w:rsid w:val="00D06E5E"/>
    <w:rsid w:val="00D06F79"/>
    <w:rsid w:val="00D10597"/>
    <w:rsid w:val="00D120A3"/>
    <w:rsid w:val="00D13288"/>
    <w:rsid w:val="00D13AF8"/>
    <w:rsid w:val="00D1550B"/>
    <w:rsid w:val="00D1584B"/>
    <w:rsid w:val="00D20601"/>
    <w:rsid w:val="00D219E9"/>
    <w:rsid w:val="00D2205B"/>
    <w:rsid w:val="00D23418"/>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CA5"/>
    <w:rsid w:val="00D46E12"/>
    <w:rsid w:val="00D50734"/>
    <w:rsid w:val="00D507C0"/>
    <w:rsid w:val="00D513CC"/>
    <w:rsid w:val="00D5172A"/>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0B1A"/>
    <w:rsid w:val="00DA1560"/>
    <w:rsid w:val="00DA3176"/>
    <w:rsid w:val="00DA4C44"/>
    <w:rsid w:val="00DA4C48"/>
    <w:rsid w:val="00DA4E21"/>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4100"/>
    <w:rsid w:val="00DD76A4"/>
    <w:rsid w:val="00DD7C65"/>
    <w:rsid w:val="00DE03E4"/>
    <w:rsid w:val="00DE1134"/>
    <w:rsid w:val="00DE1AEB"/>
    <w:rsid w:val="00DE2247"/>
    <w:rsid w:val="00DE2A34"/>
    <w:rsid w:val="00DE37AE"/>
    <w:rsid w:val="00DE4732"/>
    <w:rsid w:val="00DE6668"/>
    <w:rsid w:val="00DE6987"/>
    <w:rsid w:val="00DE7257"/>
    <w:rsid w:val="00DE7339"/>
    <w:rsid w:val="00DF1246"/>
    <w:rsid w:val="00DF30C0"/>
    <w:rsid w:val="00DF4C3E"/>
    <w:rsid w:val="00E0080A"/>
    <w:rsid w:val="00E00F31"/>
    <w:rsid w:val="00E02242"/>
    <w:rsid w:val="00E0300E"/>
    <w:rsid w:val="00E04AE0"/>
    <w:rsid w:val="00E070D0"/>
    <w:rsid w:val="00E11517"/>
    <w:rsid w:val="00E12834"/>
    <w:rsid w:val="00E13727"/>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7502"/>
    <w:rsid w:val="00E40127"/>
    <w:rsid w:val="00E41433"/>
    <w:rsid w:val="00E43074"/>
    <w:rsid w:val="00E431C8"/>
    <w:rsid w:val="00E44926"/>
    <w:rsid w:val="00E44E09"/>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570E"/>
    <w:rsid w:val="00E66638"/>
    <w:rsid w:val="00E6706E"/>
    <w:rsid w:val="00E7211D"/>
    <w:rsid w:val="00E754C2"/>
    <w:rsid w:val="00E757CA"/>
    <w:rsid w:val="00E75D48"/>
    <w:rsid w:val="00E7611F"/>
    <w:rsid w:val="00E76750"/>
    <w:rsid w:val="00E773CD"/>
    <w:rsid w:val="00E774C9"/>
    <w:rsid w:val="00E77D0C"/>
    <w:rsid w:val="00E80964"/>
    <w:rsid w:val="00E83D43"/>
    <w:rsid w:val="00E841A6"/>
    <w:rsid w:val="00E84BCB"/>
    <w:rsid w:val="00E84D9A"/>
    <w:rsid w:val="00E85905"/>
    <w:rsid w:val="00E85D20"/>
    <w:rsid w:val="00E87C0D"/>
    <w:rsid w:val="00E90DC4"/>
    <w:rsid w:val="00E9163F"/>
    <w:rsid w:val="00E91CB7"/>
    <w:rsid w:val="00E955B0"/>
    <w:rsid w:val="00E956E8"/>
    <w:rsid w:val="00EA022D"/>
    <w:rsid w:val="00EA0D10"/>
    <w:rsid w:val="00EA0F2C"/>
    <w:rsid w:val="00EA19CB"/>
    <w:rsid w:val="00EA2C8F"/>
    <w:rsid w:val="00EA5045"/>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D139E"/>
    <w:rsid w:val="00ED1759"/>
    <w:rsid w:val="00ED27A5"/>
    <w:rsid w:val="00ED3ECB"/>
    <w:rsid w:val="00ED445D"/>
    <w:rsid w:val="00ED461C"/>
    <w:rsid w:val="00ED5E2B"/>
    <w:rsid w:val="00EE01C2"/>
    <w:rsid w:val="00EE2FEA"/>
    <w:rsid w:val="00EE37A2"/>
    <w:rsid w:val="00EE3B12"/>
    <w:rsid w:val="00EE5AF3"/>
    <w:rsid w:val="00EE5E91"/>
    <w:rsid w:val="00EE5F8C"/>
    <w:rsid w:val="00EE73BC"/>
    <w:rsid w:val="00EE7AC8"/>
    <w:rsid w:val="00EF00AA"/>
    <w:rsid w:val="00EF3996"/>
    <w:rsid w:val="00F0026A"/>
    <w:rsid w:val="00F021E7"/>
    <w:rsid w:val="00F026C1"/>
    <w:rsid w:val="00F039D1"/>
    <w:rsid w:val="00F05BEC"/>
    <w:rsid w:val="00F05D0F"/>
    <w:rsid w:val="00F05DB4"/>
    <w:rsid w:val="00F13358"/>
    <w:rsid w:val="00F13EB8"/>
    <w:rsid w:val="00F1456D"/>
    <w:rsid w:val="00F14DA0"/>
    <w:rsid w:val="00F15387"/>
    <w:rsid w:val="00F15D8B"/>
    <w:rsid w:val="00F15F46"/>
    <w:rsid w:val="00F17D58"/>
    <w:rsid w:val="00F228F5"/>
    <w:rsid w:val="00F23FD4"/>
    <w:rsid w:val="00F24143"/>
    <w:rsid w:val="00F241BE"/>
    <w:rsid w:val="00F24962"/>
    <w:rsid w:val="00F25038"/>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51E9"/>
    <w:rsid w:val="00F55A95"/>
    <w:rsid w:val="00F56113"/>
    <w:rsid w:val="00F5640F"/>
    <w:rsid w:val="00F56735"/>
    <w:rsid w:val="00F56B3A"/>
    <w:rsid w:val="00F60F94"/>
    <w:rsid w:val="00F615F9"/>
    <w:rsid w:val="00F62055"/>
    <w:rsid w:val="00F620BE"/>
    <w:rsid w:val="00F64DC5"/>
    <w:rsid w:val="00F670D4"/>
    <w:rsid w:val="00F73938"/>
    <w:rsid w:val="00F73E87"/>
    <w:rsid w:val="00F74224"/>
    <w:rsid w:val="00F747A9"/>
    <w:rsid w:val="00F76696"/>
    <w:rsid w:val="00F77295"/>
    <w:rsid w:val="00F77A84"/>
    <w:rsid w:val="00F80438"/>
    <w:rsid w:val="00F87905"/>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B1DA4"/>
    <w:rsid w:val="00FB2973"/>
    <w:rsid w:val="00FB42CF"/>
    <w:rsid w:val="00FB511E"/>
    <w:rsid w:val="00FB7B5E"/>
    <w:rsid w:val="00FC07DD"/>
    <w:rsid w:val="00FC2B86"/>
    <w:rsid w:val="00FC48B5"/>
    <w:rsid w:val="00FC4CA2"/>
    <w:rsid w:val="00FC6FF3"/>
    <w:rsid w:val="00FC7629"/>
    <w:rsid w:val="00FC7B2A"/>
    <w:rsid w:val="00FD3392"/>
    <w:rsid w:val="00FD3D67"/>
    <w:rsid w:val="00FD536A"/>
    <w:rsid w:val="00FD74FF"/>
    <w:rsid w:val="00FE3CEC"/>
    <w:rsid w:val="00FE4145"/>
    <w:rsid w:val="00FE5F2D"/>
    <w:rsid w:val="00FE607C"/>
    <w:rsid w:val="00FE6A1F"/>
    <w:rsid w:val="00FE743E"/>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6D5140"/>
    <w:pPr>
      <w:numPr>
        <w:ilvl w:val="1"/>
      </w:numPr>
      <w:spacing w:before="600" w:after="0" w:line="280" w:lineRule="atLeast"/>
      <w:ind w:left="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FootnoteTextChar">
    <w:name w:val="Footnote Text Char"/>
    <w:link w:val="FootnoteText"/>
    <w:locked/>
    <w:rsid w:val="009D727E"/>
    <w:rPr>
      <w:rFonts w:ascii="Franklin Gothic Book" w:hAnsi="Franklin Gothic Book"/>
      <w:sz w:val="14"/>
      <w:szCs w:val="14"/>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Table-list-bullet">
    <w:name w:val="Table-list-bullet"/>
    <w:basedOn w:val="Normal"/>
    <w:rsid w:val="009D727E"/>
    <w:pPr>
      <w:numPr>
        <w:numId w:val="19"/>
      </w:numPr>
    </w:pPr>
  </w:style>
  <w:style w:type="paragraph" w:styleId="Revision">
    <w:name w:val="Revision"/>
    <w:hidden/>
    <w:uiPriority w:val="99"/>
    <w:semiHidden/>
    <w:rsid w:val="00B550C5"/>
    <w:rPr>
      <w:szCs w:val="24"/>
      <w:lang w:val="en-AU" w:eastAsia="en-AU"/>
    </w:rPr>
  </w:style>
  <w:style w:type="paragraph" w:customStyle="1" w:styleId="H2">
    <w:name w:val="H2"/>
    <w:basedOn w:val="Heading7"/>
    <w:qFormat/>
    <w:rsid w:val="002666A9"/>
    <w:rPr>
      <w:sz w:val="24"/>
      <w:szCs w:val="24"/>
    </w:rPr>
  </w:style>
  <w:style w:type="paragraph" w:customStyle="1" w:styleId="H3">
    <w:name w:val="H3"/>
    <w:basedOn w:val="Normal"/>
    <w:qFormat/>
    <w:rsid w:val="002666A9"/>
    <w:pPr>
      <w:spacing w:after="120"/>
      <w:jc w:val="center"/>
    </w:pPr>
    <w:rPr>
      <w:rFonts w:ascii="Georgia" w:hAnsi="Georgia"/>
      <w:b/>
      <w:sz w:val="19"/>
      <w:szCs w:val="19"/>
    </w:rPr>
  </w:style>
  <w:style w:type="paragraph" w:styleId="TOCHeading">
    <w:name w:val="TOC Heading"/>
    <w:basedOn w:val="Heading1"/>
    <w:next w:val="Normal"/>
    <w:uiPriority w:val="39"/>
    <w:semiHidden/>
    <w:unhideWhenUsed/>
    <w:qFormat/>
    <w:rsid w:val="00C47242"/>
    <w:pPr>
      <w:keepLines/>
      <w:numPr>
        <w:numId w:val="0"/>
      </w:numPr>
      <w:spacing w:before="480" w:after="0" w:line="276" w:lineRule="auto"/>
      <w:outlineLvl w:val="9"/>
    </w:pPr>
    <w:rPr>
      <w:rFonts w:ascii="Cambria" w:hAnsi="Cambria"/>
      <w:b/>
      <w:bCs/>
      <w:color w:val="365F91"/>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6D5140"/>
    <w:pPr>
      <w:numPr>
        <w:ilvl w:val="1"/>
      </w:numPr>
      <w:spacing w:before="600" w:after="0" w:line="280" w:lineRule="atLeast"/>
      <w:ind w:left="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FootnoteTextChar">
    <w:name w:val="Footnote Text Char"/>
    <w:link w:val="FootnoteText"/>
    <w:locked/>
    <w:rsid w:val="009D727E"/>
    <w:rPr>
      <w:rFonts w:ascii="Franklin Gothic Book" w:hAnsi="Franklin Gothic Book"/>
      <w:sz w:val="14"/>
      <w:szCs w:val="14"/>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paragraph" w:customStyle="1" w:styleId="Table-list-bullet">
    <w:name w:val="Table-list-bullet"/>
    <w:basedOn w:val="Normal"/>
    <w:rsid w:val="009D727E"/>
    <w:pPr>
      <w:numPr>
        <w:numId w:val="19"/>
      </w:numPr>
    </w:pPr>
  </w:style>
  <w:style w:type="paragraph" w:styleId="Revision">
    <w:name w:val="Revision"/>
    <w:hidden/>
    <w:uiPriority w:val="99"/>
    <w:semiHidden/>
    <w:rsid w:val="00B550C5"/>
    <w:rPr>
      <w:szCs w:val="24"/>
      <w:lang w:val="en-AU" w:eastAsia="en-AU"/>
    </w:rPr>
  </w:style>
  <w:style w:type="paragraph" w:customStyle="1" w:styleId="H2">
    <w:name w:val="H2"/>
    <w:basedOn w:val="Heading7"/>
    <w:qFormat/>
    <w:rsid w:val="002666A9"/>
    <w:rPr>
      <w:sz w:val="24"/>
      <w:szCs w:val="24"/>
    </w:rPr>
  </w:style>
  <w:style w:type="paragraph" w:customStyle="1" w:styleId="H3">
    <w:name w:val="H3"/>
    <w:basedOn w:val="Normal"/>
    <w:qFormat/>
    <w:rsid w:val="002666A9"/>
    <w:pPr>
      <w:spacing w:after="120"/>
      <w:jc w:val="center"/>
    </w:pPr>
    <w:rPr>
      <w:rFonts w:ascii="Georgia" w:hAnsi="Georgia"/>
      <w:b/>
      <w:sz w:val="19"/>
      <w:szCs w:val="19"/>
    </w:rPr>
  </w:style>
  <w:style w:type="paragraph" w:styleId="TOCHeading">
    <w:name w:val="TOC Heading"/>
    <w:basedOn w:val="Heading1"/>
    <w:next w:val="Normal"/>
    <w:uiPriority w:val="39"/>
    <w:semiHidden/>
    <w:unhideWhenUsed/>
    <w:qFormat/>
    <w:rsid w:val="00C47242"/>
    <w:pPr>
      <w:keepLines/>
      <w:numPr>
        <w:numId w:val="0"/>
      </w:numPr>
      <w:spacing w:before="480" w:after="0" w:line="276" w:lineRule="auto"/>
      <w:outlineLvl w:val="9"/>
    </w:pPr>
    <w:rPr>
      <w:rFonts w:ascii="Cambria" w:hAnsi="Cambria"/>
      <w:b/>
      <w:bCs/>
      <w:color w:val="365F91"/>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ongo\Local%20Settings\Temporary%20Internet%20Files\OLK1D\Partnerships%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BBA7AB-1A70-4424-9FB4-DB97FC847A96}"/>
</file>

<file path=customXml/itemProps2.xml><?xml version="1.0" encoding="utf-8"?>
<ds:datastoreItem xmlns:ds="http://schemas.openxmlformats.org/officeDocument/2006/customXml" ds:itemID="{2F237C49-F972-4616-9885-211C74CC5860}"/>
</file>

<file path=customXml/itemProps3.xml><?xml version="1.0" encoding="utf-8"?>
<ds:datastoreItem xmlns:ds="http://schemas.openxmlformats.org/officeDocument/2006/customXml" ds:itemID="{7709B677-A400-4C12-A679-621E424A3C26}"/>
</file>

<file path=customXml/itemProps4.xml><?xml version="1.0" encoding="utf-8"?>
<ds:datastoreItem xmlns:ds="http://schemas.openxmlformats.org/officeDocument/2006/customXml" ds:itemID="{1F25AC71-DBC8-40CA-88AE-04DEA6836F66}"/>
</file>

<file path=customXml/itemProps5.xml><?xml version="1.0" encoding="utf-8"?>
<ds:datastoreItem xmlns:ds="http://schemas.openxmlformats.org/officeDocument/2006/customXml" ds:itemID="{BDBFC729-ABE8-421C-BFA2-ECEFE3E6D773}"/>
</file>

<file path=docProps/app.xml><?xml version="1.0" encoding="utf-8"?>
<Properties xmlns="http://schemas.openxmlformats.org/officeDocument/2006/extended-properties" xmlns:vt="http://schemas.openxmlformats.org/officeDocument/2006/docPropsVTypes">
  <Template>Partnerships Report Template-123</Template>
  <TotalTime>8</TotalTime>
  <Pages>13</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29587</CharactersWithSpaces>
  <SharedDoc>false</SharedDoc>
  <HLinks>
    <vt:vector size="84" baseType="variant">
      <vt:variant>
        <vt:i4>1048629</vt:i4>
      </vt:variant>
      <vt:variant>
        <vt:i4>80</vt:i4>
      </vt:variant>
      <vt:variant>
        <vt:i4>0</vt:i4>
      </vt:variant>
      <vt:variant>
        <vt:i4>5</vt:i4>
      </vt:variant>
      <vt:variant>
        <vt:lpwstr/>
      </vt:variant>
      <vt:variant>
        <vt:lpwstr>_Toc360978108</vt:lpwstr>
      </vt:variant>
      <vt:variant>
        <vt:i4>1048629</vt:i4>
      </vt:variant>
      <vt:variant>
        <vt:i4>74</vt:i4>
      </vt:variant>
      <vt:variant>
        <vt:i4>0</vt:i4>
      </vt:variant>
      <vt:variant>
        <vt:i4>5</vt:i4>
      </vt:variant>
      <vt:variant>
        <vt:lpwstr/>
      </vt:variant>
      <vt:variant>
        <vt:lpwstr>_Toc360978107</vt:lpwstr>
      </vt:variant>
      <vt:variant>
        <vt:i4>1048629</vt:i4>
      </vt:variant>
      <vt:variant>
        <vt:i4>68</vt:i4>
      </vt:variant>
      <vt:variant>
        <vt:i4>0</vt:i4>
      </vt:variant>
      <vt:variant>
        <vt:i4>5</vt:i4>
      </vt:variant>
      <vt:variant>
        <vt:lpwstr/>
      </vt:variant>
      <vt:variant>
        <vt:lpwstr>_Toc360978106</vt:lpwstr>
      </vt:variant>
      <vt:variant>
        <vt:i4>1048629</vt:i4>
      </vt:variant>
      <vt:variant>
        <vt:i4>62</vt:i4>
      </vt:variant>
      <vt:variant>
        <vt:i4>0</vt:i4>
      </vt:variant>
      <vt:variant>
        <vt:i4>5</vt:i4>
      </vt:variant>
      <vt:variant>
        <vt:lpwstr/>
      </vt:variant>
      <vt:variant>
        <vt:lpwstr>_Toc360978105</vt:lpwstr>
      </vt:variant>
      <vt:variant>
        <vt:i4>1048629</vt:i4>
      </vt:variant>
      <vt:variant>
        <vt:i4>56</vt:i4>
      </vt:variant>
      <vt:variant>
        <vt:i4>0</vt:i4>
      </vt:variant>
      <vt:variant>
        <vt:i4>5</vt:i4>
      </vt:variant>
      <vt:variant>
        <vt:lpwstr/>
      </vt:variant>
      <vt:variant>
        <vt:lpwstr>_Toc360978104</vt:lpwstr>
      </vt:variant>
      <vt:variant>
        <vt:i4>1048629</vt:i4>
      </vt:variant>
      <vt:variant>
        <vt:i4>50</vt:i4>
      </vt:variant>
      <vt:variant>
        <vt:i4>0</vt:i4>
      </vt:variant>
      <vt:variant>
        <vt:i4>5</vt:i4>
      </vt:variant>
      <vt:variant>
        <vt:lpwstr/>
      </vt:variant>
      <vt:variant>
        <vt:lpwstr>_Toc360978103</vt:lpwstr>
      </vt:variant>
      <vt:variant>
        <vt:i4>1048629</vt:i4>
      </vt:variant>
      <vt:variant>
        <vt:i4>44</vt:i4>
      </vt:variant>
      <vt:variant>
        <vt:i4>0</vt:i4>
      </vt:variant>
      <vt:variant>
        <vt:i4>5</vt:i4>
      </vt:variant>
      <vt:variant>
        <vt:lpwstr/>
      </vt:variant>
      <vt:variant>
        <vt:lpwstr>_Toc360978102</vt:lpwstr>
      </vt:variant>
      <vt:variant>
        <vt:i4>1048629</vt:i4>
      </vt:variant>
      <vt:variant>
        <vt:i4>38</vt:i4>
      </vt:variant>
      <vt:variant>
        <vt:i4>0</vt:i4>
      </vt:variant>
      <vt:variant>
        <vt:i4>5</vt:i4>
      </vt:variant>
      <vt:variant>
        <vt:lpwstr/>
      </vt:variant>
      <vt:variant>
        <vt:lpwstr>_Toc360978101</vt:lpwstr>
      </vt:variant>
      <vt:variant>
        <vt:i4>1048629</vt:i4>
      </vt:variant>
      <vt:variant>
        <vt:i4>32</vt:i4>
      </vt:variant>
      <vt:variant>
        <vt:i4>0</vt:i4>
      </vt:variant>
      <vt:variant>
        <vt:i4>5</vt:i4>
      </vt:variant>
      <vt:variant>
        <vt:lpwstr/>
      </vt:variant>
      <vt:variant>
        <vt:lpwstr>_Toc360978100</vt:lpwstr>
      </vt:variant>
      <vt:variant>
        <vt:i4>1638452</vt:i4>
      </vt:variant>
      <vt:variant>
        <vt:i4>26</vt:i4>
      </vt:variant>
      <vt:variant>
        <vt:i4>0</vt:i4>
      </vt:variant>
      <vt:variant>
        <vt:i4>5</vt:i4>
      </vt:variant>
      <vt:variant>
        <vt:lpwstr/>
      </vt:variant>
      <vt:variant>
        <vt:lpwstr>_Toc360978099</vt:lpwstr>
      </vt:variant>
      <vt:variant>
        <vt:i4>1638452</vt:i4>
      </vt:variant>
      <vt:variant>
        <vt:i4>20</vt:i4>
      </vt:variant>
      <vt:variant>
        <vt:i4>0</vt:i4>
      </vt:variant>
      <vt:variant>
        <vt:i4>5</vt:i4>
      </vt:variant>
      <vt:variant>
        <vt:lpwstr/>
      </vt:variant>
      <vt:variant>
        <vt:lpwstr>_Toc360978098</vt:lpwstr>
      </vt:variant>
      <vt:variant>
        <vt:i4>1638452</vt:i4>
      </vt:variant>
      <vt:variant>
        <vt:i4>14</vt:i4>
      </vt:variant>
      <vt:variant>
        <vt:i4>0</vt:i4>
      </vt:variant>
      <vt:variant>
        <vt:i4>5</vt:i4>
      </vt:variant>
      <vt:variant>
        <vt:lpwstr/>
      </vt:variant>
      <vt:variant>
        <vt:lpwstr>_Toc360978097</vt:lpwstr>
      </vt:variant>
      <vt:variant>
        <vt:i4>1638452</vt:i4>
      </vt:variant>
      <vt:variant>
        <vt:i4>8</vt:i4>
      </vt:variant>
      <vt:variant>
        <vt:i4>0</vt:i4>
      </vt:variant>
      <vt:variant>
        <vt:i4>5</vt:i4>
      </vt:variant>
      <vt:variant>
        <vt:lpwstr/>
      </vt:variant>
      <vt:variant>
        <vt:lpwstr>_Toc360978096</vt:lpwstr>
      </vt:variant>
      <vt:variant>
        <vt:i4>1638452</vt:i4>
      </vt:variant>
      <vt:variant>
        <vt:i4>2</vt:i4>
      </vt:variant>
      <vt:variant>
        <vt:i4>0</vt:i4>
      </vt:variant>
      <vt:variant>
        <vt:i4>5</vt:i4>
      </vt:variant>
      <vt:variant>
        <vt:lpwstr/>
      </vt:variant>
      <vt:variant>
        <vt:lpwstr>_Toc360978095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Olivia Phongkham</dc:creator>
  <cp:keywords>APPR</cp:keywords>
  <dc:description>Current to August 2011</dc:description>
  <cp:lastModifiedBy>MKhattab</cp:lastModifiedBy>
  <cp:revision>3</cp:revision>
  <cp:lastPrinted>2010-02-06T09:30:00Z</cp:lastPrinted>
  <dcterms:created xsi:type="dcterms:W3CDTF">2013-07-09T12:22:00Z</dcterms:created>
  <dcterms:modified xsi:type="dcterms:W3CDTF">2013-07-09T12:49:00Z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122700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